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B5262" w14:textId="77777777" w:rsidR="004E1B9C" w:rsidRDefault="004E1B9C" w:rsidP="00F227D9">
      <w:pPr>
        <w:jc w:val="center"/>
        <w:rPr>
          <w:rFonts w:ascii="Verdana" w:hAnsi="Verdana"/>
          <w:b/>
          <w:sz w:val="56"/>
          <w:szCs w:val="56"/>
          <w:lang w:val="en-AU"/>
        </w:rPr>
      </w:pPr>
    </w:p>
    <w:p w14:paraId="634450BE" w14:textId="77777777" w:rsidR="004E1B9C" w:rsidRDefault="004E1B9C" w:rsidP="00F227D9">
      <w:pPr>
        <w:jc w:val="center"/>
        <w:rPr>
          <w:rFonts w:ascii="Verdana" w:hAnsi="Verdana"/>
          <w:b/>
          <w:sz w:val="56"/>
          <w:szCs w:val="56"/>
          <w:lang w:val="en-AU"/>
        </w:rPr>
      </w:pPr>
    </w:p>
    <w:p w14:paraId="4EDA6C61" w14:textId="77777777" w:rsidR="009D3E0B" w:rsidRDefault="009D3E0B" w:rsidP="009D3E0B">
      <w:pPr>
        <w:jc w:val="center"/>
        <w:rPr>
          <w:rFonts w:ascii="Verdana" w:hAnsi="Verdana"/>
          <w:b/>
          <w:sz w:val="56"/>
          <w:szCs w:val="56"/>
          <w:lang w:val="en-AU"/>
        </w:rPr>
      </w:pPr>
      <w:r>
        <w:rPr>
          <w:noProof/>
          <w:lang w:val="en-GB" w:eastAsia="en-GB"/>
        </w:rPr>
        <w:drawing>
          <wp:inline distT="0" distB="0" distL="0" distR="0" wp14:anchorId="55A1EA1F" wp14:editId="3F9F9302">
            <wp:extent cx="2501900" cy="141478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1900" cy="1414780"/>
                    </a:xfrm>
                    <a:prstGeom prst="rect">
                      <a:avLst/>
                    </a:prstGeom>
                    <a:noFill/>
                    <a:ln>
                      <a:noFill/>
                    </a:ln>
                  </pic:spPr>
                </pic:pic>
              </a:graphicData>
            </a:graphic>
          </wp:inline>
        </w:drawing>
      </w:r>
    </w:p>
    <w:p w14:paraId="2C7C9989" w14:textId="77777777" w:rsidR="009D3E0B" w:rsidRDefault="009D3E0B" w:rsidP="00F227D9">
      <w:pPr>
        <w:jc w:val="center"/>
        <w:rPr>
          <w:rFonts w:ascii="Verdana" w:hAnsi="Verdana"/>
          <w:b/>
          <w:sz w:val="56"/>
          <w:szCs w:val="56"/>
          <w:lang w:val="en-AU"/>
        </w:rPr>
      </w:pPr>
    </w:p>
    <w:p w14:paraId="431ADD82" w14:textId="77777777" w:rsidR="009D3E0B" w:rsidRDefault="009D3E0B" w:rsidP="00F227D9">
      <w:pPr>
        <w:jc w:val="center"/>
        <w:rPr>
          <w:rFonts w:ascii="Verdana" w:hAnsi="Verdana"/>
          <w:b/>
          <w:sz w:val="56"/>
          <w:szCs w:val="56"/>
          <w:lang w:val="en-AU"/>
        </w:rPr>
      </w:pPr>
    </w:p>
    <w:p w14:paraId="78B09BAA" w14:textId="77777777" w:rsidR="004E1B9C" w:rsidRDefault="004E1B9C" w:rsidP="00F227D9">
      <w:pPr>
        <w:jc w:val="center"/>
        <w:rPr>
          <w:rFonts w:ascii="Verdana" w:hAnsi="Verdana"/>
          <w:b/>
          <w:sz w:val="56"/>
          <w:szCs w:val="56"/>
          <w:lang w:val="en-AU"/>
        </w:rPr>
      </w:pPr>
      <w:r w:rsidRPr="004E1B9C">
        <w:rPr>
          <w:rFonts w:ascii="Verdana" w:hAnsi="Verdana"/>
          <w:b/>
          <w:sz w:val="56"/>
          <w:szCs w:val="56"/>
          <w:lang w:val="en-AU"/>
        </w:rPr>
        <w:t>T</w:t>
      </w:r>
      <w:r w:rsidR="009D3E0B">
        <w:rPr>
          <w:rFonts w:ascii="Verdana" w:hAnsi="Verdana"/>
          <w:b/>
          <w:sz w:val="56"/>
          <w:szCs w:val="56"/>
          <w:lang w:val="en-AU"/>
        </w:rPr>
        <w:t>HE CHIEF CONSTABLE OF</w:t>
      </w:r>
      <w:bookmarkStart w:id="0" w:name="_GoBack"/>
      <w:bookmarkEnd w:id="0"/>
      <w:r w:rsidR="009D3E0B">
        <w:rPr>
          <w:rFonts w:ascii="Verdana" w:hAnsi="Verdana"/>
          <w:b/>
          <w:sz w:val="56"/>
          <w:szCs w:val="56"/>
          <w:lang w:val="en-AU"/>
        </w:rPr>
        <w:t xml:space="preserve"> SURREY</w:t>
      </w:r>
    </w:p>
    <w:p w14:paraId="2A50C7FD" w14:textId="77777777" w:rsidR="004E1B9C" w:rsidRDefault="004E1B9C" w:rsidP="00F227D9">
      <w:pPr>
        <w:jc w:val="center"/>
        <w:rPr>
          <w:rFonts w:ascii="Verdana" w:hAnsi="Verdana"/>
          <w:b/>
          <w:sz w:val="56"/>
          <w:szCs w:val="56"/>
          <w:lang w:val="en-AU"/>
        </w:rPr>
      </w:pPr>
    </w:p>
    <w:p w14:paraId="7814F8DE" w14:textId="77777777" w:rsidR="009D3E0B" w:rsidRDefault="009D3E0B" w:rsidP="00F227D9">
      <w:pPr>
        <w:jc w:val="center"/>
        <w:rPr>
          <w:rFonts w:ascii="Verdana" w:hAnsi="Verdana"/>
          <w:b/>
          <w:sz w:val="56"/>
          <w:szCs w:val="56"/>
          <w:lang w:val="en-AU"/>
        </w:rPr>
      </w:pPr>
    </w:p>
    <w:p w14:paraId="579C532F" w14:textId="77777777" w:rsidR="00F227D9" w:rsidRPr="009D3E0B" w:rsidRDefault="009D3E0B" w:rsidP="009D3E0B">
      <w:pPr>
        <w:jc w:val="center"/>
        <w:rPr>
          <w:rFonts w:ascii="Verdana" w:hAnsi="Verdana"/>
          <w:b/>
          <w:sz w:val="44"/>
          <w:szCs w:val="44"/>
          <w:lang w:val="en-AU"/>
        </w:rPr>
      </w:pPr>
      <w:r>
        <w:rPr>
          <w:rFonts w:ascii="Verdana" w:hAnsi="Verdana"/>
          <w:b/>
          <w:sz w:val="44"/>
          <w:szCs w:val="44"/>
          <w:lang w:val="en-AU"/>
        </w:rPr>
        <w:t xml:space="preserve">DRAFT </w:t>
      </w:r>
      <w:r w:rsidR="00F227D9" w:rsidRPr="001A1AFD">
        <w:rPr>
          <w:rFonts w:ascii="Verdana" w:hAnsi="Verdana"/>
          <w:b/>
          <w:sz w:val="44"/>
          <w:szCs w:val="44"/>
          <w:lang w:val="en-AU"/>
        </w:rPr>
        <w:t>Statement of Accounts for the year</w:t>
      </w:r>
      <w:r w:rsidR="00F227D9" w:rsidRPr="002A69A9">
        <w:rPr>
          <w:rFonts w:ascii="Verdana" w:hAnsi="Verdana"/>
          <w:b/>
          <w:sz w:val="44"/>
          <w:szCs w:val="44"/>
          <w:lang w:val="en-AU"/>
        </w:rPr>
        <w:t xml:space="preserve"> </w:t>
      </w:r>
      <w:r w:rsidR="00F227D9" w:rsidRPr="004E1B9C">
        <w:rPr>
          <w:rFonts w:ascii="Verdana" w:hAnsi="Verdana"/>
          <w:b/>
          <w:sz w:val="44"/>
          <w:szCs w:val="44"/>
          <w:lang w:val="en-AU"/>
        </w:rPr>
        <w:t>20</w:t>
      </w:r>
      <w:r w:rsidR="00F16347">
        <w:rPr>
          <w:rFonts w:ascii="Verdana" w:hAnsi="Verdana"/>
          <w:b/>
          <w:sz w:val="44"/>
          <w:szCs w:val="44"/>
          <w:lang w:val="en-AU"/>
        </w:rPr>
        <w:t>20</w:t>
      </w:r>
      <w:r w:rsidR="00F227D9" w:rsidRPr="004E1B9C">
        <w:rPr>
          <w:rFonts w:ascii="Verdana" w:hAnsi="Verdana"/>
          <w:b/>
          <w:sz w:val="44"/>
          <w:szCs w:val="44"/>
          <w:lang w:val="en-AU"/>
        </w:rPr>
        <w:t>/2</w:t>
      </w:r>
      <w:r w:rsidR="00F16347">
        <w:rPr>
          <w:rFonts w:ascii="Verdana" w:hAnsi="Verdana"/>
          <w:b/>
          <w:sz w:val="44"/>
          <w:szCs w:val="44"/>
          <w:lang w:val="en-AU"/>
        </w:rPr>
        <w:t>1</w:t>
      </w:r>
    </w:p>
    <w:p w14:paraId="233019B4" w14:textId="77777777" w:rsidR="00F227D9" w:rsidRDefault="00F227D9">
      <w:pPr>
        <w:rPr>
          <w:rFonts w:ascii="Verdana" w:hAnsi="Verdana"/>
          <w:sz w:val="22"/>
          <w:szCs w:val="22"/>
          <w:lang w:val="en-AU"/>
        </w:rPr>
      </w:pPr>
    </w:p>
    <w:p w14:paraId="0756C9E3" w14:textId="77777777" w:rsidR="00F227D9" w:rsidRDefault="00F227D9">
      <w:pPr>
        <w:rPr>
          <w:rFonts w:ascii="Verdana" w:hAnsi="Verdana"/>
          <w:sz w:val="22"/>
          <w:szCs w:val="22"/>
          <w:lang w:val="en-AU"/>
        </w:rPr>
      </w:pPr>
    </w:p>
    <w:p w14:paraId="278BC57C" w14:textId="77777777" w:rsidR="00F227D9" w:rsidRDefault="00F227D9">
      <w:pPr>
        <w:rPr>
          <w:rFonts w:ascii="Verdana" w:hAnsi="Verdana"/>
          <w:sz w:val="22"/>
          <w:szCs w:val="22"/>
          <w:lang w:val="en-AU"/>
        </w:rPr>
      </w:pPr>
    </w:p>
    <w:p w14:paraId="3823EC7B" w14:textId="77777777" w:rsidR="00F227D9" w:rsidRDefault="00F227D9">
      <w:pPr>
        <w:rPr>
          <w:rFonts w:ascii="Verdana" w:hAnsi="Verdana"/>
          <w:sz w:val="22"/>
          <w:szCs w:val="22"/>
          <w:lang w:val="en-AU"/>
        </w:rPr>
        <w:sectPr w:rsidR="00F227D9" w:rsidSect="00B54A0C">
          <w:footerReference w:type="default" r:id="rId9"/>
          <w:type w:val="nextColumn"/>
          <w:pgSz w:w="16840" w:h="11900" w:orient="landscape"/>
          <w:pgMar w:top="709" w:right="720" w:bottom="567" w:left="720" w:header="709" w:footer="709" w:gutter="0"/>
          <w:pgNumType w:start="1"/>
          <w:cols w:space="708"/>
          <w:docGrid w:linePitch="360"/>
        </w:sectPr>
      </w:pPr>
    </w:p>
    <w:sdt>
      <w:sdtPr>
        <w:rPr>
          <w:rFonts w:ascii="Verdana" w:eastAsiaTheme="minorHAnsi" w:hAnsi="Verdana" w:cstheme="minorBidi"/>
          <w:b w:val="0"/>
          <w:color w:val="auto"/>
          <w:sz w:val="24"/>
          <w:szCs w:val="24"/>
        </w:rPr>
        <w:id w:val="-1029258257"/>
        <w:docPartObj>
          <w:docPartGallery w:val="Table of Contents"/>
          <w:docPartUnique/>
        </w:docPartObj>
      </w:sdtPr>
      <w:sdtEndPr>
        <w:rPr>
          <w:bCs/>
          <w:noProof/>
        </w:rPr>
      </w:sdtEndPr>
      <w:sdtContent>
        <w:p w14:paraId="5533FAA2" w14:textId="77777777" w:rsidR="00F227D9" w:rsidRPr="008615E5" w:rsidRDefault="00F227D9" w:rsidP="00F227D9">
          <w:pPr>
            <w:pStyle w:val="TOCHeading"/>
            <w:rPr>
              <w:rFonts w:ascii="Verdana" w:hAnsi="Verdana"/>
              <w:color w:val="auto"/>
              <w:sz w:val="28"/>
              <w:szCs w:val="28"/>
            </w:rPr>
          </w:pPr>
          <w:r w:rsidRPr="008615E5">
            <w:rPr>
              <w:rFonts w:ascii="Verdana" w:hAnsi="Verdana"/>
              <w:color w:val="auto"/>
              <w:sz w:val="28"/>
              <w:szCs w:val="28"/>
            </w:rPr>
            <w:t>Contents</w:t>
          </w:r>
        </w:p>
        <w:p w14:paraId="0D80DA7F" w14:textId="77777777" w:rsidR="00F02451" w:rsidRDefault="00F227D9">
          <w:pPr>
            <w:pStyle w:val="TOC1"/>
            <w:tabs>
              <w:tab w:val="right" w:leader="dot" w:pos="15390"/>
            </w:tabs>
            <w:rPr>
              <w:rFonts w:eastAsiaTheme="minorEastAsia"/>
              <w:noProof/>
              <w:sz w:val="22"/>
              <w:szCs w:val="22"/>
              <w:lang w:val="en-GB" w:eastAsia="en-GB"/>
            </w:rPr>
          </w:pPr>
          <w:r w:rsidRPr="008615E5">
            <w:rPr>
              <w:rFonts w:ascii="Verdana" w:hAnsi="Verdana"/>
            </w:rPr>
            <w:fldChar w:fldCharType="begin"/>
          </w:r>
          <w:r w:rsidRPr="008615E5">
            <w:rPr>
              <w:rFonts w:ascii="Verdana" w:hAnsi="Verdana"/>
            </w:rPr>
            <w:instrText xml:space="preserve"> TOC \o "1-3" \h \z \u </w:instrText>
          </w:r>
          <w:r w:rsidRPr="008615E5">
            <w:rPr>
              <w:rFonts w:ascii="Verdana" w:hAnsi="Verdana"/>
            </w:rPr>
            <w:fldChar w:fldCharType="separate"/>
          </w:r>
          <w:hyperlink w:anchor="_Toc77095552" w:history="1">
            <w:r w:rsidR="00F02451" w:rsidRPr="00876422">
              <w:rPr>
                <w:rStyle w:val="Hyperlink"/>
                <w:noProof/>
                <w:lang w:val="en-GB" w:eastAsia="en-GB"/>
              </w:rPr>
              <w:t>Narrative Report</w:t>
            </w:r>
            <w:r w:rsidR="00F02451">
              <w:rPr>
                <w:noProof/>
                <w:webHidden/>
              </w:rPr>
              <w:tab/>
            </w:r>
            <w:r w:rsidR="00F02451">
              <w:rPr>
                <w:noProof/>
                <w:webHidden/>
              </w:rPr>
              <w:fldChar w:fldCharType="begin"/>
            </w:r>
            <w:r w:rsidR="00F02451">
              <w:rPr>
                <w:noProof/>
                <w:webHidden/>
              </w:rPr>
              <w:instrText xml:space="preserve"> PAGEREF _Toc77095552 \h </w:instrText>
            </w:r>
            <w:r w:rsidR="00F02451">
              <w:rPr>
                <w:noProof/>
                <w:webHidden/>
              </w:rPr>
            </w:r>
            <w:r w:rsidR="00F02451">
              <w:rPr>
                <w:noProof/>
                <w:webHidden/>
              </w:rPr>
              <w:fldChar w:fldCharType="separate"/>
            </w:r>
            <w:r w:rsidR="00F02451">
              <w:rPr>
                <w:noProof/>
                <w:webHidden/>
              </w:rPr>
              <w:t>3</w:t>
            </w:r>
            <w:r w:rsidR="00F02451">
              <w:rPr>
                <w:noProof/>
                <w:webHidden/>
              </w:rPr>
              <w:fldChar w:fldCharType="end"/>
            </w:r>
          </w:hyperlink>
        </w:p>
        <w:p w14:paraId="234AE6DF" w14:textId="77777777" w:rsidR="00F02451" w:rsidRDefault="00F02451">
          <w:pPr>
            <w:pStyle w:val="TOC1"/>
            <w:tabs>
              <w:tab w:val="right" w:leader="dot" w:pos="15390"/>
            </w:tabs>
            <w:rPr>
              <w:rFonts w:eastAsiaTheme="minorEastAsia"/>
              <w:noProof/>
              <w:sz w:val="22"/>
              <w:szCs w:val="22"/>
              <w:lang w:val="en-GB" w:eastAsia="en-GB"/>
            </w:rPr>
          </w:pPr>
          <w:hyperlink w:anchor="_Toc77095553" w:history="1">
            <w:r w:rsidRPr="00876422">
              <w:rPr>
                <w:rStyle w:val="Hyperlink"/>
                <w:noProof/>
                <w:highlight w:val="yellow"/>
              </w:rPr>
              <w:t>External Auditor’s Report</w:t>
            </w:r>
            <w:r>
              <w:rPr>
                <w:noProof/>
                <w:webHidden/>
              </w:rPr>
              <w:tab/>
            </w:r>
            <w:r>
              <w:rPr>
                <w:noProof/>
                <w:webHidden/>
              </w:rPr>
              <w:fldChar w:fldCharType="begin"/>
            </w:r>
            <w:r>
              <w:rPr>
                <w:noProof/>
                <w:webHidden/>
              </w:rPr>
              <w:instrText xml:space="preserve"> PAGEREF _Toc77095553 \h </w:instrText>
            </w:r>
            <w:r>
              <w:rPr>
                <w:noProof/>
                <w:webHidden/>
              </w:rPr>
            </w:r>
            <w:r>
              <w:rPr>
                <w:noProof/>
                <w:webHidden/>
              </w:rPr>
              <w:fldChar w:fldCharType="separate"/>
            </w:r>
            <w:r>
              <w:rPr>
                <w:noProof/>
                <w:webHidden/>
              </w:rPr>
              <w:t>20</w:t>
            </w:r>
            <w:r>
              <w:rPr>
                <w:noProof/>
                <w:webHidden/>
              </w:rPr>
              <w:fldChar w:fldCharType="end"/>
            </w:r>
          </w:hyperlink>
        </w:p>
        <w:p w14:paraId="0B87C8DA" w14:textId="77777777" w:rsidR="00F02451" w:rsidRDefault="00F02451">
          <w:pPr>
            <w:pStyle w:val="TOC1"/>
            <w:tabs>
              <w:tab w:val="right" w:leader="dot" w:pos="15390"/>
            </w:tabs>
            <w:rPr>
              <w:rFonts w:eastAsiaTheme="minorEastAsia"/>
              <w:noProof/>
              <w:sz w:val="22"/>
              <w:szCs w:val="22"/>
              <w:lang w:val="en-GB" w:eastAsia="en-GB"/>
            </w:rPr>
          </w:pPr>
          <w:hyperlink w:anchor="_Toc77095554" w:history="1">
            <w:r w:rsidRPr="00876422">
              <w:rPr>
                <w:rStyle w:val="Hyperlink"/>
                <w:noProof/>
                <w:lang w:val="en-GB" w:eastAsia="en-GB"/>
              </w:rPr>
              <w:t>Statement of Responsibilities</w:t>
            </w:r>
            <w:r>
              <w:rPr>
                <w:noProof/>
                <w:webHidden/>
              </w:rPr>
              <w:tab/>
            </w:r>
            <w:r>
              <w:rPr>
                <w:noProof/>
                <w:webHidden/>
              </w:rPr>
              <w:fldChar w:fldCharType="begin"/>
            </w:r>
            <w:r>
              <w:rPr>
                <w:noProof/>
                <w:webHidden/>
              </w:rPr>
              <w:instrText xml:space="preserve"> PAGEREF _Toc77095554 \h </w:instrText>
            </w:r>
            <w:r>
              <w:rPr>
                <w:noProof/>
                <w:webHidden/>
              </w:rPr>
            </w:r>
            <w:r>
              <w:rPr>
                <w:noProof/>
                <w:webHidden/>
              </w:rPr>
              <w:fldChar w:fldCharType="separate"/>
            </w:r>
            <w:r>
              <w:rPr>
                <w:noProof/>
                <w:webHidden/>
              </w:rPr>
              <w:t>21</w:t>
            </w:r>
            <w:r>
              <w:rPr>
                <w:noProof/>
                <w:webHidden/>
              </w:rPr>
              <w:fldChar w:fldCharType="end"/>
            </w:r>
          </w:hyperlink>
        </w:p>
        <w:p w14:paraId="73310821" w14:textId="77777777" w:rsidR="00F02451" w:rsidRDefault="00F02451">
          <w:pPr>
            <w:pStyle w:val="TOC1"/>
            <w:tabs>
              <w:tab w:val="right" w:leader="dot" w:pos="15390"/>
            </w:tabs>
            <w:rPr>
              <w:rFonts w:eastAsiaTheme="minorEastAsia"/>
              <w:noProof/>
              <w:sz w:val="22"/>
              <w:szCs w:val="22"/>
              <w:lang w:val="en-GB" w:eastAsia="en-GB"/>
            </w:rPr>
          </w:pPr>
          <w:hyperlink w:anchor="_Toc77095555" w:history="1">
            <w:r w:rsidRPr="00876422">
              <w:rPr>
                <w:rStyle w:val="Hyperlink"/>
                <w:noProof/>
              </w:rPr>
              <w:t>Annual Governance Statement</w:t>
            </w:r>
            <w:r>
              <w:rPr>
                <w:noProof/>
                <w:webHidden/>
              </w:rPr>
              <w:tab/>
            </w:r>
            <w:r>
              <w:rPr>
                <w:noProof/>
                <w:webHidden/>
              </w:rPr>
              <w:fldChar w:fldCharType="begin"/>
            </w:r>
            <w:r>
              <w:rPr>
                <w:noProof/>
                <w:webHidden/>
              </w:rPr>
              <w:instrText xml:space="preserve"> PAGEREF _Toc77095555 \h </w:instrText>
            </w:r>
            <w:r>
              <w:rPr>
                <w:noProof/>
                <w:webHidden/>
              </w:rPr>
            </w:r>
            <w:r>
              <w:rPr>
                <w:noProof/>
                <w:webHidden/>
              </w:rPr>
              <w:fldChar w:fldCharType="separate"/>
            </w:r>
            <w:r>
              <w:rPr>
                <w:noProof/>
                <w:webHidden/>
              </w:rPr>
              <w:t>22</w:t>
            </w:r>
            <w:r>
              <w:rPr>
                <w:noProof/>
                <w:webHidden/>
              </w:rPr>
              <w:fldChar w:fldCharType="end"/>
            </w:r>
          </w:hyperlink>
        </w:p>
        <w:p w14:paraId="3B11D3A3" w14:textId="77777777" w:rsidR="00F02451" w:rsidRDefault="00F02451">
          <w:pPr>
            <w:pStyle w:val="TOC1"/>
            <w:tabs>
              <w:tab w:val="right" w:leader="dot" w:pos="15390"/>
            </w:tabs>
            <w:rPr>
              <w:rFonts w:eastAsiaTheme="minorEastAsia"/>
              <w:noProof/>
              <w:sz w:val="22"/>
              <w:szCs w:val="22"/>
              <w:lang w:val="en-GB" w:eastAsia="en-GB"/>
            </w:rPr>
          </w:pPr>
          <w:hyperlink w:anchor="_Toc77095556" w:history="1">
            <w:r w:rsidRPr="00876422">
              <w:rPr>
                <w:rStyle w:val="Hyperlink"/>
                <w:noProof/>
                <w:lang w:val="pt-BR"/>
              </w:rPr>
              <w:t>Movement in Reserves Statement</w:t>
            </w:r>
            <w:r>
              <w:rPr>
                <w:noProof/>
                <w:webHidden/>
              </w:rPr>
              <w:tab/>
            </w:r>
            <w:r>
              <w:rPr>
                <w:noProof/>
                <w:webHidden/>
              </w:rPr>
              <w:fldChar w:fldCharType="begin"/>
            </w:r>
            <w:r>
              <w:rPr>
                <w:noProof/>
                <w:webHidden/>
              </w:rPr>
              <w:instrText xml:space="preserve"> PAGEREF _Toc77095556 \h </w:instrText>
            </w:r>
            <w:r>
              <w:rPr>
                <w:noProof/>
                <w:webHidden/>
              </w:rPr>
            </w:r>
            <w:r>
              <w:rPr>
                <w:noProof/>
                <w:webHidden/>
              </w:rPr>
              <w:fldChar w:fldCharType="separate"/>
            </w:r>
            <w:r>
              <w:rPr>
                <w:noProof/>
                <w:webHidden/>
              </w:rPr>
              <w:t>38</w:t>
            </w:r>
            <w:r>
              <w:rPr>
                <w:noProof/>
                <w:webHidden/>
              </w:rPr>
              <w:fldChar w:fldCharType="end"/>
            </w:r>
          </w:hyperlink>
        </w:p>
        <w:p w14:paraId="35F0D6D4" w14:textId="77777777" w:rsidR="00F02451" w:rsidRDefault="00F02451">
          <w:pPr>
            <w:pStyle w:val="TOC1"/>
            <w:tabs>
              <w:tab w:val="right" w:leader="dot" w:pos="15390"/>
            </w:tabs>
            <w:rPr>
              <w:rFonts w:eastAsiaTheme="minorEastAsia"/>
              <w:noProof/>
              <w:sz w:val="22"/>
              <w:szCs w:val="22"/>
              <w:lang w:val="en-GB" w:eastAsia="en-GB"/>
            </w:rPr>
          </w:pPr>
          <w:hyperlink w:anchor="_Toc77095557" w:history="1">
            <w:r w:rsidRPr="00876422">
              <w:rPr>
                <w:rStyle w:val="Hyperlink"/>
                <w:noProof/>
                <w:lang w:val="pt-BR"/>
              </w:rPr>
              <w:t>Comprehensive Income and Expenditure Statement</w:t>
            </w:r>
            <w:r>
              <w:rPr>
                <w:noProof/>
                <w:webHidden/>
              </w:rPr>
              <w:tab/>
            </w:r>
            <w:r>
              <w:rPr>
                <w:noProof/>
                <w:webHidden/>
              </w:rPr>
              <w:fldChar w:fldCharType="begin"/>
            </w:r>
            <w:r>
              <w:rPr>
                <w:noProof/>
                <w:webHidden/>
              </w:rPr>
              <w:instrText xml:space="preserve"> PAGEREF _Toc77095557 \h </w:instrText>
            </w:r>
            <w:r>
              <w:rPr>
                <w:noProof/>
                <w:webHidden/>
              </w:rPr>
            </w:r>
            <w:r>
              <w:rPr>
                <w:noProof/>
                <w:webHidden/>
              </w:rPr>
              <w:fldChar w:fldCharType="separate"/>
            </w:r>
            <w:r>
              <w:rPr>
                <w:noProof/>
                <w:webHidden/>
              </w:rPr>
              <w:t>39</w:t>
            </w:r>
            <w:r>
              <w:rPr>
                <w:noProof/>
                <w:webHidden/>
              </w:rPr>
              <w:fldChar w:fldCharType="end"/>
            </w:r>
          </w:hyperlink>
        </w:p>
        <w:p w14:paraId="736E48D9" w14:textId="77777777" w:rsidR="00F02451" w:rsidRDefault="00F02451">
          <w:pPr>
            <w:pStyle w:val="TOC1"/>
            <w:tabs>
              <w:tab w:val="right" w:leader="dot" w:pos="15390"/>
            </w:tabs>
            <w:rPr>
              <w:rFonts w:eastAsiaTheme="minorEastAsia"/>
              <w:noProof/>
              <w:sz w:val="22"/>
              <w:szCs w:val="22"/>
              <w:lang w:val="en-GB" w:eastAsia="en-GB"/>
            </w:rPr>
          </w:pPr>
          <w:hyperlink w:anchor="_Toc77095558" w:history="1">
            <w:r w:rsidRPr="00876422">
              <w:rPr>
                <w:rStyle w:val="Hyperlink"/>
                <w:noProof/>
                <w:lang w:val="pt-BR"/>
              </w:rPr>
              <w:t>Balance Sheet</w:t>
            </w:r>
            <w:r>
              <w:rPr>
                <w:noProof/>
                <w:webHidden/>
              </w:rPr>
              <w:tab/>
            </w:r>
            <w:r>
              <w:rPr>
                <w:noProof/>
                <w:webHidden/>
              </w:rPr>
              <w:fldChar w:fldCharType="begin"/>
            </w:r>
            <w:r>
              <w:rPr>
                <w:noProof/>
                <w:webHidden/>
              </w:rPr>
              <w:instrText xml:space="preserve"> PAGEREF _Toc77095558 \h </w:instrText>
            </w:r>
            <w:r>
              <w:rPr>
                <w:noProof/>
                <w:webHidden/>
              </w:rPr>
            </w:r>
            <w:r>
              <w:rPr>
                <w:noProof/>
                <w:webHidden/>
              </w:rPr>
              <w:fldChar w:fldCharType="separate"/>
            </w:r>
            <w:r>
              <w:rPr>
                <w:noProof/>
                <w:webHidden/>
              </w:rPr>
              <w:t>40</w:t>
            </w:r>
            <w:r>
              <w:rPr>
                <w:noProof/>
                <w:webHidden/>
              </w:rPr>
              <w:fldChar w:fldCharType="end"/>
            </w:r>
          </w:hyperlink>
        </w:p>
        <w:p w14:paraId="68ED91C2" w14:textId="77777777" w:rsidR="00F02451" w:rsidRDefault="00F02451">
          <w:pPr>
            <w:pStyle w:val="TOC1"/>
            <w:tabs>
              <w:tab w:val="right" w:leader="dot" w:pos="15390"/>
            </w:tabs>
            <w:rPr>
              <w:rFonts w:eastAsiaTheme="minorEastAsia"/>
              <w:noProof/>
              <w:sz w:val="22"/>
              <w:szCs w:val="22"/>
              <w:lang w:val="en-GB" w:eastAsia="en-GB"/>
            </w:rPr>
          </w:pPr>
          <w:hyperlink w:anchor="_Toc77095559" w:history="1">
            <w:r w:rsidRPr="00876422">
              <w:rPr>
                <w:rStyle w:val="Hyperlink"/>
                <w:noProof/>
                <w:lang w:val="pt-BR"/>
              </w:rPr>
              <w:t>Cash Flow Statement</w:t>
            </w:r>
            <w:r>
              <w:rPr>
                <w:noProof/>
                <w:webHidden/>
              </w:rPr>
              <w:tab/>
            </w:r>
            <w:r>
              <w:rPr>
                <w:noProof/>
                <w:webHidden/>
              </w:rPr>
              <w:fldChar w:fldCharType="begin"/>
            </w:r>
            <w:r>
              <w:rPr>
                <w:noProof/>
                <w:webHidden/>
              </w:rPr>
              <w:instrText xml:space="preserve"> PAGEREF _Toc77095559 \h </w:instrText>
            </w:r>
            <w:r>
              <w:rPr>
                <w:noProof/>
                <w:webHidden/>
              </w:rPr>
            </w:r>
            <w:r>
              <w:rPr>
                <w:noProof/>
                <w:webHidden/>
              </w:rPr>
              <w:fldChar w:fldCharType="separate"/>
            </w:r>
            <w:r>
              <w:rPr>
                <w:noProof/>
                <w:webHidden/>
              </w:rPr>
              <w:t>41</w:t>
            </w:r>
            <w:r>
              <w:rPr>
                <w:noProof/>
                <w:webHidden/>
              </w:rPr>
              <w:fldChar w:fldCharType="end"/>
            </w:r>
          </w:hyperlink>
        </w:p>
        <w:p w14:paraId="7CFDB316" w14:textId="77777777" w:rsidR="00F02451" w:rsidRDefault="00F02451">
          <w:pPr>
            <w:pStyle w:val="TOC1"/>
            <w:tabs>
              <w:tab w:val="right" w:leader="dot" w:pos="15390"/>
            </w:tabs>
            <w:rPr>
              <w:rFonts w:eastAsiaTheme="minorEastAsia"/>
              <w:noProof/>
              <w:sz w:val="22"/>
              <w:szCs w:val="22"/>
              <w:lang w:val="en-GB" w:eastAsia="en-GB"/>
            </w:rPr>
          </w:pPr>
          <w:hyperlink w:anchor="_Toc77095560" w:history="1">
            <w:r w:rsidRPr="00876422">
              <w:rPr>
                <w:rStyle w:val="Hyperlink"/>
                <w:noProof/>
                <w:lang w:val="pt-BR"/>
              </w:rPr>
              <w:t>Note 1 - Critical Judgements in Applying Accounting Policies</w:t>
            </w:r>
            <w:r>
              <w:rPr>
                <w:noProof/>
                <w:webHidden/>
              </w:rPr>
              <w:tab/>
            </w:r>
            <w:r>
              <w:rPr>
                <w:noProof/>
                <w:webHidden/>
              </w:rPr>
              <w:fldChar w:fldCharType="begin"/>
            </w:r>
            <w:r>
              <w:rPr>
                <w:noProof/>
                <w:webHidden/>
              </w:rPr>
              <w:instrText xml:space="preserve"> PAGEREF _Toc77095560 \h </w:instrText>
            </w:r>
            <w:r>
              <w:rPr>
                <w:noProof/>
                <w:webHidden/>
              </w:rPr>
            </w:r>
            <w:r>
              <w:rPr>
                <w:noProof/>
                <w:webHidden/>
              </w:rPr>
              <w:fldChar w:fldCharType="separate"/>
            </w:r>
            <w:r>
              <w:rPr>
                <w:noProof/>
                <w:webHidden/>
              </w:rPr>
              <w:t>42</w:t>
            </w:r>
            <w:r>
              <w:rPr>
                <w:noProof/>
                <w:webHidden/>
              </w:rPr>
              <w:fldChar w:fldCharType="end"/>
            </w:r>
          </w:hyperlink>
        </w:p>
        <w:p w14:paraId="2BCC5D9C" w14:textId="77777777" w:rsidR="00F02451" w:rsidRDefault="00F02451">
          <w:pPr>
            <w:pStyle w:val="TOC1"/>
            <w:tabs>
              <w:tab w:val="right" w:leader="dot" w:pos="15390"/>
            </w:tabs>
            <w:rPr>
              <w:rFonts w:eastAsiaTheme="minorEastAsia"/>
              <w:noProof/>
              <w:sz w:val="22"/>
              <w:szCs w:val="22"/>
              <w:lang w:val="en-GB" w:eastAsia="en-GB"/>
            </w:rPr>
          </w:pPr>
          <w:hyperlink w:anchor="_Toc77095561" w:history="1">
            <w:r w:rsidRPr="00876422">
              <w:rPr>
                <w:rStyle w:val="Hyperlink"/>
                <w:noProof/>
                <w:lang w:val="pt-BR"/>
              </w:rPr>
              <w:t>Note 2 – Going Concern</w:t>
            </w:r>
            <w:r>
              <w:rPr>
                <w:noProof/>
                <w:webHidden/>
              </w:rPr>
              <w:tab/>
            </w:r>
            <w:r>
              <w:rPr>
                <w:noProof/>
                <w:webHidden/>
              </w:rPr>
              <w:fldChar w:fldCharType="begin"/>
            </w:r>
            <w:r>
              <w:rPr>
                <w:noProof/>
                <w:webHidden/>
              </w:rPr>
              <w:instrText xml:space="preserve"> PAGEREF _Toc77095561 \h </w:instrText>
            </w:r>
            <w:r>
              <w:rPr>
                <w:noProof/>
                <w:webHidden/>
              </w:rPr>
            </w:r>
            <w:r>
              <w:rPr>
                <w:noProof/>
                <w:webHidden/>
              </w:rPr>
              <w:fldChar w:fldCharType="separate"/>
            </w:r>
            <w:r>
              <w:rPr>
                <w:noProof/>
                <w:webHidden/>
              </w:rPr>
              <w:t>44</w:t>
            </w:r>
            <w:r>
              <w:rPr>
                <w:noProof/>
                <w:webHidden/>
              </w:rPr>
              <w:fldChar w:fldCharType="end"/>
            </w:r>
          </w:hyperlink>
        </w:p>
        <w:p w14:paraId="5A300502" w14:textId="77777777" w:rsidR="00F02451" w:rsidRDefault="00F02451">
          <w:pPr>
            <w:pStyle w:val="TOC1"/>
            <w:tabs>
              <w:tab w:val="right" w:leader="dot" w:pos="15390"/>
            </w:tabs>
            <w:rPr>
              <w:rFonts w:eastAsiaTheme="minorEastAsia"/>
              <w:noProof/>
              <w:sz w:val="22"/>
              <w:szCs w:val="22"/>
              <w:lang w:val="en-GB" w:eastAsia="en-GB"/>
            </w:rPr>
          </w:pPr>
          <w:hyperlink w:anchor="_Toc77095562" w:history="1">
            <w:r w:rsidRPr="00876422">
              <w:rPr>
                <w:rStyle w:val="Hyperlink"/>
                <w:noProof/>
                <w:lang w:val="pt-BR"/>
              </w:rPr>
              <w:t>Note 3 - Events After the Balance Sheet Date</w:t>
            </w:r>
            <w:r>
              <w:rPr>
                <w:noProof/>
                <w:webHidden/>
              </w:rPr>
              <w:tab/>
            </w:r>
            <w:r>
              <w:rPr>
                <w:noProof/>
                <w:webHidden/>
              </w:rPr>
              <w:fldChar w:fldCharType="begin"/>
            </w:r>
            <w:r>
              <w:rPr>
                <w:noProof/>
                <w:webHidden/>
              </w:rPr>
              <w:instrText xml:space="preserve"> PAGEREF _Toc77095562 \h </w:instrText>
            </w:r>
            <w:r>
              <w:rPr>
                <w:noProof/>
                <w:webHidden/>
              </w:rPr>
            </w:r>
            <w:r>
              <w:rPr>
                <w:noProof/>
                <w:webHidden/>
              </w:rPr>
              <w:fldChar w:fldCharType="separate"/>
            </w:r>
            <w:r>
              <w:rPr>
                <w:noProof/>
                <w:webHidden/>
              </w:rPr>
              <w:t>44</w:t>
            </w:r>
            <w:r>
              <w:rPr>
                <w:noProof/>
                <w:webHidden/>
              </w:rPr>
              <w:fldChar w:fldCharType="end"/>
            </w:r>
          </w:hyperlink>
        </w:p>
        <w:p w14:paraId="7F3D07AC" w14:textId="77777777" w:rsidR="00F02451" w:rsidRDefault="00F02451">
          <w:pPr>
            <w:pStyle w:val="TOC1"/>
            <w:tabs>
              <w:tab w:val="right" w:leader="dot" w:pos="15390"/>
            </w:tabs>
            <w:rPr>
              <w:rFonts w:eastAsiaTheme="minorEastAsia"/>
              <w:noProof/>
              <w:sz w:val="22"/>
              <w:szCs w:val="22"/>
              <w:lang w:val="en-GB" w:eastAsia="en-GB"/>
            </w:rPr>
          </w:pPr>
          <w:hyperlink w:anchor="_Toc77095563" w:history="1">
            <w:r w:rsidRPr="00876422">
              <w:rPr>
                <w:rStyle w:val="Hyperlink"/>
                <w:noProof/>
                <w:lang w:val="pt-BR"/>
              </w:rPr>
              <w:t>Note 4 - Assumptions Made about the Future and Other Major Sources of Estimation Uncertainty</w:t>
            </w:r>
            <w:r>
              <w:rPr>
                <w:noProof/>
                <w:webHidden/>
              </w:rPr>
              <w:tab/>
            </w:r>
            <w:r>
              <w:rPr>
                <w:noProof/>
                <w:webHidden/>
              </w:rPr>
              <w:fldChar w:fldCharType="begin"/>
            </w:r>
            <w:r>
              <w:rPr>
                <w:noProof/>
                <w:webHidden/>
              </w:rPr>
              <w:instrText xml:space="preserve"> PAGEREF _Toc77095563 \h </w:instrText>
            </w:r>
            <w:r>
              <w:rPr>
                <w:noProof/>
                <w:webHidden/>
              </w:rPr>
            </w:r>
            <w:r>
              <w:rPr>
                <w:noProof/>
                <w:webHidden/>
              </w:rPr>
              <w:fldChar w:fldCharType="separate"/>
            </w:r>
            <w:r>
              <w:rPr>
                <w:noProof/>
                <w:webHidden/>
              </w:rPr>
              <w:t>45</w:t>
            </w:r>
            <w:r>
              <w:rPr>
                <w:noProof/>
                <w:webHidden/>
              </w:rPr>
              <w:fldChar w:fldCharType="end"/>
            </w:r>
          </w:hyperlink>
        </w:p>
        <w:p w14:paraId="635C4B8A" w14:textId="77777777" w:rsidR="00F02451" w:rsidRDefault="00F02451">
          <w:pPr>
            <w:pStyle w:val="TOC1"/>
            <w:tabs>
              <w:tab w:val="right" w:leader="dot" w:pos="15390"/>
            </w:tabs>
            <w:rPr>
              <w:rFonts w:eastAsiaTheme="minorEastAsia"/>
              <w:noProof/>
              <w:sz w:val="22"/>
              <w:szCs w:val="22"/>
              <w:lang w:val="en-GB" w:eastAsia="en-GB"/>
            </w:rPr>
          </w:pPr>
          <w:hyperlink w:anchor="_Toc77095564" w:history="1">
            <w:r w:rsidRPr="00876422">
              <w:rPr>
                <w:rStyle w:val="Hyperlink"/>
                <w:noProof/>
                <w:lang w:val="en-GB"/>
              </w:rPr>
              <w:t>Note 5 -Expenditure and Funding Analysis</w:t>
            </w:r>
            <w:r>
              <w:rPr>
                <w:noProof/>
                <w:webHidden/>
              </w:rPr>
              <w:tab/>
            </w:r>
            <w:r>
              <w:rPr>
                <w:noProof/>
                <w:webHidden/>
              </w:rPr>
              <w:fldChar w:fldCharType="begin"/>
            </w:r>
            <w:r>
              <w:rPr>
                <w:noProof/>
                <w:webHidden/>
              </w:rPr>
              <w:instrText xml:space="preserve"> PAGEREF _Toc77095564 \h </w:instrText>
            </w:r>
            <w:r>
              <w:rPr>
                <w:noProof/>
                <w:webHidden/>
              </w:rPr>
            </w:r>
            <w:r>
              <w:rPr>
                <w:noProof/>
                <w:webHidden/>
              </w:rPr>
              <w:fldChar w:fldCharType="separate"/>
            </w:r>
            <w:r>
              <w:rPr>
                <w:noProof/>
                <w:webHidden/>
              </w:rPr>
              <w:t>47</w:t>
            </w:r>
            <w:r>
              <w:rPr>
                <w:noProof/>
                <w:webHidden/>
              </w:rPr>
              <w:fldChar w:fldCharType="end"/>
            </w:r>
          </w:hyperlink>
        </w:p>
        <w:p w14:paraId="66CAE949" w14:textId="77777777" w:rsidR="00F02451" w:rsidRDefault="00F02451">
          <w:pPr>
            <w:pStyle w:val="TOC1"/>
            <w:tabs>
              <w:tab w:val="right" w:leader="dot" w:pos="15390"/>
            </w:tabs>
            <w:rPr>
              <w:rFonts w:eastAsiaTheme="minorEastAsia"/>
              <w:noProof/>
              <w:sz w:val="22"/>
              <w:szCs w:val="22"/>
              <w:lang w:val="en-GB" w:eastAsia="en-GB"/>
            </w:rPr>
          </w:pPr>
          <w:hyperlink w:anchor="_Toc77095565" w:history="1">
            <w:r w:rsidRPr="00876422">
              <w:rPr>
                <w:rStyle w:val="Hyperlink"/>
                <w:noProof/>
                <w:lang w:val="en-GB"/>
              </w:rPr>
              <w:t>Note 6 - Adjustments between Accounting Basis and Funding Basis under Regulations</w:t>
            </w:r>
            <w:r>
              <w:rPr>
                <w:noProof/>
                <w:webHidden/>
              </w:rPr>
              <w:tab/>
            </w:r>
            <w:r>
              <w:rPr>
                <w:noProof/>
                <w:webHidden/>
              </w:rPr>
              <w:fldChar w:fldCharType="begin"/>
            </w:r>
            <w:r>
              <w:rPr>
                <w:noProof/>
                <w:webHidden/>
              </w:rPr>
              <w:instrText xml:space="preserve"> PAGEREF _Toc77095565 \h </w:instrText>
            </w:r>
            <w:r>
              <w:rPr>
                <w:noProof/>
                <w:webHidden/>
              </w:rPr>
            </w:r>
            <w:r>
              <w:rPr>
                <w:noProof/>
                <w:webHidden/>
              </w:rPr>
              <w:fldChar w:fldCharType="separate"/>
            </w:r>
            <w:r>
              <w:rPr>
                <w:noProof/>
                <w:webHidden/>
              </w:rPr>
              <w:t>48</w:t>
            </w:r>
            <w:r>
              <w:rPr>
                <w:noProof/>
                <w:webHidden/>
              </w:rPr>
              <w:fldChar w:fldCharType="end"/>
            </w:r>
          </w:hyperlink>
        </w:p>
        <w:p w14:paraId="116494E7" w14:textId="77777777" w:rsidR="00F02451" w:rsidRDefault="00F02451">
          <w:pPr>
            <w:pStyle w:val="TOC1"/>
            <w:tabs>
              <w:tab w:val="right" w:leader="dot" w:pos="15390"/>
            </w:tabs>
            <w:rPr>
              <w:rFonts w:eastAsiaTheme="minorEastAsia"/>
              <w:noProof/>
              <w:sz w:val="22"/>
              <w:szCs w:val="22"/>
              <w:lang w:val="en-GB" w:eastAsia="en-GB"/>
            </w:rPr>
          </w:pPr>
          <w:hyperlink w:anchor="_Toc77095566" w:history="1">
            <w:r w:rsidRPr="00876422">
              <w:rPr>
                <w:rStyle w:val="Hyperlink"/>
                <w:noProof/>
                <w:lang w:val="pt-BR"/>
              </w:rPr>
              <w:t>Note 7 - Grant Income</w:t>
            </w:r>
            <w:r>
              <w:rPr>
                <w:noProof/>
                <w:webHidden/>
              </w:rPr>
              <w:tab/>
            </w:r>
            <w:r>
              <w:rPr>
                <w:noProof/>
                <w:webHidden/>
              </w:rPr>
              <w:fldChar w:fldCharType="begin"/>
            </w:r>
            <w:r>
              <w:rPr>
                <w:noProof/>
                <w:webHidden/>
              </w:rPr>
              <w:instrText xml:space="preserve"> PAGEREF _Toc77095566 \h </w:instrText>
            </w:r>
            <w:r>
              <w:rPr>
                <w:noProof/>
                <w:webHidden/>
              </w:rPr>
            </w:r>
            <w:r>
              <w:rPr>
                <w:noProof/>
                <w:webHidden/>
              </w:rPr>
              <w:fldChar w:fldCharType="separate"/>
            </w:r>
            <w:r>
              <w:rPr>
                <w:noProof/>
                <w:webHidden/>
              </w:rPr>
              <w:t>49</w:t>
            </w:r>
            <w:r>
              <w:rPr>
                <w:noProof/>
                <w:webHidden/>
              </w:rPr>
              <w:fldChar w:fldCharType="end"/>
            </w:r>
          </w:hyperlink>
        </w:p>
        <w:p w14:paraId="5AB10D4D" w14:textId="77777777" w:rsidR="00F02451" w:rsidRDefault="00F02451">
          <w:pPr>
            <w:pStyle w:val="TOC1"/>
            <w:tabs>
              <w:tab w:val="right" w:leader="dot" w:pos="15390"/>
            </w:tabs>
            <w:rPr>
              <w:rFonts w:eastAsiaTheme="minorEastAsia"/>
              <w:noProof/>
              <w:sz w:val="22"/>
              <w:szCs w:val="22"/>
              <w:lang w:val="en-GB" w:eastAsia="en-GB"/>
            </w:rPr>
          </w:pPr>
          <w:hyperlink w:anchor="_Toc77095567" w:history="1">
            <w:r w:rsidRPr="00876422">
              <w:rPr>
                <w:rStyle w:val="Hyperlink"/>
                <w:noProof/>
                <w:lang w:val="pt-BR"/>
              </w:rPr>
              <w:t>Note 8 - Unusable Reserves</w:t>
            </w:r>
            <w:r>
              <w:rPr>
                <w:noProof/>
                <w:webHidden/>
              </w:rPr>
              <w:tab/>
            </w:r>
            <w:r>
              <w:rPr>
                <w:noProof/>
                <w:webHidden/>
              </w:rPr>
              <w:fldChar w:fldCharType="begin"/>
            </w:r>
            <w:r>
              <w:rPr>
                <w:noProof/>
                <w:webHidden/>
              </w:rPr>
              <w:instrText xml:space="preserve"> PAGEREF _Toc77095567 \h </w:instrText>
            </w:r>
            <w:r>
              <w:rPr>
                <w:noProof/>
                <w:webHidden/>
              </w:rPr>
            </w:r>
            <w:r>
              <w:rPr>
                <w:noProof/>
                <w:webHidden/>
              </w:rPr>
              <w:fldChar w:fldCharType="separate"/>
            </w:r>
            <w:r>
              <w:rPr>
                <w:noProof/>
                <w:webHidden/>
              </w:rPr>
              <w:t>49</w:t>
            </w:r>
            <w:r>
              <w:rPr>
                <w:noProof/>
                <w:webHidden/>
              </w:rPr>
              <w:fldChar w:fldCharType="end"/>
            </w:r>
          </w:hyperlink>
        </w:p>
        <w:p w14:paraId="55582354" w14:textId="77777777" w:rsidR="00F02451" w:rsidRDefault="00F02451">
          <w:pPr>
            <w:pStyle w:val="TOC1"/>
            <w:tabs>
              <w:tab w:val="right" w:leader="dot" w:pos="15390"/>
            </w:tabs>
            <w:rPr>
              <w:rFonts w:eastAsiaTheme="minorEastAsia"/>
              <w:noProof/>
              <w:sz w:val="22"/>
              <w:szCs w:val="22"/>
              <w:lang w:val="en-GB" w:eastAsia="en-GB"/>
            </w:rPr>
          </w:pPr>
          <w:hyperlink w:anchor="_Toc77095568" w:history="1">
            <w:r w:rsidRPr="00876422">
              <w:rPr>
                <w:rStyle w:val="Hyperlink"/>
                <w:noProof/>
                <w:lang w:val="pt-BR"/>
              </w:rPr>
              <w:t>Note 9 - Debtors</w:t>
            </w:r>
            <w:r>
              <w:rPr>
                <w:noProof/>
                <w:webHidden/>
              </w:rPr>
              <w:tab/>
            </w:r>
            <w:r>
              <w:rPr>
                <w:noProof/>
                <w:webHidden/>
              </w:rPr>
              <w:fldChar w:fldCharType="begin"/>
            </w:r>
            <w:r>
              <w:rPr>
                <w:noProof/>
                <w:webHidden/>
              </w:rPr>
              <w:instrText xml:space="preserve"> PAGEREF _Toc77095568 \h </w:instrText>
            </w:r>
            <w:r>
              <w:rPr>
                <w:noProof/>
                <w:webHidden/>
              </w:rPr>
            </w:r>
            <w:r>
              <w:rPr>
                <w:noProof/>
                <w:webHidden/>
              </w:rPr>
              <w:fldChar w:fldCharType="separate"/>
            </w:r>
            <w:r>
              <w:rPr>
                <w:noProof/>
                <w:webHidden/>
              </w:rPr>
              <w:t>50</w:t>
            </w:r>
            <w:r>
              <w:rPr>
                <w:noProof/>
                <w:webHidden/>
              </w:rPr>
              <w:fldChar w:fldCharType="end"/>
            </w:r>
          </w:hyperlink>
        </w:p>
        <w:p w14:paraId="31503DFC" w14:textId="77777777" w:rsidR="00F02451" w:rsidRDefault="00F02451">
          <w:pPr>
            <w:pStyle w:val="TOC1"/>
            <w:tabs>
              <w:tab w:val="right" w:leader="dot" w:pos="15390"/>
            </w:tabs>
            <w:rPr>
              <w:rFonts w:eastAsiaTheme="minorEastAsia"/>
              <w:noProof/>
              <w:sz w:val="22"/>
              <w:szCs w:val="22"/>
              <w:lang w:val="en-GB" w:eastAsia="en-GB"/>
            </w:rPr>
          </w:pPr>
          <w:hyperlink w:anchor="_Toc77095569" w:history="1">
            <w:r w:rsidRPr="00876422">
              <w:rPr>
                <w:rStyle w:val="Hyperlink"/>
                <w:noProof/>
                <w:lang w:val="pt-BR"/>
              </w:rPr>
              <w:t>Note 10 - Creditors</w:t>
            </w:r>
            <w:r>
              <w:rPr>
                <w:noProof/>
                <w:webHidden/>
              </w:rPr>
              <w:tab/>
            </w:r>
            <w:r>
              <w:rPr>
                <w:noProof/>
                <w:webHidden/>
              </w:rPr>
              <w:fldChar w:fldCharType="begin"/>
            </w:r>
            <w:r>
              <w:rPr>
                <w:noProof/>
                <w:webHidden/>
              </w:rPr>
              <w:instrText xml:space="preserve"> PAGEREF _Toc77095569 \h </w:instrText>
            </w:r>
            <w:r>
              <w:rPr>
                <w:noProof/>
                <w:webHidden/>
              </w:rPr>
            </w:r>
            <w:r>
              <w:rPr>
                <w:noProof/>
                <w:webHidden/>
              </w:rPr>
              <w:fldChar w:fldCharType="separate"/>
            </w:r>
            <w:r>
              <w:rPr>
                <w:noProof/>
                <w:webHidden/>
              </w:rPr>
              <w:t>51</w:t>
            </w:r>
            <w:r>
              <w:rPr>
                <w:noProof/>
                <w:webHidden/>
              </w:rPr>
              <w:fldChar w:fldCharType="end"/>
            </w:r>
          </w:hyperlink>
        </w:p>
        <w:p w14:paraId="6E66B8AC" w14:textId="77777777" w:rsidR="00F02451" w:rsidRDefault="00F02451">
          <w:pPr>
            <w:pStyle w:val="TOC1"/>
            <w:tabs>
              <w:tab w:val="right" w:leader="dot" w:pos="15390"/>
            </w:tabs>
            <w:rPr>
              <w:rFonts w:eastAsiaTheme="minorEastAsia"/>
              <w:noProof/>
              <w:sz w:val="22"/>
              <w:szCs w:val="22"/>
              <w:lang w:val="en-GB" w:eastAsia="en-GB"/>
            </w:rPr>
          </w:pPr>
          <w:hyperlink w:anchor="_Toc77095570" w:history="1">
            <w:r w:rsidRPr="00876422">
              <w:rPr>
                <w:rStyle w:val="Hyperlink"/>
                <w:noProof/>
                <w:lang w:val="pt-BR"/>
              </w:rPr>
              <w:t>Note 11 - Provisions</w:t>
            </w:r>
            <w:r>
              <w:rPr>
                <w:noProof/>
                <w:webHidden/>
              </w:rPr>
              <w:tab/>
            </w:r>
            <w:r>
              <w:rPr>
                <w:noProof/>
                <w:webHidden/>
              </w:rPr>
              <w:fldChar w:fldCharType="begin"/>
            </w:r>
            <w:r>
              <w:rPr>
                <w:noProof/>
                <w:webHidden/>
              </w:rPr>
              <w:instrText xml:space="preserve"> PAGEREF _Toc77095570 \h </w:instrText>
            </w:r>
            <w:r>
              <w:rPr>
                <w:noProof/>
                <w:webHidden/>
              </w:rPr>
            </w:r>
            <w:r>
              <w:rPr>
                <w:noProof/>
                <w:webHidden/>
              </w:rPr>
              <w:fldChar w:fldCharType="separate"/>
            </w:r>
            <w:r>
              <w:rPr>
                <w:noProof/>
                <w:webHidden/>
              </w:rPr>
              <w:t>51</w:t>
            </w:r>
            <w:r>
              <w:rPr>
                <w:noProof/>
                <w:webHidden/>
              </w:rPr>
              <w:fldChar w:fldCharType="end"/>
            </w:r>
          </w:hyperlink>
        </w:p>
        <w:p w14:paraId="75C78D4D" w14:textId="77777777" w:rsidR="00F02451" w:rsidRDefault="00F02451">
          <w:pPr>
            <w:pStyle w:val="TOC1"/>
            <w:tabs>
              <w:tab w:val="right" w:leader="dot" w:pos="15390"/>
            </w:tabs>
            <w:rPr>
              <w:rFonts w:eastAsiaTheme="minorEastAsia"/>
              <w:noProof/>
              <w:sz w:val="22"/>
              <w:szCs w:val="22"/>
              <w:lang w:val="en-GB" w:eastAsia="en-GB"/>
            </w:rPr>
          </w:pPr>
          <w:hyperlink w:anchor="_Toc77095571" w:history="1">
            <w:r w:rsidRPr="00876422">
              <w:rPr>
                <w:rStyle w:val="Hyperlink"/>
                <w:noProof/>
              </w:rPr>
              <w:t>Note 12 - Joint Audit Committee</w:t>
            </w:r>
            <w:r>
              <w:rPr>
                <w:noProof/>
                <w:webHidden/>
              </w:rPr>
              <w:tab/>
            </w:r>
            <w:r>
              <w:rPr>
                <w:noProof/>
                <w:webHidden/>
              </w:rPr>
              <w:fldChar w:fldCharType="begin"/>
            </w:r>
            <w:r>
              <w:rPr>
                <w:noProof/>
                <w:webHidden/>
              </w:rPr>
              <w:instrText xml:space="preserve"> PAGEREF _Toc77095571 \h </w:instrText>
            </w:r>
            <w:r>
              <w:rPr>
                <w:noProof/>
                <w:webHidden/>
              </w:rPr>
            </w:r>
            <w:r>
              <w:rPr>
                <w:noProof/>
                <w:webHidden/>
              </w:rPr>
              <w:fldChar w:fldCharType="separate"/>
            </w:r>
            <w:r>
              <w:rPr>
                <w:noProof/>
                <w:webHidden/>
              </w:rPr>
              <w:t>52</w:t>
            </w:r>
            <w:r>
              <w:rPr>
                <w:noProof/>
                <w:webHidden/>
              </w:rPr>
              <w:fldChar w:fldCharType="end"/>
            </w:r>
          </w:hyperlink>
        </w:p>
        <w:p w14:paraId="0384B5B1" w14:textId="77777777" w:rsidR="00F02451" w:rsidRDefault="00F02451">
          <w:pPr>
            <w:pStyle w:val="TOC1"/>
            <w:tabs>
              <w:tab w:val="right" w:leader="dot" w:pos="15390"/>
            </w:tabs>
            <w:rPr>
              <w:rFonts w:eastAsiaTheme="minorEastAsia"/>
              <w:noProof/>
              <w:sz w:val="22"/>
              <w:szCs w:val="22"/>
              <w:lang w:val="en-GB" w:eastAsia="en-GB"/>
            </w:rPr>
          </w:pPr>
          <w:hyperlink w:anchor="_Toc77095572" w:history="1">
            <w:r w:rsidRPr="00876422">
              <w:rPr>
                <w:rStyle w:val="Hyperlink"/>
                <w:noProof/>
              </w:rPr>
              <w:t>Note 13 - Collaborations</w:t>
            </w:r>
            <w:r>
              <w:rPr>
                <w:noProof/>
                <w:webHidden/>
              </w:rPr>
              <w:tab/>
            </w:r>
            <w:r>
              <w:rPr>
                <w:noProof/>
                <w:webHidden/>
              </w:rPr>
              <w:fldChar w:fldCharType="begin"/>
            </w:r>
            <w:r>
              <w:rPr>
                <w:noProof/>
                <w:webHidden/>
              </w:rPr>
              <w:instrText xml:space="preserve"> PAGEREF _Toc77095572 \h </w:instrText>
            </w:r>
            <w:r>
              <w:rPr>
                <w:noProof/>
                <w:webHidden/>
              </w:rPr>
            </w:r>
            <w:r>
              <w:rPr>
                <w:noProof/>
                <w:webHidden/>
              </w:rPr>
              <w:fldChar w:fldCharType="separate"/>
            </w:r>
            <w:r>
              <w:rPr>
                <w:noProof/>
                <w:webHidden/>
              </w:rPr>
              <w:t>52</w:t>
            </w:r>
            <w:r>
              <w:rPr>
                <w:noProof/>
                <w:webHidden/>
              </w:rPr>
              <w:fldChar w:fldCharType="end"/>
            </w:r>
          </w:hyperlink>
        </w:p>
        <w:p w14:paraId="153AFE60" w14:textId="77777777" w:rsidR="00F02451" w:rsidRDefault="00F02451">
          <w:pPr>
            <w:pStyle w:val="TOC1"/>
            <w:tabs>
              <w:tab w:val="right" w:leader="dot" w:pos="15390"/>
            </w:tabs>
            <w:rPr>
              <w:rFonts w:eastAsiaTheme="minorEastAsia"/>
              <w:noProof/>
              <w:sz w:val="22"/>
              <w:szCs w:val="22"/>
              <w:lang w:val="en-GB" w:eastAsia="en-GB"/>
            </w:rPr>
          </w:pPr>
          <w:hyperlink w:anchor="_Toc77095573" w:history="1">
            <w:r w:rsidRPr="00876422">
              <w:rPr>
                <w:rStyle w:val="Hyperlink"/>
                <w:noProof/>
                <w:lang w:val="pt-BR"/>
              </w:rPr>
              <w:t>Note 14 - Officers’ Remuneration</w:t>
            </w:r>
            <w:r>
              <w:rPr>
                <w:noProof/>
                <w:webHidden/>
              </w:rPr>
              <w:tab/>
            </w:r>
            <w:r>
              <w:rPr>
                <w:noProof/>
                <w:webHidden/>
              </w:rPr>
              <w:fldChar w:fldCharType="begin"/>
            </w:r>
            <w:r>
              <w:rPr>
                <w:noProof/>
                <w:webHidden/>
              </w:rPr>
              <w:instrText xml:space="preserve"> PAGEREF _Toc77095573 \h </w:instrText>
            </w:r>
            <w:r>
              <w:rPr>
                <w:noProof/>
                <w:webHidden/>
              </w:rPr>
            </w:r>
            <w:r>
              <w:rPr>
                <w:noProof/>
                <w:webHidden/>
              </w:rPr>
              <w:fldChar w:fldCharType="separate"/>
            </w:r>
            <w:r>
              <w:rPr>
                <w:noProof/>
                <w:webHidden/>
              </w:rPr>
              <w:t>54</w:t>
            </w:r>
            <w:r>
              <w:rPr>
                <w:noProof/>
                <w:webHidden/>
              </w:rPr>
              <w:fldChar w:fldCharType="end"/>
            </w:r>
          </w:hyperlink>
        </w:p>
        <w:p w14:paraId="133D6FC3" w14:textId="77777777" w:rsidR="00F02451" w:rsidRDefault="00F02451">
          <w:pPr>
            <w:pStyle w:val="TOC1"/>
            <w:tabs>
              <w:tab w:val="right" w:leader="dot" w:pos="15390"/>
            </w:tabs>
            <w:rPr>
              <w:rFonts w:eastAsiaTheme="minorEastAsia"/>
              <w:noProof/>
              <w:sz w:val="22"/>
              <w:szCs w:val="22"/>
              <w:lang w:val="en-GB" w:eastAsia="en-GB"/>
            </w:rPr>
          </w:pPr>
          <w:hyperlink w:anchor="_Toc77095574" w:history="1">
            <w:r w:rsidRPr="00876422">
              <w:rPr>
                <w:rStyle w:val="Hyperlink"/>
                <w:noProof/>
                <w:lang w:val="pt-BR"/>
              </w:rPr>
              <w:t>Note 15 - External Audit Costs</w:t>
            </w:r>
            <w:r>
              <w:rPr>
                <w:noProof/>
                <w:webHidden/>
              </w:rPr>
              <w:tab/>
            </w:r>
            <w:r>
              <w:rPr>
                <w:noProof/>
                <w:webHidden/>
              </w:rPr>
              <w:fldChar w:fldCharType="begin"/>
            </w:r>
            <w:r>
              <w:rPr>
                <w:noProof/>
                <w:webHidden/>
              </w:rPr>
              <w:instrText xml:space="preserve"> PAGEREF _Toc77095574 \h </w:instrText>
            </w:r>
            <w:r>
              <w:rPr>
                <w:noProof/>
                <w:webHidden/>
              </w:rPr>
            </w:r>
            <w:r>
              <w:rPr>
                <w:noProof/>
                <w:webHidden/>
              </w:rPr>
              <w:fldChar w:fldCharType="separate"/>
            </w:r>
            <w:r>
              <w:rPr>
                <w:noProof/>
                <w:webHidden/>
              </w:rPr>
              <w:t>58</w:t>
            </w:r>
            <w:r>
              <w:rPr>
                <w:noProof/>
                <w:webHidden/>
              </w:rPr>
              <w:fldChar w:fldCharType="end"/>
            </w:r>
          </w:hyperlink>
        </w:p>
        <w:p w14:paraId="36F538DF" w14:textId="77777777" w:rsidR="00F02451" w:rsidRDefault="00F02451">
          <w:pPr>
            <w:pStyle w:val="TOC1"/>
            <w:tabs>
              <w:tab w:val="right" w:leader="dot" w:pos="15390"/>
            </w:tabs>
            <w:rPr>
              <w:rFonts w:eastAsiaTheme="minorEastAsia"/>
              <w:noProof/>
              <w:sz w:val="22"/>
              <w:szCs w:val="22"/>
              <w:lang w:val="en-GB" w:eastAsia="en-GB"/>
            </w:rPr>
          </w:pPr>
          <w:hyperlink w:anchor="_Toc77095575" w:history="1">
            <w:r w:rsidRPr="00876422">
              <w:rPr>
                <w:rStyle w:val="Hyperlink"/>
                <w:noProof/>
                <w:lang w:val="pt-BR"/>
              </w:rPr>
              <w:t>Note 16 - Related Parties</w:t>
            </w:r>
            <w:r>
              <w:rPr>
                <w:noProof/>
                <w:webHidden/>
              </w:rPr>
              <w:tab/>
            </w:r>
            <w:r>
              <w:rPr>
                <w:noProof/>
                <w:webHidden/>
              </w:rPr>
              <w:fldChar w:fldCharType="begin"/>
            </w:r>
            <w:r>
              <w:rPr>
                <w:noProof/>
                <w:webHidden/>
              </w:rPr>
              <w:instrText xml:space="preserve"> PAGEREF _Toc77095575 \h </w:instrText>
            </w:r>
            <w:r>
              <w:rPr>
                <w:noProof/>
                <w:webHidden/>
              </w:rPr>
            </w:r>
            <w:r>
              <w:rPr>
                <w:noProof/>
                <w:webHidden/>
              </w:rPr>
              <w:fldChar w:fldCharType="separate"/>
            </w:r>
            <w:r>
              <w:rPr>
                <w:noProof/>
                <w:webHidden/>
              </w:rPr>
              <w:t>58</w:t>
            </w:r>
            <w:r>
              <w:rPr>
                <w:noProof/>
                <w:webHidden/>
              </w:rPr>
              <w:fldChar w:fldCharType="end"/>
            </w:r>
          </w:hyperlink>
        </w:p>
        <w:p w14:paraId="7893A337" w14:textId="77777777" w:rsidR="00F02451" w:rsidRDefault="00F02451">
          <w:pPr>
            <w:pStyle w:val="TOC1"/>
            <w:tabs>
              <w:tab w:val="right" w:leader="dot" w:pos="15390"/>
            </w:tabs>
            <w:rPr>
              <w:rFonts w:eastAsiaTheme="minorEastAsia"/>
              <w:noProof/>
              <w:sz w:val="22"/>
              <w:szCs w:val="22"/>
              <w:lang w:val="en-GB" w:eastAsia="en-GB"/>
            </w:rPr>
          </w:pPr>
          <w:hyperlink w:anchor="_Toc77095576" w:history="1">
            <w:r w:rsidRPr="00876422">
              <w:rPr>
                <w:rStyle w:val="Hyperlink"/>
                <w:noProof/>
                <w:lang w:val="en-GB"/>
              </w:rPr>
              <w:t>Note 17 - Defined Benefit Pension Scheme</w:t>
            </w:r>
            <w:r>
              <w:rPr>
                <w:noProof/>
                <w:webHidden/>
              </w:rPr>
              <w:tab/>
            </w:r>
            <w:r>
              <w:rPr>
                <w:noProof/>
                <w:webHidden/>
              </w:rPr>
              <w:fldChar w:fldCharType="begin"/>
            </w:r>
            <w:r>
              <w:rPr>
                <w:noProof/>
                <w:webHidden/>
              </w:rPr>
              <w:instrText xml:space="preserve"> PAGEREF _Toc77095576 \h </w:instrText>
            </w:r>
            <w:r>
              <w:rPr>
                <w:noProof/>
                <w:webHidden/>
              </w:rPr>
            </w:r>
            <w:r>
              <w:rPr>
                <w:noProof/>
                <w:webHidden/>
              </w:rPr>
              <w:fldChar w:fldCharType="separate"/>
            </w:r>
            <w:r>
              <w:rPr>
                <w:noProof/>
                <w:webHidden/>
              </w:rPr>
              <w:t>59</w:t>
            </w:r>
            <w:r>
              <w:rPr>
                <w:noProof/>
                <w:webHidden/>
              </w:rPr>
              <w:fldChar w:fldCharType="end"/>
            </w:r>
          </w:hyperlink>
        </w:p>
        <w:p w14:paraId="52E97DE0" w14:textId="77777777" w:rsidR="00F02451" w:rsidRDefault="00F02451">
          <w:pPr>
            <w:pStyle w:val="TOC1"/>
            <w:tabs>
              <w:tab w:val="right" w:leader="dot" w:pos="15390"/>
            </w:tabs>
            <w:rPr>
              <w:rFonts w:eastAsiaTheme="minorEastAsia"/>
              <w:noProof/>
              <w:sz w:val="22"/>
              <w:szCs w:val="22"/>
              <w:lang w:val="en-GB" w:eastAsia="en-GB"/>
            </w:rPr>
          </w:pPr>
          <w:hyperlink w:anchor="_Toc77095577" w:history="1">
            <w:r w:rsidRPr="00876422">
              <w:rPr>
                <w:rStyle w:val="Hyperlink"/>
                <w:noProof/>
                <w:lang w:val="pt-BR"/>
              </w:rPr>
              <w:t>Note 18 - Contingent Liabilities</w:t>
            </w:r>
            <w:r>
              <w:rPr>
                <w:noProof/>
                <w:webHidden/>
              </w:rPr>
              <w:tab/>
            </w:r>
            <w:r>
              <w:rPr>
                <w:noProof/>
                <w:webHidden/>
              </w:rPr>
              <w:fldChar w:fldCharType="begin"/>
            </w:r>
            <w:r>
              <w:rPr>
                <w:noProof/>
                <w:webHidden/>
              </w:rPr>
              <w:instrText xml:space="preserve"> PAGEREF _Toc77095577 \h </w:instrText>
            </w:r>
            <w:r>
              <w:rPr>
                <w:noProof/>
                <w:webHidden/>
              </w:rPr>
            </w:r>
            <w:r>
              <w:rPr>
                <w:noProof/>
                <w:webHidden/>
              </w:rPr>
              <w:fldChar w:fldCharType="separate"/>
            </w:r>
            <w:r>
              <w:rPr>
                <w:noProof/>
                <w:webHidden/>
              </w:rPr>
              <w:t>68</w:t>
            </w:r>
            <w:r>
              <w:rPr>
                <w:noProof/>
                <w:webHidden/>
              </w:rPr>
              <w:fldChar w:fldCharType="end"/>
            </w:r>
          </w:hyperlink>
        </w:p>
        <w:p w14:paraId="628ECED1" w14:textId="77777777" w:rsidR="00F02451" w:rsidRDefault="00F02451">
          <w:pPr>
            <w:pStyle w:val="TOC1"/>
            <w:tabs>
              <w:tab w:val="right" w:leader="dot" w:pos="15390"/>
            </w:tabs>
            <w:rPr>
              <w:rFonts w:eastAsiaTheme="minorEastAsia"/>
              <w:noProof/>
              <w:sz w:val="22"/>
              <w:szCs w:val="22"/>
              <w:lang w:val="en-GB" w:eastAsia="en-GB"/>
            </w:rPr>
          </w:pPr>
          <w:hyperlink w:anchor="_Toc77095578" w:history="1">
            <w:r w:rsidRPr="00876422">
              <w:rPr>
                <w:rStyle w:val="Hyperlink"/>
                <w:noProof/>
                <w:lang w:val="pt-BR"/>
              </w:rPr>
              <w:t>Note 19 - Contingent Assets</w:t>
            </w:r>
            <w:r>
              <w:rPr>
                <w:noProof/>
                <w:webHidden/>
              </w:rPr>
              <w:tab/>
            </w:r>
            <w:r>
              <w:rPr>
                <w:noProof/>
                <w:webHidden/>
              </w:rPr>
              <w:fldChar w:fldCharType="begin"/>
            </w:r>
            <w:r>
              <w:rPr>
                <w:noProof/>
                <w:webHidden/>
              </w:rPr>
              <w:instrText xml:space="preserve"> PAGEREF _Toc77095578 \h </w:instrText>
            </w:r>
            <w:r>
              <w:rPr>
                <w:noProof/>
                <w:webHidden/>
              </w:rPr>
            </w:r>
            <w:r>
              <w:rPr>
                <w:noProof/>
                <w:webHidden/>
              </w:rPr>
              <w:fldChar w:fldCharType="separate"/>
            </w:r>
            <w:r>
              <w:rPr>
                <w:noProof/>
                <w:webHidden/>
              </w:rPr>
              <w:t>69</w:t>
            </w:r>
            <w:r>
              <w:rPr>
                <w:noProof/>
                <w:webHidden/>
              </w:rPr>
              <w:fldChar w:fldCharType="end"/>
            </w:r>
          </w:hyperlink>
        </w:p>
        <w:p w14:paraId="1BA11CF7" w14:textId="77777777" w:rsidR="00F02451" w:rsidRDefault="00F02451">
          <w:pPr>
            <w:pStyle w:val="TOC1"/>
            <w:tabs>
              <w:tab w:val="right" w:leader="dot" w:pos="15390"/>
            </w:tabs>
            <w:rPr>
              <w:rFonts w:eastAsiaTheme="minorEastAsia"/>
              <w:noProof/>
              <w:sz w:val="22"/>
              <w:szCs w:val="22"/>
              <w:lang w:val="en-GB" w:eastAsia="en-GB"/>
            </w:rPr>
          </w:pPr>
          <w:hyperlink w:anchor="_Toc77095579" w:history="1">
            <w:r w:rsidRPr="00876422">
              <w:rPr>
                <w:rStyle w:val="Hyperlink"/>
                <w:noProof/>
                <w:lang w:val="pt-BR"/>
              </w:rPr>
              <w:t>Note 20 - Financing and Investment Income and Expenditure</w:t>
            </w:r>
            <w:r>
              <w:rPr>
                <w:noProof/>
                <w:webHidden/>
              </w:rPr>
              <w:tab/>
            </w:r>
            <w:r>
              <w:rPr>
                <w:noProof/>
                <w:webHidden/>
              </w:rPr>
              <w:fldChar w:fldCharType="begin"/>
            </w:r>
            <w:r>
              <w:rPr>
                <w:noProof/>
                <w:webHidden/>
              </w:rPr>
              <w:instrText xml:space="preserve"> PAGEREF _Toc77095579 \h </w:instrText>
            </w:r>
            <w:r>
              <w:rPr>
                <w:noProof/>
                <w:webHidden/>
              </w:rPr>
            </w:r>
            <w:r>
              <w:rPr>
                <w:noProof/>
                <w:webHidden/>
              </w:rPr>
              <w:fldChar w:fldCharType="separate"/>
            </w:r>
            <w:r>
              <w:rPr>
                <w:noProof/>
                <w:webHidden/>
              </w:rPr>
              <w:t>69</w:t>
            </w:r>
            <w:r>
              <w:rPr>
                <w:noProof/>
                <w:webHidden/>
              </w:rPr>
              <w:fldChar w:fldCharType="end"/>
            </w:r>
          </w:hyperlink>
        </w:p>
        <w:p w14:paraId="0EE0FEEF" w14:textId="77777777" w:rsidR="00F02451" w:rsidRDefault="00F02451">
          <w:pPr>
            <w:pStyle w:val="TOC1"/>
            <w:tabs>
              <w:tab w:val="right" w:leader="dot" w:pos="15390"/>
            </w:tabs>
            <w:rPr>
              <w:rFonts w:eastAsiaTheme="minorEastAsia"/>
              <w:noProof/>
              <w:sz w:val="22"/>
              <w:szCs w:val="22"/>
              <w:lang w:val="en-GB" w:eastAsia="en-GB"/>
            </w:rPr>
          </w:pPr>
          <w:hyperlink w:anchor="_Toc77095580" w:history="1">
            <w:r w:rsidRPr="00876422">
              <w:rPr>
                <w:rStyle w:val="Hyperlink"/>
                <w:noProof/>
                <w:lang w:val="pt-BR"/>
              </w:rPr>
              <w:t>Note 21 - Other Operating Expenditure</w:t>
            </w:r>
            <w:r>
              <w:rPr>
                <w:noProof/>
                <w:webHidden/>
              </w:rPr>
              <w:tab/>
            </w:r>
            <w:r>
              <w:rPr>
                <w:noProof/>
                <w:webHidden/>
              </w:rPr>
              <w:fldChar w:fldCharType="begin"/>
            </w:r>
            <w:r>
              <w:rPr>
                <w:noProof/>
                <w:webHidden/>
              </w:rPr>
              <w:instrText xml:space="preserve"> PAGEREF _Toc77095580 \h </w:instrText>
            </w:r>
            <w:r>
              <w:rPr>
                <w:noProof/>
                <w:webHidden/>
              </w:rPr>
            </w:r>
            <w:r>
              <w:rPr>
                <w:noProof/>
                <w:webHidden/>
              </w:rPr>
              <w:fldChar w:fldCharType="separate"/>
            </w:r>
            <w:r>
              <w:rPr>
                <w:noProof/>
                <w:webHidden/>
              </w:rPr>
              <w:t>69</w:t>
            </w:r>
            <w:r>
              <w:rPr>
                <w:noProof/>
                <w:webHidden/>
              </w:rPr>
              <w:fldChar w:fldCharType="end"/>
            </w:r>
          </w:hyperlink>
        </w:p>
        <w:p w14:paraId="68A0CA13" w14:textId="77777777" w:rsidR="00F02451" w:rsidRDefault="00F02451">
          <w:pPr>
            <w:pStyle w:val="TOC1"/>
            <w:tabs>
              <w:tab w:val="right" w:leader="dot" w:pos="15390"/>
            </w:tabs>
            <w:rPr>
              <w:rFonts w:eastAsiaTheme="minorEastAsia"/>
              <w:noProof/>
              <w:sz w:val="22"/>
              <w:szCs w:val="22"/>
              <w:lang w:val="en-GB" w:eastAsia="en-GB"/>
            </w:rPr>
          </w:pPr>
          <w:hyperlink w:anchor="_Toc77095581" w:history="1">
            <w:r w:rsidRPr="00876422">
              <w:rPr>
                <w:rStyle w:val="Hyperlink"/>
                <w:noProof/>
                <w:lang w:val="en-GB" w:eastAsia="en-GB"/>
              </w:rPr>
              <w:t>Note 22 - Accounting Policies</w:t>
            </w:r>
            <w:r>
              <w:rPr>
                <w:noProof/>
                <w:webHidden/>
              </w:rPr>
              <w:tab/>
            </w:r>
            <w:r>
              <w:rPr>
                <w:noProof/>
                <w:webHidden/>
              </w:rPr>
              <w:fldChar w:fldCharType="begin"/>
            </w:r>
            <w:r>
              <w:rPr>
                <w:noProof/>
                <w:webHidden/>
              </w:rPr>
              <w:instrText xml:space="preserve"> PAGEREF _Toc77095581 \h </w:instrText>
            </w:r>
            <w:r>
              <w:rPr>
                <w:noProof/>
                <w:webHidden/>
              </w:rPr>
            </w:r>
            <w:r>
              <w:rPr>
                <w:noProof/>
                <w:webHidden/>
              </w:rPr>
              <w:fldChar w:fldCharType="separate"/>
            </w:r>
            <w:r>
              <w:rPr>
                <w:noProof/>
                <w:webHidden/>
              </w:rPr>
              <w:t>69</w:t>
            </w:r>
            <w:r>
              <w:rPr>
                <w:noProof/>
                <w:webHidden/>
              </w:rPr>
              <w:fldChar w:fldCharType="end"/>
            </w:r>
          </w:hyperlink>
        </w:p>
        <w:p w14:paraId="7B751E07" w14:textId="77777777" w:rsidR="00F02451" w:rsidRDefault="00F02451">
          <w:pPr>
            <w:pStyle w:val="TOC1"/>
            <w:tabs>
              <w:tab w:val="right" w:leader="dot" w:pos="15390"/>
            </w:tabs>
            <w:rPr>
              <w:rFonts w:eastAsiaTheme="minorEastAsia"/>
              <w:noProof/>
              <w:sz w:val="22"/>
              <w:szCs w:val="22"/>
              <w:lang w:val="en-GB" w:eastAsia="en-GB"/>
            </w:rPr>
          </w:pPr>
          <w:hyperlink w:anchor="_Toc77095582" w:history="1">
            <w:r w:rsidRPr="00876422">
              <w:rPr>
                <w:rStyle w:val="Hyperlink"/>
                <w:noProof/>
                <w:lang w:val="en-GB" w:eastAsia="en-GB"/>
              </w:rPr>
              <w:t>Note 23 - Accounting Standards issued but not yet adopted</w:t>
            </w:r>
            <w:r>
              <w:rPr>
                <w:noProof/>
                <w:webHidden/>
              </w:rPr>
              <w:tab/>
            </w:r>
            <w:r>
              <w:rPr>
                <w:noProof/>
                <w:webHidden/>
              </w:rPr>
              <w:fldChar w:fldCharType="begin"/>
            </w:r>
            <w:r>
              <w:rPr>
                <w:noProof/>
                <w:webHidden/>
              </w:rPr>
              <w:instrText xml:space="preserve"> PAGEREF _Toc77095582 \h </w:instrText>
            </w:r>
            <w:r>
              <w:rPr>
                <w:noProof/>
                <w:webHidden/>
              </w:rPr>
            </w:r>
            <w:r>
              <w:rPr>
                <w:noProof/>
                <w:webHidden/>
              </w:rPr>
              <w:fldChar w:fldCharType="separate"/>
            </w:r>
            <w:r>
              <w:rPr>
                <w:noProof/>
                <w:webHidden/>
              </w:rPr>
              <w:t>77</w:t>
            </w:r>
            <w:r>
              <w:rPr>
                <w:noProof/>
                <w:webHidden/>
              </w:rPr>
              <w:fldChar w:fldCharType="end"/>
            </w:r>
          </w:hyperlink>
        </w:p>
        <w:p w14:paraId="570DFEA8" w14:textId="77777777" w:rsidR="00F02451" w:rsidRDefault="00F02451">
          <w:pPr>
            <w:pStyle w:val="TOC1"/>
            <w:tabs>
              <w:tab w:val="right" w:leader="dot" w:pos="15390"/>
            </w:tabs>
            <w:rPr>
              <w:rFonts w:eastAsiaTheme="minorEastAsia"/>
              <w:noProof/>
              <w:sz w:val="22"/>
              <w:szCs w:val="22"/>
              <w:lang w:val="en-GB" w:eastAsia="en-GB"/>
            </w:rPr>
          </w:pPr>
          <w:hyperlink w:anchor="_Toc77095583" w:history="1">
            <w:r w:rsidRPr="00876422">
              <w:rPr>
                <w:rStyle w:val="Hyperlink"/>
                <w:noProof/>
              </w:rPr>
              <w:t>Police Pensions Fund Account Statements as at 31 March 2021</w:t>
            </w:r>
            <w:r>
              <w:rPr>
                <w:noProof/>
                <w:webHidden/>
              </w:rPr>
              <w:tab/>
            </w:r>
            <w:r>
              <w:rPr>
                <w:noProof/>
                <w:webHidden/>
              </w:rPr>
              <w:fldChar w:fldCharType="begin"/>
            </w:r>
            <w:r>
              <w:rPr>
                <w:noProof/>
                <w:webHidden/>
              </w:rPr>
              <w:instrText xml:space="preserve"> PAGEREF _Toc77095583 \h </w:instrText>
            </w:r>
            <w:r>
              <w:rPr>
                <w:noProof/>
                <w:webHidden/>
              </w:rPr>
            </w:r>
            <w:r>
              <w:rPr>
                <w:noProof/>
                <w:webHidden/>
              </w:rPr>
              <w:fldChar w:fldCharType="separate"/>
            </w:r>
            <w:r>
              <w:rPr>
                <w:noProof/>
                <w:webHidden/>
              </w:rPr>
              <w:t>79</w:t>
            </w:r>
            <w:r>
              <w:rPr>
                <w:noProof/>
                <w:webHidden/>
              </w:rPr>
              <w:fldChar w:fldCharType="end"/>
            </w:r>
          </w:hyperlink>
        </w:p>
        <w:p w14:paraId="4EEF66A5" w14:textId="77777777" w:rsidR="00F02451" w:rsidRDefault="00F02451">
          <w:pPr>
            <w:pStyle w:val="TOC1"/>
            <w:tabs>
              <w:tab w:val="right" w:leader="dot" w:pos="15390"/>
            </w:tabs>
            <w:rPr>
              <w:rFonts w:eastAsiaTheme="minorEastAsia"/>
              <w:noProof/>
              <w:sz w:val="22"/>
              <w:szCs w:val="22"/>
              <w:lang w:val="en-GB" w:eastAsia="en-GB"/>
            </w:rPr>
          </w:pPr>
          <w:hyperlink w:anchor="_Toc77095584" w:history="1">
            <w:r w:rsidRPr="00876422">
              <w:rPr>
                <w:rStyle w:val="Hyperlink"/>
                <w:noProof/>
                <w:lang w:eastAsia="en-GB"/>
              </w:rPr>
              <w:t>Police Pension Funds - Notes</w:t>
            </w:r>
            <w:r>
              <w:rPr>
                <w:noProof/>
                <w:webHidden/>
              </w:rPr>
              <w:tab/>
            </w:r>
            <w:r>
              <w:rPr>
                <w:noProof/>
                <w:webHidden/>
              </w:rPr>
              <w:fldChar w:fldCharType="begin"/>
            </w:r>
            <w:r>
              <w:rPr>
                <w:noProof/>
                <w:webHidden/>
              </w:rPr>
              <w:instrText xml:space="preserve"> PAGEREF _Toc77095584 \h </w:instrText>
            </w:r>
            <w:r>
              <w:rPr>
                <w:noProof/>
                <w:webHidden/>
              </w:rPr>
            </w:r>
            <w:r>
              <w:rPr>
                <w:noProof/>
                <w:webHidden/>
              </w:rPr>
              <w:fldChar w:fldCharType="separate"/>
            </w:r>
            <w:r>
              <w:rPr>
                <w:noProof/>
                <w:webHidden/>
              </w:rPr>
              <w:t>80</w:t>
            </w:r>
            <w:r>
              <w:rPr>
                <w:noProof/>
                <w:webHidden/>
              </w:rPr>
              <w:fldChar w:fldCharType="end"/>
            </w:r>
          </w:hyperlink>
        </w:p>
        <w:p w14:paraId="5141AC32" w14:textId="77777777" w:rsidR="00F02451" w:rsidRDefault="00F02451">
          <w:pPr>
            <w:pStyle w:val="TOC1"/>
            <w:tabs>
              <w:tab w:val="right" w:leader="dot" w:pos="15390"/>
            </w:tabs>
            <w:rPr>
              <w:rFonts w:eastAsiaTheme="minorEastAsia"/>
              <w:noProof/>
              <w:sz w:val="22"/>
              <w:szCs w:val="22"/>
              <w:lang w:val="en-GB" w:eastAsia="en-GB"/>
            </w:rPr>
          </w:pPr>
          <w:hyperlink w:anchor="_Toc77095585" w:history="1">
            <w:r w:rsidRPr="00876422">
              <w:rPr>
                <w:rStyle w:val="Hyperlink"/>
                <w:noProof/>
                <w:lang w:val="en-GB" w:eastAsia="en-GB"/>
              </w:rPr>
              <w:t>Glossary of Accounting Terms</w:t>
            </w:r>
            <w:r>
              <w:rPr>
                <w:noProof/>
                <w:webHidden/>
              </w:rPr>
              <w:tab/>
            </w:r>
            <w:r>
              <w:rPr>
                <w:noProof/>
                <w:webHidden/>
              </w:rPr>
              <w:fldChar w:fldCharType="begin"/>
            </w:r>
            <w:r>
              <w:rPr>
                <w:noProof/>
                <w:webHidden/>
              </w:rPr>
              <w:instrText xml:space="preserve"> PAGEREF _Toc77095585 \h </w:instrText>
            </w:r>
            <w:r>
              <w:rPr>
                <w:noProof/>
                <w:webHidden/>
              </w:rPr>
            </w:r>
            <w:r>
              <w:rPr>
                <w:noProof/>
                <w:webHidden/>
              </w:rPr>
              <w:fldChar w:fldCharType="separate"/>
            </w:r>
            <w:r>
              <w:rPr>
                <w:noProof/>
                <w:webHidden/>
              </w:rPr>
              <w:t>83</w:t>
            </w:r>
            <w:r>
              <w:rPr>
                <w:noProof/>
                <w:webHidden/>
              </w:rPr>
              <w:fldChar w:fldCharType="end"/>
            </w:r>
          </w:hyperlink>
        </w:p>
        <w:p w14:paraId="47561818" w14:textId="5073C418" w:rsidR="0053376B" w:rsidRPr="008615E5" w:rsidRDefault="00F227D9" w:rsidP="00F227D9">
          <w:pPr>
            <w:rPr>
              <w:rFonts w:ascii="Verdana" w:hAnsi="Verdana"/>
              <w:bCs/>
              <w:noProof/>
            </w:rPr>
          </w:pPr>
          <w:r w:rsidRPr="008615E5">
            <w:rPr>
              <w:rFonts w:ascii="Verdana" w:hAnsi="Verdana"/>
              <w:bCs/>
              <w:noProof/>
            </w:rPr>
            <w:fldChar w:fldCharType="end"/>
          </w:r>
        </w:p>
      </w:sdtContent>
    </w:sdt>
    <w:p w14:paraId="4CE726A9" w14:textId="77777777" w:rsidR="00F227D9" w:rsidRDefault="00F227D9" w:rsidP="00F227D9">
      <w:pPr>
        <w:rPr>
          <w:rFonts w:ascii="Verdana" w:hAnsi="Verdana"/>
          <w:sz w:val="22"/>
          <w:szCs w:val="22"/>
          <w:lang w:val="en-AU"/>
        </w:rPr>
      </w:pPr>
      <w:r>
        <w:rPr>
          <w:rFonts w:ascii="Verdana" w:hAnsi="Verdana"/>
          <w:sz w:val="22"/>
          <w:szCs w:val="22"/>
          <w:lang w:val="en-AU"/>
        </w:rPr>
        <w:t xml:space="preserve"> </w:t>
      </w:r>
    </w:p>
    <w:p w14:paraId="5AC30858" w14:textId="77777777" w:rsidR="00F227D9" w:rsidRDefault="00F227D9" w:rsidP="00F227D9">
      <w:pPr>
        <w:rPr>
          <w:rFonts w:ascii="Verdana" w:hAnsi="Verdana"/>
          <w:sz w:val="22"/>
          <w:szCs w:val="22"/>
          <w:lang w:val="en-AU"/>
        </w:rPr>
      </w:pPr>
      <w:r>
        <w:rPr>
          <w:rFonts w:ascii="Verdana" w:hAnsi="Verdana"/>
          <w:sz w:val="22"/>
          <w:szCs w:val="22"/>
          <w:lang w:val="en-AU"/>
        </w:rPr>
        <w:br w:type="page"/>
      </w:r>
    </w:p>
    <w:p w14:paraId="072407D7" w14:textId="77777777" w:rsidR="00F227D9" w:rsidRDefault="00F227D9">
      <w:pPr>
        <w:rPr>
          <w:rFonts w:ascii="Verdana" w:hAnsi="Verdana"/>
          <w:sz w:val="22"/>
          <w:szCs w:val="22"/>
          <w:lang w:val="en-AU"/>
        </w:rPr>
        <w:sectPr w:rsidR="00F227D9" w:rsidSect="00B54A0C">
          <w:footerReference w:type="default" r:id="rId10"/>
          <w:type w:val="nextColumn"/>
          <w:pgSz w:w="16840" w:h="11900" w:orient="landscape"/>
          <w:pgMar w:top="709" w:right="720" w:bottom="567" w:left="720" w:header="708" w:footer="708" w:gutter="0"/>
          <w:pgNumType w:start="1"/>
          <w:cols w:space="708"/>
          <w:docGrid w:linePitch="360"/>
        </w:sectPr>
      </w:pPr>
    </w:p>
    <w:p w14:paraId="0C4D7DDA" w14:textId="77777777" w:rsidR="00F227D9" w:rsidRPr="003D2925" w:rsidRDefault="00F227D9" w:rsidP="00F227D9">
      <w:pPr>
        <w:pStyle w:val="Heading1"/>
        <w:rPr>
          <w:lang w:val="en-GB" w:eastAsia="en-GB"/>
        </w:rPr>
      </w:pPr>
      <w:bookmarkStart w:id="1" w:name="_Toc77095552"/>
      <w:r w:rsidRPr="003D2925">
        <w:rPr>
          <w:lang w:val="en-GB" w:eastAsia="en-GB"/>
        </w:rPr>
        <w:lastRenderedPageBreak/>
        <w:t>Narrative Report</w:t>
      </w:r>
      <w:bookmarkEnd w:id="1"/>
    </w:p>
    <w:p w14:paraId="13E1D742" w14:textId="77777777" w:rsidR="00F227D9" w:rsidRPr="003D2925" w:rsidRDefault="00F227D9" w:rsidP="00F227D9">
      <w:pPr>
        <w:pStyle w:val="Style2"/>
        <w:rPr>
          <w:rFonts w:ascii="Verdana" w:hAnsi="Verdana"/>
          <w:sz w:val="22"/>
          <w:szCs w:val="22"/>
          <w:lang w:val="en-GB" w:eastAsia="en-GB"/>
        </w:rPr>
      </w:pPr>
    </w:p>
    <w:p w14:paraId="5A0BC841" w14:textId="77777777" w:rsidR="00F227D9" w:rsidRPr="003D2925" w:rsidRDefault="00F227D9" w:rsidP="005E3E6F">
      <w:pPr>
        <w:pStyle w:val="Style1"/>
        <w:numPr>
          <w:ilvl w:val="0"/>
          <w:numId w:val="5"/>
        </w:numPr>
        <w:rPr>
          <w:rFonts w:ascii="Verdana" w:hAnsi="Verdana"/>
          <w:sz w:val="22"/>
          <w:szCs w:val="22"/>
          <w:lang w:val="en-GB" w:eastAsia="en-GB"/>
        </w:rPr>
      </w:pPr>
      <w:r w:rsidRPr="003D2925">
        <w:rPr>
          <w:rFonts w:ascii="Verdana" w:hAnsi="Verdana"/>
          <w:sz w:val="22"/>
          <w:szCs w:val="22"/>
          <w:lang w:val="en-GB" w:eastAsia="en-GB"/>
        </w:rPr>
        <w:t>Introduction</w:t>
      </w:r>
    </w:p>
    <w:p w14:paraId="110E582F" w14:textId="77777777" w:rsidR="00F227D9" w:rsidRPr="000528E2" w:rsidRDefault="00F227D9" w:rsidP="00F227D9">
      <w:pPr>
        <w:pStyle w:val="Style1"/>
        <w:numPr>
          <w:ilvl w:val="0"/>
          <w:numId w:val="0"/>
        </w:numPr>
        <w:ind w:left="-142" w:right="1070"/>
        <w:rPr>
          <w:rFonts w:ascii="Verdana" w:hAnsi="Verdana"/>
          <w:sz w:val="22"/>
          <w:szCs w:val="22"/>
          <w:lang w:val="en-GB" w:eastAsia="en-GB"/>
        </w:rPr>
      </w:pPr>
    </w:p>
    <w:p w14:paraId="6E59AC22" w14:textId="2EA30056" w:rsidR="00F227D9" w:rsidRPr="000528E2" w:rsidRDefault="00F227D9" w:rsidP="00F227D9">
      <w:pPr>
        <w:pStyle w:val="Normal0"/>
        <w:jc w:val="both"/>
        <w:rPr>
          <w:rFonts w:ascii="Verdana" w:eastAsia="Times New Roman" w:hAnsi="Verdana" w:cs="Arial"/>
          <w:sz w:val="22"/>
          <w:szCs w:val="22"/>
          <w:lang w:val="en-GB" w:eastAsia="en-GB"/>
        </w:rPr>
      </w:pPr>
      <w:r w:rsidRPr="000528E2">
        <w:rPr>
          <w:rFonts w:ascii="Verdana" w:eastAsia="Times New Roman" w:hAnsi="Verdana" w:cs="Arial"/>
          <w:sz w:val="22"/>
          <w:szCs w:val="22"/>
          <w:lang w:val="en-GB" w:eastAsia="en-GB"/>
        </w:rPr>
        <w:t>The purpose of this narrative report is to provide a guide to the most significant matters reported in the 20</w:t>
      </w:r>
      <w:r w:rsidR="000528E2" w:rsidRPr="000528E2">
        <w:rPr>
          <w:rFonts w:ascii="Verdana" w:eastAsia="Times New Roman" w:hAnsi="Verdana" w:cs="Arial"/>
          <w:sz w:val="22"/>
          <w:szCs w:val="22"/>
          <w:lang w:val="en-GB" w:eastAsia="en-GB"/>
        </w:rPr>
        <w:t>20</w:t>
      </w:r>
      <w:r w:rsidRPr="000528E2">
        <w:rPr>
          <w:rFonts w:ascii="Verdana" w:eastAsia="Times New Roman" w:hAnsi="Verdana" w:cs="Arial"/>
          <w:sz w:val="22"/>
          <w:szCs w:val="22"/>
          <w:lang w:val="en-GB" w:eastAsia="en-GB"/>
        </w:rPr>
        <w:t>/</w:t>
      </w:r>
      <w:r w:rsidR="00FF3D29" w:rsidRPr="000528E2">
        <w:rPr>
          <w:rFonts w:ascii="Verdana" w:eastAsia="Times New Roman" w:hAnsi="Verdana" w:cs="Arial"/>
          <w:sz w:val="22"/>
          <w:szCs w:val="22"/>
          <w:lang w:val="en-GB" w:eastAsia="en-GB"/>
        </w:rPr>
        <w:t>2</w:t>
      </w:r>
      <w:r w:rsidR="000528E2" w:rsidRPr="000528E2">
        <w:rPr>
          <w:rFonts w:ascii="Verdana" w:eastAsia="Times New Roman" w:hAnsi="Verdana" w:cs="Arial"/>
          <w:sz w:val="22"/>
          <w:szCs w:val="22"/>
          <w:lang w:val="en-GB" w:eastAsia="en-GB"/>
        </w:rPr>
        <w:t>1</w:t>
      </w:r>
      <w:r w:rsidRPr="000528E2">
        <w:rPr>
          <w:rFonts w:ascii="Verdana" w:eastAsia="Times New Roman" w:hAnsi="Verdana" w:cs="Arial"/>
          <w:sz w:val="22"/>
          <w:szCs w:val="22"/>
          <w:lang w:val="en-GB" w:eastAsia="en-GB"/>
        </w:rPr>
        <w:t xml:space="preserve"> Financial Statements for the Chief Constable for Surrey. The narrative report explains the purpose of the Financial Statements, a summary of the financial activities and the financial position as at 31 March 20</w:t>
      </w:r>
      <w:r w:rsidR="00FF3D29" w:rsidRPr="000528E2">
        <w:rPr>
          <w:rFonts w:ascii="Verdana" w:eastAsia="Times New Roman" w:hAnsi="Verdana" w:cs="Arial"/>
          <w:sz w:val="22"/>
          <w:szCs w:val="22"/>
          <w:lang w:val="en-GB" w:eastAsia="en-GB"/>
        </w:rPr>
        <w:t>2</w:t>
      </w:r>
      <w:r w:rsidR="000528E2" w:rsidRPr="000528E2">
        <w:rPr>
          <w:rFonts w:ascii="Verdana" w:eastAsia="Times New Roman" w:hAnsi="Verdana" w:cs="Arial"/>
          <w:sz w:val="22"/>
          <w:szCs w:val="22"/>
          <w:lang w:val="en-GB" w:eastAsia="en-GB"/>
        </w:rPr>
        <w:t>1</w:t>
      </w:r>
      <w:r w:rsidRPr="000528E2">
        <w:rPr>
          <w:rFonts w:ascii="Verdana" w:eastAsia="Times New Roman" w:hAnsi="Verdana" w:cs="Arial"/>
          <w:sz w:val="22"/>
          <w:szCs w:val="22"/>
          <w:lang w:val="en-GB" w:eastAsia="en-GB"/>
        </w:rPr>
        <w:t>.</w:t>
      </w:r>
    </w:p>
    <w:p w14:paraId="012D82E0" w14:textId="77777777" w:rsidR="00F227D9" w:rsidRPr="000528E2" w:rsidRDefault="00F227D9" w:rsidP="00F227D9">
      <w:pPr>
        <w:pStyle w:val="Normal0"/>
        <w:jc w:val="both"/>
        <w:rPr>
          <w:rFonts w:ascii="Verdana" w:eastAsia="Times New Roman" w:hAnsi="Verdana" w:cs="Arial"/>
          <w:sz w:val="22"/>
          <w:szCs w:val="22"/>
          <w:lang w:val="en-GB" w:eastAsia="en-GB"/>
        </w:rPr>
      </w:pPr>
    </w:p>
    <w:p w14:paraId="4A027BDA" w14:textId="77777777" w:rsidR="00F227D9" w:rsidRPr="00503675" w:rsidRDefault="00F227D9" w:rsidP="00F227D9">
      <w:pPr>
        <w:pStyle w:val="Normal0"/>
        <w:spacing w:after="150"/>
        <w:jc w:val="both"/>
        <w:rPr>
          <w:rFonts w:ascii="Verdana" w:eastAsia="Times New Roman" w:hAnsi="Verdana" w:cs="Arial"/>
          <w:sz w:val="22"/>
          <w:szCs w:val="22"/>
          <w:lang w:val="en-GB" w:eastAsia="en-GB"/>
        </w:rPr>
      </w:pPr>
      <w:r w:rsidRPr="000528E2">
        <w:rPr>
          <w:rFonts w:ascii="Verdana" w:eastAsia="Times New Roman" w:hAnsi="Verdana" w:cs="Arial"/>
          <w:sz w:val="22"/>
          <w:szCs w:val="22"/>
          <w:lang w:val="en-GB" w:eastAsia="en-GB"/>
        </w:rPr>
        <w:t>Surrey is a county in the South East of England, covering 644 square-miles, with one county council</w:t>
      </w:r>
      <w:r w:rsidR="00D20C66" w:rsidRPr="000528E2">
        <w:rPr>
          <w:rFonts w:ascii="Verdana" w:eastAsia="Times New Roman" w:hAnsi="Verdana" w:cs="Arial"/>
          <w:sz w:val="22"/>
          <w:szCs w:val="22"/>
          <w:lang w:val="en-GB" w:eastAsia="en-GB"/>
        </w:rPr>
        <w:t>, 11 boroughs/districts and 6</w:t>
      </w:r>
      <w:r w:rsidRPr="000528E2">
        <w:rPr>
          <w:rFonts w:ascii="Verdana" w:eastAsia="Times New Roman" w:hAnsi="Verdana" w:cs="Arial"/>
          <w:sz w:val="22"/>
          <w:szCs w:val="22"/>
          <w:lang w:val="en-GB" w:eastAsia="en-GB"/>
        </w:rPr>
        <w:t xml:space="preserve"> major hospitals</w:t>
      </w:r>
      <w:r w:rsidR="00D20C66" w:rsidRPr="000528E2">
        <w:rPr>
          <w:rFonts w:ascii="Verdana" w:eastAsia="Times New Roman" w:hAnsi="Verdana" w:cs="Arial"/>
          <w:sz w:val="22"/>
          <w:szCs w:val="22"/>
          <w:lang w:val="en-GB" w:eastAsia="en-GB"/>
        </w:rPr>
        <w:t xml:space="preserve"> with A&amp;E departments</w:t>
      </w:r>
      <w:r w:rsidRPr="000528E2">
        <w:rPr>
          <w:rFonts w:ascii="Verdana" w:eastAsia="Times New Roman" w:hAnsi="Verdana" w:cs="Arial"/>
          <w:sz w:val="22"/>
          <w:szCs w:val="22"/>
          <w:lang w:val="en-GB" w:eastAsia="en-GB"/>
        </w:rPr>
        <w:t>. It has 62 miles of motorway, including the busiest M25 stretch. Surrey’s rivers include the Thames which is a notable flooding risk and 73% of the county is classified as greenbelt. Surrey borders the UK’s busiest two airports. It is the most densely populated county in South East England with a population of 1.2 million.</w:t>
      </w:r>
      <w:r w:rsidR="00FF1FF9" w:rsidRPr="000528E2">
        <w:rPr>
          <w:rFonts w:ascii="Verdana" w:eastAsia="Times New Roman" w:hAnsi="Verdana" w:cs="Arial"/>
          <w:sz w:val="22"/>
          <w:szCs w:val="22"/>
          <w:lang w:val="en-GB" w:eastAsia="en-GB"/>
        </w:rPr>
        <w:t xml:space="preserve"> The resident population is increased significantly by </w:t>
      </w:r>
      <w:r w:rsidR="00220628" w:rsidRPr="000528E2">
        <w:rPr>
          <w:rFonts w:ascii="Verdana" w:eastAsia="Times New Roman" w:hAnsi="Verdana" w:cs="Arial"/>
          <w:sz w:val="22"/>
          <w:szCs w:val="22"/>
          <w:lang w:val="en-GB" w:eastAsia="en-GB"/>
        </w:rPr>
        <w:t>university students and the large numbers who visit, socialise in, or travel through the area each year.</w:t>
      </w:r>
      <w:r w:rsidRPr="000528E2">
        <w:rPr>
          <w:rFonts w:ascii="Verdana" w:eastAsia="Times New Roman" w:hAnsi="Verdana" w:cs="Arial"/>
          <w:sz w:val="22"/>
          <w:szCs w:val="22"/>
          <w:lang w:val="en-GB" w:eastAsia="en-GB"/>
        </w:rPr>
        <w:t xml:space="preserve"> The Olympic legacy increased the sporting footprint, with national cycling competitions and</w:t>
      </w:r>
      <w:r w:rsidR="00220628" w:rsidRPr="000528E2">
        <w:rPr>
          <w:rFonts w:ascii="Verdana" w:eastAsia="Times New Roman" w:hAnsi="Verdana" w:cs="Arial"/>
          <w:sz w:val="22"/>
          <w:szCs w:val="22"/>
          <w:lang w:val="en-GB" w:eastAsia="en-GB"/>
        </w:rPr>
        <w:t xml:space="preserve"> Epsom Derby which is</w:t>
      </w:r>
      <w:r w:rsidRPr="000528E2">
        <w:rPr>
          <w:rFonts w:ascii="Verdana" w:eastAsia="Times New Roman" w:hAnsi="Verdana" w:cs="Arial"/>
          <w:sz w:val="22"/>
          <w:szCs w:val="22"/>
          <w:lang w:val="en-GB" w:eastAsia="en-GB"/>
        </w:rPr>
        <w:t xml:space="preserve"> the country’s largest one-</w:t>
      </w:r>
      <w:r w:rsidR="00220628" w:rsidRPr="000528E2">
        <w:rPr>
          <w:rFonts w:ascii="Verdana" w:eastAsia="Times New Roman" w:hAnsi="Verdana" w:cs="Arial"/>
          <w:sz w:val="22"/>
          <w:szCs w:val="22"/>
          <w:lang w:val="en-GB" w:eastAsia="en-GB"/>
        </w:rPr>
        <w:t xml:space="preserve">day sporting event attracting over 100,000 </w:t>
      </w:r>
      <w:r w:rsidR="00220628" w:rsidRPr="00503675">
        <w:rPr>
          <w:rFonts w:ascii="Verdana" w:eastAsia="Times New Roman" w:hAnsi="Verdana" w:cs="Arial"/>
          <w:sz w:val="22"/>
          <w:szCs w:val="22"/>
          <w:lang w:val="en-GB" w:eastAsia="en-GB"/>
        </w:rPr>
        <w:t>racegoers each year</w:t>
      </w:r>
      <w:r w:rsidRPr="00503675">
        <w:rPr>
          <w:rFonts w:ascii="Verdana" w:eastAsia="Times New Roman" w:hAnsi="Verdana" w:cs="Arial"/>
          <w:sz w:val="22"/>
          <w:szCs w:val="22"/>
          <w:lang w:val="en-GB" w:eastAsia="en-GB"/>
        </w:rPr>
        <w:t>.</w:t>
      </w:r>
    </w:p>
    <w:p w14:paraId="5C56480A" w14:textId="77777777" w:rsidR="00F227D9" w:rsidRPr="003250E3" w:rsidRDefault="00F227D9" w:rsidP="00F227D9">
      <w:pPr>
        <w:pStyle w:val="Normal0"/>
        <w:shd w:val="clear" w:color="auto" w:fill="FFFFFF"/>
        <w:spacing w:before="100" w:beforeAutospacing="1" w:after="100" w:afterAutospacing="1"/>
        <w:jc w:val="both"/>
        <w:rPr>
          <w:rFonts w:ascii="Verdana" w:eastAsia="Times New Roman" w:hAnsi="Verdana" w:cs="Arial"/>
          <w:sz w:val="22"/>
          <w:szCs w:val="22"/>
          <w:lang w:val="en-GB" w:eastAsia="en-GB"/>
        </w:rPr>
      </w:pPr>
      <w:r w:rsidRPr="00503675">
        <w:rPr>
          <w:rFonts w:ascii="Verdana" w:eastAsia="Times New Roman" w:hAnsi="Verdana" w:cs="Arial"/>
          <w:sz w:val="22"/>
          <w:szCs w:val="22"/>
          <w:lang w:val="en-GB" w:eastAsia="en-GB"/>
        </w:rPr>
        <w:t xml:space="preserve">The vision for Surrey Police is to make Surrey the safest it can be in which to live and work, and a welcoming place to visit. Surrey Police has a track record of successful crime reduction and problem solving activity. Building on this experience and know-how, there is an </w:t>
      </w:r>
      <w:r w:rsidRPr="003250E3">
        <w:rPr>
          <w:rFonts w:ascii="Verdana" w:eastAsia="Times New Roman" w:hAnsi="Verdana" w:cs="Arial"/>
          <w:sz w:val="22"/>
          <w:szCs w:val="22"/>
          <w:lang w:val="en-GB" w:eastAsia="en-GB"/>
        </w:rPr>
        <w:t xml:space="preserve">aspiration to make Surrey even safer. </w:t>
      </w:r>
    </w:p>
    <w:p w14:paraId="282B73BE" w14:textId="77777777" w:rsidR="003250E3" w:rsidRPr="003250E3" w:rsidRDefault="003250E3" w:rsidP="003250E3">
      <w:pPr>
        <w:spacing w:after="160" w:line="259" w:lineRule="auto"/>
        <w:jc w:val="both"/>
        <w:rPr>
          <w:rFonts w:ascii="Verdana" w:eastAsia="Calibri" w:hAnsi="Verdana" w:cs="Times New Roman"/>
          <w:b/>
          <w:sz w:val="22"/>
          <w:szCs w:val="22"/>
          <w:lang w:val="en-GB"/>
        </w:rPr>
      </w:pPr>
      <w:r w:rsidRPr="003250E3">
        <w:rPr>
          <w:rFonts w:ascii="Verdana" w:eastAsia="Calibri" w:hAnsi="Verdana" w:cs="Times New Roman"/>
          <w:b/>
          <w:sz w:val="22"/>
          <w:szCs w:val="22"/>
          <w:lang w:val="en-GB"/>
        </w:rPr>
        <w:t>Covid-19 and a changing environment</w:t>
      </w:r>
    </w:p>
    <w:p w14:paraId="2604100C" w14:textId="77777777" w:rsidR="003250E3" w:rsidRPr="003250E3" w:rsidRDefault="003250E3" w:rsidP="003250E3">
      <w:pPr>
        <w:spacing w:after="160" w:line="259" w:lineRule="auto"/>
        <w:jc w:val="both"/>
        <w:rPr>
          <w:rFonts w:ascii="Verdana" w:eastAsia="Calibri" w:hAnsi="Verdana" w:cs="Times New Roman"/>
          <w:sz w:val="22"/>
          <w:szCs w:val="22"/>
          <w:lang w:val="en-GB"/>
        </w:rPr>
      </w:pPr>
      <w:r w:rsidRPr="003250E3">
        <w:rPr>
          <w:rFonts w:ascii="Verdana" w:eastAsia="Calibri" w:hAnsi="Verdana" w:cs="Times New Roman"/>
          <w:sz w:val="22"/>
          <w:szCs w:val="22"/>
          <w:lang w:val="en-GB"/>
        </w:rPr>
        <w:t>The Covid-19 pandemic has changed the balance of demand upon the service significantly; reducing demand in some areas such as domestic burglary and serious violence, while increasing demand in others such as domestic abuse. In addition to operational demand, the pandemic has necessitated a range of new ways of working; changing the use of the Force’s estate, and increasing the amount of remote working wherever possible. The Force has responded to these challenges, significantly accelerating the pace of development and roll-out of collaborative technology.</w:t>
      </w:r>
    </w:p>
    <w:p w14:paraId="04E875E7" w14:textId="77777777" w:rsidR="003250E3" w:rsidRPr="003250E3" w:rsidRDefault="003250E3" w:rsidP="003250E3">
      <w:pPr>
        <w:spacing w:after="160" w:line="259" w:lineRule="auto"/>
        <w:jc w:val="both"/>
        <w:rPr>
          <w:rFonts w:ascii="Verdana" w:eastAsia="Calibri" w:hAnsi="Verdana" w:cs="Times New Roman"/>
          <w:sz w:val="22"/>
          <w:szCs w:val="22"/>
          <w:lang w:val="en-GB"/>
        </w:rPr>
      </w:pPr>
      <w:r w:rsidRPr="003250E3">
        <w:rPr>
          <w:rFonts w:ascii="Verdana" w:eastAsia="Calibri" w:hAnsi="Verdana" w:cs="Times New Roman"/>
          <w:sz w:val="22"/>
          <w:szCs w:val="22"/>
          <w:lang w:val="en-GB"/>
        </w:rPr>
        <w:t>Surrey Police has worked closely with other forces and a range of local partners in response to the pandemic; with Sussex Police in a collaborated police response, and with local authority and health partners via the Local Resilience Forum and other partnership arrangements. These relationships – whether new partnerships forged in response to Covid-19, or existing partnerships that have been strengthened and refined – provide significant opportunities for Surrey Police, and the Force will continue to build on these.</w:t>
      </w:r>
    </w:p>
    <w:p w14:paraId="3C0A70D8" w14:textId="77777777" w:rsidR="003250E3" w:rsidRDefault="003250E3" w:rsidP="003250E3">
      <w:pPr>
        <w:spacing w:after="160" w:line="259" w:lineRule="auto"/>
        <w:jc w:val="both"/>
        <w:rPr>
          <w:rFonts w:ascii="Verdana" w:eastAsia="Calibri" w:hAnsi="Verdana" w:cs="Times New Roman"/>
          <w:b/>
          <w:sz w:val="22"/>
          <w:szCs w:val="22"/>
          <w:lang w:val="en-GB"/>
        </w:rPr>
      </w:pPr>
    </w:p>
    <w:p w14:paraId="64FFD4B7" w14:textId="77777777" w:rsidR="003250E3" w:rsidRPr="003250E3" w:rsidRDefault="003250E3" w:rsidP="003250E3">
      <w:pPr>
        <w:spacing w:after="160" w:line="259" w:lineRule="auto"/>
        <w:jc w:val="both"/>
        <w:rPr>
          <w:rFonts w:ascii="Verdana" w:eastAsia="Calibri" w:hAnsi="Verdana" w:cs="Times New Roman"/>
          <w:b/>
          <w:sz w:val="22"/>
          <w:szCs w:val="22"/>
          <w:lang w:val="en-GB"/>
        </w:rPr>
      </w:pPr>
      <w:r w:rsidRPr="003250E3">
        <w:rPr>
          <w:rFonts w:ascii="Verdana" w:eastAsia="Calibri" w:hAnsi="Verdana" w:cs="Times New Roman"/>
          <w:b/>
          <w:sz w:val="22"/>
          <w:szCs w:val="22"/>
          <w:lang w:val="en-GB"/>
        </w:rPr>
        <w:t>Adapting to the Future</w:t>
      </w:r>
    </w:p>
    <w:p w14:paraId="45905A5B" w14:textId="77777777" w:rsidR="003250E3" w:rsidRPr="003250E3" w:rsidRDefault="003250E3" w:rsidP="003250E3">
      <w:pPr>
        <w:spacing w:after="160" w:line="259" w:lineRule="auto"/>
        <w:jc w:val="both"/>
        <w:rPr>
          <w:rFonts w:ascii="Verdana" w:eastAsia="Calibri" w:hAnsi="Verdana" w:cs="Times New Roman"/>
          <w:sz w:val="22"/>
          <w:szCs w:val="22"/>
          <w:lang w:val="en-GB"/>
        </w:rPr>
      </w:pPr>
      <w:r w:rsidRPr="003250E3">
        <w:rPr>
          <w:rFonts w:ascii="Verdana" w:eastAsia="Calibri" w:hAnsi="Verdana" w:cs="Times New Roman"/>
          <w:sz w:val="22"/>
          <w:szCs w:val="22"/>
          <w:lang w:val="en-GB"/>
        </w:rPr>
        <w:t>There can be no doubt that the Covid-19 pandemic has changed society permanently. While some ways of life will return to a pre-pandemic normality over time, other changes are unlikely to be reversed. In many ways, the pandemic has simply accelerated societal and technological changes that were already underway, but Surrey Police does not underestimate the ongoing implications for the Force and the community, and the inherent uncertainties in responding to the new normality. Surrey Police is actively adopting the best of the changes that it made to ways of working, and working with a range of partners and the public to understand the ongoing impact of the pandemic on Surrey and wider society.</w:t>
      </w:r>
    </w:p>
    <w:p w14:paraId="4DE721C9" w14:textId="77777777" w:rsidR="003250E3" w:rsidRPr="003250E3" w:rsidRDefault="003250E3" w:rsidP="003250E3">
      <w:pPr>
        <w:spacing w:after="160" w:line="259" w:lineRule="auto"/>
        <w:jc w:val="both"/>
        <w:rPr>
          <w:rFonts w:ascii="Verdana" w:eastAsia="Calibri" w:hAnsi="Verdana" w:cs="Times New Roman"/>
          <w:b/>
          <w:sz w:val="22"/>
          <w:szCs w:val="22"/>
          <w:lang w:val="en-GB"/>
        </w:rPr>
      </w:pPr>
      <w:r w:rsidRPr="003250E3">
        <w:rPr>
          <w:rFonts w:ascii="Verdana" w:eastAsia="Calibri" w:hAnsi="Verdana" w:cs="Times New Roman"/>
          <w:b/>
          <w:sz w:val="22"/>
          <w:szCs w:val="22"/>
          <w:lang w:val="en-GB"/>
        </w:rPr>
        <w:t>Our Commitments</w:t>
      </w:r>
    </w:p>
    <w:p w14:paraId="3707F5DC" w14:textId="77777777" w:rsidR="003250E3" w:rsidRPr="003250E3" w:rsidRDefault="003250E3" w:rsidP="003250E3">
      <w:pPr>
        <w:spacing w:after="160" w:line="259" w:lineRule="auto"/>
        <w:jc w:val="both"/>
        <w:rPr>
          <w:rFonts w:ascii="Verdana" w:eastAsia="Calibri" w:hAnsi="Verdana" w:cs="Times New Roman"/>
          <w:sz w:val="22"/>
          <w:szCs w:val="22"/>
          <w:lang w:val="en-GB"/>
        </w:rPr>
      </w:pPr>
      <w:r w:rsidRPr="003250E3">
        <w:rPr>
          <w:rFonts w:ascii="Verdana" w:eastAsia="Calibri" w:hAnsi="Verdana" w:cs="Times New Roman"/>
          <w:sz w:val="22"/>
          <w:szCs w:val="22"/>
          <w:lang w:val="en-GB"/>
        </w:rPr>
        <w:t>Recognising the need for staff and public to see and understand a clear vision and strategy for the Force – never more so than in the midst of the turbulence caused by the Covid-19 pandemic – in September 2020 Surrey Police set out its strategy as “Our Commitments” to our Communities, our Force, and our People. The Force will use this framework to focus activity over the next five years.</w:t>
      </w:r>
    </w:p>
    <w:p w14:paraId="476FCA98" w14:textId="77777777" w:rsidR="003250E3" w:rsidRPr="003250E3" w:rsidRDefault="003250E3" w:rsidP="003250E3">
      <w:pPr>
        <w:spacing w:after="160" w:line="259" w:lineRule="auto"/>
        <w:jc w:val="both"/>
        <w:rPr>
          <w:rFonts w:ascii="Verdana" w:eastAsia="Calibri" w:hAnsi="Verdana" w:cs="Times New Roman"/>
          <w:sz w:val="22"/>
          <w:szCs w:val="22"/>
          <w:lang w:val="en-GB"/>
        </w:rPr>
      </w:pPr>
      <w:r w:rsidRPr="003250E3">
        <w:rPr>
          <w:rFonts w:ascii="Verdana" w:eastAsia="Calibri" w:hAnsi="Verdana" w:cs="Times New Roman"/>
          <w:sz w:val="22"/>
          <w:szCs w:val="22"/>
          <w:lang w:val="en-GB"/>
        </w:rPr>
        <w:t>Surrey Police Commitments 2020/25 - Be safe, feel safe. They aim to ensure Surrey is a county that is safe, and feels safe as follows:</w:t>
      </w:r>
    </w:p>
    <w:p w14:paraId="26BC029C" w14:textId="77777777" w:rsidR="003250E3" w:rsidRPr="003250E3" w:rsidRDefault="003250E3" w:rsidP="003250E3">
      <w:pPr>
        <w:numPr>
          <w:ilvl w:val="0"/>
          <w:numId w:val="28"/>
        </w:numPr>
        <w:spacing w:line="259" w:lineRule="auto"/>
        <w:jc w:val="both"/>
        <w:rPr>
          <w:rFonts w:ascii="Verdana" w:eastAsia="Calibri" w:hAnsi="Verdana" w:cs="Times New Roman"/>
          <w:b/>
          <w:sz w:val="22"/>
          <w:szCs w:val="22"/>
          <w:lang w:val="en-GB"/>
        </w:rPr>
      </w:pPr>
      <w:r w:rsidRPr="003250E3">
        <w:rPr>
          <w:rFonts w:ascii="Verdana" w:eastAsia="Calibri" w:hAnsi="Verdana" w:cs="Times New Roman"/>
          <w:b/>
          <w:sz w:val="22"/>
          <w:szCs w:val="22"/>
          <w:lang w:val="en-GB"/>
        </w:rPr>
        <w:t>Our Force:</w:t>
      </w:r>
    </w:p>
    <w:p w14:paraId="15BCE8E6" w14:textId="77777777" w:rsidR="003250E3" w:rsidRPr="003250E3" w:rsidRDefault="003250E3" w:rsidP="003250E3">
      <w:pPr>
        <w:ind w:left="720"/>
        <w:jc w:val="both"/>
        <w:rPr>
          <w:rFonts w:ascii="Verdana" w:eastAsia="Calibri" w:hAnsi="Verdana" w:cs="Times New Roman"/>
          <w:b/>
          <w:sz w:val="10"/>
          <w:szCs w:val="10"/>
          <w:lang w:val="en-GB"/>
        </w:rPr>
      </w:pPr>
    </w:p>
    <w:p w14:paraId="0B3F8B50" w14:textId="77777777" w:rsidR="003250E3" w:rsidRPr="003250E3" w:rsidRDefault="003250E3" w:rsidP="003250E3">
      <w:pPr>
        <w:numPr>
          <w:ilvl w:val="1"/>
          <w:numId w:val="28"/>
        </w:numPr>
        <w:spacing w:line="259" w:lineRule="auto"/>
        <w:jc w:val="both"/>
        <w:rPr>
          <w:rFonts w:ascii="Verdana" w:eastAsia="Calibri" w:hAnsi="Verdana" w:cs="Times New Roman"/>
          <w:b/>
          <w:sz w:val="20"/>
          <w:szCs w:val="20"/>
          <w:lang w:val="en-GB"/>
        </w:rPr>
      </w:pPr>
      <w:r w:rsidRPr="003250E3">
        <w:rPr>
          <w:rFonts w:ascii="Verdana" w:eastAsia="Calibri" w:hAnsi="Verdana" w:cs="Times New Roman"/>
          <w:b/>
          <w:sz w:val="20"/>
          <w:szCs w:val="20"/>
          <w:lang w:val="en-GB"/>
        </w:rPr>
        <w:t>Prevention</w:t>
      </w:r>
    </w:p>
    <w:p w14:paraId="1FD021AE" w14:textId="77777777" w:rsidR="003250E3" w:rsidRPr="003250E3" w:rsidRDefault="003250E3" w:rsidP="003250E3">
      <w:pPr>
        <w:numPr>
          <w:ilvl w:val="2"/>
          <w:numId w:val="28"/>
        </w:numPr>
        <w:spacing w:line="259" w:lineRule="auto"/>
        <w:ind w:left="2154" w:hanging="357"/>
        <w:jc w:val="both"/>
        <w:rPr>
          <w:rFonts w:ascii="Verdana" w:eastAsia="Calibri" w:hAnsi="Verdana" w:cs="Times New Roman"/>
          <w:sz w:val="18"/>
          <w:szCs w:val="18"/>
          <w:lang w:val="en-GB"/>
        </w:rPr>
      </w:pPr>
      <w:r w:rsidRPr="003250E3">
        <w:rPr>
          <w:rFonts w:ascii="Verdana" w:eastAsia="Calibri" w:hAnsi="Verdana" w:cs="Times New Roman"/>
          <w:sz w:val="18"/>
          <w:szCs w:val="18"/>
          <w:lang w:val="en-GB"/>
        </w:rPr>
        <w:t>We will proactively tackle the causes of crime and disorder</w:t>
      </w:r>
    </w:p>
    <w:p w14:paraId="0EA8CABC" w14:textId="77777777" w:rsidR="003250E3" w:rsidRPr="003250E3" w:rsidRDefault="003250E3" w:rsidP="003250E3">
      <w:pPr>
        <w:numPr>
          <w:ilvl w:val="2"/>
          <w:numId w:val="28"/>
        </w:numPr>
        <w:spacing w:line="259" w:lineRule="auto"/>
        <w:ind w:left="2154" w:hanging="357"/>
        <w:jc w:val="both"/>
        <w:rPr>
          <w:rFonts w:ascii="Verdana" w:eastAsia="Calibri" w:hAnsi="Verdana" w:cs="Times New Roman"/>
          <w:sz w:val="18"/>
          <w:szCs w:val="18"/>
          <w:lang w:val="en-GB"/>
        </w:rPr>
      </w:pPr>
      <w:r w:rsidRPr="003250E3">
        <w:rPr>
          <w:rFonts w:ascii="Verdana" w:eastAsia="Calibri" w:hAnsi="Verdana" w:cs="Times New Roman"/>
          <w:sz w:val="18"/>
          <w:szCs w:val="18"/>
          <w:lang w:val="en-GB"/>
        </w:rPr>
        <w:t>We will spot problems early; acting promptly to make a difference, and avoiding quick fixes that don’t last</w:t>
      </w:r>
    </w:p>
    <w:p w14:paraId="7C763C73" w14:textId="77777777" w:rsidR="003250E3" w:rsidRPr="003250E3" w:rsidRDefault="003250E3" w:rsidP="003250E3">
      <w:pPr>
        <w:numPr>
          <w:ilvl w:val="2"/>
          <w:numId w:val="28"/>
        </w:numPr>
        <w:spacing w:line="259" w:lineRule="auto"/>
        <w:ind w:left="2154" w:hanging="357"/>
        <w:jc w:val="both"/>
        <w:rPr>
          <w:rFonts w:ascii="Verdana" w:eastAsia="Calibri" w:hAnsi="Verdana" w:cs="Times New Roman"/>
          <w:sz w:val="18"/>
          <w:szCs w:val="18"/>
          <w:lang w:val="en-GB"/>
        </w:rPr>
      </w:pPr>
      <w:r w:rsidRPr="003250E3">
        <w:rPr>
          <w:rFonts w:ascii="Verdana" w:eastAsia="Calibri" w:hAnsi="Verdana" w:cs="Times New Roman"/>
          <w:sz w:val="18"/>
          <w:szCs w:val="18"/>
          <w:lang w:val="en-GB"/>
        </w:rPr>
        <w:t>All of our staff will use the same problem solving approach</w:t>
      </w:r>
    </w:p>
    <w:p w14:paraId="5EFA03C8" w14:textId="77777777" w:rsidR="003250E3" w:rsidRPr="003250E3" w:rsidRDefault="003250E3" w:rsidP="003250E3">
      <w:pPr>
        <w:numPr>
          <w:ilvl w:val="1"/>
          <w:numId w:val="28"/>
        </w:numPr>
        <w:spacing w:line="259" w:lineRule="auto"/>
        <w:jc w:val="both"/>
        <w:rPr>
          <w:rFonts w:ascii="Verdana" w:eastAsia="Calibri" w:hAnsi="Verdana" w:cs="Times New Roman"/>
          <w:b/>
          <w:sz w:val="20"/>
          <w:szCs w:val="20"/>
          <w:lang w:val="en-GB"/>
        </w:rPr>
      </w:pPr>
      <w:r w:rsidRPr="003250E3">
        <w:rPr>
          <w:rFonts w:ascii="Verdana" w:eastAsia="Calibri" w:hAnsi="Verdana" w:cs="Times New Roman"/>
          <w:b/>
          <w:sz w:val="20"/>
          <w:szCs w:val="20"/>
          <w:lang w:val="en-GB"/>
        </w:rPr>
        <w:t>Partnership</w:t>
      </w:r>
    </w:p>
    <w:p w14:paraId="3870012C" w14:textId="77777777" w:rsidR="003250E3" w:rsidRPr="003250E3" w:rsidRDefault="003250E3" w:rsidP="003250E3">
      <w:pPr>
        <w:numPr>
          <w:ilvl w:val="2"/>
          <w:numId w:val="28"/>
        </w:numPr>
        <w:spacing w:line="259" w:lineRule="auto"/>
        <w:ind w:left="2154" w:hanging="357"/>
        <w:jc w:val="both"/>
        <w:rPr>
          <w:rFonts w:ascii="Verdana" w:eastAsia="Calibri" w:hAnsi="Verdana" w:cs="Times New Roman"/>
          <w:sz w:val="18"/>
          <w:szCs w:val="18"/>
          <w:lang w:val="en-GB"/>
        </w:rPr>
      </w:pPr>
      <w:r w:rsidRPr="003250E3">
        <w:rPr>
          <w:rFonts w:ascii="Verdana" w:eastAsia="Calibri" w:hAnsi="Verdana" w:cs="Times New Roman"/>
          <w:sz w:val="18"/>
          <w:szCs w:val="18"/>
          <w:lang w:val="en-GB"/>
        </w:rPr>
        <w:t>We will work with everyone who can help make our communities safer</w:t>
      </w:r>
    </w:p>
    <w:p w14:paraId="3BE9D5F1" w14:textId="77777777" w:rsidR="003250E3" w:rsidRPr="003250E3" w:rsidRDefault="003250E3" w:rsidP="003250E3">
      <w:pPr>
        <w:numPr>
          <w:ilvl w:val="2"/>
          <w:numId w:val="28"/>
        </w:numPr>
        <w:spacing w:line="259" w:lineRule="auto"/>
        <w:ind w:left="2154" w:hanging="357"/>
        <w:jc w:val="both"/>
        <w:rPr>
          <w:rFonts w:ascii="Verdana" w:eastAsia="Calibri" w:hAnsi="Verdana" w:cs="Times New Roman"/>
          <w:sz w:val="18"/>
          <w:szCs w:val="18"/>
          <w:lang w:val="en-GB"/>
        </w:rPr>
      </w:pPr>
      <w:r w:rsidRPr="003250E3">
        <w:rPr>
          <w:rFonts w:ascii="Verdana" w:eastAsia="Calibri" w:hAnsi="Verdana" w:cs="Times New Roman"/>
          <w:sz w:val="18"/>
          <w:szCs w:val="18"/>
          <w:lang w:val="en-GB"/>
        </w:rPr>
        <w:t>We will continue to invest in the strength of our partnerships with Sussex Police and the region</w:t>
      </w:r>
    </w:p>
    <w:p w14:paraId="14C15A0B" w14:textId="77777777" w:rsidR="003250E3" w:rsidRPr="003250E3" w:rsidRDefault="003250E3" w:rsidP="003250E3">
      <w:pPr>
        <w:numPr>
          <w:ilvl w:val="2"/>
          <w:numId w:val="28"/>
        </w:numPr>
        <w:spacing w:line="259" w:lineRule="auto"/>
        <w:ind w:left="2154" w:hanging="357"/>
        <w:jc w:val="both"/>
        <w:rPr>
          <w:rFonts w:ascii="Verdana" w:eastAsia="Calibri" w:hAnsi="Verdana" w:cs="Times New Roman"/>
          <w:sz w:val="18"/>
          <w:szCs w:val="18"/>
          <w:lang w:val="en-GB"/>
        </w:rPr>
      </w:pPr>
      <w:r w:rsidRPr="003250E3">
        <w:rPr>
          <w:rFonts w:ascii="Verdana" w:eastAsia="Calibri" w:hAnsi="Verdana" w:cs="Times New Roman"/>
          <w:sz w:val="18"/>
          <w:szCs w:val="18"/>
          <w:lang w:val="en-GB"/>
        </w:rPr>
        <w:t>Through trusted relationships, we will solve the problems that cause people most harm, and be judged on our outcomes</w:t>
      </w:r>
    </w:p>
    <w:p w14:paraId="58A80327" w14:textId="77777777" w:rsidR="003250E3" w:rsidRPr="003250E3" w:rsidRDefault="003250E3" w:rsidP="003250E3">
      <w:pPr>
        <w:numPr>
          <w:ilvl w:val="1"/>
          <w:numId w:val="28"/>
        </w:numPr>
        <w:spacing w:line="259" w:lineRule="auto"/>
        <w:jc w:val="both"/>
        <w:rPr>
          <w:rFonts w:ascii="Verdana" w:eastAsia="Calibri" w:hAnsi="Verdana" w:cs="Times New Roman"/>
          <w:b/>
          <w:sz w:val="20"/>
          <w:szCs w:val="20"/>
          <w:lang w:val="en-GB"/>
        </w:rPr>
      </w:pPr>
      <w:r w:rsidRPr="003250E3">
        <w:rPr>
          <w:rFonts w:ascii="Verdana" w:eastAsia="Calibri" w:hAnsi="Verdana" w:cs="Times New Roman"/>
          <w:b/>
          <w:sz w:val="20"/>
          <w:szCs w:val="20"/>
          <w:lang w:val="en-GB"/>
        </w:rPr>
        <w:t>Potential</w:t>
      </w:r>
    </w:p>
    <w:p w14:paraId="408DE0FC" w14:textId="77777777" w:rsidR="003250E3" w:rsidRPr="003250E3" w:rsidRDefault="003250E3" w:rsidP="003250E3">
      <w:pPr>
        <w:numPr>
          <w:ilvl w:val="2"/>
          <w:numId w:val="28"/>
        </w:numPr>
        <w:spacing w:line="259" w:lineRule="auto"/>
        <w:ind w:left="2154" w:hanging="357"/>
        <w:jc w:val="both"/>
        <w:rPr>
          <w:rFonts w:ascii="Verdana" w:eastAsia="Calibri" w:hAnsi="Verdana" w:cs="Times New Roman"/>
          <w:sz w:val="18"/>
          <w:szCs w:val="18"/>
          <w:lang w:val="en-GB"/>
        </w:rPr>
      </w:pPr>
      <w:r w:rsidRPr="003250E3">
        <w:rPr>
          <w:rFonts w:ascii="Verdana" w:eastAsia="Calibri" w:hAnsi="Verdana" w:cs="Times New Roman"/>
          <w:sz w:val="18"/>
          <w:szCs w:val="18"/>
          <w:lang w:val="en-GB"/>
        </w:rPr>
        <w:t>We will become a more diverse organisation in order to be better at what we do</w:t>
      </w:r>
    </w:p>
    <w:p w14:paraId="1DFCFA04" w14:textId="77777777" w:rsidR="003250E3" w:rsidRPr="003250E3" w:rsidRDefault="003250E3" w:rsidP="003250E3">
      <w:pPr>
        <w:numPr>
          <w:ilvl w:val="2"/>
          <w:numId w:val="28"/>
        </w:numPr>
        <w:spacing w:line="259" w:lineRule="auto"/>
        <w:ind w:left="2154" w:hanging="357"/>
        <w:jc w:val="both"/>
        <w:rPr>
          <w:rFonts w:ascii="Verdana" w:eastAsia="Calibri" w:hAnsi="Verdana" w:cs="Times New Roman"/>
          <w:sz w:val="18"/>
          <w:szCs w:val="18"/>
          <w:lang w:val="en-GB"/>
        </w:rPr>
      </w:pPr>
      <w:r w:rsidRPr="003250E3">
        <w:rPr>
          <w:rFonts w:ascii="Verdana" w:eastAsia="Calibri" w:hAnsi="Verdana" w:cs="Times New Roman"/>
          <w:sz w:val="18"/>
          <w:szCs w:val="18"/>
          <w:lang w:val="en-GB"/>
        </w:rPr>
        <w:t>We will invest in technology to get the very best out of our information</w:t>
      </w:r>
    </w:p>
    <w:p w14:paraId="0D103676" w14:textId="77777777" w:rsidR="003250E3" w:rsidRPr="003250E3" w:rsidRDefault="003250E3" w:rsidP="003250E3">
      <w:pPr>
        <w:numPr>
          <w:ilvl w:val="2"/>
          <w:numId w:val="28"/>
        </w:numPr>
        <w:spacing w:line="259" w:lineRule="auto"/>
        <w:ind w:left="2154" w:hanging="357"/>
        <w:jc w:val="both"/>
        <w:rPr>
          <w:rFonts w:ascii="Verdana" w:eastAsia="Calibri" w:hAnsi="Verdana" w:cs="Times New Roman"/>
          <w:sz w:val="18"/>
          <w:szCs w:val="18"/>
          <w:lang w:val="en-GB"/>
        </w:rPr>
      </w:pPr>
      <w:r w:rsidRPr="003250E3">
        <w:rPr>
          <w:rFonts w:ascii="Verdana" w:eastAsia="Calibri" w:hAnsi="Verdana" w:cs="Times New Roman"/>
          <w:sz w:val="18"/>
          <w:szCs w:val="18"/>
          <w:lang w:val="en-GB"/>
        </w:rPr>
        <w:t>We will all take responsibility to protect the environment for future generations</w:t>
      </w:r>
    </w:p>
    <w:p w14:paraId="4205F986" w14:textId="77777777" w:rsidR="003250E3" w:rsidRPr="003250E3" w:rsidRDefault="003250E3" w:rsidP="003250E3">
      <w:pPr>
        <w:ind w:left="2154"/>
        <w:jc w:val="both"/>
        <w:rPr>
          <w:rFonts w:ascii="Verdana" w:eastAsia="Calibri" w:hAnsi="Verdana" w:cs="Times New Roman"/>
          <w:sz w:val="18"/>
          <w:szCs w:val="18"/>
          <w:lang w:val="en-GB"/>
        </w:rPr>
      </w:pPr>
    </w:p>
    <w:p w14:paraId="7A426D68" w14:textId="24FB8D6D" w:rsidR="003250E3" w:rsidRPr="003250E3" w:rsidRDefault="003250E3" w:rsidP="003250E3">
      <w:pPr>
        <w:numPr>
          <w:ilvl w:val="0"/>
          <w:numId w:val="28"/>
        </w:numPr>
        <w:spacing w:line="259" w:lineRule="auto"/>
        <w:jc w:val="both"/>
        <w:rPr>
          <w:rFonts w:ascii="Verdana" w:eastAsia="Calibri" w:hAnsi="Verdana" w:cs="Times New Roman"/>
          <w:b/>
          <w:sz w:val="22"/>
          <w:szCs w:val="22"/>
          <w:lang w:val="en-GB"/>
        </w:rPr>
      </w:pPr>
      <w:r w:rsidRPr="003250E3">
        <w:rPr>
          <w:rFonts w:ascii="Verdana" w:eastAsia="Calibri" w:hAnsi="Verdana" w:cs="Times New Roman"/>
          <w:b/>
          <w:sz w:val="22"/>
          <w:szCs w:val="22"/>
          <w:lang w:val="en-GB"/>
        </w:rPr>
        <w:t>Our Communities</w:t>
      </w:r>
      <w:r>
        <w:rPr>
          <w:rFonts w:ascii="Verdana" w:eastAsia="Calibri" w:hAnsi="Verdana" w:cs="Times New Roman"/>
          <w:b/>
          <w:sz w:val="22"/>
          <w:szCs w:val="22"/>
          <w:lang w:val="en-GB"/>
        </w:rPr>
        <w:t>:</w:t>
      </w:r>
    </w:p>
    <w:p w14:paraId="616C25EA" w14:textId="77777777" w:rsidR="003250E3" w:rsidRPr="003250E3" w:rsidRDefault="003250E3" w:rsidP="003250E3">
      <w:pPr>
        <w:ind w:left="720"/>
        <w:jc w:val="both"/>
        <w:rPr>
          <w:rFonts w:ascii="Verdana" w:eastAsia="Calibri" w:hAnsi="Verdana" w:cs="Times New Roman"/>
          <w:b/>
          <w:sz w:val="10"/>
          <w:szCs w:val="10"/>
          <w:lang w:val="en-GB"/>
        </w:rPr>
      </w:pPr>
    </w:p>
    <w:p w14:paraId="0CF77B05" w14:textId="77777777" w:rsidR="003250E3" w:rsidRPr="003250E3" w:rsidRDefault="003250E3" w:rsidP="003250E3">
      <w:pPr>
        <w:numPr>
          <w:ilvl w:val="1"/>
          <w:numId w:val="28"/>
        </w:numPr>
        <w:spacing w:line="259" w:lineRule="auto"/>
        <w:jc w:val="both"/>
        <w:rPr>
          <w:rFonts w:ascii="Verdana" w:eastAsia="Calibri" w:hAnsi="Verdana" w:cs="Times New Roman"/>
          <w:b/>
          <w:sz w:val="20"/>
          <w:szCs w:val="20"/>
          <w:lang w:val="en-GB"/>
        </w:rPr>
      </w:pPr>
      <w:r w:rsidRPr="003250E3">
        <w:rPr>
          <w:rFonts w:ascii="Verdana" w:eastAsia="Calibri" w:hAnsi="Verdana" w:cs="Times New Roman"/>
          <w:b/>
          <w:sz w:val="20"/>
          <w:szCs w:val="20"/>
          <w:lang w:val="en-GB"/>
        </w:rPr>
        <w:t>Prevent Crime</w:t>
      </w:r>
    </w:p>
    <w:p w14:paraId="0D372FB5" w14:textId="77777777" w:rsidR="003250E3" w:rsidRPr="003250E3" w:rsidRDefault="003250E3" w:rsidP="003250E3">
      <w:pPr>
        <w:numPr>
          <w:ilvl w:val="2"/>
          <w:numId w:val="28"/>
        </w:numPr>
        <w:spacing w:line="259" w:lineRule="auto"/>
        <w:ind w:left="2154" w:hanging="357"/>
        <w:jc w:val="both"/>
        <w:rPr>
          <w:rFonts w:ascii="Verdana" w:eastAsia="Calibri" w:hAnsi="Verdana" w:cs="Times New Roman"/>
          <w:sz w:val="18"/>
          <w:szCs w:val="18"/>
          <w:lang w:val="en-GB"/>
        </w:rPr>
      </w:pPr>
      <w:r w:rsidRPr="003250E3">
        <w:rPr>
          <w:rFonts w:ascii="Verdana" w:eastAsia="Calibri" w:hAnsi="Verdana" w:cs="Times New Roman"/>
          <w:sz w:val="18"/>
          <w:szCs w:val="18"/>
          <w:lang w:val="en-GB"/>
        </w:rPr>
        <w:t>We will be proactive in dealing with local issues</w:t>
      </w:r>
    </w:p>
    <w:p w14:paraId="192DF1C5" w14:textId="77777777" w:rsidR="003250E3" w:rsidRPr="003250E3" w:rsidRDefault="003250E3" w:rsidP="003250E3">
      <w:pPr>
        <w:numPr>
          <w:ilvl w:val="2"/>
          <w:numId w:val="28"/>
        </w:numPr>
        <w:spacing w:line="259" w:lineRule="auto"/>
        <w:ind w:left="2154" w:hanging="357"/>
        <w:jc w:val="both"/>
        <w:rPr>
          <w:rFonts w:ascii="Verdana" w:eastAsia="Calibri" w:hAnsi="Verdana" w:cs="Times New Roman"/>
          <w:sz w:val="18"/>
          <w:szCs w:val="18"/>
          <w:lang w:val="en-GB"/>
        </w:rPr>
      </w:pPr>
      <w:r w:rsidRPr="003250E3">
        <w:rPr>
          <w:rFonts w:ascii="Verdana" w:eastAsia="Calibri" w:hAnsi="Verdana" w:cs="Times New Roman"/>
          <w:sz w:val="18"/>
          <w:szCs w:val="18"/>
          <w:lang w:val="en-GB"/>
        </w:rPr>
        <w:t>We will ensure every community has local officers tackling local problems</w:t>
      </w:r>
    </w:p>
    <w:p w14:paraId="12A0E331" w14:textId="77777777" w:rsidR="003250E3" w:rsidRPr="003250E3" w:rsidRDefault="003250E3" w:rsidP="003250E3">
      <w:pPr>
        <w:numPr>
          <w:ilvl w:val="2"/>
          <w:numId w:val="28"/>
        </w:numPr>
        <w:spacing w:line="259" w:lineRule="auto"/>
        <w:ind w:left="2154" w:hanging="357"/>
        <w:jc w:val="both"/>
        <w:rPr>
          <w:rFonts w:ascii="Verdana" w:eastAsia="Calibri" w:hAnsi="Verdana" w:cs="Times New Roman"/>
          <w:sz w:val="18"/>
          <w:szCs w:val="18"/>
          <w:lang w:val="en-GB"/>
        </w:rPr>
      </w:pPr>
      <w:r w:rsidRPr="003250E3">
        <w:rPr>
          <w:rFonts w:ascii="Verdana" w:eastAsia="Calibri" w:hAnsi="Verdana" w:cs="Times New Roman"/>
          <w:sz w:val="18"/>
          <w:szCs w:val="18"/>
          <w:lang w:val="en-GB"/>
        </w:rPr>
        <w:t>We will help communities protect themselves from harm</w:t>
      </w:r>
    </w:p>
    <w:p w14:paraId="4138935C" w14:textId="77777777" w:rsidR="003250E3" w:rsidRPr="003250E3" w:rsidRDefault="003250E3" w:rsidP="003250E3">
      <w:pPr>
        <w:numPr>
          <w:ilvl w:val="1"/>
          <w:numId w:val="28"/>
        </w:numPr>
        <w:spacing w:line="259" w:lineRule="auto"/>
        <w:jc w:val="both"/>
        <w:rPr>
          <w:rFonts w:ascii="Verdana" w:eastAsia="Calibri" w:hAnsi="Verdana" w:cs="Times New Roman"/>
          <w:b/>
          <w:sz w:val="20"/>
          <w:szCs w:val="20"/>
          <w:lang w:val="en-GB"/>
        </w:rPr>
      </w:pPr>
      <w:r w:rsidRPr="003250E3">
        <w:rPr>
          <w:rFonts w:ascii="Verdana" w:eastAsia="Calibri" w:hAnsi="Verdana" w:cs="Times New Roman"/>
          <w:b/>
          <w:sz w:val="20"/>
          <w:szCs w:val="20"/>
          <w:lang w:val="en-GB"/>
        </w:rPr>
        <w:t>Protect our communities</w:t>
      </w:r>
    </w:p>
    <w:p w14:paraId="327A11FB" w14:textId="77777777" w:rsidR="003250E3" w:rsidRPr="003250E3" w:rsidRDefault="003250E3" w:rsidP="003250E3">
      <w:pPr>
        <w:numPr>
          <w:ilvl w:val="2"/>
          <w:numId w:val="28"/>
        </w:numPr>
        <w:spacing w:line="259" w:lineRule="auto"/>
        <w:ind w:left="2154" w:hanging="357"/>
        <w:jc w:val="both"/>
        <w:rPr>
          <w:rFonts w:ascii="Verdana" w:eastAsia="Calibri" w:hAnsi="Verdana" w:cs="Times New Roman"/>
          <w:sz w:val="18"/>
          <w:szCs w:val="18"/>
          <w:lang w:val="en-GB"/>
        </w:rPr>
      </w:pPr>
      <w:r w:rsidRPr="003250E3">
        <w:rPr>
          <w:rFonts w:ascii="Verdana" w:eastAsia="Calibri" w:hAnsi="Verdana" w:cs="Times New Roman"/>
          <w:sz w:val="18"/>
          <w:szCs w:val="18"/>
          <w:lang w:val="en-GB"/>
        </w:rPr>
        <w:t>We will work with others to help the vulnerable</w:t>
      </w:r>
    </w:p>
    <w:p w14:paraId="101090B2" w14:textId="77777777" w:rsidR="003250E3" w:rsidRPr="003250E3" w:rsidRDefault="003250E3" w:rsidP="003250E3">
      <w:pPr>
        <w:numPr>
          <w:ilvl w:val="2"/>
          <w:numId w:val="28"/>
        </w:numPr>
        <w:spacing w:line="259" w:lineRule="auto"/>
        <w:ind w:left="2154" w:hanging="357"/>
        <w:jc w:val="both"/>
        <w:rPr>
          <w:rFonts w:ascii="Verdana" w:eastAsia="Calibri" w:hAnsi="Verdana" w:cs="Times New Roman"/>
          <w:sz w:val="18"/>
          <w:szCs w:val="18"/>
          <w:lang w:val="en-GB"/>
        </w:rPr>
      </w:pPr>
      <w:r w:rsidRPr="003250E3">
        <w:rPr>
          <w:rFonts w:ascii="Verdana" w:eastAsia="Calibri" w:hAnsi="Verdana" w:cs="Times New Roman"/>
          <w:sz w:val="18"/>
          <w:szCs w:val="18"/>
          <w:lang w:val="en-GB"/>
        </w:rPr>
        <w:t>We will respond effectively to help people in crisis</w:t>
      </w:r>
    </w:p>
    <w:p w14:paraId="668BAD37" w14:textId="77777777" w:rsidR="003250E3" w:rsidRPr="003250E3" w:rsidRDefault="003250E3" w:rsidP="003250E3">
      <w:pPr>
        <w:numPr>
          <w:ilvl w:val="2"/>
          <w:numId w:val="28"/>
        </w:numPr>
        <w:spacing w:line="259" w:lineRule="auto"/>
        <w:ind w:left="2154" w:hanging="357"/>
        <w:jc w:val="both"/>
        <w:rPr>
          <w:rFonts w:ascii="Verdana" w:eastAsia="Calibri" w:hAnsi="Verdana" w:cs="Times New Roman"/>
          <w:sz w:val="18"/>
          <w:szCs w:val="18"/>
          <w:lang w:val="en-GB"/>
        </w:rPr>
      </w:pPr>
      <w:r w:rsidRPr="003250E3">
        <w:rPr>
          <w:rFonts w:ascii="Verdana" w:eastAsia="Calibri" w:hAnsi="Verdana" w:cs="Times New Roman"/>
          <w:sz w:val="18"/>
          <w:szCs w:val="18"/>
          <w:lang w:val="en-GB"/>
        </w:rPr>
        <w:t>We will protect communities from crimes and incidents that cause the most harm</w:t>
      </w:r>
    </w:p>
    <w:p w14:paraId="17810BCC" w14:textId="77777777" w:rsidR="003250E3" w:rsidRPr="003250E3" w:rsidRDefault="003250E3" w:rsidP="003250E3">
      <w:pPr>
        <w:numPr>
          <w:ilvl w:val="1"/>
          <w:numId w:val="28"/>
        </w:numPr>
        <w:spacing w:line="259" w:lineRule="auto"/>
        <w:jc w:val="both"/>
        <w:rPr>
          <w:rFonts w:ascii="Verdana" w:eastAsia="Calibri" w:hAnsi="Verdana" w:cs="Times New Roman"/>
          <w:b/>
          <w:sz w:val="20"/>
          <w:szCs w:val="20"/>
          <w:lang w:val="en-GB"/>
        </w:rPr>
      </w:pPr>
      <w:r w:rsidRPr="003250E3">
        <w:rPr>
          <w:rFonts w:ascii="Verdana" w:eastAsia="Calibri" w:hAnsi="Verdana" w:cs="Times New Roman"/>
          <w:b/>
          <w:sz w:val="20"/>
          <w:szCs w:val="20"/>
          <w:lang w:val="en-GB"/>
        </w:rPr>
        <w:t>Pursue offenders</w:t>
      </w:r>
    </w:p>
    <w:p w14:paraId="4CAE4B67" w14:textId="77777777" w:rsidR="003250E3" w:rsidRPr="003250E3" w:rsidRDefault="003250E3" w:rsidP="003250E3">
      <w:pPr>
        <w:numPr>
          <w:ilvl w:val="2"/>
          <w:numId w:val="28"/>
        </w:numPr>
        <w:spacing w:line="259" w:lineRule="auto"/>
        <w:ind w:left="2154" w:hanging="357"/>
        <w:jc w:val="both"/>
        <w:rPr>
          <w:rFonts w:ascii="Verdana" w:eastAsia="Calibri" w:hAnsi="Verdana" w:cs="Times New Roman"/>
          <w:sz w:val="18"/>
          <w:szCs w:val="18"/>
          <w:lang w:val="en-GB"/>
        </w:rPr>
      </w:pPr>
      <w:r w:rsidRPr="003250E3">
        <w:rPr>
          <w:rFonts w:ascii="Verdana" w:eastAsia="Calibri" w:hAnsi="Verdana" w:cs="Times New Roman"/>
          <w:sz w:val="18"/>
          <w:szCs w:val="18"/>
          <w:lang w:val="en-GB"/>
        </w:rPr>
        <w:t>We will put victims first, and complete high quality investigations to bring more offenders to justice</w:t>
      </w:r>
    </w:p>
    <w:p w14:paraId="558F9465" w14:textId="77777777" w:rsidR="003250E3" w:rsidRPr="003250E3" w:rsidRDefault="003250E3" w:rsidP="003250E3">
      <w:pPr>
        <w:numPr>
          <w:ilvl w:val="2"/>
          <w:numId w:val="28"/>
        </w:numPr>
        <w:spacing w:line="259" w:lineRule="auto"/>
        <w:ind w:left="2154" w:hanging="357"/>
        <w:jc w:val="both"/>
        <w:rPr>
          <w:rFonts w:ascii="Verdana" w:eastAsia="Calibri" w:hAnsi="Verdana" w:cs="Times New Roman"/>
          <w:sz w:val="18"/>
          <w:szCs w:val="18"/>
          <w:lang w:val="en-GB"/>
        </w:rPr>
      </w:pPr>
      <w:r w:rsidRPr="003250E3">
        <w:rPr>
          <w:rFonts w:ascii="Verdana" w:eastAsia="Calibri" w:hAnsi="Verdana" w:cs="Times New Roman"/>
          <w:sz w:val="18"/>
          <w:szCs w:val="18"/>
          <w:lang w:val="en-GB"/>
        </w:rPr>
        <w:t>We will target serious, harmful and persistent offenders; particularly those who prey on the vulnerable</w:t>
      </w:r>
    </w:p>
    <w:p w14:paraId="003CC8B4" w14:textId="77777777" w:rsidR="003250E3" w:rsidRPr="003250E3" w:rsidRDefault="003250E3" w:rsidP="003250E3">
      <w:pPr>
        <w:numPr>
          <w:ilvl w:val="2"/>
          <w:numId w:val="28"/>
        </w:numPr>
        <w:spacing w:line="259" w:lineRule="auto"/>
        <w:ind w:left="2154" w:hanging="357"/>
        <w:jc w:val="both"/>
        <w:rPr>
          <w:rFonts w:ascii="Verdana" w:eastAsia="Calibri" w:hAnsi="Verdana" w:cs="Times New Roman"/>
          <w:sz w:val="18"/>
          <w:szCs w:val="18"/>
          <w:lang w:val="en-GB"/>
        </w:rPr>
      </w:pPr>
      <w:r w:rsidRPr="003250E3">
        <w:rPr>
          <w:rFonts w:ascii="Verdana" w:eastAsia="Calibri" w:hAnsi="Verdana" w:cs="Times New Roman"/>
          <w:sz w:val="18"/>
          <w:szCs w:val="18"/>
          <w:lang w:val="en-GB"/>
        </w:rPr>
        <w:t>We will minimise the number of known offenders at large in our communities</w:t>
      </w:r>
    </w:p>
    <w:p w14:paraId="36EC44FC" w14:textId="77777777" w:rsidR="003250E3" w:rsidRPr="003250E3" w:rsidRDefault="003250E3" w:rsidP="003250E3">
      <w:pPr>
        <w:ind w:left="2154"/>
        <w:jc w:val="both"/>
        <w:rPr>
          <w:rFonts w:ascii="Verdana" w:eastAsia="Calibri" w:hAnsi="Verdana" w:cs="Times New Roman"/>
          <w:sz w:val="18"/>
          <w:szCs w:val="18"/>
          <w:lang w:val="en-GB"/>
        </w:rPr>
      </w:pPr>
    </w:p>
    <w:p w14:paraId="211F35BE" w14:textId="616D600B" w:rsidR="003250E3" w:rsidRPr="003250E3" w:rsidRDefault="003250E3" w:rsidP="003250E3">
      <w:pPr>
        <w:numPr>
          <w:ilvl w:val="0"/>
          <w:numId w:val="28"/>
        </w:numPr>
        <w:spacing w:line="259" w:lineRule="auto"/>
        <w:jc w:val="both"/>
        <w:rPr>
          <w:rFonts w:ascii="Verdana" w:eastAsia="Calibri" w:hAnsi="Verdana" w:cs="Times New Roman"/>
          <w:b/>
          <w:sz w:val="22"/>
          <w:szCs w:val="22"/>
          <w:lang w:val="en-GB"/>
        </w:rPr>
      </w:pPr>
      <w:r w:rsidRPr="003250E3">
        <w:rPr>
          <w:rFonts w:ascii="Verdana" w:eastAsia="Calibri" w:hAnsi="Verdana" w:cs="Times New Roman"/>
          <w:b/>
          <w:sz w:val="22"/>
          <w:szCs w:val="22"/>
          <w:lang w:val="en-GB"/>
        </w:rPr>
        <w:t>Our People</w:t>
      </w:r>
      <w:r>
        <w:rPr>
          <w:rFonts w:ascii="Verdana" w:eastAsia="Calibri" w:hAnsi="Verdana" w:cs="Times New Roman"/>
          <w:b/>
          <w:sz w:val="22"/>
          <w:szCs w:val="22"/>
          <w:lang w:val="en-GB"/>
        </w:rPr>
        <w:t>:</w:t>
      </w:r>
    </w:p>
    <w:p w14:paraId="455D72BF" w14:textId="77777777" w:rsidR="003250E3" w:rsidRPr="003250E3" w:rsidRDefault="003250E3" w:rsidP="003250E3">
      <w:pPr>
        <w:ind w:left="720"/>
        <w:jc w:val="both"/>
        <w:rPr>
          <w:rFonts w:ascii="Verdana" w:eastAsia="Calibri" w:hAnsi="Verdana" w:cs="Times New Roman"/>
          <w:b/>
          <w:sz w:val="10"/>
          <w:szCs w:val="10"/>
          <w:lang w:val="en-GB"/>
        </w:rPr>
      </w:pPr>
    </w:p>
    <w:p w14:paraId="2D07D01F" w14:textId="77777777" w:rsidR="003250E3" w:rsidRPr="003250E3" w:rsidRDefault="003250E3" w:rsidP="003250E3">
      <w:pPr>
        <w:numPr>
          <w:ilvl w:val="1"/>
          <w:numId w:val="28"/>
        </w:numPr>
        <w:spacing w:line="259" w:lineRule="auto"/>
        <w:jc w:val="both"/>
        <w:rPr>
          <w:rFonts w:ascii="Verdana" w:eastAsia="Calibri" w:hAnsi="Verdana" w:cs="Times New Roman"/>
          <w:b/>
          <w:sz w:val="20"/>
          <w:szCs w:val="20"/>
          <w:lang w:val="en-GB"/>
        </w:rPr>
      </w:pPr>
      <w:r w:rsidRPr="003250E3">
        <w:rPr>
          <w:rFonts w:ascii="Verdana" w:eastAsia="Calibri" w:hAnsi="Verdana" w:cs="Times New Roman"/>
          <w:b/>
          <w:sz w:val="20"/>
          <w:szCs w:val="20"/>
          <w:lang w:val="en-GB"/>
        </w:rPr>
        <w:t>Professional</w:t>
      </w:r>
    </w:p>
    <w:p w14:paraId="1FC7FAB9" w14:textId="77777777" w:rsidR="003250E3" w:rsidRPr="003250E3" w:rsidRDefault="003250E3" w:rsidP="003250E3">
      <w:pPr>
        <w:numPr>
          <w:ilvl w:val="2"/>
          <w:numId w:val="28"/>
        </w:numPr>
        <w:spacing w:line="259" w:lineRule="auto"/>
        <w:ind w:left="2154" w:hanging="357"/>
        <w:jc w:val="both"/>
        <w:rPr>
          <w:rFonts w:ascii="Verdana" w:eastAsia="Calibri" w:hAnsi="Verdana" w:cs="Times New Roman"/>
          <w:sz w:val="18"/>
          <w:szCs w:val="18"/>
          <w:lang w:val="en-GB"/>
        </w:rPr>
      </w:pPr>
      <w:r w:rsidRPr="003250E3">
        <w:rPr>
          <w:rFonts w:ascii="Verdana" w:eastAsia="Calibri" w:hAnsi="Verdana" w:cs="Times New Roman"/>
          <w:sz w:val="18"/>
          <w:szCs w:val="18"/>
          <w:lang w:val="en-GB"/>
        </w:rPr>
        <w:t>We will trust each other to do the right thing to give outstanding service</w:t>
      </w:r>
    </w:p>
    <w:p w14:paraId="55EA4D4B" w14:textId="77777777" w:rsidR="003250E3" w:rsidRPr="003250E3" w:rsidRDefault="003250E3" w:rsidP="003250E3">
      <w:pPr>
        <w:numPr>
          <w:ilvl w:val="2"/>
          <w:numId w:val="28"/>
        </w:numPr>
        <w:spacing w:line="259" w:lineRule="auto"/>
        <w:ind w:left="2154" w:hanging="357"/>
        <w:jc w:val="both"/>
        <w:rPr>
          <w:rFonts w:ascii="Verdana" w:eastAsia="Calibri" w:hAnsi="Verdana" w:cs="Times New Roman"/>
          <w:sz w:val="18"/>
          <w:szCs w:val="18"/>
          <w:lang w:val="en-GB"/>
        </w:rPr>
      </w:pPr>
      <w:r w:rsidRPr="003250E3">
        <w:rPr>
          <w:rFonts w:ascii="Verdana" w:eastAsia="Calibri" w:hAnsi="Verdana" w:cs="Times New Roman"/>
          <w:sz w:val="18"/>
          <w:szCs w:val="18"/>
          <w:lang w:val="en-GB"/>
        </w:rPr>
        <w:t>We will expect high standards and ethical behaviour</w:t>
      </w:r>
    </w:p>
    <w:p w14:paraId="18A41808" w14:textId="77777777" w:rsidR="003250E3" w:rsidRPr="003250E3" w:rsidRDefault="003250E3" w:rsidP="003250E3">
      <w:pPr>
        <w:numPr>
          <w:ilvl w:val="2"/>
          <w:numId w:val="28"/>
        </w:numPr>
        <w:spacing w:line="259" w:lineRule="auto"/>
        <w:ind w:left="2154" w:hanging="357"/>
        <w:jc w:val="both"/>
        <w:rPr>
          <w:rFonts w:ascii="Verdana" w:eastAsia="Calibri" w:hAnsi="Verdana" w:cs="Times New Roman"/>
          <w:sz w:val="18"/>
          <w:szCs w:val="18"/>
          <w:lang w:val="en-GB"/>
        </w:rPr>
      </w:pPr>
      <w:r w:rsidRPr="003250E3">
        <w:rPr>
          <w:rFonts w:ascii="Verdana" w:eastAsia="Calibri" w:hAnsi="Verdana" w:cs="Times New Roman"/>
          <w:sz w:val="18"/>
          <w:szCs w:val="18"/>
          <w:lang w:val="en-GB"/>
        </w:rPr>
        <w:t>We will challenge ourselves, and each other, to innovate, learn and improve</w:t>
      </w:r>
    </w:p>
    <w:p w14:paraId="6A3A9FF4" w14:textId="77777777" w:rsidR="003250E3" w:rsidRPr="003250E3" w:rsidRDefault="003250E3" w:rsidP="003250E3">
      <w:pPr>
        <w:numPr>
          <w:ilvl w:val="1"/>
          <w:numId w:val="28"/>
        </w:numPr>
        <w:spacing w:line="259" w:lineRule="auto"/>
        <w:jc w:val="both"/>
        <w:rPr>
          <w:rFonts w:ascii="Verdana" w:eastAsia="Calibri" w:hAnsi="Verdana" w:cs="Times New Roman"/>
          <w:b/>
          <w:sz w:val="20"/>
          <w:szCs w:val="20"/>
          <w:lang w:val="en-GB"/>
        </w:rPr>
      </w:pPr>
      <w:r w:rsidRPr="003250E3">
        <w:rPr>
          <w:rFonts w:ascii="Verdana" w:eastAsia="Calibri" w:hAnsi="Verdana" w:cs="Times New Roman"/>
          <w:b/>
          <w:sz w:val="20"/>
          <w:szCs w:val="20"/>
          <w:lang w:val="en-GB"/>
        </w:rPr>
        <w:t>Proud</w:t>
      </w:r>
    </w:p>
    <w:p w14:paraId="6617448E" w14:textId="77777777" w:rsidR="003250E3" w:rsidRPr="003250E3" w:rsidRDefault="003250E3" w:rsidP="003250E3">
      <w:pPr>
        <w:numPr>
          <w:ilvl w:val="2"/>
          <w:numId w:val="28"/>
        </w:numPr>
        <w:spacing w:line="259" w:lineRule="auto"/>
        <w:ind w:left="2154" w:hanging="357"/>
        <w:jc w:val="both"/>
        <w:rPr>
          <w:rFonts w:ascii="Verdana" w:eastAsia="Calibri" w:hAnsi="Verdana" w:cs="Times New Roman"/>
          <w:sz w:val="18"/>
          <w:szCs w:val="18"/>
          <w:lang w:val="en-GB"/>
        </w:rPr>
      </w:pPr>
      <w:r w:rsidRPr="003250E3">
        <w:rPr>
          <w:rFonts w:ascii="Verdana" w:eastAsia="Calibri" w:hAnsi="Verdana" w:cs="Times New Roman"/>
          <w:sz w:val="18"/>
          <w:szCs w:val="18"/>
          <w:lang w:val="en-GB"/>
        </w:rPr>
        <w:t>We will take pride in our service to the public</w:t>
      </w:r>
    </w:p>
    <w:p w14:paraId="25ADF186" w14:textId="77777777" w:rsidR="003250E3" w:rsidRPr="003250E3" w:rsidRDefault="003250E3" w:rsidP="003250E3">
      <w:pPr>
        <w:numPr>
          <w:ilvl w:val="2"/>
          <w:numId w:val="28"/>
        </w:numPr>
        <w:spacing w:line="259" w:lineRule="auto"/>
        <w:ind w:left="2154" w:hanging="357"/>
        <w:jc w:val="both"/>
        <w:rPr>
          <w:rFonts w:ascii="Verdana" w:eastAsia="Calibri" w:hAnsi="Verdana" w:cs="Times New Roman"/>
          <w:sz w:val="18"/>
          <w:szCs w:val="18"/>
          <w:lang w:val="en-GB"/>
        </w:rPr>
      </w:pPr>
      <w:r w:rsidRPr="003250E3">
        <w:rPr>
          <w:rFonts w:ascii="Verdana" w:eastAsia="Calibri" w:hAnsi="Verdana" w:cs="Times New Roman"/>
          <w:sz w:val="18"/>
          <w:szCs w:val="18"/>
          <w:lang w:val="en-GB"/>
        </w:rPr>
        <w:t>We will work as a team, making the most of people’s talents</w:t>
      </w:r>
    </w:p>
    <w:p w14:paraId="1D1777C6" w14:textId="77777777" w:rsidR="003250E3" w:rsidRPr="003250E3" w:rsidRDefault="003250E3" w:rsidP="003250E3">
      <w:pPr>
        <w:numPr>
          <w:ilvl w:val="2"/>
          <w:numId w:val="28"/>
        </w:numPr>
        <w:spacing w:line="259" w:lineRule="auto"/>
        <w:ind w:left="2154" w:hanging="357"/>
        <w:jc w:val="both"/>
        <w:rPr>
          <w:rFonts w:ascii="Verdana" w:eastAsia="Calibri" w:hAnsi="Verdana" w:cs="Times New Roman"/>
          <w:sz w:val="18"/>
          <w:szCs w:val="18"/>
          <w:lang w:val="en-GB"/>
        </w:rPr>
      </w:pPr>
      <w:r w:rsidRPr="003250E3">
        <w:rPr>
          <w:rFonts w:ascii="Verdana" w:eastAsia="Calibri" w:hAnsi="Verdana" w:cs="Times New Roman"/>
          <w:sz w:val="18"/>
          <w:szCs w:val="18"/>
          <w:lang w:val="en-GB"/>
        </w:rPr>
        <w:t>We will celebrate our achievements</w:t>
      </w:r>
    </w:p>
    <w:p w14:paraId="285AB575" w14:textId="77777777" w:rsidR="003250E3" w:rsidRPr="003250E3" w:rsidRDefault="003250E3" w:rsidP="003250E3">
      <w:pPr>
        <w:numPr>
          <w:ilvl w:val="1"/>
          <w:numId w:val="28"/>
        </w:numPr>
        <w:spacing w:line="259" w:lineRule="auto"/>
        <w:jc w:val="both"/>
        <w:rPr>
          <w:rFonts w:ascii="Verdana" w:eastAsia="Calibri" w:hAnsi="Verdana" w:cs="Times New Roman"/>
          <w:b/>
          <w:sz w:val="20"/>
          <w:szCs w:val="20"/>
          <w:lang w:val="en-GB"/>
        </w:rPr>
      </w:pPr>
      <w:r w:rsidRPr="003250E3">
        <w:rPr>
          <w:rFonts w:ascii="Verdana" w:eastAsia="Calibri" w:hAnsi="Verdana" w:cs="Times New Roman"/>
          <w:b/>
          <w:sz w:val="20"/>
          <w:szCs w:val="20"/>
          <w:lang w:val="en-GB"/>
        </w:rPr>
        <w:t>Inclusive</w:t>
      </w:r>
    </w:p>
    <w:p w14:paraId="3AF00AC4" w14:textId="77777777" w:rsidR="003250E3" w:rsidRPr="003250E3" w:rsidRDefault="003250E3" w:rsidP="003250E3">
      <w:pPr>
        <w:numPr>
          <w:ilvl w:val="2"/>
          <w:numId w:val="28"/>
        </w:numPr>
        <w:spacing w:line="259" w:lineRule="auto"/>
        <w:ind w:left="2154" w:hanging="357"/>
        <w:jc w:val="both"/>
        <w:rPr>
          <w:rFonts w:ascii="Verdana" w:eastAsia="Calibri" w:hAnsi="Verdana" w:cs="Times New Roman"/>
          <w:sz w:val="18"/>
          <w:szCs w:val="18"/>
          <w:lang w:val="en-GB"/>
        </w:rPr>
      </w:pPr>
      <w:r w:rsidRPr="003250E3">
        <w:rPr>
          <w:rFonts w:ascii="Verdana" w:eastAsia="Calibri" w:hAnsi="Verdana" w:cs="Times New Roman"/>
          <w:sz w:val="18"/>
          <w:szCs w:val="18"/>
          <w:lang w:val="en-GB"/>
        </w:rPr>
        <w:t>We will be kind, friendly, inclusive, and support our police families</w:t>
      </w:r>
    </w:p>
    <w:p w14:paraId="25D9E310" w14:textId="77777777" w:rsidR="003250E3" w:rsidRPr="003250E3" w:rsidRDefault="003250E3" w:rsidP="003250E3">
      <w:pPr>
        <w:numPr>
          <w:ilvl w:val="2"/>
          <w:numId w:val="28"/>
        </w:numPr>
        <w:spacing w:line="259" w:lineRule="auto"/>
        <w:ind w:left="2154" w:hanging="357"/>
        <w:jc w:val="both"/>
        <w:rPr>
          <w:rFonts w:ascii="Verdana" w:eastAsia="Calibri" w:hAnsi="Verdana" w:cs="Times New Roman"/>
          <w:sz w:val="18"/>
          <w:szCs w:val="18"/>
          <w:lang w:val="en-GB"/>
        </w:rPr>
      </w:pPr>
      <w:r w:rsidRPr="003250E3">
        <w:rPr>
          <w:rFonts w:ascii="Verdana" w:eastAsia="Calibri" w:hAnsi="Verdana" w:cs="Times New Roman"/>
          <w:sz w:val="18"/>
          <w:szCs w:val="18"/>
          <w:lang w:val="en-GB"/>
        </w:rPr>
        <w:t>We will respect, and reflect, the differences in communities we serve</w:t>
      </w:r>
    </w:p>
    <w:p w14:paraId="32E898D5" w14:textId="77777777" w:rsidR="003250E3" w:rsidRPr="003250E3" w:rsidRDefault="003250E3" w:rsidP="003250E3">
      <w:pPr>
        <w:numPr>
          <w:ilvl w:val="2"/>
          <w:numId w:val="28"/>
        </w:numPr>
        <w:spacing w:line="259" w:lineRule="auto"/>
        <w:ind w:left="2154" w:hanging="357"/>
        <w:jc w:val="both"/>
        <w:rPr>
          <w:rFonts w:ascii="Verdana" w:eastAsia="Calibri" w:hAnsi="Verdana" w:cs="Times New Roman"/>
          <w:sz w:val="18"/>
          <w:szCs w:val="18"/>
          <w:lang w:val="en-GB"/>
        </w:rPr>
      </w:pPr>
      <w:r w:rsidRPr="003250E3">
        <w:rPr>
          <w:rFonts w:ascii="Verdana" w:eastAsia="Calibri" w:hAnsi="Verdana" w:cs="Times New Roman"/>
          <w:sz w:val="18"/>
          <w:szCs w:val="18"/>
          <w:lang w:val="en-GB"/>
        </w:rPr>
        <w:t>We will value, and learn from, the different perspectives and experiences of others</w:t>
      </w:r>
    </w:p>
    <w:p w14:paraId="203BE9D0" w14:textId="77777777" w:rsidR="003250E3" w:rsidRPr="003250E3" w:rsidRDefault="003250E3" w:rsidP="003250E3">
      <w:pPr>
        <w:spacing w:line="259" w:lineRule="auto"/>
        <w:jc w:val="both"/>
        <w:rPr>
          <w:rFonts w:ascii="Verdana" w:eastAsia="Calibri" w:hAnsi="Verdana" w:cs="Times New Roman"/>
          <w:b/>
          <w:sz w:val="22"/>
          <w:szCs w:val="22"/>
          <w:lang w:val="en-GB"/>
        </w:rPr>
      </w:pPr>
    </w:p>
    <w:p w14:paraId="3585A083" w14:textId="77777777" w:rsidR="003250E3" w:rsidRPr="003250E3" w:rsidRDefault="003250E3" w:rsidP="003250E3">
      <w:pPr>
        <w:spacing w:after="160" w:line="259" w:lineRule="auto"/>
        <w:jc w:val="both"/>
        <w:rPr>
          <w:rFonts w:ascii="Verdana" w:eastAsia="Calibri" w:hAnsi="Verdana" w:cs="Times New Roman"/>
          <w:b/>
          <w:sz w:val="22"/>
          <w:szCs w:val="22"/>
          <w:lang w:val="en-GB"/>
        </w:rPr>
      </w:pPr>
      <w:r w:rsidRPr="003250E3">
        <w:rPr>
          <w:rFonts w:ascii="Verdana" w:eastAsia="Calibri" w:hAnsi="Verdana" w:cs="Times New Roman"/>
          <w:b/>
          <w:sz w:val="22"/>
          <w:szCs w:val="22"/>
          <w:lang w:val="en-GB"/>
        </w:rPr>
        <w:t>Focus for the Force</w:t>
      </w:r>
    </w:p>
    <w:p w14:paraId="626B9429" w14:textId="77777777" w:rsidR="003250E3" w:rsidRPr="003250E3" w:rsidRDefault="003250E3" w:rsidP="003250E3">
      <w:pPr>
        <w:spacing w:after="160" w:line="259" w:lineRule="auto"/>
        <w:jc w:val="both"/>
        <w:rPr>
          <w:rFonts w:ascii="Verdana" w:eastAsia="Calibri" w:hAnsi="Verdana" w:cs="Times New Roman"/>
          <w:sz w:val="22"/>
          <w:szCs w:val="22"/>
          <w:lang w:val="en-GB"/>
        </w:rPr>
      </w:pPr>
      <w:r w:rsidRPr="003250E3">
        <w:rPr>
          <w:rFonts w:ascii="Verdana" w:eastAsia="Calibri" w:hAnsi="Verdana" w:cs="Times New Roman"/>
          <w:sz w:val="22"/>
          <w:szCs w:val="22"/>
          <w:lang w:val="en-GB"/>
        </w:rPr>
        <w:t>In line with Our Commitments, Surrey Police’s focus over the next year will be:</w:t>
      </w:r>
    </w:p>
    <w:p w14:paraId="541FC92D" w14:textId="77777777" w:rsidR="003250E3" w:rsidRPr="003250E3" w:rsidRDefault="003250E3" w:rsidP="003250E3">
      <w:pPr>
        <w:numPr>
          <w:ilvl w:val="0"/>
          <w:numId w:val="27"/>
        </w:numPr>
        <w:spacing w:after="160" w:line="259" w:lineRule="auto"/>
        <w:jc w:val="both"/>
        <w:rPr>
          <w:rFonts w:ascii="Verdana" w:eastAsia="Calibri" w:hAnsi="Verdana" w:cs="Times New Roman"/>
          <w:sz w:val="22"/>
          <w:szCs w:val="22"/>
          <w:lang w:val="en-GB"/>
        </w:rPr>
      </w:pPr>
      <w:r w:rsidRPr="003250E3">
        <w:rPr>
          <w:rFonts w:ascii="Verdana" w:eastAsia="Calibri" w:hAnsi="Verdana" w:cs="Times New Roman"/>
          <w:sz w:val="22"/>
          <w:szCs w:val="22"/>
          <w:lang w:val="en-GB"/>
        </w:rPr>
        <w:t>Investigative capacity and capability</w:t>
      </w:r>
    </w:p>
    <w:p w14:paraId="6275ACD8" w14:textId="77777777" w:rsidR="003250E3" w:rsidRPr="003250E3" w:rsidRDefault="003250E3" w:rsidP="003250E3">
      <w:pPr>
        <w:numPr>
          <w:ilvl w:val="0"/>
          <w:numId w:val="27"/>
        </w:numPr>
        <w:spacing w:after="160" w:line="259" w:lineRule="auto"/>
        <w:jc w:val="both"/>
        <w:rPr>
          <w:rFonts w:ascii="Verdana" w:eastAsia="Calibri" w:hAnsi="Verdana" w:cs="Times New Roman"/>
          <w:sz w:val="22"/>
          <w:szCs w:val="22"/>
          <w:lang w:val="en-GB"/>
        </w:rPr>
      </w:pPr>
      <w:r w:rsidRPr="003250E3">
        <w:rPr>
          <w:rFonts w:ascii="Verdana" w:eastAsia="Calibri" w:hAnsi="Verdana" w:cs="Times New Roman"/>
          <w:sz w:val="22"/>
          <w:szCs w:val="22"/>
          <w:lang w:val="en-GB"/>
        </w:rPr>
        <w:t>Understanding demand</w:t>
      </w:r>
    </w:p>
    <w:p w14:paraId="5774D114" w14:textId="77777777" w:rsidR="003250E3" w:rsidRPr="003250E3" w:rsidRDefault="003250E3" w:rsidP="003250E3">
      <w:pPr>
        <w:numPr>
          <w:ilvl w:val="0"/>
          <w:numId w:val="27"/>
        </w:numPr>
        <w:spacing w:after="160" w:line="259" w:lineRule="auto"/>
        <w:jc w:val="both"/>
        <w:rPr>
          <w:rFonts w:ascii="Verdana" w:eastAsia="Calibri" w:hAnsi="Verdana" w:cs="Times New Roman"/>
          <w:sz w:val="22"/>
          <w:szCs w:val="22"/>
          <w:lang w:val="en-GB"/>
        </w:rPr>
      </w:pPr>
      <w:r w:rsidRPr="003250E3">
        <w:rPr>
          <w:rFonts w:ascii="Verdana" w:eastAsia="Calibri" w:hAnsi="Verdana" w:cs="Times New Roman"/>
          <w:sz w:val="22"/>
          <w:szCs w:val="22"/>
          <w:lang w:val="en-GB"/>
        </w:rPr>
        <w:t xml:space="preserve">Workforce wellbeing </w:t>
      </w:r>
    </w:p>
    <w:p w14:paraId="3785DAB6" w14:textId="77777777" w:rsidR="003250E3" w:rsidRPr="003250E3" w:rsidRDefault="003250E3" w:rsidP="003250E3">
      <w:pPr>
        <w:spacing w:after="160" w:line="259" w:lineRule="auto"/>
        <w:jc w:val="both"/>
        <w:rPr>
          <w:rFonts w:ascii="Verdana" w:eastAsia="Calibri" w:hAnsi="Verdana" w:cs="Times New Roman"/>
          <w:i/>
          <w:sz w:val="22"/>
          <w:szCs w:val="22"/>
          <w:lang w:val="en-GB"/>
        </w:rPr>
      </w:pPr>
      <w:r w:rsidRPr="003250E3">
        <w:rPr>
          <w:rFonts w:ascii="Verdana" w:eastAsia="Calibri" w:hAnsi="Verdana" w:cs="Times New Roman"/>
          <w:i/>
          <w:sz w:val="22"/>
          <w:szCs w:val="22"/>
          <w:lang w:val="en-GB"/>
        </w:rPr>
        <w:t>Investigative capacity and capability</w:t>
      </w:r>
    </w:p>
    <w:p w14:paraId="252447EB" w14:textId="77777777" w:rsidR="003250E3" w:rsidRPr="003250E3" w:rsidRDefault="003250E3" w:rsidP="003250E3">
      <w:pPr>
        <w:spacing w:after="160" w:line="259" w:lineRule="auto"/>
        <w:jc w:val="both"/>
        <w:rPr>
          <w:rFonts w:ascii="Verdana" w:eastAsia="Calibri" w:hAnsi="Verdana" w:cs="Times New Roman"/>
          <w:sz w:val="22"/>
          <w:szCs w:val="22"/>
          <w:lang w:val="en-GB"/>
        </w:rPr>
      </w:pPr>
      <w:r w:rsidRPr="003250E3">
        <w:rPr>
          <w:rFonts w:ascii="Verdana" w:eastAsia="Calibri" w:hAnsi="Verdana" w:cs="Times New Roman"/>
          <w:sz w:val="22"/>
          <w:szCs w:val="22"/>
          <w:lang w:val="en-GB"/>
        </w:rPr>
        <w:t>Surrey Police has a significant programme of work ongoing to improve its investigative capacity and capability, and recognises the need to continue to focus on this over the next year.  We have a strong motivation to ensure that more victims of crime see justice done, and that we work effectively with criminal justice partners to keep crime levels low in Surrey. In 2020, the Force used Op Uplift and Precept investment to introduce the Incident Review Team, to improve the management of grade 3 incidents; providing an improved service to the public and reducing demand on Neighbourhood Policing Teams. In 2021, the Force has made further Op Uplift investment in investigative teams and has piloted changes to the way that the CID and Safeguarding Investigation Units operate; establishing dedicated Domestic Abuse and Child Abuse investigation units, with these changes due to be implemented forcewide in June 2021. Further investment from both Op Uplift and Precept has been allocated to the establishment of Neighbourhood Policing Investigation Teams, which are being designed to manage certain volume crime investigations and detained persons, and are due to be established by the end of the calendar year.</w:t>
      </w:r>
    </w:p>
    <w:p w14:paraId="7BE7C701" w14:textId="77777777" w:rsidR="003250E3" w:rsidRPr="003250E3" w:rsidRDefault="003250E3" w:rsidP="003250E3">
      <w:pPr>
        <w:spacing w:after="160" w:line="259" w:lineRule="auto"/>
        <w:jc w:val="both"/>
        <w:rPr>
          <w:rFonts w:ascii="Verdana" w:eastAsia="Calibri" w:hAnsi="Verdana" w:cs="Times New Roman"/>
          <w:i/>
          <w:sz w:val="22"/>
          <w:szCs w:val="22"/>
          <w:lang w:val="en-GB"/>
        </w:rPr>
      </w:pPr>
      <w:r w:rsidRPr="003250E3">
        <w:rPr>
          <w:rFonts w:ascii="Verdana" w:eastAsia="Calibri" w:hAnsi="Verdana" w:cs="Times New Roman"/>
          <w:i/>
          <w:sz w:val="22"/>
          <w:szCs w:val="22"/>
          <w:lang w:val="en-GB"/>
        </w:rPr>
        <w:t>Understanding demand</w:t>
      </w:r>
    </w:p>
    <w:p w14:paraId="05CA59E4" w14:textId="77777777" w:rsidR="003250E3" w:rsidRPr="003250E3" w:rsidRDefault="003250E3" w:rsidP="003250E3">
      <w:pPr>
        <w:spacing w:after="160" w:line="259" w:lineRule="auto"/>
        <w:jc w:val="both"/>
        <w:rPr>
          <w:rFonts w:ascii="Verdana" w:eastAsia="Calibri" w:hAnsi="Verdana" w:cs="Times New Roman"/>
          <w:sz w:val="22"/>
          <w:szCs w:val="22"/>
          <w:lang w:val="en-GB"/>
        </w:rPr>
      </w:pPr>
      <w:r w:rsidRPr="003250E3">
        <w:rPr>
          <w:rFonts w:ascii="Verdana" w:eastAsia="Calibri" w:hAnsi="Verdana" w:cs="Times New Roman"/>
          <w:sz w:val="22"/>
          <w:szCs w:val="22"/>
          <w:lang w:val="en-GB"/>
        </w:rPr>
        <w:t>In 2020 Surrey Police invested in a dedicated demand analysis team of two analysts, and in 2021 the Force has restructured the Corporate Development Department, with an increase of three staff in the Strategic Governance Team and a commitment to create secondment opportunities to form an Insights Team. The Force is also developing the capability of its analytical tools, with an on-premise version of Power BI rolled out in 2020, and a project ongoing to implement a cloud-based PowerBI solution in 2021/22. Surrey Police is committed to maximising the opportunities presented by these investments to better understand its demand, and to embed processes whereby that enhanced understanding is used to improve the efficiency of the Force and its service to the public.</w:t>
      </w:r>
    </w:p>
    <w:p w14:paraId="3EE7424A" w14:textId="77777777" w:rsidR="003250E3" w:rsidRPr="003250E3" w:rsidRDefault="003250E3" w:rsidP="003250E3">
      <w:pPr>
        <w:spacing w:after="160" w:line="259" w:lineRule="auto"/>
        <w:jc w:val="both"/>
        <w:rPr>
          <w:rFonts w:ascii="Verdana" w:eastAsia="Calibri" w:hAnsi="Verdana" w:cs="Times New Roman"/>
          <w:i/>
          <w:sz w:val="22"/>
          <w:szCs w:val="22"/>
          <w:lang w:val="en-GB"/>
        </w:rPr>
      </w:pPr>
      <w:r w:rsidRPr="003250E3">
        <w:rPr>
          <w:rFonts w:ascii="Verdana" w:eastAsia="Calibri" w:hAnsi="Verdana" w:cs="Times New Roman"/>
          <w:i/>
          <w:sz w:val="22"/>
          <w:szCs w:val="22"/>
          <w:lang w:val="en-GB"/>
        </w:rPr>
        <w:t>Workforce wellbeing</w:t>
      </w:r>
    </w:p>
    <w:p w14:paraId="48E6EF24" w14:textId="77777777" w:rsidR="003250E3" w:rsidRPr="003250E3" w:rsidRDefault="003250E3" w:rsidP="003250E3">
      <w:pPr>
        <w:spacing w:after="160" w:line="259" w:lineRule="auto"/>
        <w:jc w:val="both"/>
        <w:rPr>
          <w:rFonts w:ascii="Verdana" w:eastAsia="Calibri" w:hAnsi="Verdana" w:cs="Times New Roman"/>
          <w:sz w:val="22"/>
          <w:szCs w:val="22"/>
          <w:lang w:val="en-GB"/>
        </w:rPr>
      </w:pPr>
      <w:r w:rsidRPr="003250E3">
        <w:rPr>
          <w:rFonts w:ascii="Verdana" w:eastAsia="Calibri" w:hAnsi="Verdana" w:cs="Times New Roman"/>
          <w:sz w:val="22"/>
          <w:szCs w:val="22"/>
          <w:lang w:val="en-GB"/>
        </w:rPr>
        <w:t xml:space="preserve">In 2019/20 Surrey Police and Sussex Police developed a joint wellbeing strategy, with forcewide and divisional/departmental wellbeing boards. Throughout the Covid-19 pandemic, the Force has prioritised the wellbeing of its staff; ensuring adequate supply of PPE, implementing changes to working practices to ensure staff safety, and focusing on staff welfare, including initiatives to maximise work/life balance. Surrey Police has undertaken a project to ensure that learning from the revised ways of working is captured and embedded in future plans, and this will be continued throughout the next year and used to further develop estates plans as part of the Force’s </w:t>
      </w:r>
      <w:r w:rsidRPr="003250E3">
        <w:rPr>
          <w:rFonts w:ascii="Verdana" w:eastAsia="Calibri" w:hAnsi="Verdana" w:cs="Times New Roman"/>
          <w:i/>
          <w:sz w:val="22"/>
          <w:szCs w:val="22"/>
          <w:lang w:val="en-GB"/>
        </w:rPr>
        <w:t>Building the Future</w:t>
      </w:r>
      <w:r w:rsidRPr="003250E3">
        <w:rPr>
          <w:rFonts w:ascii="Verdana" w:eastAsia="Calibri" w:hAnsi="Verdana" w:cs="Times New Roman"/>
          <w:sz w:val="22"/>
          <w:szCs w:val="22"/>
          <w:lang w:val="en-GB"/>
        </w:rPr>
        <w:t xml:space="preserve"> programme.</w:t>
      </w:r>
    </w:p>
    <w:p w14:paraId="437693C5" w14:textId="5E71253F" w:rsidR="00503675" w:rsidRPr="007D1189" w:rsidRDefault="003250E3" w:rsidP="003250E3">
      <w:pPr>
        <w:pStyle w:val="Normal0"/>
        <w:shd w:val="clear" w:color="auto" w:fill="FFFFFF"/>
        <w:spacing w:before="100" w:beforeAutospacing="1" w:after="100" w:afterAutospacing="1"/>
        <w:jc w:val="both"/>
        <w:rPr>
          <w:rFonts w:ascii="Verdana" w:eastAsia="Times New Roman" w:hAnsi="Verdana" w:cs="Arial"/>
          <w:sz w:val="22"/>
          <w:szCs w:val="22"/>
          <w:lang w:val="en-GB" w:eastAsia="en-GB"/>
        </w:rPr>
      </w:pPr>
      <w:r w:rsidRPr="003250E3">
        <w:rPr>
          <w:rFonts w:ascii="Verdana" w:eastAsia="Calibri" w:hAnsi="Verdana" w:cs="Times New Roman"/>
          <w:sz w:val="22"/>
          <w:szCs w:val="22"/>
          <w:lang w:val="en-GB"/>
        </w:rPr>
        <w:t xml:space="preserve">Our Commitments set out our strong ambitions for an organisation that is well equipped for future challenges and responsibilities; that is an inclusive, rewarding and energetic place to work; and </w:t>
      </w:r>
      <w:r w:rsidRPr="007D1189">
        <w:rPr>
          <w:rFonts w:ascii="Verdana" w:eastAsia="Calibri" w:hAnsi="Verdana" w:cs="Times New Roman"/>
          <w:sz w:val="22"/>
          <w:szCs w:val="22"/>
          <w:lang w:val="en-GB"/>
        </w:rPr>
        <w:t>that is determined to keep Surrey safe and feeling safe.</w:t>
      </w:r>
    </w:p>
    <w:p w14:paraId="63C533FE" w14:textId="77777777" w:rsidR="00F227D9" w:rsidRPr="007D1189" w:rsidRDefault="00F227D9" w:rsidP="003250E3">
      <w:pPr>
        <w:pStyle w:val="Style1"/>
        <w:numPr>
          <w:ilvl w:val="0"/>
          <w:numId w:val="5"/>
        </w:numPr>
        <w:rPr>
          <w:rFonts w:ascii="Verdana" w:hAnsi="Verdana"/>
          <w:sz w:val="22"/>
          <w:szCs w:val="22"/>
          <w:lang w:val="en-GB" w:eastAsia="en-GB"/>
        </w:rPr>
      </w:pPr>
      <w:r w:rsidRPr="007D1189">
        <w:rPr>
          <w:rFonts w:ascii="Verdana" w:hAnsi="Verdana"/>
          <w:sz w:val="22"/>
          <w:szCs w:val="22"/>
          <w:lang w:val="en-GB" w:eastAsia="en-GB"/>
        </w:rPr>
        <w:t>The Chief Constable &amp; Police and Crime Commissioner</w:t>
      </w:r>
    </w:p>
    <w:p w14:paraId="1F68905C" w14:textId="77777777" w:rsidR="00F227D9" w:rsidRPr="007D1189" w:rsidRDefault="00F227D9" w:rsidP="00F227D9">
      <w:pPr>
        <w:pStyle w:val="Style1"/>
        <w:numPr>
          <w:ilvl w:val="0"/>
          <w:numId w:val="0"/>
        </w:numPr>
        <w:ind w:left="720"/>
        <w:rPr>
          <w:rFonts w:ascii="Verdana" w:hAnsi="Verdana"/>
          <w:sz w:val="22"/>
          <w:szCs w:val="22"/>
          <w:lang w:val="en-GB" w:eastAsia="en-GB"/>
        </w:rPr>
      </w:pPr>
    </w:p>
    <w:p w14:paraId="0976E148" w14:textId="77777777" w:rsidR="00F227D9" w:rsidRPr="007D1189" w:rsidRDefault="00F227D9" w:rsidP="00F227D9">
      <w:pPr>
        <w:pStyle w:val="Normal0"/>
        <w:jc w:val="both"/>
        <w:rPr>
          <w:rFonts w:ascii="Verdana" w:eastAsia="Times New Roman" w:hAnsi="Verdana" w:cs="Arial"/>
          <w:sz w:val="22"/>
          <w:szCs w:val="22"/>
          <w:lang w:val="en-GB" w:eastAsia="en-GB"/>
        </w:rPr>
      </w:pPr>
      <w:r w:rsidRPr="007D1189">
        <w:rPr>
          <w:rFonts w:ascii="Verdana" w:eastAsia="Times New Roman" w:hAnsi="Verdana" w:cs="Arial"/>
          <w:sz w:val="22"/>
          <w:szCs w:val="22"/>
          <w:lang w:val="en-GB" w:eastAsia="en-GB"/>
        </w:rPr>
        <w:t>The Chief Constable and the Police and Crime Commissioner (PCC) are set up as separate corporation sole bodies. The Chief Constable is a 100% subsidiary of the PCC as set out under the Police Reform and Social Responsibility Act 2011. The ‘Surrey Police Group’ refers to both ‘The Chief Constable of Surrey’ and ‘The Police and Crime Commissioner for Surrey’ combined.</w:t>
      </w:r>
    </w:p>
    <w:p w14:paraId="30AD420D" w14:textId="77777777" w:rsidR="00F227D9" w:rsidRPr="007D1189" w:rsidRDefault="00F227D9" w:rsidP="00F227D9">
      <w:pPr>
        <w:pStyle w:val="Normal0"/>
        <w:jc w:val="both"/>
        <w:rPr>
          <w:rFonts w:ascii="Verdana" w:eastAsia="Times New Roman" w:hAnsi="Verdana" w:cs="Arial"/>
          <w:sz w:val="22"/>
          <w:szCs w:val="22"/>
          <w:lang w:val="en-GB" w:eastAsia="en-GB"/>
        </w:rPr>
      </w:pPr>
    </w:p>
    <w:p w14:paraId="01CBBDB9" w14:textId="77777777" w:rsidR="00F227D9" w:rsidRPr="007D1189" w:rsidRDefault="00F227D9" w:rsidP="00F227D9">
      <w:pPr>
        <w:pStyle w:val="Normal0"/>
        <w:jc w:val="both"/>
        <w:rPr>
          <w:rFonts w:ascii="Verdana" w:eastAsia="Times New Roman" w:hAnsi="Verdana" w:cs="Arial"/>
          <w:b/>
          <w:sz w:val="22"/>
          <w:szCs w:val="22"/>
          <w:lang w:val="en-GB" w:eastAsia="en-GB"/>
        </w:rPr>
      </w:pPr>
      <w:r w:rsidRPr="007D1189">
        <w:rPr>
          <w:rFonts w:ascii="Verdana" w:eastAsia="Times New Roman" w:hAnsi="Verdana" w:cs="Arial"/>
          <w:b/>
          <w:sz w:val="22"/>
          <w:szCs w:val="22"/>
          <w:lang w:val="en-GB" w:eastAsia="en-GB"/>
        </w:rPr>
        <w:t>The Chief Constable</w:t>
      </w:r>
    </w:p>
    <w:p w14:paraId="003A2340" w14:textId="77777777" w:rsidR="00F227D9" w:rsidRPr="007D1189" w:rsidRDefault="00F227D9" w:rsidP="00F227D9">
      <w:pPr>
        <w:pStyle w:val="Normal0"/>
        <w:jc w:val="both"/>
        <w:rPr>
          <w:rFonts w:ascii="Verdana" w:eastAsia="Times New Roman" w:hAnsi="Verdana" w:cs="Arial"/>
          <w:b/>
          <w:sz w:val="22"/>
          <w:szCs w:val="22"/>
          <w:lang w:val="en-GB" w:eastAsia="en-GB"/>
        </w:rPr>
      </w:pPr>
    </w:p>
    <w:p w14:paraId="5166F4D7" w14:textId="77777777" w:rsidR="00F227D9" w:rsidRPr="007D1189" w:rsidRDefault="00F227D9" w:rsidP="00F227D9">
      <w:pPr>
        <w:pStyle w:val="Normal0"/>
        <w:jc w:val="both"/>
        <w:rPr>
          <w:rFonts w:ascii="Verdana" w:eastAsia="Times New Roman" w:hAnsi="Verdana" w:cs="Arial"/>
          <w:sz w:val="22"/>
          <w:szCs w:val="22"/>
          <w:lang w:val="en-GB" w:eastAsia="en-GB"/>
        </w:rPr>
      </w:pPr>
      <w:r w:rsidRPr="007D1189">
        <w:rPr>
          <w:rFonts w:ascii="Verdana" w:eastAsia="Times New Roman" w:hAnsi="Verdana" w:cs="Arial"/>
          <w:sz w:val="22"/>
          <w:szCs w:val="22"/>
          <w:lang w:val="en-GB" w:eastAsia="en-GB"/>
        </w:rPr>
        <w:t>The primary function of the entity headed by the Chief Constable is the exercise of operational policing duties under the Police Act 1996. The Chief Constable holds office under the Crown, but is appointed by the PCC and has responsibility for:</w:t>
      </w:r>
    </w:p>
    <w:p w14:paraId="75CBBB7B" w14:textId="77777777" w:rsidR="00693255" w:rsidRPr="007D1189" w:rsidRDefault="00693255" w:rsidP="00F227D9">
      <w:pPr>
        <w:pStyle w:val="Normal0"/>
        <w:jc w:val="both"/>
        <w:rPr>
          <w:rFonts w:ascii="Verdana" w:eastAsia="Times New Roman" w:hAnsi="Verdana" w:cs="Arial"/>
          <w:sz w:val="22"/>
          <w:szCs w:val="22"/>
          <w:lang w:val="en-GB" w:eastAsia="en-GB"/>
        </w:rPr>
      </w:pPr>
    </w:p>
    <w:p w14:paraId="23E45665" w14:textId="77777777" w:rsidR="00F227D9" w:rsidRPr="007D1189" w:rsidRDefault="00F227D9" w:rsidP="005E3E6F">
      <w:pPr>
        <w:pStyle w:val="ListParagraph"/>
        <w:numPr>
          <w:ilvl w:val="0"/>
          <w:numId w:val="6"/>
        </w:numPr>
        <w:jc w:val="both"/>
        <w:rPr>
          <w:rFonts w:ascii="Verdana" w:hAnsi="Verdana" w:cs="Arial"/>
          <w:sz w:val="22"/>
          <w:szCs w:val="22"/>
          <w:lang w:val="en-GB" w:eastAsia="en-GB"/>
        </w:rPr>
      </w:pPr>
      <w:r w:rsidRPr="007D1189">
        <w:rPr>
          <w:rFonts w:ascii="Verdana" w:hAnsi="Verdana" w:cs="Arial"/>
          <w:sz w:val="22"/>
          <w:szCs w:val="22"/>
          <w:lang w:val="en-GB" w:eastAsia="en-GB"/>
        </w:rPr>
        <w:t>Operational independence to deliver the operational policing plan</w:t>
      </w:r>
    </w:p>
    <w:p w14:paraId="09D32C26" w14:textId="77777777" w:rsidR="00F227D9" w:rsidRPr="007D1189" w:rsidRDefault="00F227D9" w:rsidP="005E3E6F">
      <w:pPr>
        <w:pStyle w:val="ListParagraph"/>
        <w:numPr>
          <w:ilvl w:val="0"/>
          <w:numId w:val="6"/>
        </w:numPr>
        <w:jc w:val="both"/>
        <w:rPr>
          <w:rFonts w:ascii="Verdana" w:hAnsi="Verdana" w:cs="Arial"/>
          <w:sz w:val="22"/>
          <w:szCs w:val="22"/>
          <w:lang w:val="en-GB" w:eastAsia="en-GB"/>
        </w:rPr>
      </w:pPr>
      <w:r w:rsidRPr="007D1189">
        <w:rPr>
          <w:rFonts w:ascii="Verdana" w:hAnsi="Verdana" w:cs="Arial"/>
          <w:sz w:val="22"/>
          <w:szCs w:val="22"/>
          <w:lang w:val="en-GB" w:eastAsia="en-GB"/>
        </w:rPr>
        <w:t>Direction and control over the force’s officers and staff</w:t>
      </w:r>
    </w:p>
    <w:p w14:paraId="05515DEA" w14:textId="77777777" w:rsidR="00F227D9" w:rsidRPr="007D1189" w:rsidRDefault="00F227D9" w:rsidP="005E3E6F">
      <w:pPr>
        <w:pStyle w:val="ListParagraph"/>
        <w:numPr>
          <w:ilvl w:val="0"/>
          <w:numId w:val="6"/>
        </w:numPr>
        <w:jc w:val="both"/>
        <w:rPr>
          <w:rFonts w:ascii="Verdana" w:hAnsi="Verdana" w:cs="Arial"/>
          <w:sz w:val="22"/>
          <w:szCs w:val="22"/>
          <w:lang w:val="en-GB" w:eastAsia="en-GB"/>
        </w:rPr>
      </w:pPr>
      <w:r w:rsidRPr="007D1189">
        <w:rPr>
          <w:rFonts w:ascii="Verdana" w:hAnsi="Verdana" w:cs="Arial"/>
          <w:sz w:val="22"/>
          <w:szCs w:val="22"/>
          <w:lang w:val="en-GB" w:eastAsia="en-GB"/>
        </w:rPr>
        <w:t>Managing the operational delivery budget; and</w:t>
      </w:r>
    </w:p>
    <w:p w14:paraId="1D8C7EA6" w14:textId="77777777" w:rsidR="00F227D9" w:rsidRPr="007D1189" w:rsidRDefault="00F227D9" w:rsidP="005E3E6F">
      <w:pPr>
        <w:pStyle w:val="ListParagraph"/>
        <w:numPr>
          <w:ilvl w:val="0"/>
          <w:numId w:val="6"/>
        </w:numPr>
        <w:jc w:val="both"/>
        <w:rPr>
          <w:rFonts w:ascii="Verdana" w:hAnsi="Verdana" w:cs="Arial"/>
          <w:sz w:val="22"/>
          <w:szCs w:val="22"/>
          <w:lang w:val="en-GB" w:eastAsia="en-GB"/>
        </w:rPr>
      </w:pPr>
      <w:r w:rsidRPr="007D1189">
        <w:rPr>
          <w:rFonts w:ascii="Verdana" w:hAnsi="Verdana" w:cs="Arial"/>
          <w:sz w:val="22"/>
          <w:szCs w:val="22"/>
          <w:lang w:val="en-GB" w:eastAsia="en-GB"/>
        </w:rPr>
        <w:t>Appointing a qualified person to act as chief finance officer</w:t>
      </w:r>
    </w:p>
    <w:p w14:paraId="31E37954" w14:textId="77777777" w:rsidR="00AC5A2C" w:rsidRPr="007D1189" w:rsidRDefault="00AC5A2C" w:rsidP="00F227D9">
      <w:pPr>
        <w:pStyle w:val="Normal0"/>
        <w:jc w:val="both"/>
        <w:rPr>
          <w:rFonts w:ascii="Verdana" w:eastAsia="Times New Roman" w:hAnsi="Verdana" w:cs="Arial"/>
          <w:sz w:val="22"/>
          <w:szCs w:val="22"/>
          <w:lang w:val="en-GB" w:eastAsia="en-GB"/>
        </w:rPr>
      </w:pPr>
    </w:p>
    <w:p w14:paraId="7EB248E1" w14:textId="77777777" w:rsidR="00F227D9" w:rsidRPr="007D1189" w:rsidRDefault="00F227D9" w:rsidP="00F227D9">
      <w:pPr>
        <w:pStyle w:val="Normal0"/>
        <w:jc w:val="both"/>
        <w:rPr>
          <w:rFonts w:ascii="Verdana" w:eastAsia="Times New Roman" w:hAnsi="Verdana" w:cs="Arial"/>
          <w:sz w:val="22"/>
          <w:szCs w:val="22"/>
          <w:lang w:val="en-GB" w:eastAsia="en-GB"/>
        </w:rPr>
      </w:pPr>
      <w:r w:rsidRPr="007D1189">
        <w:rPr>
          <w:rFonts w:ascii="Verdana" w:eastAsia="Times New Roman" w:hAnsi="Verdana" w:cs="Arial"/>
          <w:sz w:val="22"/>
          <w:szCs w:val="22"/>
          <w:lang w:val="en-GB" w:eastAsia="en-GB"/>
        </w:rPr>
        <w:t>The Chief Constable incurs all operating costs (excluding those relating to the Office of the PCC) and receives any associated operating income, the net of which is funded directly by the PCC. The Chief Constable accounts for all pension costs, including the associated pension liability that is shown in the Chief Constable’s Balance Sheet.</w:t>
      </w:r>
    </w:p>
    <w:p w14:paraId="18A2D6E1" w14:textId="77777777" w:rsidR="00F227D9" w:rsidRPr="007D1189" w:rsidRDefault="00F227D9" w:rsidP="00F227D9">
      <w:pPr>
        <w:pStyle w:val="Normal0"/>
        <w:jc w:val="both"/>
        <w:rPr>
          <w:rFonts w:ascii="Verdana" w:eastAsia="Times New Roman" w:hAnsi="Verdana" w:cs="Arial"/>
          <w:sz w:val="22"/>
          <w:szCs w:val="22"/>
          <w:lang w:val="en-GB" w:eastAsia="en-GB"/>
        </w:rPr>
      </w:pPr>
    </w:p>
    <w:p w14:paraId="3A1A2206" w14:textId="77777777" w:rsidR="00F227D9" w:rsidRPr="007D1189" w:rsidRDefault="00F227D9" w:rsidP="00F227D9">
      <w:pPr>
        <w:pStyle w:val="Normal0"/>
        <w:jc w:val="both"/>
        <w:rPr>
          <w:rFonts w:ascii="Verdana" w:eastAsia="Times New Roman" w:hAnsi="Verdana" w:cs="Arial"/>
          <w:b/>
          <w:sz w:val="22"/>
          <w:szCs w:val="22"/>
          <w:lang w:val="en-GB" w:eastAsia="en-GB"/>
        </w:rPr>
      </w:pPr>
      <w:r w:rsidRPr="007D1189">
        <w:rPr>
          <w:rFonts w:ascii="Verdana" w:eastAsia="Times New Roman" w:hAnsi="Verdana" w:cs="Arial"/>
          <w:b/>
          <w:sz w:val="22"/>
          <w:szCs w:val="22"/>
          <w:lang w:val="en-GB" w:eastAsia="en-GB"/>
        </w:rPr>
        <w:t>The Police and Crime Commissioner</w:t>
      </w:r>
    </w:p>
    <w:p w14:paraId="17980112" w14:textId="77777777" w:rsidR="00F227D9" w:rsidRPr="007D1189" w:rsidRDefault="00F227D9" w:rsidP="00F227D9">
      <w:pPr>
        <w:pStyle w:val="Normal0"/>
        <w:jc w:val="both"/>
        <w:rPr>
          <w:rFonts w:ascii="Verdana" w:eastAsia="Times New Roman" w:hAnsi="Verdana" w:cs="Arial"/>
          <w:sz w:val="22"/>
          <w:szCs w:val="22"/>
          <w:lang w:val="en-GB" w:eastAsia="en-GB"/>
        </w:rPr>
      </w:pPr>
    </w:p>
    <w:p w14:paraId="3D6DCE8E" w14:textId="77777777" w:rsidR="00693255" w:rsidRPr="007D1189" w:rsidRDefault="00F227D9" w:rsidP="00F227D9">
      <w:pPr>
        <w:pStyle w:val="Normal0"/>
        <w:jc w:val="both"/>
        <w:rPr>
          <w:rFonts w:ascii="Verdana" w:eastAsia="Times New Roman" w:hAnsi="Verdana" w:cs="Arial"/>
          <w:sz w:val="22"/>
          <w:szCs w:val="22"/>
          <w:lang w:val="en-GB" w:eastAsia="en-GB"/>
        </w:rPr>
      </w:pPr>
      <w:r w:rsidRPr="007D1189">
        <w:rPr>
          <w:rFonts w:ascii="Verdana" w:eastAsia="Times New Roman" w:hAnsi="Verdana" w:cs="Arial"/>
          <w:sz w:val="22"/>
          <w:szCs w:val="22"/>
          <w:lang w:val="en-GB" w:eastAsia="en-GB"/>
        </w:rPr>
        <w:t>The Primary function of the PCC is to secure the maintenance of an efficient and effective police force in Surrey, and to hold the Chief Constable to account for the exercise of operational policing duties under the Police Act 1996.</w:t>
      </w:r>
      <w:r w:rsidR="00AC5A2C" w:rsidRPr="007D1189">
        <w:rPr>
          <w:rFonts w:ascii="Verdana" w:eastAsia="Times New Roman" w:hAnsi="Verdana" w:cs="Arial"/>
          <w:sz w:val="22"/>
          <w:szCs w:val="22"/>
          <w:lang w:val="en-GB" w:eastAsia="en-GB"/>
        </w:rPr>
        <w:t xml:space="preserve"> </w:t>
      </w:r>
    </w:p>
    <w:p w14:paraId="3899EE36" w14:textId="77777777" w:rsidR="00693255" w:rsidRPr="007D1189" w:rsidRDefault="00693255" w:rsidP="00F227D9">
      <w:pPr>
        <w:pStyle w:val="Normal0"/>
        <w:jc w:val="both"/>
        <w:rPr>
          <w:rFonts w:ascii="Verdana" w:eastAsia="Times New Roman" w:hAnsi="Verdana" w:cs="Arial"/>
          <w:sz w:val="22"/>
          <w:szCs w:val="22"/>
          <w:lang w:val="en-GB" w:eastAsia="en-GB"/>
        </w:rPr>
      </w:pPr>
    </w:p>
    <w:p w14:paraId="0454522E" w14:textId="77777777" w:rsidR="00F227D9" w:rsidRPr="007D1189" w:rsidRDefault="00F227D9" w:rsidP="00F227D9">
      <w:pPr>
        <w:pStyle w:val="Normal0"/>
        <w:jc w:val="both"/>
        <w:rPr>
          <w:rFonts w:ascii="Verdana" w:eastAsia="Times New Roman" w:hAnsi="Verdana" w:cs="Arial"/>
          <w:sz w:val="22"/>
          <w:szCs w:val="22"/>
          <w:lang w:val="en-GB" w:eastAsia="en-GB"/>
        </w:rPr>
      </w:pPr>
      <w:r w:rsidRPr="007D1189">
        <w:rPr>
          <w:rFonts w:ascii="Verdana" w:eastAsia="Times New Roman" w:hAnsi="Verdana" w:cs="Arial"/>
          <w:sz w:val="22"/>
          <w:szCs w:val="22"/>
          <w:lang w:val="en-GB" w:eastAsia="en-GB"/>
        </w:rPr>
        <w:t>The PCC is responsible for the finances of the whole Group and controls all assets, liabilities and reserves. The PCC incurs costs relating to the Office of the Police and Crime Commissioner (OPCC) and receives all income and funding and makes all the payments for the Group from the overall Police Fund. In turn the Chief Constable of Surrey fulfils his functions under the Act within an annual budget (set by the PCC in consultation with the Chief Constable). A Scheme of Consent is in operation between the two bodies determining their respective responsibilities, as well as local arrangements in respect of the use of The PCC’s assets and staff.</w:t>
      </w:r>
    </w:p>
    <w:p w14:paraId="31E169E8" w14:textId="77777777" w:rsidR="00F227D9" w:rsidRPr="007D1189" w:rsidRDefault="00F227D9" w:rsidP="00F227D9">
      <w:pPr>
        <w:pStyle w:val="Normal0"/>
        <w:jc w:val="both"/>
        <w:rPr>
          <w:rFonts w:ascii="Verdana" w:eastAsia="Times New Roman" w:hAnsi="Verdana" w:cs="Arial"/>
          <w:sz w:val="22"/>
          <w:szCs w:val="22"/>
          <w:lang w:val="en-GB" w:eastAsia="en-GB"/>
        </w:rPr>
      </w:pPr>
    </w:p>
    <w:p w14:paraId="2FA8AFCA" w14:textId="77777777" w:rsidR="00F227D9" w:rsidRPr="007D1189" w:rsidRDefault="00F227D9" w:rsidP="00F227D9">
      <w:pPr>
        <w:pStyle w:val="Normal0"/>
        <w:jc w:val="both"/>
        <w:rPr>
          <w:rFonts w:ascii="Verdana" w:eastAsia="Times New Roman" w:hAnsi="Verdana" w:cs="Arial"/>
          <w:b/>
          <w:sz w:val="22"/>
          <w:szCs w:val="22"/>
          <w:lang w:val="en-GB" w:eastAsia="en-GB"/>
        </w:rPr>
      </w:pPr>
      <w:r w:rsidRPr="007D1189">
        <w:rPr>
          <w:rFonts w:ascii="Verdana" w:eastAsia="Times New Roman" w:hAnsi="Verdana" w:cs="Arial"/>
          <w:b/>
          <w:sz w:val="22"/>
          <w:szCs w:val="22"/>
          <w:lang w:val="en-GB" w:eastAsia="en-GB"/>
        </w:rPr>
        <w:t>Accounting Arrangements</w:t>
      </w:r>
    </w:p>
    <w:p w14:paraId="756CAF4C" w14:textId="77777777" w:rsidR="00F227D9" w:rsidRPr="007D1189" w:rsidRDefault="00F227D9" w:rsidP="00F227D9">
      <w:pPr>
        <w:pStyle w:val="Normal0"/>
        <w:jc w:val="both"/>
        <w:rPr>
          <w:rFonts w:ascii="Verdana" w:eastAsia="Times New Roman" w:hAnsi="Verdana" w:cs="Arial"/>
          <w:sz w:val="22"/>
          <w:szCs w:val="22"/>
          <w:lang w:val="en-GB" w:eastAsia="en-GB"/>
        </w:rPr>
      </w:pPr>
    </w:p>
    <w:p w14:paraId="658DEB6C" w14:textId="77777777" w:rsidR="00F227D9" w:rsidRPr="007D1189" w:rsidRDefault="00F227D9" w:rsidP="00F227D9">
      <w:pPr>
        <w:pStyle w:val="Normal0"/>
        <w:jc w:val="both"/>
        <w:rPr>
          <w:rFonts w:ascii="Verdana" w:eastAsia="Times New Roman" w:hAnsi="Verdana" w:cs="Arial"/>
          <w:sz w:val="22"/>
          <w:szCs w:val="22"/>
          <w:lang w:val="en-GB" w:eastAsia="en-GB"/>
        </w:rPr>
      </w:pPr>
      <w:r w:rsidRPr="007D1189">
        <w:rPr>
          <w:rFonts w:ascii="Verdana" w:eastAsia="Times New Roman" w:hAnsi="Verdana" w:cs="Arial"/>
          <w:sz w:val="22"/>
          <w:szCs w:val="22"/>
          <w:lang w:val="en-GB" w:eastAsia="en-GB"/>
        </w:rPr>
        <w:t>Each Public Body has a statutory responsibility to prepare its own accounts to present fairly its operations during the year. They must be prepared in accordance with proper practices as set out in the Code of Practice on Local Authority Accounting in the United Kingdom (the Code).</w:t>
      </w:r>
    </w:p>
    <w:p w14:paraId="108D6EF8" w14:textId="77777777" w:rsidR="00693255" w:rsidRPr="007D1189" w:rsidRDefault="00693255" w:rsidP="00F227D9">
      <w:pPr>
        <w:pStyle w:val="Normal0"/>
        <w:jc w:val="both"/>
        <w:rPr>
          <w:rFonts w:ascii="Verdana" w:eastAsia="Times New Roman" w:hAnsi="Verdana" w:cs="Arial"/>
          <w:sz w:val="22"/>
          <w:szCs w:val="22"/>
          <w:lang w:val="en-GB" w:eastAsia="en-GB"/>
        </w:rPr>
      </w:pPr>
    </w:p>
    <w:p w14:paraId="1CE6E6AE" w14:textId="69FF6D4A" w:rsidR="00F227D9" w:rsidRPr="007D1189" w:rsidRDefault="00F227D9" w:rsidP="00F227D9">
      <w:pPr>
        <w:pStyle w:val="Normal0"/>
        <w:jc w:val="both"/>
        <w:rPr>
          <w:rFonts w:ascii="Verdana" w:eastAsia="Times New Roman" w:hAnsi="Verdana" w:cs="Arial"/>
          <w:sz w:val="22"/>
          <w:szCs w:val="22"/>
          <w:lang w:val="en-GB" w:eastAsia="en-GB"/>
        </w:rPr>
      </w:pPr>
      <w:r w:rsidRPr="007D1189">
        <w:rPr>
          <w:rFonts w:ascii="Verdana" w:eastAsia="Times New Roman" w:hAnsi="Verdana" w:cs="Arial"/>
          <w:sz w:val="22"/>
          <w:szCs w:val="22"/>
          <w:lang w:val="en-GB" w:eastAsia="en-GB"/>
        </w:rPr>
        <w:t>This Statement of Accounts includes all the financial transactions incurred during 20</w:t>
      </w:r>
      <w:r w:rsidR="007D1189" w:rsidRPr="007D1189">
        <w:rPr>
          <w:rFonts w:ascii="Verdana" w:eastAsia="Times New Roman" w:hAnsi="Verdana" w:cs="Arial"/>
          <w:sz w:val="22"/>
          <w:szCs w:val="22"/>
          <w:lang w:val="en-GB" w:eastAsia="en-GB"/>
        </w:rPr>
        <w:t>20</w:t>
      </w:r>
      <w:r w:rsidRPr="007D1189">
        <w:rPr>
          <w:rFonts w:ascii="Verdana" w:eastAsia="Times New Roman" w:hAnsi="Verdana" w:cs="Arial"/>
          <w:sz w:val="22"/>
          <w:szCs w:val="22"/>
          <w:lang w:val="en-GB" w:eastAsia="en-GB"/>
        </w:rPr>
        <w:t>/</w:t>
      </w:r>
      <w:r w:rsidR="00693255" w:rsidRPr="007D1189">
        <w:rPr>
          <w:rFonts w:ascii="Verdana" w:eastAsia="Times New Roman" w:hAnsi="Verdana" w:cs="Arial"/>
          <w:sz w:val="22"/>
          <w:szCs w:val="22"/>
          <w:lang w:val="en-GB" w:eastAsia="en-GB"/>
        </w:rPr>
        <w:t>2</w:t>
      </w:r>
      <w:r w:rsidR="007D1189" w:rsidRPr="007D1189">
        <w:rPr>
          <w:rFonts w:ascii="Verdana" w:eastAsia="Times New Roman" w:hAnsi="Verdana" w:cs="Arial"/>
          <w:sz w:val="22"/>
          <w:szCs w:val="22"/>
          <w:lang w:val="en-GB" w:eastAsia="en-GB"/>
        </w:rPr>
        <w:t>1</w:t>
      </w:r>
      <w:r w:rsidRPr="007D1189">
        <w:rPr>
          <w:rFonts w:ascii="Verdana" w:eastAsia="Times New Roman" w:hAnsi="Verdana" w:cs="Arial"/>
          <w:sz w:val="22"/>
          <w:szCs w:val="22"/>
          <w:lang w:val="en-GB" w:eastAsia="en-GB"/>
        </w:rPr>
        <w:t xml:space="preserve"> relating to the Chief Constable. The consolidated Group position including the Chief Constable and PCC, have been prepared in a separate Statement of Accounts.</w:t>
      </w:r>
    </w:p>
    <w:p w14:paraId="612C58BB" w14:textId="77777777" w:rsidR="00F227D9" w:rsidRPr="007D1189" w:rsidRDefault="00F227D9" w:rsidP="00F227D9">
      <w:pPr>
        <w:pStyle w:val="Normal0"/>
        <w:jc w:val="both"/>
        <w:rPr>
          <w:rFonts w:ascii="Verdana" w:eastAsia="Times New Roman" w:hAnsi="Verdana" w:cs="Arial"/>
          <w:sz w:val="22"/>
          <w:szCs w:val="22"/>
          <w:lang w:val="en-GB" w:eastAsia="en-GB"/>
        </w:rPr>
      </w:pPr>
      <w:r w:rsidRPr="007D1189">
        <w:rPr>
          <w:rFonts w:ascii="Verdana" w:eastAsia="Times New Roman" w:hAnsi="Verdana" w:cs="Arial"/>
          <w:sz w:val="22"/>
          <w:szCs w:val="22"/>
          <w:lang w:val="en-GB" w:eastAsia="en-GB"/>
        </w:rPr>
        <w:t xml:space="preserve"> </w:t>
      </w:r>
    </w:p>
    <w:p w14:paraId="7D54EE9F" w14:textId="77777777" w:rsidR="00F227D9" w:rsidRPr="007D1189" w:rsidRDefault="00F227D9" w:rsidP="003250E3">
      <w:pPr>
        <w:pStyle w:val="Style1"/>
        <w:numPr>
          <w:ilvl w:val="0"/>
          <w:numId w:val="5"/>
        </w:numPr>
        <w:rPr>
          <w:rFonts w:ascii="Verdana" w:hAnsi="Verdana"/>
          <w:sz w:val="22"/>
          <w:szCs w:val="22"/>
          <w:lang w:val="en-GB" w:eastAsia="en-GB"/>
        </w:rPr>
      </w:pPr>
      <w:r w:rsidRPr="007D1189">
        <w:rPr>
          <w:rFonts w:ascii="Verdana" w:hAnsi="Verdana"/>
          <w:sz w:val="22"/>
          <w:szCs w:val="22"/>
          <w:lang w:val="en-GB" w:eastAsia="en-GB"/>
        </w:rPr>
        <w:t>The Statement of Accounts</w:t>
      </w:r>
    </w:p>
    <w:p w14:paraId="3E535128" w14:textId="77777777" w:rsidR="00F227D9" w:rsidRPr="007D1189" w:rsidRDefault="00F227D9" w:rsidP="00F227D9">
      <w:pPr>
        <w:pStyle w:val="Normal0"/>
        <w:jc w:val="both"/>
        <w:rPr>
          <w:rFonts w:ascii="Verdana" w:eastAsia="Times New Roman" w:hAnsi="Verdana" w:cs="Arial"/>
          <w:sz w:val="22"/>
          <w:szCs w:val="22"/>
          <w:lang w:val="en-GB" w:eastAsia="en-GB"/>
        </w:rPr>
      </w:pPr>
    </w:p>
    <w:p w14:paraId="1D5D4E10" w14:textId="2689FECA" w:rsidR="00490CB1" w:rsidRPr="007D1189" w:rsidRDefault="00490CB1" w:rsidP="00490CB1">
      <w:pPr>
        <w:jc w:val="both"/>
        <w:rPr>
          <w:rFonts w:ascii="Verdana" w:hAnsi="Verdana" w:cs="Arial"/>
          <w:sz w:val="22"/>
          <w:szCs w:val="22"/>
        </w:rPr>
      </w:pPr>
      <w:r w:rsidRPr="007D1189">
        <w:rPr>
          <w:rFonts w:ascii="Verdana" w:hAnsi="Verdana" w:cs="Arial"/>
          <w:sz w:val="22"/>
          <w:szCs w:val="22"/>
        </w:rPr>
        <w:t>The Financial Statements</w:t>
      </w:r>
      <w:r w:rsidR="00693255" w:rsidRPr="007D1189">
        <w:rPr>
          <w:rFonts w:ascii="Verdana" w:hAnsi="Verdana" w:cs="Arial"/>
          <w:sz w:val="22"/>
          <w:szCs w:val="22"/>
        </w:rPr>
        <w:t xml:space="preserve"> for 20</w:t>
      </w:r>
      <w:r w:rsidR="007D1189" w:rsidRPr="007D1189">
        <w:rPr>
          <w:rFonts w:ascii="Verdana" w:hAnsi="Verdana" w:cs="Arial"/>
          <w:sz w:val="22"/>
          <w:szCs w:val="22"/>
        </w:rPr>
        <w:t>20</w:t>
      </w:r>
      <w:r w:rsidR="00693255" w:rsidRPr="007D1189">
        <w:rPr>
          <w:rFonts w:ascii="Verdana" w:hAnsi="Verdana" w:cs="Arial"/>
          <w:sz w:val="22"/>
          <w:szCs w:val="22"/>
        </w:rPr>
        <w:t>/2</w:t>
      </w:r>
      <w:r w:rsidR="007D1189" w:rsidRPr="007D1189">
        <w:rPr>
          <w:rFonts w:ascii="Verdana" w:hAnsi="Verdana" w:cs="Arial"/>
          <w:sz w:val="22"/>
          <w:szCs w:val="22"/>
        </w:rPr>
        <w:t>1</w:t>
      </w:r>
      <w:r w:rsidRPr="007D1189">
        <w:rPr>
          <w:rFonts w:ascii="Verdana" w:hAnsi="Verdana" w:cs="Arial"/>
          <w:sz w:val="22"/>
          <w:szCs w:val="22"/>
        </w:rPr>
        <w:t>, which follow this narrative report have been prepared in accordance with the Code of Practice on Local Authority Accounting in the United Kingdom 20</w:t>
      </w:r>
      <w:r w:rsidR="007D1189" w:rsidRPr="007D1189">
        <w:rPr>
          <w:rFonts w:ascii="Verdana" w:hAnsi="Verdana" w:cs="Arial"/>
          <w:sz w:val="22"/>
          <w:szCs w:val="22"/>
        </w:rPr>
        <w:t>20</w:t>
      </w:r>
      <w:r w:rsidRPr="007D1189">
        <w:rPr>
          <w:rFonts w:ascii="Verdana" w:hAnsi="Verdana" w:cs="Arial"/>
          <w:sz w:val="22"/>
          <w:szCs w:val="22"/>
        </w:rPr>
        <w:t>/2</w:t>
      </w:r>
      <w:r w:rsidR="007D1189" w:rsidRPr="007D1189">
        <w:rPr>
          <w:rFonts w:ascii="Verdana" w:hAnsi="Verdana" w:cs="Arial"/>
          <w:sz w:val="22"/>
          <w:szCs w:val="22"/>
        </w:rPr>
        <w:t>1</w:t>
      </w:r>
      <w:r w:rsidRPr="007D1189">
        <w:rPr>
          <w:rFonts w:ascii="Verdana" w:hAnsi="Verdana" w:cs="Arial"/>
          <w:sz w:val="22"/>
          <w:szCs w:val="22"/>
        </w:rPr>
        <w:t xml:space="preserve"> Based on International Financial Reporting Standards) issued by the Chartered Institute of Public Finance &amp; Accountancy (CIPFA) and comprise of:</w:t>
      </w:r>
    </w:p>
    <w:p w14:paraId="1F88902F" w14:textId="77777777" w:rsidR="00490CB1" w:rsidRPr="007D1189" w:rsidRDefault="00490CB1" w:rsidP="00F227D9">
      <w:pPr>
        <w:pStyle w:val="Normal0"/>
        <w:jc w:val="both"/>
        <w:rPr>
          <w:rFonts w:ascii="Verdana" w:eastAsia="Times New Roman" w:hAnsi="Verdana" w:cs="Arial"/>
          <w:sz w:val="22"/>
          <w:szCs w:val="22"/>
          <w:lang w:val="en-GB" w:eastAsia="en-GB"/>
        </w:rPr>
      </w:pPr>
    </w:p>
    <w:p w14:paraId="551022C8" w14:textId="77777777" w:rsidR="00693255" w:rsidRPr="007D1189" w:rsidRDefault="00F227D9" w:rsidP="00F227D9">
      <w:pPr>
        <w:pStyle w:val="Normal0"/>
        <w:ind w:left="720" w:hanging="720"/>
        <w:jc w:val="both"/>
        <w:rPr>
          <w:rFonts w:ascii="Verdana" w:eastAsia="Times New Roman" w:hAnsi="Verdana" w:cs="Arial"/>
          <w:b/>
          <w:sz w:val="22"/>
          <w:szCs w:val="22"/>
          <w:lang w:val="en-GB" w:eastAsia="en-GB"/>
        </w:rPr>
      </w:pPr>
      <w:r w:rsidRPr="007D1189">
        <w:rPr>
          <w:rFonts w:ascii="Verdana" w:eastAsia="Times New Roman" w:hAnsi="Verdana" w:cs="Arial"/>
          <w:b/>
          <w:sz w:val="22"/>
          <w:szCs w:val="22"/>
          <w:lang w:val="en-GB" w:eastAsia="en-GB"/>
        </w:rPr>
        <w:t>Comprehensive In</w:t>
      </w:r>
      <w:r w:rsidR="00693255" w:rsidRPr="007D1189">
        <w:rPr>
          <w:rFonts w:ascii="Verdana" w:eastAsia="Times New Roman" w:hAnsi="Verdana" w:cs="Arial"/>
          <w:b/>
          <w:sz w:val="22"/>
          <w:szCs w:val="22"/>
          <w:lang w:val="en-GB" w:eastAsia="en-GB"/>
        </w:rPr>
        <w:t>come and Expenditure Statement (CIES)</w:t>
      </w:r>
    </w:p>
    <w:p w14:paraId="671325F9" w14:textId="77777777" w:rsidR="00F227D9" w:rsidRPr="007D1189" w:rsidRDefault="00F227D9" w:rsidP="00693255">
      <w:pPr>
        <w:pStyle w:val="Normal0"/>
        <w:spacing w:line="257" w:lineRule="auto"/>
        <w:jc w:val="both"/>
        <w:rPr>
          <w:rFonts w:ascii="Verdana" w:eastAsia="Times New Roman" w:hAnsi="Verdana" w:cs="Arial"/>
          <w:sz w:val="22"/>
          <w:szCs w:val="22"/>
          <w:lang w:val="en-GB" w:eastAsia="en-GB"/>
        </w:rPr>
      </w:pPr>
      <w:r w:rsidRPr="007D1189">
        <w:rPr>
          <w:rFonts w:ascii="Verdana" w:eastAsia="Times New Roman" w:hAnsi="Verdana" w:cs="Arial"/>
          <w:sz w:val="22"/>
          <w:szCs w:val="22"/>
          <w:lang w:val="en-GB" w:eastAsia="en-GB"/>
        </w:rPr>
        <w:t xml:space="preserve">The CIES consolidates all income, expenditure, gains and losses experienced during the financial year. This includes all day-to-day expenses and related income prepared on an accruals basis, as well as transactions measuring the value of fixed assets consumed and the real projected value of retirement benefits earned by employees in the year. The PCC raises taxation to cover expenditure in accordance with specific rules as to how tax rates are set in relation to the income and expenses of the Group. This means the expenditure covered by local taxation (funding basis) may be different to the full accounting cost recorded in the CIES (accounting basis). The adjustments between the funding basis and accounting basis are shown in the Movement in Reserves Statement (MIRS). </w:t>
      </w:r>
    </w:p>
    <w:p w14:paraId="64A4C10F" w14:textId="77777777" w:rsidR="00F227D9" w:rsidRPr="007D1189" w:rsidRDefault="00F227D9" w:rsidP="00F227D9">
      <w:pPr>
        <w:pStyle w:val="Normal0"/>
        <w:ind w:left="720" w:hanging="720"/>
        <w:jc w:val="both"/>
        <w:rPr>
          <w:rFonts w:ascii="Verdana" w:eastAsia="Times New Roman" w:hAnsi="Verdana" w:cs="Arial"/>
          <w:sz w:val="22"/>
          <w:szCs w:val="22"/>
          <w:lang w:val="en-GB" w:eastAsia="en-GB"/>
        </w:rPr>
      </w:pPr>
      <w:r w:rsidRPr="007D1189">
        <w:rPr>
          <w:rFonts w:ascii="Verdana" w:eastAsia="Times New Roman" w:hAnsi="Verdana" w:cs="Arial"/>
          <w:sz w:val="22"/>
          <w:szCs w:val="22"/>
          <w:lang w:val="en-GB" w:eastAsia="en-GB"/>
        </w:rPr>
        <w:t xml:space="preserve">  </w:t>
      </w:r>
    </w:p>
    <w:p w14:paraId="1F8F431A" w14:textId="77777777" w:rsidR="00693255" w:rsidRPr="007D1189" w:rsidRDefault="00693255" w:rsidP="00F227D9">
      <w:pPr>
        <w:pStyle w:val="Normal0"/>
        <w:ind w:left="720" w:hanging="720"/>
        <w:jc w:val="both"/>
        <w:rPr>
          <w:rFonts w:ascii="Verdana" w:eastAsia="Times New Roman" w:hAnsi="Verdana" w:cs="Arial"/>
          <w:b/>
          <w:sz w:val="22"/>
          <w:szCs w:val="22"/>
          <w:lang w:val="en-GB" w:eastAsia="en-GB"/>
        </w:rPr>
      </w:pPr>
      <w:r w:rsidRPr="007D1189">
        <w:rPr>
          <w:rFonts w:ascii="Verdana" w:eastAsia="Times New Roman" w:hAnsi="Verdana" w:cs="Arial"/>
          <w:b/>
          <w:sz w:val="22"/>
          <w:szCs w:val="22"/>
          <w:lang w:val="en-GB" w:eastAsia="en-GB"/>
        </w:rPr>
        <w:t>Movement in Reserves Statement (MIRS)</w:t>
      </w:r>
    </w:p>
    <w:p w14:paraId="560E1070" w14:textId="77777777" w:rsidR="00F227D9" w:rsidRPr="007D1189" w:rsidRDefault="00F227D9" w:rsidP="00693255">
      <w:pPr>
        <w:pStyle w:val="Normal0"/>
        <w:spacing w:line="257" w:lineRule="auto"/>
        <w:jc w:val="both"/>
        <w:rPr>
          <w:rFonts w:ascii="Verdana" w:eastAsia="Times New Roman" w:hAnsi="Verdana" w:cs="Arial"/>
          <w:sz w:val="22"/>
          <w:szCs w:val="22"/>
          <w:lang w:val="en-GB" w:eastAsia="en-GB"/>
        </w:rPr>
      </w:pPr>
      <w:r w:rsidRPr="007D1189">
        <w:rPr>
          <w:rFonts w:ascii="Verdana" w:eastAsia="Times New Roman" w:hAnsi="Verdana" w:cs="Arial"/>
          <w:sz w:val="22"/>
          <w:szCs w:val="22"/>
          <w:lang w:val="en-GB" w:eastAsia="en-GB"/>
        </w:rPr>
        <w:t>The Movement in Reserves Statement (MIRS) is a summary of the changes that have taken place in the bottom half of the Balance Sheet over the financial year. It shows the movement in year on the different reserves, analysed into ‘useable’ (i.e. those that can be applied to fund expenditure or reduce local taxation) and other reserves.</w:t>
      </w:r>
    </w:p>
    <w:p w14:paraId="74998A47" w14:textId="77777777" w:rsidR="00F227D9" w:rsidRPr="007D1189" w:rsidRDefault="00F227D9" w:rsidP="00F227D9">
      <w:pPr>
        <w:pStyle w:val="Normal0"/>
        <w:jc w:val="both"/>
        <w:rPr>
          <w:rFonts w:ascii="Verdana" w:eastAsia="Times New Roman" w:hAnsi="Verdana" w:cs="Arial"/>
          <w:sz w:val="22"/>
          <w:szCs w:val="22"/>
          <w:lang w:val="en-GB" w:eastAsia="en-GB"/>
        </w:rPr>
      </w:pPr>
    </w:p>
    <w:p w14:paraId="415AADB8" w14:textId="77777777" w:rsidR="00693255" w:rsidRPr="007D1189" w:rsidRDefault="00F227D9" w:rsidP="00F227D9">
      <w:pPr>
        <w:pStyle w:val="Normal0"/>
        <w:ind w:left="720" w:hanging="720"/>
        <w:jc w:val="both"/>
        <w:rPr>
          <w:rFonts w:ascii="Verdana" w:eastAsia="Times New Roman" w:hAnsi="Verdana" w:cs="Arial"/>
          <w:sz w:val="22"/>
          <w:szCs w:val="22"/>
          <w:lang w:val="en-GB" w:eastAsia="en-GB"/>
        </w:rPr>
      </w:pPr>
      <w:r w:rsidRPr="007D1189">
        <w:rPr>
          <w:rFonts w:ascii="Verdana" w:eastAsia="Times New Roman" w:hAnsi="Verdana" w:cs="Arial"/>
          <w:b/>
          <w:sz w:val="22"/>
          <w:szCs w:val="22"/>
          <w:lang w:val="en-GB" w:eastAsia="en-GB"/>
        </w:rPr>
        <w:t>Balance Sheet</w:t>
      </w:r>
    </w:p>
    <w:p w14:paraId="4EC74349" w14:textId="77777777" w:rsidR="00F227D9" w:rsidRPr="007D1189" w:rsidRDefault="00F227D9" w:rsidP="00693255">
      <w:pPr>
        <w:pStyle w:val="Normal0"/>
        <w:spacing w:line="257" w:lineRule="auto"/>
        <w:jc w:val="both"/>
        <w:rPr>
          <w:rFonts w:ascii="Verdana" w:eastAsia="Times New Roman" w:hAnsi="Verdana" w:cs="Arial"/>
          <w:sz w:val="22"/>
          <w:szCs w:val="22"/>
          <w:lang w:val="en-GB" w:eastAsia="en-GB"/>
        </w:rPr>
      </w:pPr>
      <w:r w:rsidRPr="007D1189">
        <w:rPr>
          <w:rFonts w:ascii="Verdana" w:eastAsia="Times New Roman" w:hAnsi="Verdana" w:cs="Arial"/>
          <w:sz w:val="22"/>
          <w:szCs w:val="22"/>
          <w:lang w:val="en-GB" w:eastAsia="en-GB"/>
        </w:rPr>
        <w:t>This shows the value the assets and liabilities held by the Chief Constable as at 31 March for the current and prior years. The net liabilities (assets less liabilities) are matched by</w:t>
      </w:r>
      <w:r w:rsidR="00693255" w:rsidRPr="007D1189">
        <w:rPr>
          <w:rFonts w:ascii="Verdana" w:eastAsia="Times New Roman" w:hAnsi="Verdana" w:cs="Arial"/>
          <w:sz w:val="22"/>
          <w:szCs w:val="22"/>
          <w:lang w:val="en-GB" w:eastAsia="en-GB"/>
        </w:rPr>
        <w:t xml:space="preserve"> the total</w:t>
      </w:r>
      <w:r w:rsidRPr="007D1189">
        <w:rPr>
          <w:rFonts w:ascii="Verdana" w:eastAsia="Times New Roman" w:hAnsi="Verdana" w:cs="Arial"/>
          <w:sz w:val="22"/>
          <w:szCs w:val="22"/>
          <w:lang w:val="en-GB" w:eastAsia="en-GB"/>
        </w:rPr>
        <w:t xml:space="preserve"> reserves.</w:t>
      </w:r>
    </w:p>
    <w:p w14:paraId="4D6D2062" w14:textId="77777777" w:rsidR="00F227D9" w:rsidRPr="007D1189" w:rsidRDefault="00F227D9" w:rsidP="00F227D9">
      <w:pPr>
        <w:pStyle w:val="Normal0"/>
        <w:jc w:val="both"/>
        <w:rPr>
          <w:rFonts w:ascii="Verdana" w:eastAsia="Times New Roman" w:hAnsi="Verdana" w:cs="Arial"/>
          <w:sz w:val="22"/>
          <w:szCs w:val="22"/>
          <w:lang w:val="en-GB" w:eastAsia="en-GB"/>
        </w:rPr>
      </w:pPr>
      <w:r w:rsidRPr="007D1189">
        <w:rPr>
          <w:rFonts w:ascii="Verdana" w:eastAsia="Times New Roman" w:hAnsi="Verdana" w:cs="Arial"/>
          <w:sz w:val="22"/>
          <w:szCs w:val="22"/>
          <w:lang w:val="en-GB" w:eastAsia="en-GB"/>
        </w:rPr>
        <w:t xml:space="preserve"> </w:t>
      </w:r>
    </w:p>
    <w:p w14:paraId="6E8039C6" w14:textId="77777777" w:rsidR="00693255" w:rsidRPr="007D1189" w:rsidRDefault="00F227D9" w:rsidP="00F227D9">
      <w:pPr>
        <w:pStyle w:val="Normal0"/>
        <w:ind w:left="720" w:hanging="720"/>
        <w:jc w:val="both"/>
        <w:rPr>
          <w:rFonts w:ascii="Verdana" w:eastAsia="Times New Roman" w:hAnsi="Verdana" w:cs="Arial"/>
          <w:sz w:val="22"/>
          <w:szCs w:val="22"/>
          <w:lang w:val="en-GB" w:eastAsia="en-GB"/>
        </w:rPr>
      </w:pPr>
      <w:r w:rsidRPr="007D1189">
        <w:rPr>
          <w:rFonts w:ascii="Verdana" w:eastAsia="Times New Roman" w:hAnsi="Verdana" w:cs="Arial"/>
          <w:b/>
          <w:sz w:val="22"/>
          <w:szCs w:val="22"/>
          <w:lang w:val="en-GB" w:eastAsia="en-GB"/>
        </w:rPr>
        <w:t>Cash Flow Statement</w:t>
      </w:r>
      <w:r w:rsidRPr="007D1189">
        <w:rPr>
          <w:rFonts w:ascii="Verdana" w:eastAsia="Times New Roman" w:hAnsi="Verdana" w:cs="Arial"/>
          <w:sz w:val="22"/>
          <w:szCs w:val="22"/>
          <w:lang w:val="en-GB" w:eastAsia="en-GB"/>
        </w:rPr>
        <w:t xml:space="preserve">. </w:t>
      </w:r>
    </w:p>
    <w:p w14:paraId="48354988" w14:textId="77777777" w:rsidR="00F227D9" w:rsidRPr="007D1189" w:rsidRDefault="00F227D9" w:rsidP="00693255">
      <w:pPr>
        <w:pStyle w:val="Normal0"/>
        <w:spacing w:line="257" w:lineRule="auto"/>
        <w:jc w:val="both"/>
        <w:rPr>
          <w:rFonts w:ascii="Verdana" w:eastAsia="Times New Roman" w:hAnsi="Verdana" w:cs="Arial"/>
          <w:sz w:val="22"/>
          <w:szCs w:val="22"/>
          <w:lang w:val="en-GB" w:eastAsia="en-GB"/>
        </w:rPr>
      </w:pPr>
      <w:r w:rsidRPr="007D1189">
        <w:rPr>
          <w:rFonts w:ascii="Verdana" w:eastAsia="Times New Roman" w:hAnsi="Verdana" w:cs="Arial"/>
          <w:sz w:val="22"/>
          <w:szCs w:val="22"/>
          <w:lang w:val="en-GB" w:eastAsia="en-GB"/>
        </w:rPr>
        <w:t xml:space="preserve">This statement shows the changes in cash and cash equivalents of the Chief Constable during the reporting period. The Chief Constable does not manage any of these transactions and accordingly </w:t>
      </w:r>
      <w:r w:rsidR="00693255" w:rsidRPr="007D1189">
        <w:rPr>
          <w:rFonts w:ascii="Verdana" w:eastAsia="Times New Roman" w:hAnsi="Verdana" w:cs="Arial"/>
          <w:sz w:val="22"/>
          <w:szCs w:val="22"/>
          <w:lang w:val="en-GB" w:eastAsia="en-GB"/>
        </w:rPr>
        <w:t>the net cash impact is £Nil in these accounts</w:t>
      </w:r>
      <w:r w:rsidRPr="007D1189">
        <w:rPr>
          <w:rFonts w:ascii="Verdana" w:eastAsia="Times New Roman" w:hAnsi="Verdana" w:cs="Arial"/>
          <w:sz w:val="22"/>
          <w:szCs w:val="22"/>
          <w:lang w:val="en-GB" w:eastAsia="en-GB"/>
        </w:rPr>
        <w:t>. Movements of monies are included in the PCC’s Statement of Accounts</w:t>
      </w:r>
      <w:r w:rsidR="00693255" w:rsidRPr="007D1189">
        <w:rPr>
          <w:rFonts w:ascii="Verdana" w:eastAsia="Times New Roman" w:hAnsi="Verdana" w:cs="Arial"/>
          <w:sz w:val="22"/>
          <w:szCs w:val="22"/>
          <w:lang w:val="en-GB" w:eastAsia="en-GB"/>
        </w:rPr>
        <w:t xml:space="preserve"> and only the net deficit on the provision of services and adjustments for non-cash movements are included in the Chief Constables cash flow statement</w:t>
      </w:r>
      <w:r w:rsidRPr="007D1189">
        <w:rPr>
          <w:rFonts w:ascii="Verdana" w:eastAsia="Times New Roman" w:hAnsi="Verdana" w:cs="Arial"/>
          <w:sz w:val="22"/>
          <w:szCs w:val="22"/>
          <w:lang w:val="en-GB" w:eastAsia="en-GB"/>
        </w:rPr>
        <w:t>.</w:t>
      </w:r>
    </w:p>
    <w:p w14:paraId="3F52AFC3" w14:textId="77777777" w:rsidR="00F227D9" w:rsidRPr="007D1189" w:rsidRDefault="00F227D9" w:rsidP="00F227D9">
      <w:pPr>
        <w:pStyle w:val="Normal0"/>
        <w:ind w:left="720" w:hanging="720"/>
        <w:jc w:val="both"/>
        <w:rPr>
          <w:rFonts w:ascii="Verdana" w:eastAsia="Times New Roman" w:hAnsi="Verdana" w:cs="Arial"/>
          <w:sz w:val="22"/>
          <w:szCs w:val="22"/>
          <w:lang w:val="en-GB" w:eastAsia="en-GB"/>
        </w:rPr>
      </w:pPr>
    </w:p>
    <w:p w14:paraId="622D9F02" w14:textId="77777777" w:rsidR="00693255" w:rsidRPr="007D1189" w:rsidRDefault="00F227D9" w:rsidP="00F227D9">
      <w:pPr>
        <w:pStyle w:val="Normal0"/>
        <w:ind w:left="720" w:hanging="720"/>
        <w:jc w:val="both"/>
        <w:rPr>
          <w:rFonts w:ascii="Verdana" w:eastAsia="Times New Roman" w:hAnsi="Verdana" w:cs="Arial"/>
          <w:b/>
          <w:sz w:val="22"/>
          <w:szCs w:val="22"/>
          <w:lang w:val="en-GB" w:eastAsia="en-GB"/>
        </w:rPr>
      </w:pPr>
      <w:r w:rsidRPr="007D1189">
        <w:rPr>
          <w:rFonts w:ascii="Verdana" w:eastAsia="Times New Roman" w:hAnsi="Verdana" w:cs="Arial"/>
          <w:b/>
          <w:sz w:val="22"/>
          <w:szCs w:val="22"/>
          <w:lang w:val="en-GB" w:eastAsia="en-GB"/>
        </w:rPr>
        <w:t xml:space="preserve">Notes to the Accounts.  </w:t>
      </w:r>
    </w:p>
    <w:p w14:paraId="0B3A0165" w14:textId="77777777" w:rsidR="00F227D9" w:rsidRPr="007D1189" w:rsidRDefault="00F227D9" w:rsidP="00693255">
      <w:pPr>
        <w:pStyle w:val="Normal0"/>
        <w:spacing w:line="257" w:lineRule="auto"/>
        <w:jc w:val="both"/>
        <w:rPr>
          <w:rFonts w:ascii="Verdana" w:eastAsia="Times New Roman" w:hAnsi="Verdana" w:cs="Arial"/>
          <w:sz w:val="22"/>
          <w:szCs w:val="22"/>
          <w:lang w:val="en-GB" w:eastAsia="en-GB"/>
        </w:rPr>
      </w:pPr>
      <w:r w:rsidRPr="007D1189">
        <w:rPr>
          <w:rFonts w:ascii="Verdana" w:eastAsia="Times New Roman" w:hAnsi="Verdana" w:cs="Arial"/>
          <w:sz w:val="22"/>
          <w:szCs w:val="22"/>
          <w:lang w:val="en-GB" w:eastAsia="en-GB"/>
        </w:rPr>
        <w:t>These provide additional information to support the figures included in the financial statements and are designed to aid the reader. They comprise significant accounting policies and other explanatory information.</w:t>
      </w:r>
    </w:p>
    <w:p w14:paraId="4B544839" w14:textId="77777777" w:rsidR="00F227D9" w:rsidRPr="007D1189" w:rsidRDefault="00F227D9" w:rsidP="00F227D9">
      <w:pPr>
        <w:pStyle w:val="Normal0"/>
        <w:ind w:left="720" w:hanging="720"/>
        <w:jc w:val="both"/>
        <w:rPr>
          <w:rFonts w:ascii="Verdana" w:eastAsia="Times New Roman" w:hAnsi="Verdana" w:cs="Arial"/>
          <w:sz w:val="22"/>
          <w:szCs w:val="22"/>
          <w:lang w:val="en-GB" w:eastAsia="en-GB"/>
        </w:rPr>
      </w:pPr>
    </w:p>
    <w:p w14:paraId="7B6385F3" w14:textId="77777777" w:rsidR="00F227D9" w:rsidRPr="007D1189" w:rsidRDefault="00F227D9" w:rsidP="00F227D9">
      <w:pPr>
        <w:pStyle w:val="Normal0"/>
        <w:jc w:val="both"/>
        <w:rPr>
          <w:rFonts w:ascii="Verdana" w:eastAsia="Times New Roman" w:hAnsi="Verdana" w:cs="Arial"/>
          <w:sz w:val="22"/>
          <w:szCs w:val="22"/>
          <w:lang w:val="en-GB" w:eastAsia="en-GB"/>
        </w:rPr>
      </w:pPr>
      <w:r w:rsidRPr="007D1189">
        <w:rPr>
          <w:rFonts w:ascii="Verdana" w:eastAsia="Times New Roman" w:hAnsi="Verdana" w:cs="Arial"/>
          <w:sz w:val="22"/>
          <w:szCs w:val="22"/>
          <w:lang w:val="en-GB" w:eastAsia="en-GB"/>
        </w:rPr>
        <w:t>In addition to the Financial Statements, the annual accounts include a Statement of Responsibilities for the Accounts and information on the Police Officer Pension Fund (providing statements for pension fund income and expenditure, assets and liabilities).</w:t>
      </w:r>
    </w:p>
    <w:p w14:paraId="3416B3EA" w14:textId="77777777" w:rsidR="00F227D9" w:rsidRPr="007D1189" w:rsidRDefault="00F227D9" w:rsidP="00F227D9">
      <w:pPr>
        <w:pStyle w:val="Normal0"/>
        <w:jc w:val="both"/>
        <w:rPr>
          <w:rFonts w:ascii="Verdana" w:eastAsia="Times New Roman" w:hAnsi="Verdana" w:cs="Arial"/>
          <w:sz w:val="22"/>
          <w:szCs w:val="22"/>
          <w:lang w:val="en-GB" w:eastAsia="en-GB"/>
        </w:rPr>
      </w:pPr>
    </w:p>
    <w:p w14:paraId="6600DC91" w14:textId="77777777" w:rsidR="00F227D9" w:rsidRPr="007D1189" w:rsidRDefault="00F227D9" w:rsidP="00F227D9">
      <w:pPr>
        <w:pStyle w:val="Normal0"/>
        <w:jc w:val="both"/>
        <w:rPr>
          <w:rFonts w:ascii="Verdana" w:eastAsia="Times New Roman" w:hAnsi="Verdana" w:cs="Arial"/>
          <w:b/>
          <w:sz w:val="22"/>
          <w:szCs w:val="22"/>
          <w:lang w:val="en-GB" w:eastAsia="en-GB"/>
        </w:rPr>
      </w:pPr>
      <w:r w:rsidRPr="007D1189">
        <w:rPr>
          <w:rFonts w:ascii="Verdana" w:eastAsia="Times New Roman" w:hAnsi="Verdana" w:cs="Arial"/>
          <w:b/>
          <w:sz w:val="22"/>
          <w:szCs w:val="22"/>
          <w:lang w:val="en-GB" w:eastAsia="en-GB"/>
        </w:rPr>
        <w:t>Governance</w:t>
      </w:r>
    </w:p>
    <w:p w14:paraId="4A1A883B" w14:textId="77777777" w:rsidR="00693255" w:rsidRPr="007D1189" w:rsidRDefault="00F227D9" w:rsidP="00F227D9">
      <w:pPr>
        <w:pStyle w:val="Normal0"/>
        <w:jc w:val="both"/>
        <w:rPr>
          <w:rFonts w:ascii="Verdana" w:eastAsia="Times New Roman" w:hAnsi="Verdana" w:cs="Arial"/>
          <w:sz w:val="22"/>
          <w:szCs w:val="22"/>
          <w:lang w:val="en-GB" w:eastAsia="en-GB"/>
        </w:rPr>
      </w:pPr>
      <w:r w:rsidRPr="007D1189">
        <w:rPr>
          <w:rFonts w:ascii="Verdana" w:eastAsia="Times New Roman" w:hAnsi="Verdana" w:cs="Arial"/>
          <w:sz w:val="22"/>
          <w:szCs w:val="22"/>
          <w:lang w:val="en-GB" w:eastAsia="en-GB"/>
        </w:rPr>
        <w:t xml:space="preserve">The accounts are subject to detailed review by an independent external auditor. The audit provides assurance that the accounts provide a true and fair view of the financial position, are prepared correctly, that proper accounting practices have been followed and that arrangements have been followed and that arrangements have been made for securing economy, efficiency and effectiveness in the use of resources. </w:t>
      </w:r>
    </w:p>
    <w:p w14:paraId="76E92C4D" w14:textId="77777777" w:rsidR="00693255" w:rsidRPr="007D1189" w:rsidRDefault="00693255" w:rsidP="00F227D9">
      <w:pPr>
        <w:pStyle w:val="Normal0"/>
        <w:jc w:val="both"/>
        <w:rPr>
          <w:rFonts w:ascii="Verdana" w:eastAsia="Times New Roman" w:hAnsi="Verdana" w:cs="Arial"/>
          <w:sz w:val="22"/>
          <w:szCs w:val="22"/>
          <w:lang w:val="en-GB" w:eastAsia="en-GB"/>
        </w:rPr>
      </w:pPr>
    </w:p>
    <w:p w14:paraId="6A558340" w14:textId="77777777" w:rsidR="003267F1" w:rsidRPr="00F408BC" w:rsidRDefault="00F227D9" w:rsidP="00F227D9">
      <w:pPr>
        <w:pStyle w:val="Normal0"/>
        <w:jc w:val="both"/>
        <w:rPr>
          <w:rFonts w:ascii="Verdana" w:eastAsia="Times New Roman" w:hAnsi="Verdana" w:cs="Arial"/>
          <w:sz w:val="22"/>
          <w:szCs w:val="22"/>
          <w:lang w:val="en-GB" w:eastAsia="en-GB"/>
        </w:rPr>
      </w:pPr>
      <w:r w:rsidRPr="007D1189">
        <w:rPr>
          <w:rFonts w:ascii="Verdana" w:eastAsia="Times New Roman" w:hAnsi="Verdana" w:cs="Arial"/>
          <w:sz w:val="22"/>
          <w:szCs w:val="22"/>
          <w:lang w:val="en-GB" w:eastAsia="en-GB"/>
        </w:rPr>
        <w:t xml:space="preserve">The Accounts and Audit (England) Regulations 2015 require that the Annual Governance Statement (AGS) should accompany the Statement of Accounts. The Chief Constable’s AGS is included within this Statement of Accounts and explains the governance processes and procedures in place to enable the Chief Constable to </w:t>
      </w:r>
      <w:r w:rsidR="00693255" w:rsidRPr="007D1189">
        <w:rPr>
          <w:rFonts w:ascii="Verdana" w:eastAsia="Times New Roman" w:hAnsi="Verdana" w:cs="Arial"/>
          <w:sz w:val="22"/>
          <w:szCs w:val="22"/>
          <w:lang w:val="en-GB" w:eastAsia="en-GB"/>
        </w:rPr>
        <w:t xml:space="preserve">carry out functions effectively </w:t>
      </w:r>
      <w:r w:rsidRPr="007D1189">
        <w:rPr>
          <w:rFonts w:ascii="Verdana" w:eastAsia="Times New Roman" w:hAnsi="Verdana" w:cs="Arial"/>
          <w:sz w:val="22"/>
          <w:szCs w:val="22"/>
          <w:lang w:val="en-GB" w:eastAsia="en-GB"/>
        </w:rPr>
        <w:t>by highlighting the internal control environment, commenting on effectiveness and iden</w:t>
      </w:r>
      <w:r w:rsidR="00693255" w:rsidRPr="007D1189">
        <w:rPr>
          <w:rFonts w:ascii="Verdana" w:eastAsia="Times New Roman" w:hAnsi="Verdana" w:cs="Arial"/>
          <w:sz w:val="22"/>
          <w:szCs w:val="22"/>
          <w:lang w:val="en-GB" w:eastAsia="en-GB"/>
        </w:rPr>
        <w:t xml:space="preserve">tifying issues for </w:t>
      </w:r>
      <w:r w:rsidR="00693255" w:rsidRPr="00F408BC">
        <w:rPr>
          <w:rFonts w:ascii="Verdana" w:eastAsia="Times New Roman" w:hAnsi="Verdana" w:cs="Arial"/>
          <w:sz w:val="22"/>
          <w:szCs w:val="22"/>
          <w:lang w:val="en-GB" w:eastAsia="en-GB"/>
        </w:rPr>
        <w:t>future work.</w:t>
      </w:r>
    </w:p>
    <w:p w14:paraId="6D992310" w14:textId="77777777" w:rsidR="003267F1" w:rsidRPr="00F408BC" w:rsidRDefault="003267F1" w:rsidP="00F227D9">
      <w:pPr>
        <w:pStyle w:val="Normal0"/>
        <w:jc w:val="both"/>
        <w:rPr>
          <w:rFonts w:ascii="Verdana" w:eastAsia="Times New Roman" w:hAnsi="Verdana" w:cs="Arial"/>
          <w:sz w:val="22"/>
          <w:szCs w:val="22"/>
          <w:lang w:val="en-GB" w:eastAsia="en-GB"/>
        </w:rPr>
      </w:pPr>
    </w:p>
    <w:p w14:paraId="26E2FD79" w14:textId="77777777" w:rsidR="00F227D9" w:rsidRPr="00F408BC" w:rsidRDefault="00F227D9" w:rsidP="003250E3">
      <w:pPr>
        <w:pStyle w:val="Style1"/>
        <w:numPr>
          <w:ilvl w:val="0"/>
          <w:numId w:val="5"/>
        </w:numPr>
        <w:rPr>
          <w:rFonts w:ascii="Verdana" w:hAnsi="Verdana"/>
          <w:sz w:val="22"/>
          <w:szCs w:val="22"/>
          <w:lang w:val="en-GB" w:eastAsia="en-GB"/>
        </w:rPr>
      </w:pPr>
      <w:r w:rsidRPr="00F408BC">
        <w:rPr>
          <w:rFonts w:ascii="Verdana" w:hAnsi="Verdana"/>
          <w:sz w:val="22"/>
          <w:szCs w:val="22"/>
          <w:lang w:val="en-GB" w:eastAsia="en-GB"/>
        </w:rPr>
        <w:t>Financial Arrangements</w:t>
      </w:r>
    </w:p>
    <w:p w14:paraId="6D22CAB8" w14:textId="77777777" w:rsidR="00F227D9" w:rsidRPr="00F408BC" w:rsidRDefault="00F227D9" w:rsidP="00F227D9">
      <w:pPr>
        <w:pStyle w:val="Normal0"/>
        <w:jc w:val="both"/>
        <w:rPr>
          <w:rFonts w:ascii="Verdana" w:eastAsia="Times New Roman" w:hAnsi="Verdana" w:cs="Arial"/>
          <w:b/>
          <w:sz w:val="22"/>
          <w:szCs w:val="22"/>
          <w:lang w:val="en-GB" w:eastAsia="en-GB"/>
        </w:rPr>
      </w:pPr>
    </w:p>
    <w:p w14:paraId="6AC7E4C9" w14:textId="77777777" w:rsidR="00F227D9" w:rsidRPr="00F408BC" w:rsidRDefault="00F227D9" w:rsidP="00F227D9">
      <w:pPr>
        <w:pStyle w:val="Normal0"/>
        <w:jc w:val="both"/>
        <w:rPr>
          <w:rFonts w:ascii="Verdana" w:eastAsia="Times New Roman" w:hAnsi="Verdana" w:cs="Arial"/>
          <w:b/>
          <w:sz w:val="22"/>
          <w:szCs w:val="22"/>
          <w:lang w:val="en-GB" w:eastAsia="en-GB"/>
        </w:rPr>
      </w:pPr>
      <w:r w:rsidRPr="00F408BC">
        <w:rPr>
          <w:rFonts w:ascii="Verdana" w:eastAsia="Times New Roman" w:hAnsi="Verdana" w:cs="Arial"/>
          <w:b/>
          <w:sz w:val="22"/>
          <w:szCs w:val="22"/>
          <w:lang w:val="en-GB" w:eastAsia="en-GB"/>
        </w:rPr>
        <w:t>Setting the Budget</w:t>
      </w:r>
    </w:p>
    <w:p w14:paraId="11A0DB3F" w14:textId="77777777" w:rsidR="00490CB1" w:rsidRPr="00F65DB2" w:rsidRDefault="00490CB1" w:rsidP="00490CB1">
      <w:pPr>
        <w:jc w:val="both"/>
        <w:rPr>
          <w:rFonts w:ascii="Verdana" w:hAnsi="Verdana" w:cs="Arial"/>
          <w:sz w:val="22"/>
          <w:szCs w:val="22"/>
        </w:rPr>
      </w:pPr>
      <w:r w:rsidRPr="00F408BC">
        <w:rPr>
          <w:rFonts w:ascii="Verdana" w:hAnsi="Verdana" w:cs="Arial"/>
          <w:sz w:val="22"/>
          <w:szCs w:val="22"/>
        </w:rPr>
        <w:t>The Chief Constable delivers the operational policing against a delivery plan and net budget approved by the Police and Crime Commissioner (PCC). The PCC Group net revenue budget (o</w:t>
      </w:r>
      <w:r w:rsidR="009D2F7C" w:rsidRPr="00F408BC">
        <w:rPr>
          <w:rFonts w:ascii="Verdana" w:hAnsi="Verdana" w:cs="Arial"/>
          <w:sz w:val="22"/>
          <w:szCs w:val="22"/>
        </w:rPr>
        <w:t>r operating budget) for 2020</w:t>
      </w:r>
      <w:r w:rsidR="005E4528" w:rsidRPr="00F408BC">
        <w:rPr>
          <w:rFonts w:ascii="Verdana" w:hAnsi="Verdana" w:cs="Arial"/>
          <w:sz w:val="22"/>
          <w:szCs w:val="22"/>
        </w:rPr>
        <w:t>/2</w:t>
      </w:r>
      <w:r w:rsidR="009D2F7C" w:rsidRPr="00F408BC">
        <w:rPr>
          <w:rFonts w:ascii="Verdana" w:hAnsi="Verdana" w:cs="Arial"/>
          <w:sz w:val="22"/>
          <w:szCs w:val="22"/>
        </w:rPr>
        <w:t>1</w:t>
      </w:r>
      <w:r w:rsidRPr="00F408BC">
        <w:rPr>
          <w:rFonts w:ascii="Verdana" w:hAnsi="Verdana" w:cs="Arial"/>
          <w:sz w:val="22"/>
          <w:szCs w:val="22"/>
        </w:rPr>
        <w:t xml:space="preserve"> was set at £250.0m (2019/20 £235.1m) of which £247.9m (2019/20 £233.0m) was </w:t>
      </w:r>
      <w:r w:rsidRPr="00F65DB2">
        <w:rPr>
          <w:rFonts w:ascii="Verdana" w:hAnsi="Verdana" w:cs="Arial"/>
          <w:sz w:val="22"/>
          <w:szCs w:val="22"/>
        </w:rPr>
        <w:t>attributed to policing under the direction of the Chief Constable for the year, the remaining gross revenue budget being attributed to the cost of administering the Office of the PCC.</w:t>
      </w:r>
    </w:p>
    <w:p w14:paraId="6307CCD6" w14:textId="77777777" w:rsidR="00490CB1" w:rsidRPr="00F65DB2" w:rsidRDefault="00490CB1" w:rsidP="00490CB1">
      <w:pPr>
        <w:jc w:val="both"/>
        <w:rPr>
          <w:rFonts w:ascii="Verdana" w:hAnsi="Verdana" w:cs="Arial"/>
          <w:sz w:val="22"/>
          <w:szCs w:val="22"/>
        </w:rPr>
      </w:pPr>
    </w:p>
    <w:p w14:paraId="3D4A1C7D" w14:textId="09DC5CA0" w:rsidR="00F227D9" w:rsidRPr="00F65DB2" w:rsidRDefault="00215C2F" w:rsidP="006E4155">
      <w:pPr>
        <w:jc w:val="both"/>
        <w:rPr>
          <w:rFonts w:ascii="Verdana" w:eastAsia="Times New Roman" w:hAnsi="Verdana" w:cs="Arial"/>
          <w:sz w:val="22"/>
          <w:szCs w:val="22"/>
          <w:lang w:val="en-GB" w:eastAsia="en-GB"/>
        </w:rPr>
      </w:pPr>
      <w:r w:rsidRPr="00F65DB2">
        <w:rPr>
          <w:rFonts w:ascii="Verdana" w:hAnsi="Verdana" w:cs="Arial"/>
          <w:sz w:val="22"/>
          <w:szCs w:val="22"/>
        </w:rPr>
        <w:t>The following chart show</w:t>
      </w:r>
      <w:r w:rsidR="00F65DB2" w:rsidRPr="00F65DB2">
        <w:rPr>
          <w:rFonts w:ascii="Verdana" w:hAnsi="Verdana" w:cs="Arial"/>
          <w:sz w:val="22"/>
          <w:szCs w:val="22"/>
        </w:rPr>
        <w:t>s</w:t>
      </w:r>
      <w:r w:rsidRPr="00F65DB2">
        <w:rPr>
          <w:rFonts w:ascii="Verdana" w:hAnsi="Verdana" w:cs="Arial"/>
          <w:sz w:val="22"/>
          <w:szCs w:val="22"/>
        </w:rPr>
        <w:t xml:space="preserve"> a summary of the </w:t>
      </w:r>
      <w:r w:rsidR="00490CB1" w:rsidRPr="00F65DB2">
        <w:rPr>
          <w:rFonts w:ascii="Verdana" w:hAnsi="Verdana" w:cs="Arial"/>
          <w:sz w:val="22"/>
          <w:szCs w:val="22"/>
        </w:rPr>
        <w:t>annual revenue budget by types of subjective expenditure</w:t>
      </w:r>
      <w:r w:rsidRPr="00F65DB2">
        <w:rPr>
          <w:rFonts w:ascii="Verdana" w:hAnsi="Verdana" w:cs="Arial"/>
          <w:sz w:val="22"/>
          <w:szCs w:val="22"/>
        </w:rPr>
        <w:t>.</w:t>
      </w:r>
    </w:p>
    <w:p w14:paraId="5F33ACB8" w14:textId="77777777" w:rsidR="00F227D9" w:rsidRPr="00F65DB2" w:rsidRDefault="00F227D9" w:rsidP="00F227D9">
      <w:pPr>
        <w:pStyle w:val="Normal0"/>
        <w:jc w:val="both"/>
        <w:rPr>
          <w:rFonts w:ascii="Verdana" w:eastAsia="Times New Roman" w:hAnsi="Verdana" w:cs="Arial"/>
          <w:sz w:val="22"/>
          <w:szCs w:val="22"/>
          <w:lang w:val="en-GB" w:eastAsia="en-GB"/>
        </w:rPr>
      </w:pPr>
    </w:p>
    <w:p w14:paraId="32863215" w14:textId="2F2B4A88" w:rsidR="003C15B1" w:rsidRPr="00F65DB2" w:rsidRDefault="007A0243" w:rsidP="00E73C9B">
      <w:pPr>
        <w:pStyle w:val="Normal0"/>
        <w:jc w:val="center"/>
        <w:rPr>
          <w:rFonts w:ascii="Verdana" w:eastAsia="Times New Roman" w:hAnsi="Verdana" w:cs="Arial"/>
          <w:sz w:val="22"/>
          <w:szCs w:val="22"/>
          <w:lang w:val="en-GB" w:eastAsia="en-GB"/>
        </w:rPr>
      </w:pPr>
      <w:r w:rsidRPr="00F65DB2">
        <w:rPr>
          <w:noProof/>
          <w:lang w:val="en-GB" w:eastAsia="en-GB"/>
        </w:rPr>
        <w:drawing>
          <wp:inline distT="0" distB="0" distL="0" distR="0" wp14:anchorId="2AD6FF80" wp14:editId="048C49DA">
            <wp:extent cx="4469130" cy="2857500"/>
            <wp:effectExtent l="0" t="0" r="762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13C2A4A" w14:textId="77777777" w:rsidR="003C15B1" w:rsidRDefault="003C15B1" w:rsidP="00F227D9">
      <w:pPr>
        <w:pStyle w:val="Normal0"/>
        <w:jc w:val="both"/>
        <w:rPr>
          <w:rFonts w:ascii="Verdana" w:eastAsia="Times New Roman" w:hAnsi="Verdana" w:cs="Arial"/>
          <w:sz w:val="22"/>
          <w:szCs w:val="22"/>
          <w:highlight w:val="yellow"/>
          <w:lang w:val="en-GB" w:eastAsia="en-GB"/>
        </w:rPr>
      </w:pPr>
    </w:p>
    <w:p w14:paraId="2B0AB2BA" w14:textId="77777777" w:rsidR="003C15B1" w:rsidRDefault="003C15B1" w:rsidP="00F227D9">
      <w:pPr>
        <w:pStyle w:val="Normal0"/>
        <w:jc w:val="both"/>
        <w:rPr>
          <w:rFonts w:ascii="Verdana" w:eastAsia="Times New Roman" w:hAnsi="Verdana" w:cs="Arial"/>
          <w:sz w:val="22"/>
          <w:szCs w:val="22"/>
          <w:highlight w:val="yellow"/>
          <w:lang w:val="en-GB" w:eastAsia="en-GB"/>
        </w:rPr>
        <w:sectPr w:rsidR="003C15B1" w:rsidSect="00B54A0C">
          <w:type w:val="nextColumn"/>
          <w:pgSz w:w="16840" w:h="11900" w:orient="landscape"/>
          <w:pgMar w:top="709" w:right="720" w:bottom="567" w:left="720" w:header="708" w:footer="708" w:gutter="0"/>
          <w:cols w:space="708"/>
          <w:docGrid w:linePitch="360"/>
        </w:sectPr>
      </w:pPr>
    </w:p>
    <w:p w14:paraId="03D86657" w14:textId="77777777" w:rsidR="00F227D9" w:rsidRPr="003823CA" w:rsidRDefault="00F227D9" w:rsidP="00F227D9">
      <w:pPr>
        <w:pStyle w:val="Normal0"/>
        <w:jc w:val="both"/>
        <w:rPr>
          <w:rFonts w:ascii="Verdana" w:eastAsia="Times New Roman" w:hAnsi="Verdana" w:cs="Times New Roman"/>
          <w:sz w:val="22"/>
          <w:szCs w:val="22"/>
          <w:lang w:val="en-GB" w:eastAsia="en-GB"/>
        </w:rPr>
      </w:pPr>
      <w:r w:rsidRPr="00F408BC">
        <w:rPr>
          <w:rFonts w:ascii="Verdana" w:eastAsia="Times New Roman" w:hAnsi="Verdana" w:cs="Times New Roman"/>
          <w:sz w:val="22"/>
          <w:szCs w:val="22"/>
          <w:lang w:val="en-GB" w:eastAsia="en-GB"/>
        </w:rPr>
        <w:t xml:space="preserve">The capital budget </w:t>
      </w:r>
      <w:r w:rsidRPr="003823CA">
        <w:rPr>
          <w:rFonts w:ascii="Verdana" w:eastAsia="Times New Roman" w:hAnsi="Verdana" w:cs="Times New Roman"/>
          <w:sz w:val="22"/>
          <w:szCs w:val="22"/>
          <w:lang w:val="en-GB" w:eastAsia="en-GB"/>
        </w:rPr>
        <w:t>included planned expenditure and receipts from sales in line with the Estates Strategy, improvements to IT infrastructure, replacement programmes for fleet and operational equipment and major projects including digital policing.</w:t>
      </w:r>
    </w:p>
    <w:p w14:paraId="1FDAD0C7" w14:textId="77777777" w:rsidR="00F227D9" w:rsidRPr="003823CA" w:rsidRDefault="00F227D9" w:rsidP="00F227D9">
      <w:pPr>
        <w:pStyle w:val="Normal0"/>
        <w:jc w:val="both"/>
        <w:rPr>
          <w:rFonts w:ascii="Verdana" w:eastAsia="Times New Roman" w:hAnsi="Verdana" w:cs="Arial"/>
          <w:sz w:val="22"/>
          <w:szCs w:val="22"/>
          <w:lang w:val="en-GB" w:eastAsia="en-GB"/>
        </w:rPr>
      </w:pPr>
    </w:p>
    <w:p w14:paraId="28882C79" w14:textId="77777777" w:rsidR="00F227D9" w:rsidRPr="003823CA" w:rsidRDefault="00F227D9" w:rsidP="00F227D9">
      <w:pPr>
        <w:pStyle w:val="Normal0"/>
        <w:jc w:val="both"/>
        <w:rPr>
          <w:rFonts w:ascii="Verdana" w:eastAsia="Times New Roman" w:hAnsi="Verdana" w:cs="Arial"/>
          <w:b/>
          <w:sz w:val="22"/>
          <w:szCs w:val="22"/>
          <w:lang w:val="en-GB" w:eastAsia="en-GB"/>
        </w:rPr>
      </w:pPr>
      <w:r w:rsidRPr="003823CA">
        <w:rPr>
          <w:rFonts w:ascii="Verdana" w:eastAsia="Times New Roman" w:hAnsi="Verdana" w:cs="Arial"/>
          <w:b/>
          <w:sz w:val="22"/>
          <w:szCs w:val="22"/>
          <w:lang w:val="en-GB" w:eastAsia="en-GB"/>
        </w:rPr>
        <w:t>Final Revenue Outturn</w:t>
      </w:r>
    </w:p>
    <w:p w14:paraId="0B1EF10E" w14:textId="77777777" w:rsidR="006E4155" w:rsidRPr="003823CA" w:rsidRDefault="006E4155" w:rsidP="00F227D9">
      <w:pPr>
        <w:pStyle w:val="Normal0"/>
        <w:jc w:val="both"/>
        <w:rPr>
          <w:rFonts w:ascii="Verdana" w:eastAsia="Times New Roman" w:hAnsi="Verdana" w:cs="Arial"/>
          <w:b/>
          <w:sz w:val="22"/>
          <w:szCs w:val="22"/>
          <w:lang w:val="en-GB" w:eastAsia="en-GB"/>
        </w:rPr>
      </w:pPr>
    </w:p>
    <w:p w14:paraId="3D126A6C" w14:textId="7979F3E1" w:rsidR="006E4155" w:rsidRPr="003823CA" w:rsidRDefault="006E4155" w:rsidP="006E4155">
      <w:pPr>
        <w:jc w:val="both"/>
        <w:rPr>
          <w:rFonts w:ascii="Verdana" w:hAnsi="Verdana" w:cs="Arial"/>
          <w:sz w:val="22"/>
          <w:szCs w:val="22"/>
        </w:rPr>
      </w:pPr>
      <w:r w:rsidRPr="003823CA">
        <w:rPr>
          <w:rFonts w:ascii="Verdana" w:hAnsi="Verdana" w:cs="Arial"/>
          <w:sz w:val="22"/>
          <w:szCs w:val="22"/>
        </w:rPr>
        <w:t xml:space="preserve">Actual </w:t>
      </w:r>
      <w:r w:rsidR="003823CA" w:rsidRPr="003823CA">
        <w:rPr>
          <w:rFonts w:ascii="Verdana" w:hAnsi="Verdana" w:cs="Arial"/>
          <w:sz w:val="22"/>
          <w:szCs w:val="22"/>
        </w:rPr>
        <w:t xml:space="preserve">net </w:t>
      </w:r>
      <w:r w:rsidRPr="003823CA">
        <w:rPr>
          <w:rFonts w:ascii="Verdana" w:hAnsi="Verdana" w:cs="Arial"/>
          <w:sz w:val="22"/>
          <w:szCs w:val="22"/>
        </w:rPr>
        <w:t>expenditure attributable to policing under the direction of the Chief Constable was £2</w:t>
      </w:r>
      <w:r w:rsidR="003823CA" w:rsidRPr="003823CA">
        <w:rPr>
          <w:rFonts w:ascii="Verdana" w:hAnsi="Verdana" w:cs="Arial"/>
          <w:sz w:val="22"/>
          <w:szCs w:val="22"/>
        </w:rPr>
        <w:t>46.4</w:t>
      </w:r>
      <w:r w:rsidRPr="003823CA">
        <w:rPr>
          <w:rFonts w:ascii="Verdana" w:hAnsi="Verdana" w:cs="Arial"/>
          <w:sz w:val="22"/>
          <w:szCs w:val="22"/>
        </w:rPr>
        <w:t>m (201</w:t>
      </w:r>
      <w:r w:rsidR="00F408BC" w:rsidRPr="003823CA">
        <w:rPr>
          <w:rFonts w:ascii="Verdana" w:hAnsi="Verdana" w:cs="Arial"/>
          <w:sz w:val="22"/>
          <w:szCs w:val="22"/>
        </w:rPr>
        <w:t>9</w:t>
      </w:r>
      <w:r w:rsidRPr="003823CA">
        <w:rPr>
          <w:rFonts w:ascii="Verdana" w:hAnsi="Verdana" w:cs="Arial"/>
          <w:sz w:val="22"/>
          <w:szCs w:val="22"/>
        </w:rPr>
        <w:t>/</w:t>
      </w:r>
      <w:r w:rsidR="00F408BC" w:rsidRPr="003823CA">
        <w:rPr>
          <w:rFonts w:ascii="Verdana" w:hAnsi="Verdana" w:cs="Arial"/>
          <w:sz w:val="22"/>
          <w:szCs w:val="22"/>
        </w:rPr>
        <w:t>20</w:t>
      </w:r>
      <w:r w:rsidRPr="003823CA">
        <w:rPr>
          <w:rFonts w:ascii="Verdana" w:hAnsi="Verdana" w:cs="Arial"/>
          <w:sz w:val="22"/>
          <w:szCs w:val="22"/>
        </w:rPr>
        <w:t xml:space="preserve"> £2</w:t>
      </w:r>
      <w:r w:rsidR="00F408BC" w:rsidRPr="003823CA">
        <w:rPr>
          <w:rFonts w:ascii="Verdana" w:hAnsi="Verdana" w:cs="Arial"/>
          <w:sz w:val="22"/>
          <w:szCs w:val="22"/>
        </w:rPr>
        <w:t>31.6</w:t>
      </w:r>
      <w:r w:rsidRPr="003823CA">
        <w:rPr>
          <w:rFonts w:ascii="Verdana" w:hAnsi="Verdana" w:cs="Arial"/>
          <w:sz w:val="22"/>
          <w:szCs w:val="22"/>
        </w:rPr>
        <w:t xml:space="preserve">m), against a budget of </w:t>
      </w:r>
      <w:r w:rsidR="00E30927" w:rsidRPr="003823CA">
        <w:rPr>
          <w:rFonts w:ascii="Verdana" w:hAnsi="Verdana" w:cs="Arial"/>
          <w:sz w:val="22"/>
          <w:szCs w:val="22"/>
        </w:rPr>
        <w:t>£2</w:t>
      </w:r>
      <w:r w:rsidR="003823CA" w:rsidRPr="003823CA">
        <w:rPr>
          <w:rFonts w:ascii="Verdana" w:hAnsi="Verdana" w:cs="Arial"/>
          <w:sz w:val="22"/>
          <w:szCs w:val="22"/>
        </w:rPr>
        <w:t>47.9</w:t>
      </w:r>
      <w:r w:rsidRPr="003823CA">
        <w:rPr>
          <w:rFonts w:ascii="Verdana" w:hAnsi="Verdana" w:cs="Arial"/>
          <w:sz w:val="22"/>
          <w:szCs w:val="22"/>
        </w:rPr>
        <w:t>m (201</w:t>
      </w:r>
      <w:r w:rsidR="00F408BC" w:rsidRPr="003823CA">
        <w:rPr>
          <w:rFonts w:ascii="Verdana" w:hAnsi="Verdana" w:cs="Arial"/>
          <w:sz w:val="22"/>
          <w:szCs w:val="22"/>
        </w:rPr>
        <w:t>9</w:t>
      </w:r>
      <w:r w:rsidRPr="003823CA">
        <w:rPr>
          <w:rFonts w:ascii="Verdana" w:hAnsi="Verdana" w:cs="Arial"/>
          <w:sz w:val="22"/>
          <w:szCs w:val="22"/>
        </w:rPr>
        <w:t>/</w:t>
      </w:r>
      <w:r w:rsidR="00F408BC" w:rsidRPr="003823CA">
        <w:rPr>
          <w:rFonts w:ascii="Verdana" w:hAnsi="Verdana" w:cs="Arial"/>
          <w:sz w:val="22"/>
          <w:szCs w:val="22"/>
        </w:rPr>
        <w:t>20</w:t>
      </w:r>
      <w:r w:rsidRPr="003823CA">
        <w:rPr>
          <w:rFonts w:ascii="Verdana" w:hAnsi="Verdana" w:cs="Arial"/>
          <w:sz w:val="22"/>
          <w:szCs w:val="22"/>
        </w:rPr>
        <w:t xml:space="preserve"> £2</w:t>
      </w:r>
      <w:r w:rsidR="00F408BC" w:rsidRPr="003823CA">
        <w:rPr>
          <w:rFonts w:ascii="Verdana" w:hAnsi="Verdana" w:cs="Arial"/>
          <w:sz w:val="22"/>
          <w:szCs w:val="22"/>
        </w:rPr>
        <w:t>31.9</w:t>
      </w:r>
      <w:r w:rsidRPr="003823CA">
        <w:rPr>
          <w:rFonts w:ascii="Verdana" w:hAnsi="Verdana" w:cs="Arial"/>
          <w:sz w:val="22"/>
          <w:szCs w:val="22"/>
        </w:rPr>
        <w:t>m)</w:t>
      </w:r>
      <w:r w:rsidR="003823CA" w:rsidRPr="003823CA">
        <w:rPr>
          <w:rFonts w:ascii="Verdana" w:hAnsi="Verdana" w:cs="Arial"/>
          <w:sz w:val="22"/>
          <w:szCs w:val="22"/>
        </w:rPr>
        <w:t xml:space="preserve"> resulting in underspend of £1.5</w:t>
      </w:r>
      <w:r w:rsidRPr="003823CA">
        <w:rPr>
          <w:rFonts w:ascii="Verdana" w:hAnsi="Verdana" w:cs="Arial"/>
          <w:sz w:val="22"/>
          <w:szCs w:val="22"/>
        </w:rPr>
        <w:t>m for the current year</w:t>
      </w:r>
      <w:r w:rsidR="00E30927" w:rsidRPr="003823CA">
        <w:rPr>
          <w:rFonts w:ascii="Verdana" w:hAnsi="Verdana" w:cs="Arial"/>
          <w:sz w:val="22"/>
          <w:szCs w:val="22"/>
        </w:rPr>
        <w:t xml:space="preserve">.  </w:t>
      </w:r>
    </w:p>
    <w:p w14:paraId="06897DE4" w14:textId="77777777" w:rsidR="00215C2F" w:rsidRPr="003823CA" w:rsidRDefault="00215C2F" w:rsidP="006E4155">
      <w:pPr>
        <w:jc w:val="both"/>
        <w:rPr>
          <w:rFonts w:ascii="Verdana" w:hAnsi="Verdana" w:cs="Arial"/>
          <w:sz w:val="22"/>
          <w:szCs w:val="22"/>
        </w:rPr>
      </w:pPr>
    </w:p>
    <w:p w14:paraId="63AF4055" w14:textId="701181E7" w:rsidR="006E4155" w:rsidRPr="003823CA" w:rsidRDefault="006E4155" w:rsidP="006E4155">
      <w:pPr>
        <w:jc w:val="both"/>
        <w:rPr>
          <w:rFonts w:ascii="Verdana" w:hAnsi="Verdana"/>
          <w:sz w:val="22"/>
          <w:szCs w:val="22"/>
        </w:rPr>
      </w:pPr>
      <w:r w:rsidRPr="003823CA">
        <w:rPr>
          <w:rFonts w:ascii="Verdana" w:hAnsi="Verdana" w:cs="Arial"/>
          <w:sz w:val="22"/>
          <w:szCs w:val="22"/>
        </w:rPr>
        <w:t>The following chart shows the actual expenditure for the Chief Constable, along with a table comparing actual expenditure to budget for 20</w:t>
      </w:r>
      <w:r w:rsidR="00F408BC" w:rsidRPr="003823CA">
        <w:rPr>
          <w:rFonts w:ascii="Verdana" w:hAnsi="Verdana" w:cs="Arial"/>
          <w:sz w:val="22"/>
          <w:szCs w:val="22"/>
        </w:rPr>
        <w:t>20</w:t>
      </w:r>
      <w:r w:rsidRPr="003823CA">
        <w:rPr>
          <w:rFonts w:ascii="Verdana" w:hAnsi="Verdana" w:cs="Arial"/>
          <w:sz w:val="22"/>
          <w:szCs w:val="22"/>
        </w:rPr>
        <w:t>/2</w:t>
      </w:r>
      <w:r w:rsidR="00F408BC" w:rsidRPr="003823CA">
        <w:rPr>
          <w:rFonts w:ascii="Verdana" w:hAnsi="Verdana" w:cs="Arial"/>
          <w:sz w:val="22"/>
          <w:szCs w:val="22"/>
        </w:rPr>
        <w:t>1</w:t>
      </w:r>
      <w:r w:rsidRPr="003823CA">
        <w:rPr>
          <w:rFonts w:ascii="Verdana" w:hAnsi="Verdana" w:cs="Arial"/>
          <w:sz w:val="22"/>
          <w:szCs w:val="22"/>
        </w:rPr>
        <w:t xml:space="preserve"> by cost type</w:t>
      </w:r>
      <w:r w:rsidRPr="003823CA">
        <w:rPr>
          <w:rFonts w:ascii="Verdana" w:hAnsi="Verdana"/>
          <w:sz w:val="22"/>
          <w:szCs w:val="22"/>
        </w:rPr>
        <w:t xml:space="preserve"> for the year.</w:t>
      </w:r>
    </w:p>
    <w:p w14:paraId="4462258F" w14:textId="77777777" w:rsidR="003F4F65" w:rsidRDefault="003F4F65" w:rsidP="00F227D9">
      <w:pPr>
        <w:pStyle w:val="Normal0"/>
        <w:jc w:val="both"/>
        <w:rPr>
          <w:rFonts w:ascii="Verdana" w:eastAsia="Times New Roman" w:hAnsi="Verdana" w:cs="Times New Roman"/>
          <w:sz w:val="22"/>
          <w:szCs w:val="22"/>
          <w:highlight w:val="yellow"/>
          <w:lang w:val="en-GB" w:eastAsia="en-GB"/>
        </w:rPr>
      </w:pPr>
    </w:p>
    <w:p w14:paraId="55C2F31B" w14:textId="77777777" w:rsidR="00E73C9B" w:rsidRDefault="00E73C9B" w:rsidP="000545F4">
      <w:pPr>
        <w:pStyle w:val="Normal0"/>
        <w:jc w:val="center"/>
        <w:rPr>
          <w:noProof/>
          <w:lang w:val="en-GB" w:eastAsia="en-GB"/>
        </w:rPr>
        <w:sectPr w:rsidR="00E73C9B" w:rsidSect="00B54A0C">
          <w:type w:val="nextColumn"/>
          <w:pgSz w:w="16840" w:h="11900" w:orient="landscape"/>
          <w:pgMar w:top="709" w:right="720" w:bottom="567" w:left="720" w:header="708" w:footer="708" w:gutter="0"/>
          <w:cols w:space="708"/>
          <w:docGrid w:linePitch="360"/>
        </w:sectPr>
      </w:pPr>
    </w:p>
    <w:p w14:paraId="672203AA" w14:textId="388EB503" w:rsidR="000545F4" w:rsidRDefault="000545F4" w:rsidP="000545F4">
      <w:pPr>
        <w:pStyle w:val="Normal0"/>
        <w:jc w:val="center"/>
        <w:rPr>
          <w:noProof/>
          <w:lang w:val="en-GB" w:eastAsia="en-GB"/>
        </w:rPr>
      </w:pPr>
    </w:p>
    <w:p w14:paraId="1ACA6CEC" w14:textId="037C851E" w:rsidR="00E73C9B" w:rsidRDefault="00E73C9B" w:rsidP="000545F4">
      <w:pPr>
        <w:pStyle w:val="Normal0"/>
        <w:jc w:val="center"/>
        <w:rPr>
          <w:rFonts w:ascii="Verdana" w:eastAsia="Times New Roman" w:hAnsi="Verdana" w:cs="Times New Roman"/>
          <w:sz w:val="22"/>
          <w:szCs w:val="22"/>
          <w:highlight w:val="yellow"/>
          <w:lang w:val="en-GB" w:eastAsia="en-GB"/>
        </w:rPr>
      </w:pPr>
      <w:r>
        <w:rPr>
          <w:noProof/>
          <w:lang w:val="en-GB" w:eastAsia="en-GB"/>
        </w:rPr>
        <w:drawing>
          <wp:inline distT="0" distB="0" distL="0" distR="0" wp14:anchorId="5B0B89D1" wp14:editId="4C5B45DF">
            <wp:extent cx="4408098" cy="2596551"/>
            <wp:effectExtent l="0" t="0" r="12065" b="133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EF391A3" w14:textId="77777777" w:rsidR="000545F4" w:rsidRDefault="000545F4" w:rsidP="00F227D9">
      <w:pPr>
        <w:pStyle w:val="Normal0"/>
        <w:jc w:val="both"/>
        <w:rPr>
          <w:rFonts w:ascii="Verdana" w:eastAsia="Times New Roman" w:hAnsi="Verdana" w:cs="Times New Roman"/>
          <w:sz w:val="22"/>
          <w:szCs w:val="22"/>
          <w:highlight w:val="yellow"/>
          <w:lang w:val="en-GB" w:eastAsia="en-GB"/>
        </w:rPr>
      </w:pPr>
    </w:p>
    <w:p w14:paraId="0126DDE1" w14:textId="77777777" w:rsidR="000545F4" w:rsidRDefault="000545F4" w:rsidP="00F227D9">
      <w:pPr>
        <w:pStyle w:val="Normal0"/>
        <w:jc w:val="both"/>
        <w:rPr>
          <w:rFonts w:ascii="Verdana" w:eastAsia="Times New Roman" w:hAnsi="Verdana" w:cs="Times New Roman"/>
          <w:sz w:val="22"/>
          <w:szCs w:val="22"/>
          <w:highlight w:val="yellow"/>
          <w:lang w:val="en-GB" w:eastAsia="en-GB"/>
        </w:rPr>
      </w:pPr>
    </w:p>
    <w:p w14:paraId="6C5048A8" w14:textId="77777777" w:rsidR="00E73C9B" w:rsidRDefault="00E73C9B" w:rsidP="00F227D9">
      <w:pPr>
        <w:pStyle w:val="Normal0"/>
        <w:jc w:val="both"/>
        <w:rPr>
          <w:rFonts w:ascii="Verdana" w:eastAsia="Times New Roman" w:hAnsi="Verdana" w:cs="Times New Roman"/>
          <w:sz w:val="22"/>
          <w:szCs w:val="22"/>
          <w:highlight w:val="yellow"/>
          <w:lang w:val="en-GB" w:eastAsia="en-GB"/>
        </w:rPr>
      </w:pPr>
    </w:p>
    <w:p w14:paraId="5B2E68EB" w14:textId="77777777" w:rsidR="00616CA4" w:rsidRDefault="00616CA4" w:rsidP="00F227D9">
      <w:pPr>
        <w:pStyle w:val="Normal0"/>
        <w:jc w:val="both"/>
        <w:rPr>
          <w:rFonts w:ascii="Verdana" w:eastAsia="Times New Roman" w:hAnsi="Verdana" w:cs="Times New Roman"/>
          <w:sz w:val="22"/>
          <w:szCs w:val="22"/>
          <w:highlight w:val="yellow"/>
          <w:lang w:val="en-GB" w:eastAsia="en-GB"/>
        </w:rPr>
      </w:pPr>
    </w:p>
    <w:p w14:paraId="5889C6BC" w14:textId="77777777" w:rsidR="00E73C9B" w:rsidRDefault="00E73C9B" w:rsidP="00F227D9">
      <w:pPr>
        <w:pStyle w:val="Normal0"/>
        <w:jc w:val="both"/>
        <w:rPr>
          <w:rFonts w:ascii="Verdana" w:eastAsia="Times New Roman" w:hAnsi="Verdana" w:cs="Times New Roman"/>
          <w:sz w:val="22"/>
          <w:szCs w:val="22"/>
          <w:highlight w:val="yellow"/>
          <w:lang w:val="en-GB" w:eastAsia="en-GB"/>
        </w:rPr>
      </w:pPr>
    </w:p>
    <w:p w14:paraId="389A0FC9" w14:textId="77777777" w:rsidR="00E73C9B" w:rsidRDefault="00E73C9B" w:rsidP="00F227D9">
      <w:pPr>
        <w:pStyle w:val="Normal0"/>
        <w:jc w:val="both"/>
        <w:rPr>
          <w:rFonts w:ascii="Verdana" w:eastAsia="Times New Roman" w:hAnsi="Verdana" w:cs="Times New Roman"/>
          <w:sz w:val="22"/>
          <w:szCs w:val="22"/>
          <w:highlight w:val="yellow"/>
          <w:lang w:val="en-GB" w:eastAsia="en-GB"/>
        </w:rPr>
      </w:pPr>
    </w:p>
    <w:p w14:paraId="095C64AB" w14:textId="77777777" w:rsidR="00E73C9B" w:rsidRPr="00DC1077" w:rsidRDefault="00E73C9B" w:rsidP="00F227D9">
      <w:pPr>
        <w:pStyle w:val="Normal0"/>
        <w:jc w:val="both"/>
        <w:rPr>
          <w:rFonts w:ascii="Verdana" w:eastAsia="Times New Roman" w:hAnsi="Verdana" w:cs="Times New Roman"/>
          <w:sz w:val="22"/>
          <w:szCs w:val="22"/>
          <w:highlight w:val="yellow"/>
          <w:lang w:val="en-GB" w:eastAsia="en-GB"/>
        </w:rPr>
      </w:pPr>
    </w:p>
    <w:tbl>
      <w:tblPr>
        <w:tblW w:w="6914" w:type="dxa"/>
        <w:jc w:val="center"/>
        <w:tblLook w:val="04A0" w:firstRow="1" w:lastRow="0" w:firstColumn="1" w:lastColumn="0" w:noHBand="0" w:noVBand="1"/>
      </w:tblPr>
      <w:tblGrid>
        <w:gridCol w:w="3914"/>
        <w:gridCol w:w="1000"/>
        <w:gridCol w:w="1000"/>
        <w:gridCol w:w="1000"/>
      </w:tblGrid>
      <w:tr w:rsidR="00E73C9B" w:rsidRPr="00E73C9B" w14:paraId="105C4321" w14:textId="77777777" w:rsidTr="00E73C9B">
        <w:trPr>
          <w:trHeight w:val="300"/>
          <w:jc w:val="center"/>
        </w:trPr>
        <w:tc>
          <w:tcPr>
            <w:tcW w:w="3914" w:type="dxa"/>
            <w:tcBorders>
              <w:top w:val="single" w:sz="4" w:space="0" w:color="auto"/>
              <w:left w:val="single" w:sz="4" w:space="0" w:color="auto"/>
              <w:bottom w:val="nil"/>
              <w:right w:val="single" w:sz="4" w:space="0" w:color="auto"/>
            </w:tcBorders>
            <w:shd w:val="clear" w:color="auto" w:fill="auto"/>
            <w:noWrap/>
            <w:vAlign w:val="center"/>
            <w:hideMark/>
          </w:tcPr>
          <w:p w14:paraId="5C7547B5" w14:textId="77777777" w:rsidR="00E73C9B" w:rsidRPr="00E73C9B" w:rsidRDefault="00E73C9B" w:rsidP="00E73C9B">
            <w:pPr>
              <w:rPr>
                <w:rFonts w:ascii="Calibri" w:eastAsia="Times New Roman" w:hAnsi="Calibri" w:cs="Times New Roman"/>
                <w:b/>
                <w:bCs/>
                <w:color w:val="000000"/>
                <w:sz w:val="22"/>
                <w:szCs w:val="22"/>
                <w:lang w:val="en-GB" w:eastAsia="en-GB"/>
              </w:rPr>
            </w:pPr>
            <w:r w:rsidRPr="00E73C9B">
              <w:rPr>
                <w:rFonts w:ascii="Calibri" w:eastAsia="Times New Roman" w:hAnsi="Calibri" w:cs="Times New Roman"/>
                <w:b/>
                <w:bCs/>
                <w:color w:val="000000"/>
                <w:sz w:val="22"/>
                <w:szCs w:val="22"/>
                <w:lang w:val="en-GB" w:eastAsia="en-GB"/>
              </w:rPr>
              <w:t> </w:t>
            </w:r>
          </w:p>
        </w:tc>
        <w:tc>
          <w:tcPr>
            <w:tcW w:w="3000" w:type="dxa"/>
            <w:gridSpan w:val="3"/>
            <w:tcBorders>
              <w:top w:val="single" w:sz="4" w:space="0" w:color="auto"/>
              <w:left w:val="nil"/>
              <w:bottom w:val="nil"/>
              <w:right w:val="single" w:sz="4" w:space="0" w:color="auto"/>
            </w:tcBorders>
            <w:shd w:val="clear" w:color="auto" w:fill="auto"/>
            <w:noWrap/>
            <w:vAlign w:val="center"/>
            <w:hideMark/>
          </w:tcPr>
          <w:p w14:paraId="1A4CD38B" w14:textId="77777777" w:rsidR="00E73C9B" w:rsidRPr="00E73C9B" w:rsidRDefault="00E73C9B" w:rsidP="00E73C9B">
            <w:pPr>
              <w:jc w:val="center"/>
              <w:rPr>
                <w:rFonts w:ascii="Calibri" w:eastAsia="Times New Roman" w:hAnsi="Calibri" w:cs="Times New Roman"/>
                <w:b/>
                <w:bCs/>
                <w:color w:val="000000"/>
                <w:sz w:val="22"/>
                <w:szCs w:val="22"/>
                <w:lang w:val="en-GB" w:eastAsia="en-GB"/>
              </w:rPr>
            </w:pPr>
            <w:r w:rsidRPr="00E73C9B">
              <w:rPr>
                <w:rFonts w:ascii="Calibri" w:eastAsia="Times New Roman" w:hAnsi="Calibri" w:cs="Times New Roman"/>
                <w:b/>
                <w:bCs/>
                <w:color w:val="000000"/>
                <w:sz w:val="22"/>
                <w:szCs w:val="22"/>
                <w:lang w:val="en-GB" w:eastAsia="en-GB"/>
              </w:rPr>
              <w:t xml:space="preserve"> 2020/21 </w:t>
            </w:r>
          </w:p>
        </w:tc>
      </w:tr>
      <w:tr w:rsidR="00E73C9B" w:rsidRPr="00E73C9B" w14:paraId="6EE49B5B" w14:textId="77777777" w:rsidTr="00E73C9B">
        <w:trPr>
          <w:trHeight w:val="600"/>
          <w:jc w:val="center"/>
        </w:trPr>
        <w:tc>
          <w:tcPr>
            <w:tcW w:w="3914" w:type="dxa"/>
            <w:tcBorders>
              <w:top w:val="nil"/>
              <w:left w:val="single" w:sz="4" w:space="0" w:color="auto"/>
              <w:bottom w:val="single" w:sz="4" w:space="0" w:color="auto"/>
              <w:right w:val="single" w:sz="4" w:space="0" w:color="auto"/>
            </w:tcBorders>
            <w:shd w:val="clear" w:color="auto" w:fill="auto"/>
            <w:noWrap/>
            <w:vAlign w:val="center"/>
            <w:hideMark/>
          </w:tcPr>
          <w:p w14:paraId="3E881557" w14:textId="77777777" w:rsidR="00E73C9B" w:rsidRPr="00E73C9B" w:rsidRDefault="00E73C9B" w:rsidP="00E73C9B">
            <w:pPr>
              <w:rPr>
                <w:rFonts w:ascii="Calibri" w:eastAsia="Times New Roman" w:hAnsi="Calibri" w:cs="Times New Roman"/>
                <w:b/>
                <w:bCs/>
                <w:color w:val="000000"/>
                <w:sz w:val="22"/>
                <w:szCs w:val="22"/>
                <w:lang w:val="en-GB" w:eastAsia="en-GB"/>
              </w:rPr>
            </w:pPr>
            <w:r w:rsidRPr="00E73C9B">
              <w:rPr>
                <w:rFonts w:ascii="Calibri" w:eastAsia="Times New Roman" w:hAnsi="Calibri" w:cs="Times New Roman"/>
                <w:b/>
                <w:bCs/>
                <w:color w:val="000000"/>
                <w:sz w:val="22"/>
                <w:szCs w:val="22"/>
                <w:lang w:val="en-GB" w:eastAsia="en-GB"/>
              </w:rPr>
              <w:t>Expenditure &amp; Income Categories</w:t>
            </w:r>
          </w:p>
        </w:tc>
        <w:tc>
          <w:tcPr>
            <w:tcW w:w="1000" w:type="dxa"/>
            <w:tcBorders>
              <w:top w:val="single" w:sz="4" w:space="0" w:color="auto"/>
              <w:left w:val="single" w:sz="4" w:space="0" w:color="auto"/>
              <w:bottom w:val="single" w:sz="4" w:space="0" w:color="auto"/>
              <w:right w:val="nil"/>
            </w:tcBorders>
            <w:shd w:val="clear" w:color="auto" w:fill="auto"/>
            <w:vAlign w:val="center"/>
            <w:hideMark/>
          </w:tcPr>
          <w:p w14:paraId="05A787F8" w14:textId="77777777" w:rsidR="00E73C9B" w:rsidRPr="00E73C9B" w:rsidRDefault="00E73C9B" w:rsidP="00E73C9B">
            <w:pPr>
              <w:jc w:val="center"/>
              <w:rPr>
                <w:rFonts w:ascii="Calibri" w:eastAsia="Times New Roman" w:hAnsi="Calibri" w:cs="Times New Roman"/>
                <w:color w:val="000000"/>
                <w:sz w:val="22"/>
                <w:szCs w:val="22"/>
                <w:lang w:val="en-GB" w:eastAsia="en-GB"/>
              </w:rPr>
            </w:pPr>
            <w:r w:rsidRPr="00E73C9B">
              <w:rPr>
                <w:rFonts w:ascii="Calibri" w:eastAsia="Times New Roman" w:hAnsi="Calibri" w:cs="Times New Roman"/>
                <w:color w:val="000000"/>
                <w:sz w:val="22"/>
                <w:szCs w:val="22"/>
                <w:lang w:val="en-GB" w:eastAsia="en-GB"/>
              </w:rPr>
              <w:t xml:space="preserve">Actual </w:t>
            </w:r>
            <w:r w:rsidRPr="00E73C9B">
              <w:rPr>
                <w:rFonts w:ascii="Calibri" w:eastAsia="Times New Roman" w:hAnsi="Calibri" w:cs="Times New Roman"/>
                <w:color w:val="000000"/>
                <w:sz w:val="22"/>
                <w:szCs w:val="22"/>
                <w:lang w:val="en-GB" w:eastAsia="en-GB"/>
              </w:rPr>
              <w:br/>
              <w:t>£</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7F503" w14:textId="77777777" w:rsidR="00E73C9B" w:rsidRPr="00E73C9B" w:rsidRDefault="00E73C9B" w:rsidP="00E73C9B">
            <w:pPr>
              <w:jc w:val="center"/>
              <w:rPr>
                <w:rFonts w:ascii="Calibri" w:eastAsia="Times New Roman" w:hAnsi="Calibri" w:cs="Times New Roman"/>
                <w:color w:val="000000"/>
                <w:sz w:val="22"/>
                <w:szCs w:val="22"/>
                <w:lang w:val="en-GB" w:eastAsia="en-GB"/>
              </w:rPr>
            </w:pPr>
            <w:r w:rsidRPr="00E73C9B">
              <w:rPr>
                <w:rFonts w:ascii="Calibri" w:eastAsia="Times New Roman" w:hAnsi="Calibri" w:cs="Times New Roman"/>
                <w:color w:val="000000"/>
                <w:sz w:val="22"/>
                <w:szCs w:val="22"/>
                <w:lang w:val="en-GB" w:eastAsia="en-GB"/>
              </w:rPr>
              <w:t>Budget</w:t>
            </w:r>
            <w:r w:rsidRPr="00E73C9B">
              <w:rPr>
                <w:rFonts w:ascii="Calibri" w:eastAsia="Times New Roman" w:hAnsi="Calibri" w:cs="Times New Roman"/>
                <w:color w:val="000000"/>
                <w:sz w:val="22"/>
                <w:szCs w:val="22"/>
                <w:lang w:val="en-GB" w:eastAsia="en-GB"/>
              </w:rPr>
              <w:br/>
              <w:t>£</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F253E" w14:textId="77777777" w:rsidR="00E73C9B" w:rsidRPr="00E73C9B" w:rsidRDefault="00E73C9B" w:rsidP="00E73C9B">
            <w:pPr>
              <w:jc w:val="center"/>
              <w:rPr>
                <w:rFonts w:ascii="Calibri" w:eastAsia="Times New Roman" w:hAnsi="Calibri" w:cs="Times New Roman"/>
                <w:color w:val="000000"/>
                <w:sz w:val="22"/>
                <w:szCs w:val="22"/>
                <w:lang w:val="en-GB" w:eastAsia="en-GB"/>
              </w:rPr>
            </w:pPr>
            <w:r w:rsidRPr="00E73C9B">
              <w:rPr>
                <w:rFonts w:ascii="Calibri" w:eastAsia="Times New Roman" w:hAnsi="Calibri" w:cs="Times New Roman"/>
                <w:color w:val="000000"/>
                <w:sz w:val="22"/>
                <w:szCs w:val="22"/>
                <w:lang w:val="en-GB" w:eastAsia="en-GB"/>
              </w:rPr>
              <w:t>Variance</w:t>
            </w:r>
            <w:r w:rsidRPr="00E73C9B">
              <w:rPr>
                <w:rFonts w:ascii="Calibri" w:eastAsia="Times New Roman" w:hAnsi="Calibri" w:cs="Times New Roman"/>
                <w:color w:val="000000"/>
                <w:sz w:val="22"/>
                <w:szCs w:val="22"/>
                <w:lang w:val="en-GB" w:eastAsia="en-GB"/>
              </w:rPr>
              <w:br/>
              <w:t>£</w:t>
            </w:r>
          </w:p>
        </w:tc>
      </w:tr>
      <w:tr w:rsidR="00E73C9B" w:rsidRPr="00E73C9B" w14:paraId="2D6E1106" w14:textId="77777777" w:rsidTr="00E73C9B">
        <w:trPr>
          <w:trHeight w:val="300"/>
          <w:jc w:val="center"/>
        </w:trPr>
        <w:tc>
          <w:tcPr>
            <w:tcW w:w="3914" w:type="dxa"/>
            <w:tcBorders>
              <w:top w:val="single" w:sz="4" w:space="0" w:color="auto"/>
              <w:left w:val="single" w:sz="4" w:space="0" w:color="auto"/>
              <w:bottom w:val="nil"/>
              <w:right w:val="single" w:sz="4" w:space="0" w:color="auto"/>
            </w:tcBorders>
            <w:shd w:val="clear" w:color="auto" w:fill="auto"/>
            <w:noWrap/>
            <w:vAlign w:val="center"/>
            <w:hideMark/>
          </w:tcPr>
          <w:p w14:paraId="5328D81C" w14:textId="77777777" w:rsidR="00E73C9B" w:rsidRPr="00E73C9B" w:rsidRDefault="00E73C9B" w:rsidP="00616CA4">
            <w:pPr>
              <w:rPr>
                <w:lang w:val="en-GB" w:eastAsia="en-GB"/>
              </w:rPr>
            </w:pPr>
            <w:r w:rsidRPr="00E73C9B">
              <w:rPr>
                <w:lang w:val="en-GB" w:eastAsia="en-GB"/>
              </w:rPr>
              <w:t>Police Officer Pay</w:t>
            </w:r>
          </w:p>
        </w:tc>
        <w:tc>
          <w:tcPr>
            <w:tcW w:w="1000" w:type="dxa"/>
            <w:tcBorders>
              <w:top w:val="nil"/>
              <w:left w:val="single" w:sz="4" w:space="0" w:color="auto"/>
              <w:bottom w:val="nil"/>
              <w:right w:val="single" w:sz="4" w:space="0" w:color="auto"/>
            </w:tcBorders>
            <w:shd w:val="clear" w:color="auto" w:fill="auto"/>
            <w:noWrap/>
            <w:vAlign w:val="center"/>
            <w:hideMark/>
          </w:tcPr>
          <w:p w14:paraId="60F7934B" w14:textId="77777777" w:rsidR="00E73C9B" w:rsidRPr="00E73C9B" w:rsidRDefault="00E73C9B" w:rsidP="00616CA4">
            <w:pPr>
              <w:jc w:val="right"/>
              <w:rPr>
                <w:lang w:val="en-GB" w:eastAsia="en-GB"/>
              </w:rPr>
            </w:pPr>
            <w:r w:rsidRPr="00E73C9B">
              <w:rPr>
                <w:lang w:val="en-GB" w:eastAsia="en-GB"/>
              </w:rPr>
              <w:t>118</w:t>
            </w:r>
          </w:p>
        </w:tc>
        <w:tc>
          <w:tcPr>
            <w:tcW w:w="1000" w:type="dxa"/>
            <w:tcBorders>
              <w:top w:val="nil"/>
              <w:left w:val="single" w:sz="4" w:space="0" w:color="auto"/>
              <w:bottom w:val="nil"/>
              <w:right w:val="single" w:sz="4" w:space="0" w:color="auto"/>
            </w:tcBorders>
            <w:shd w:val="clear" w:color="auto" w:fill="auto"/>
            <w:noWrap/>
            <w:vAlign w:val="center"/>
            <w:hideMark/>
          </w:tcPr>
          <w:p w14:paraId="14DA9E62" w14:textId="77777777" w:rsidR="00E73C9B" w:rsidRPr="00E73C9B" w:rsidRDefault="00E73C9B" w:rsidP="00616CA4">
            <w:pPr>
              <w:jc w:val="right"/>
              <w:rPr>
                <w:lang w:val="en-GB" w:eastAsia="en-GB"/>
              </w:rPr>
            </w:pPr>
            <w:r w:rsidRPr="00E73C9B">
              <w:rPr>
                <w:lang w:val="en-GB" w:eastAsia="en-GB"/>
              </w:rPr>
              <w:t>120</w:t>
            </w:r>
          </w:p>
        </w:tc>
        <w:tc>
          <w:tcPr>
            <w:tcW w:w="1000" w:type="dxa"/>
            <w:tcBorders>
              <w:top w:val="nil"/>
              <w:left w:val="single" w:sz="4" w:space="0" w:color="auto"/>
              <w:bottom w:val="nil"/>
              <w:right w:val="single" w:sz="4" w:space="0" w:color="auto"/>
            </w:tcBorders>
            <w:shd w:val="clear" w:color="auto" w:fill="auto"/>
            <w:noWrap/>
            <w:vAlign w:val="center"/>
            <w:hideMark/>
          </w:tcPr>
          <w:p w14:paraId="21FACBED" w14:textId="77777777" w:rsidR="00E73C9B" w:rsidRPr="00E73C9B" w:rsidRDefault="00E73C9B" w:rsidP="00616CA4">
            <w:pPr>
              <w:jc w:val="right"/>
              <w:rPr>
                <w:lang w:val="en-GB" w:eastAsia="en-GB"/>
              </w:rPr>
            </w:pPr>
            <w:r w:rsidRPr="00E73C9B">
              <w:rPr>
                <w:lang w:val="en-GB" w:eastAsia="en-GB"/>
              </w:rPr>
              <w:t>(2)</w:t>
            </w:r>
          </w:p>
        </w:tc>
      </w:tr>
      <w:tr w:rsidR="00E73C9B" w:rsidRPr="00E73C9B" w14:paraId="49B644D9" w14:textId="77777777" w:rsidTr="00E73C9B">
        <w:trPr>
          <w:trHeight w:val="300"/>
          <w:jc w:val="center"/>
        </w:trPr>
        <w:tc>
          <w:tcPr>
            <w:tcW w:w="3914" w:type="dxa"/>
            <w:tcBorders>
              <w:top w:val="nil"/>
              <w:left w:val="single" w:sz="4" w:space="0" w:color="auto"/>
              <w:bottom w:val="nil"/>
              <w:right w:val="single" w:sz="4" w:space="0" w:color="auto"/>
            </w:tcBorders>
            <w:shd w:val="clear" w:color="auto" w:fill="auto"/>
            <w:noWrap/>
            <w:vAlign w:val="center"/>
            <w:hideMark/>
          </w:tcPr>
          <w:p w14:paraId="728FE96B" w14:textId="77777777" w:rsidR="00E73C9B" w:rsidRPr="00E73C9B" w:rsidRDefault="00E73C9B" w:rsidP="00616CA4">
            <w:pPr>
              <w:rPr>
                <w:lang w:val="en-GB" w:eastAsia="en-GB"/>
              </w:rPr>
            </w:pPr>
            <w:r w:rsidRPr="00E73C9B">
              <w:rPr>
                <w:lang w:val="en-GB" w:eastAsia="en-GB"/>
              </w:rPr>
              <w:t>Police Officer Overtime</w:t>
            </w:r>
          </w:p>
        </w:tc>
        <w:tc>
          <w:tcPr>
            <w:tcW w:w="1000" w:type="dxa"/>
            <w:tcBorders>
              <w:top w:val="nil"/>
              <w:left w:val="single" w:sz="4" w:space="0" w:color="auto"/>
              <w:bottom w:val="nil"/>
              <w:right w:val="single" w:sz="4" w:space="0" w:color="auto"/>
            </w:tcBorders>
            <w:shd w:val="clear" w:color="auto" w:fill="auto"/>
            <w:noWrap/>
            <w:vAlign w:val="center"/>
            <w:hideMark/>
          </w:tcPr>
          <w:p w14:paraId="15FAB0B3" w14:textId="77777777" w:rsidR="00E73C9B" w:rsidRPr="00E73C9B" w:rsidRDefault="00E73C9B" w:rsidP="00616CA4">
            <w:pPr>
              <w:jc w:val="right"/>
              <w:rPr>
                <w:lang w:val="en-GB" w:eastAsia="en-GB"/>
              </w:rPr>
            </w:pPr>
            <w:r w:rsidRPr="00E73C9B">
              <w:rPr>
                <w:lang w:val="en-GB" w:eastAsia="en-GB"/>
              </w:rPr>
              <w:t>6</w:t>
            </w:r>
          </w:p>
        </w:tc>
        <w:tc>
          <w:tcPr>
            <w:tcW w:w="1000" w:type="dxa"/>
            <w:tcBorders>
              <w:top w:val="nil"/>
              <w:left w:val="single" w:sz="4" w:space="0" w:color="auto"/>
              <w:bottom w:val="nil"/>
              <w:right w:val="single" w:sz="4" w:space="0" w:color="auto"/>
            </w:tcBorders>
            <w:shd w:val="clear" w:color="auto" w:fill="auto"/>
            <w:noWrap/>
            <w:vAlign w:val="center"/>
            <w:hideMark/>
          </w:tcPr>
          <w:p w14:paraId="4D597C32" w14:textId="77777777" w:rsidR="00E73C9B" w:rsidRPr="00E73C9B" w:rsidRDefault="00E73C9B" w:rsidP="00616CA4">
            <w:pPr>
              <w:jc w:val="right"/>
              <w:rPr>
                <w:lang w:val="en-GB" w:eastAsia="en-GB"/>
              </w:rPr>
            </w:pPr>
            <w:r w:rsidRPr="00E73C9B">
              <w:rPr>
                <w:lang w:val="en-GB" w:eastAsia="en-GB"/>
              </w:rPr>
              <w:t>5</w:t>
            </w:r>
          </w:p>
        </w:tc>
        <w:tc>
          <w:tcPr>
            <w:tcW w:w="1000" w:type="dxa"/>
            <w:tcBorders>
              <w:top w:val="nil"/>
              <w:left w:val="single" w:sz="4" w:space="0" w:color="auto"/>
              <w:bottom w:val="nil"/>
              <w:right w:val="single" w:sz="4" w:space="0" w:color="auto"/>
            </w:tcBorders>
            <w:shd w:val="clear" w:color="auto" w:fill="auto"/>
            <w:noWrap/>
            <w:vAlign w:val="center"/>
            <w:hideMark/>
          </w:tcPr>
          <w:p w14:paraId="7CFE7AB4" w14:textId="77777777" w:rsidR="00E73C9B" w:rsidRPr="00E73C9B" w:rsidRDefault="00E73C9B" w:rsidP="00616CA4">
            <w:pPr>
              <w:jc w:val="right"/>
              <w:rPr>
                <w:lang w:val="en-GB" w:eastAsia="en-GB"/>
              </w:rPr>
            </w:pPr>
            <w:r w:rsidRPr="00E73C9B">
              <w:rPr>
                <w:lang w:val="en-GB" w:eastAsia="en-GB"/>
              </w:rPr>
              <w:t>1</w:t>
            </w:r>
          </w:p>
        </w:tc>
      </w:tr>
      <w:tr w:rsidR="00E73C9B" w:rsidRPr="00E73C9B" w14:paraId="06A0E284" w14:textId="77777777" w:rsidTr="00E73C9B">
        <w:trPr>
          <w:trHeight w:val="300"/>
          <w:jc w:val="center"/>
        </w:trPr>
        <w:tc>
          <w:tcPr>
            <w:tcW w:w="3914" w:type="dxa"/>
            <w:tcBorders>
              <w:top w:val="nil"/>
              <w:left w:val="single" w:sz="4" w:space="0" w:color="auto"/>
              <w:bottom w:val="nil"/>
              <w:right w:val="single" w:sz="4" w:space="0" w:color="auto"/>
            </w:tcBorders>
            <w:shd w:val="clear" w:color="auto" w:fill="auto"/>
            <w:noWrap/>
            <w:vAlign w:val="center"/>
            <w:hideMark/>
          </w:tcPr>
          <w:p w14:paraId="707C239A" w14:textId="77777777" w:rsidR="00E73C9B" w:rsidRPr="00E73C9B" w:rsidRDefault="00E73C9B" w:rsidP="00616CA4">
            <w:pPr>
              <w:rPr>
                <w:lang w:val="en-GB" w:eastAsia="en-GB"/>
              </w:rPr>
            </w:pPr>
            <w:r w:rsidRPr="00E73C9B">
              <w:rPr>
                <w:lang w:val="en-GB" w:eastAsia="en-GB"/>
              </w:rPr>
              <w:t>Police Staff Pay</w:t>
            </w:r>
          </w:p>
        </w:tc>
        <w:tc>
          <w:tcPr>
            <w:tcW w:w="1000" w:type="dxa"/>
            <w:tcBorders>
              <w:top w:val="nil"/>
              <w:left w:val="single" w:sz="4" w:space="0" w:color="auto"/>
              <w:bottom w:val="nil"/>
              <w:right w:val="single" w:sz="4" w:space="0" w:color="auto"/>
            </w:tcBorders>
            <w:shd w:val="clear" w:color="auto" w:fill="auto"/>
            <w:noWrap/>
            <w:vAlign w:val="center"/>
            <w:hideMark/>
          </w:tcPr>
          <w:p w14:paraId="656EC4ED" w14:textId="77777777" w:rsidR="00E73C9B" w:rsidRPr="00E73C9B" w:rsidRDefault="00E73C9B" w:rsidP="00616CA4">
            <w:pPr>
              <w:jc w:val="right"/>
              <w:rPr>
                <w:lang w:val="en-GB" w:eastAsia="en-GB"/>
              </w:rPr>
            </w:pPr>
            <w:r w:rsidRPr="00E73C9B">
              <w:rPr>
                <w:lang w:val="en-GB" w:eastAsia="en-GB"/>
              </w:rPr>
              <w:t>74</w:t>
            </w:r>
          </w:p>
        </w:tc>
        <w:tc>
          <w:tcPr>
            <w:tcW w:w="1000" w:type="dxa"/>
            <w:tcBorders>
              <w:top w:val="nil"/>
              <w:left w:val="single" w:sz="4" w:space="0" w:color="auto"/>
              <w:bottom w:val="nil"/>
              <w:right w:val="single" w:sz="4" w:space="0" w:color="auto"/>
            </w:tcBorders>
            <w:shd w:val="clear" w:color="auto" w:fill="auto"/>
            <w:noWrap/>
            <w:vAlign w:val="center"/>
            <w:hideMark/>
          </w:tcPr>
          <w:p w14:paraId="6585AD35" w14:textId="77777777" w:rsidR="00E73C9B" w:rsidRPr="00E73C9B" w:rsidRDefault="00E73C9B" w:rsidP="00616CA4">
            <w:pPr>
              <w:jc w:val="right"/>
              <w:rPr>
                <w:lang w:val="en-GB" w:eastAsia="en-GB"/>
              </w:rPr>
            </w:pPr>
            <w:r w:rsidRPr="00E73C9B">
              <w:rPr>
                <w:lang w:val="en-GB" w:eastAsia="en-GB"/>
              </w:rPr>
              <w:t>74</w:t>
            </w:r>
          </w:p>
        </w:tc>
        <w:tc>
          <w:tcPr>
            <w:tcW w:w="1000" w:type="dxa"/>
            <w:tcBorders>
              <w:top w:val="nil"/>
              <w:left w:val="single" w:sz="4" w:space="0" w:color="auto"/>
              <w:bottom w:val="nil"/>
              <w:right w:val="single" w:sz="4" w:space="0" w:color="auto"/>
            </w:tcBorders>
            <w:shd w:val="clear" w:color="auto" w:fill="auto"/>
            <w:noWrap/>
            <w:vAlign w:val="center"/>
            <w:hideMark/>
          </w:tcPr>
          <w:p w14:paraId="5452C6C9" w14:textId="77777777" w:rsidR="00E73C9B" w:rsidRPr="00E73C9B" w:rsidRDefault="00E73C9B" w:rsidP="00616CA4">
            <w:pPr>
              <w:jc w:val="right"/>
              <w:rPr>
                <w:lang w:val="en-GB" w:eastAsia="en-GB"/>
              </w:rPr>
            </w:pPr>
            <w:r w:rsidRPr="00E73C9B">
              <w:rPr>
                <w:lang w:val="en-GB" w:eastAsia="en-GB"/>
              </w:rPr>
              <w:t>(0)</w:t>
            </w:r>
          </w:p>
        </w:tc>
      </w:tr>
      <w:tr w:rsidR="00E73C9B" w:rsidRPr="00E73C9B" w14:paraId="0838161B" w14:textId="77777777" w:rsidTr="00E73C9B">
        <w:trPr>
          <w:trHeight w:val="300"/>
          <w:jc w:val="center"/>
        </w:trPr>
        <w:tc>
          <w:tcPr>
            <w:tcW w:w="3914" w:type="dxa"/>
            <w:tcBorders>
              <w:top w:val="nil"/>
              <w:left w:val="single" w:sz="4" w:space="0" w:color="auto"/>
              <w:bottom w:val="nil"/>
              <w:right w:val="single" w:sz="4" w:space="0" w:color="auto"/>
            </w:tcBorders>
            <w:shd w:val="clear" w:color="auto" w:fill="auto"/>
            <w:noWrap/>
            <w:vAlign w:val="center"/>
            <w:hideMark/>
          </w:tcPr>
          <w:p w14:paraId="651E9F18" w14:textId="77777777" w:rsidR="00E73C9B" w:rsidRPr="00E73C9B" w:rsidRDefault="00E73C9B" w:rsidP="00616CA4">
            <w:pPr>
              <w:rPr>
                <w:lang w:val="en-GB" w:eastAsia="en-GB"/>
              </w:rPr>
            </w:pPr>
            <w:r w:rsidRPr="00E73C9B">
              <w:rPr>
                <w:lang w:val="en-GB" w:eastAsia="en-GB"/>
              </w:rPr>
              <w:t>Police Staff Overtime</w:t>
            </w:r>
          </w:p>
        </w:tc>
        <w:tc>
          <w:tcPr>
            <w:tcW w:w="1000" w:type="dxa"/>
            <w:tcBorders>
              <w:top w:val="nil"/>
              <w:left w:val="single" w:sz="4" w:space="0" w:color="auto"/>
              <w:bottom w:val="nil"/>
              <w:right w:val="single" w:sz="4" w:space="0" w:color="auto"/>
            </w:tcBorders>
            <w:shd w:val="clear" w:color="auto" w:fill="auto"/>
            <w:noWrap/>
            <w:vAlign w:val="center"/>
            <w:hideMark/>
          </w:tcPr>
          <w:p w14:paraId="62CA3DF3" w14:textId="77777777" w:rsidR="00E73C9B" w:rsidRPr="00E73C9B" w:rsidRDefault="00E73C9B" w:rsidP="00616CA4">
            <w:pPr>
              <w:jc w:val="right"/>
              <w:rPr>
                <w:lang w:val="en-GB" w:eastAsia="en-GB"/>
              </w:rPr>
            </w:pPr>
            <w:r w:rsidRPr="00E73C9B">
              <w:rPr>
                <w:lang w:val="en-GB" w:eastAsia="en-GB"/>
              </w:rPr>
              <w:t>2</w:t>
            </w:r>
          </w:p>
        </w:tc>
        <w:tc>
          <w:tcPr>
            <w:tcW w:w="1000" w:type="dxa"/>
            <w:tcBorders>
              <w:top w:val="nil"/>
              <w:left w:val="single" w:sz="4" w:space="0" w:color="auto"/>
              <w:bottom w:val="nil"/>
              <w:right w:val="single" w:sz="4" w:space="0" w:color="auto"/>
            </w:tcBorders>
            <w:shd w:val="clear" w:color="auto" w:fill="auto"/>
            <w:noWrap/>
            <w:vAlign w:val="center"/>
            <w:hideMark/>
          </w:tcPr>
          <w:p w14:paraId="03B77224" w14:textId="77777777" w:rsidR="00E73C9B" w:rsidRPr="00E73C9B" w:rsidRDefault="00E73C9B" w:rsidP="00616CA4">
            <w:pPr>
              <w:jc w:val="right"/>
              <w:rPr>
                <w:lang w:val="en-GB" w:eastAsia="en-GB"/>
              </w:rPr>
            </w:pPr>
            <w:r w:rsidRPr="00E73C9B">
              <w:rPr>
                <w:lang w:val="en-GB" w:eastAsia="en-GB"/>
              </w:rPr>
              <w:t>1</w:t>
            </w:r>
          </w:p>
        </w:tc>
        <w:tc>
          <w:tcPr>
            <w:tcW w:w="1000" w:type="dxa"/>
            <w:tcBorders>
              <w:top w:val="nil"/>
              <w:left w:val="single" w:sz="4" w:space="0" w:color="auto"/>
              <w:bottom w:val="nil"/>
              <w:right w:val="single" w:sz="4" w:space="0" w:color="auto"/>
            </w:tcBorders>
            <w:shd w:val="clear" w:color="auto" w:fill="auto"/>
            <w:noWrap/>
            <w:vAlign w:val="center"/>
            <w:hideMark/>
          </w:tcPr>
          <w:p w14:paraId="2FA280E8" w14:textId="77777777" w:rsidR="00E73C9B" w:rsidRPr="00E73C9B" w:rsidRDefault="00E73C9B" w:rsidP="00616CA4">
            <w:pPr>
              <w:jc w:val="right"/>
              <w:rPr>
                <w:lang w:val="en-GB" w:eastAsia="en-GB"/>
              </w:rPr>
            </w:pPr>
            <w:r w:rsidRPr="00E73C9B">
              <w:rPr>
                <w:lang w:val="en-GB" w:eastAsia="en-GB"/>
              </w:rPr>
              <w:t>1</w:t>
            </w:r>
          </w:p>
        </w:tc>
      </w:tr>
      <w:tr w:rsidR="00E73C9B" w:rsidRPr="00E73C9B" w14:paraId="44C2A4B7" w14:textId="77777777" w:rsidTr="00E73C9B">
        <w:trPr>
          <w:trHeight w:val="300"/>
          <w:jc w:val="center"/>
        </w:trPr>
        <w:tc>
          <w:tcPr>
            <w:tcW w:w="3914" w:type="dxa"/>
            <w:tcBorders>
              <w:top w:val="nil"/>
              <w:left w:val="single" w:sz="4" w:space="0" w:color="auto"/>
              <w:bottom w:val="nil"/>
              <w:right w:val="single" w:sz="4" w:space="0" w:color="auto"/>
            </w:tcBorders>
            <w:shd w:val="clear" w:color="auto" w:fill="auto"/>
            <w:noWrap/>
            <w:vAlign w:val="center"/>
            <w:hideMark/>
          </w:tcPr>
          <w:p w14:paraId="6AB4CAC5" w14:textId="77777777" w:rsidR="00E73C9B" w:rsidRPr="00E73C9B" w:rsidRDefault="00E73C9B" w:rsidP="00616CA4">
            <w:pPr>
              <w:rPr>
                <w:lang w:val="en-GB" w:eastAsia="en-GB"/>
              </w:rPr>
            </w:pPr>
            <w:r w:rsidRPr="00E73C9B">
              <w:rPr>
                <w:lang w:val="en-GB" w:eastAsia="en-GB"/>
              </w:rPr>
              <w:t>PO Injury, Ill Health &amp; Death Pensions</w:t>
            </w:r>
          </w:p>
        </w:tc>
        <w:tc>
          <w:tcPr>
            <w:tcW w:w="1000" w:type="dxa"/>
            <w:tcBorders>
              <w:top w:val="nil"/>
              <w:left w:val="single" w:sz="4" w:space="0" w:color="auto"/>
              <w:bottom w:val="nil"/>
              <w:right w:val="single" w:sz="4" w:space="0" w:color="auto"/>
            </w:tcBorders>
            <w:shd w:val="clear" w:color="auto" w:fill="auto"/>
            <w:noWrap/>
            <w:vAlign w:val="center"/>
            <w:hideMark/>
          </w:tcPr>
          <w:p w14:paraId="34D3D3EA" w14:textId="77777777" w:rsidR="00E73C9B" w:rsidRPr="00E73C9B" w:rsidRDefault="00E73C9B" w:rsidP="00616CA4">
            <w:pPr>
              <w:jc w:val="right"/>
              <w:rPr>
                <w:lang w:val="en-GB" w:eastAsia="en-GB"/>
              </w:rPr>
            </w:pPr>
            <w:r w:rsidRPr="00E73C9B">
              <w:rPr>
                <w:lang w:val="en-GB" w:eastAsia="en-GB"/>
              </w:rPr>
              <w:t>2</w:t>
            </w:r>
          </w:p>
        </w:tc>
        <w:tc>
          <w:tcPr>
            <w:tcW w:w="1000" w:type="dxa"/>
            <w:tcBorders>
              <w:top w:val="nil"/>
              <w:left w:val="single" w:sz="4" w:space="0" w:color="auto"/>
              <w:bottom w:val="nil"/>
              <w:right w:val="single" w:sz="4" w:space="0" w:color="auto"/>
            </w:tcBorders>
            <w:shd w:val="clear" w:color="auto" w:fill="auto"/>
            <w:noWrap/>
            <w:vAlign w:val="center"/>
            <w:hideMark/>
          </w:tcPr>
          <w:p w14:paraId="3D758483" w14:textId="77777777" w:rsidR="00E73C9B" w:rsidRPr="00E73C9B" w:rsidRDefault="00E73C9B" w:rsidP="00616CA4">
            <w:pPr>
              <w:jc w:val="right"/>
              <w:rPr>
                <w:lang w:val="en-GB" w:eastAsia="en-GB"/>
              </w:rPr>
            </w:pPr>
            <w:r w:rsidRPr="00E73C9B">
              <w:rPr>
                <w:lang w:val="en-GB" w:eastAsia="en-GB"/>
              </w:rPr>
              <w:t>2</w:t>
            </w:r>
          </w:p>
        </w:tc>
        <w:tc>
          <w:tcPr>
            <w:tcW w:w="1000" w:type="dxa"/>
            <w:tcBorders>
              <w:top w:val="nil"/>
              <w:left w:val="single" w:sz="4" w:space="0" w:color="auto"/>
              <w:bottom w:val="nil"/>
              <w:right w:val="single" w:sz="4" w:space="0" w:color="auto"/>
            </w:tcBorders>
            <w:shd w:val="clear" w:color="auto" w:fill="auto"/>
            <w:noWrap/>
            <w:vAlign w:val="center"/>
            <w:hideMark/>
          </w:tcPr>
          <w:p w14:paraId="60695A86" w14:textId="77777777" w:rsidR="00E73C9B" w:rsidRPr="00E73C9B" w:rsidRDefault="00E73C9B" w:rsidP="00616CA4">
            <w:pPr>
              <w:jc w:val="right"/>
              <w:rPr>
                <w:lang w:val="en-GB" w:eastAsia="en-GB"/>
              </w:rPr>
            </w:pPr>
            <w:r w:rsidRPr="00E73C9B">
              <w:rPr>
                <w:lang w:val="en-GB" w:eastAsia="en-GB"/>
              </w:rPr>
              <w:t>0</w:t>
            </w:r>
          </w:p>
        </w:tc>
      </w:tr>
      <w:tr w:rsidR="00E73C9B" w:rsidRPr="00E73C9B" w14:paraId="177A28BC" w14:textId="77777777" w:rsidTr="00E73C9B">
        <w:trPr>
          <w:trHeight w:val="300"/>
          <w:jc w:val="center"/>
        </w:trPr>
        <w:tc>
          <w:tcPr>
            <w:tcW w:w="3914" w:type="dxa"/>
            <w:tcBorders>
              <w:top w:val="nil"/>
              <w:left w:val="single" w:sz="4" w:space="0" w:color="auto"/>
              <w:bottom w:val="nil"/>
              <w:right w:val="single" w:sz="4" w:space="0" w:color="auto"/>
            </w:tcBorders>
            <w:shd w:val="clear" w:color="auto" w:fill="auto"/>
            <w:noWrap/>
            <w:vAlign w:val="center"/>
            <w:hideMark/>
          </w:tcPr>
          <w:p w14:paraId="7A35D8BE" w14:textId="77777777" w:rsidR="00E73C9B" w:rsidRPr="00E73C9B" w:rsidRDefault="00E73C9B" w:rsidP="00616CA4">
            <w:pPr>
              <w:rPr>
                <w:lang w:val="en-GB" w:eastAsia="en-GB"/>
              </w:rPr>
            </w:pPr>
            <w:r w:rsidRPr="00E73C9B">
              <w:rPr>
                <w:lang w:val="en-GB" w:eastAsia="en-GB"/>
              </w:rPr>
              <w:t>Other Employee Expenses</w:t>
            </w:r>
          </w:p>
        </w:tc>
        <w:tc>
          <w:tcPr>
            <w:tcW w:w="1000" w:type="dxa"/>
            <w:tcBorders>
              <w:top w:val="nil"/>
              <w:left w:val="single" w:sz="4" w:space="0" w:color="auto"/>
              <w:bottom w:val="nil"/>
              <w:right w:val="single" w:sz="4" w:space="0" w:color="auto"/>
            </w:tcBorders>
            <w:shd w:val="clear" w:color="auto" w:fill="auto"/>
            <w:noWrap/>
            <w:vAlign w:val="center"/>
            <w:hideMark/>
          </w:tcPr>
          <w:p w14:paraId="7EC8F02C" w14:textId="77777777" w:rsidR="00E73C9B" w:rsidRPr="00E73C9B" w:rsidRDefault="00E73C9B" w:rsidP="00616CA4">
            <w:pPr>
              <w:jc w:val="right"/>
              <w:rPr>
                <w:lang w:val="en-GB" w:eastAsia="en-GB"/>
              </w:rPr>
            </w:pPr>
            <w:r w:rsidRPr="00E73C9B">
              <w:rPr>
                <w:lang w:val="en-GB" w:eastAsia="en-GB"/>
              </w:rPr>
              <w:t>2</w:t>
            </w:r>
          </w:p>
        </w:tc>
        <w:tc>
          <w:tcPr>
            <w:tcW w:w="1000" w:type="dxa"/>
            <w:tcBorders>
              <w:top w:val="nil"/>
              <w:left w:val="single" w:sz="4" w:space="0" w:color="auto"/>
              <w:bottom w:val="nil"/>
              <w:right w:val="single" w:sz="4" w:space="0" w:color="auto"/>
            </w:tcBorders>
            <w:shd w:val="clear" w:color="auto" w:fill="auto"/>
            <w:noWrap/>
            <w:vAlign w:val="center"/>
            <w:hideMark/>
          </w:tcPr>
          <w:p w14:paraId="7DB2D1A0" w14:textId="77777777" w:rsidR="00E73C9B" w:rsidRPr="00E73C9B" w:rsidRDefault="00E73C9B" w:rsidP="00616CA4">
            <w:pPr>
              <w:jc w:val="right"/>
              <w:rPr>
                <w:lang w:val="en-GB" w:eastAsia="en-GB"/>
              </w:rPr>
            </w:pPr>
            <w:r w:rsidRPr="00E73C9B">
              <w:rPr>
                <w:lang w:val="en-GB" w:eastAsia="en-GB"/>
              </w:rPr>
              <w:t>2</w:t>
            </w:r>
          </w:p>
        </w:tc>
        <w:tc>
          <w:tcPr>
            <w:tcW w:w="1000" w:type="dxa"/>
            <w:tcBorders>
              <w:top w:val="nil"/>
              <w:left w:val="single" w:sz="4" w:space="0" w:color="auto"/>
              <w:bottom w:val="nil"/>
              <w:right w:val="single" w:sz="4" w:space="0" w:color="auto"/>
            </w:tcBorders>
            <w:shd w:val="clear" w:color="auto" w:fill="auto"/>
            <w:noWrap/>
            <w:vAlign w:val="center"/>
            <w:hideMark/>
          </w:tcPr>
          <w:p w14:paraId="5020DAE3" w14:textId="77777777" w:rsidR="00E73C9B" w:rsidRPr="00E73C9B" w:rsidRDefault="00E73C9B" w:rsidP="00616CA4">
            <w:pPr>
              <w:jc w:val="right"/>
              <w:rPr>
                <w:lang w:val="en-GB" w:eastAsia="en-GB"/>
              </w:rPr>
            </w:pPr>
            <w:r w:rsidRPr="00E73C9B">
              <w:rPr>
                <w:lang w:val="en-GB" w:eastAsia="en-GB"/>
              </w:rPr>
              <w:t>1</w:t>
            </w:r>
          </w:p>
        </w:tc>
      </w:tr>
      <w:tr w:rsidR="00E73C9B" w:rsidRPr="00E73C9B" w14:paraId="52939454" w14:textId="77777777" w:rsidTr="00E73C9B">
        <w:trPr>
          <w:trHeight w:val="300"/>
          <w:jc w:val="center"/>
        </w:trPr>
        <w:tc>
          <w:tcPr>
            <w:tcW w:w="3914" w:type="dxa"/>
            <w:tcBorders>
              <w:top w:val="nil"/>
              <w:left w:val="single" w:sz="4" w:space="0" w:color="auto"/>
              <w:bottom w:val="nil"/>
              <w:right w:val="single" w:sz="4" w:space="0" w:color="auto"/>
            </w:tcBorders>
            <w:shd w:val="clear" w:color="auto" w:fill="auto"/>
            <w:noWrap/>
            <w:vAlign w:val="center"/>
            <w:hideMark/>
          </w:tcPr>
          <w:p w14:paraId="447967D9" w14:textId="77777777" w:rsidR="00E73C9B" w:rsidRPr="00E73C9B" w:rsidRDefault="00E73C9B" w:rsidP="00616CA4">
            <w:pPr>
              <w:rPr>
                <w:lang w:val="en-GB" w:eastAsia="en-GB"/>
              </w:rPr>
            </w:pPr>
            <w:r w:rsidRPr="00E73C9B">
              <w:rPr>
                <w:lang w:val="en-GB" w:eastAsia="en-GB"/>
              </w:rPr>
              <w:t>Temporary or Agency Staff</w:t>
            </w:r>
          </w:p>
        </w:tc>
        <w:tc>
          <w:tcPr>
            <w:tcW w:w="1000" w:type="dxa"/>
            <w:tcBorders>
              <w:top w:val="nil"/>
              <w:left w:val="single" w:sz="4" w:space="0" w:color="auto"/>
              <w:bottom w:val="nil"/>
              <w:right w:val="single" w:sz="4" w:space="0" w:color="auto"/>
            </w:tcBorders>
            <w:shd w:val="clear" w:color="auto" w:fill="auto"/>
            <w:noWrap/>
            <w:vAlign w:val="center"/>
            <w:hideMark/>
          </w:tcPr>
          <w:p w14:paraId="0091C87A" w14:textId="77777777" w:rsidR="00E73C9B" w:rsidRPr="00E73C9B" w:rsidRDefault="00E73C9B" w:rsidP="00616CA4">
            <w:pPr>
              <w:jc w:val="right"/>
              <w:rPr>
                <w:lang w:val="en-GB" w:eastAsia="en-GB"/>
              </w:rPr>
            </w:pPr>
            <w:r w:rsidRPr="00E73C9B">
              <w:rPr>
                <w:lang w:val="en-GB" w:eastAsia="en-GB"/>
              </w:rPr>
              <w:t>3</w:t>
            </w:r>
          </w:p>
        </w:tc>
        <w:tc>
          <w:tcPr>
            <w:tcW w:w="1000" w:type="dxa"/>
            <w:tcBorders>
              <w:top w:val="nil"/>
              <w:left w:val="single" w:sz="4" w:space="0" w:color="auto"/>
              <w:bottom w:val="nil"/>
              <w:right w:val="single" w:sz="4" w:space="0" w:color="auto"/>
            </w:tcBorders>
            <w:shd w:val="clear" w:color="auto" w:fill="auto"/>
            <w:noWrap/>
            <w:vAlign w:val="center"/>
            <w:hideMark/>
          </w:tcPr>
          <w:p w14:paraId="73C49F39" w14:textId="77777777" w:rsidR="00E73C9B" w:rsidRPr="00E73C9B" w:rsidRDefault="00E73C9B" w:rsidP="00616CA4">
            <w:pPr>
              <w:jc w:val="right"/>
              <w:rPr>
                <w:lang w:val="en-GB" w:eastAsia="en-GB"/>
              </w:rPr>
            </w:pPr>
            <w:r w:rsidRPr="00E73C9B">
              <w:rPr>
                <w:lang w:val="en-GB" w:eastAsia="en-GB"/>
              </w:rPr>
              <w:t>1</w:t>
            </w:r>
          </w:p>
        </w:tc>
        <w:tc>
          <w:tcPr>
            <w:tcW w:w="1000" w:type="dxa"/>
            <w:tcBorders>
              <w:top w:val="nil"/>
              <w:left w:val="single" w:sz="4" w:space="0" w:color="auto"/>
              <w:bottom w:val="nil"/>
              <w:right w:val="single" w:sz="4" w:space="0" w:color="auto"/>
            </w:tcBorders>
            <w:shd w:val="clear" w:color="auto" w:fill="auto"/>
            <w:noWrap/>
            <w:vAlign w:val="center"/>
            <w:hideMark/>
          </w:tcPr>
          <w:p w14:paraId="591D42AC" w14:textId="77777777" w:rsidR="00E73C9B" w:rsidRPr="00E73C9B" w:rsidRDefault="00E73C9B" w:rsidP="00616CA4">
            <w:pPr>
              <w:jc w:val="right"/>
              <w:rPr>
                <w:lang w:val="en-GB" w:eastAsia="en-GB"/>
              </w:rPr>
            </w:pPr>
            <w:r w:rsidRPr="00E73C9B">
              <w:rPr>
                <w:lang w:val="en-GB" w:eastAsia="en-GB"/>
              </w:rPr>
              <w:t>2</w:t>
            </w:r>
          </w:p>
        </w:tc>
      </w:tr>
      <w:tr w:rsidR="00E73C9B" w:rsidRPr="00E73C9B" w14:paraId="10413780" w14:textId="77777777" w:rsidTr="00E73C9B">
        <w:trPr>
          <w:trHeight w:val="300"/>
          <w:jc w:val="center"/>
        </w:trPr>
        <w:tc>
          <w:tcPr>
            <w:tcW w:w="3914" w:type="dxa"/>
            <w:tcBorders>
              <w:top w:val="nil"/>
              <w:left w:val="single" w:sz="4" w:space="0" w:color="auto"/>
              <w:bottom w:val="single" w:sz="4" w:space="0" w:color="auto"/>
              <w:right w:val="single" w:sz="4" w:space="0" w:color="auto"/>
            </w:tcBorders>
            <w:shd w:val="clear" w:color="auto" w:fill="auto"/>
            <w:noWrap/>
            <w:vAlign w:val="center"/>
            <w:hideMark/>
          </w:tcPr>
          <w:p w14:paraId="02AE3E2D" w14:textId="77777777" w:rsidR="00E73C9B" w:rsidRPr="00E73C9B" w:rsidRDefault="00E73C9B" w:rsidP="00616CA4">
            <w:pPr>
              <w:rPr>
                <w:lang w:val="en-GB" w:eastAsia="en-GB"/>
              </w:rPr>
            </w:pPr>
            <w:r w:rsidRPr="00E73C9B">
              <w:rPr>
                <w:lang w:val="en-GB" w:eastAsia="en-GB"/>
              </w:rPr>
              <w:t>Restructure, Training &amp; Conference Costs</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7193E7C9" w14:textId="77777777" w:rsidR="00E73C9B" w:rsidRPr="00E73C9B" w:rsidRDefault="00E73C9B" w:rsidP="00616CA4">
            <w:pPr>
              <w:jc w:val="right"/>
              <w:rPr>
                <w:lang w:val="en-GB" w:eastAsia="en-GB"/>
              </w:rPr>
            </w:pPr>
            <w:r w:rsidRPr="00E73C9B">
              <w:rPr>
                <w:lang w:val="en-GB" w:eastAsia="en-GB"/>
              </w:rPr>
              <w:t>2</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52300700" w14:textId="77777777" w:rsidR="00E73C9B" w:rsidRPr="00E73C9B" w:rsidRDefault="00E73C9B" w:rsidP="00616CA4">
            <w:pPr>
              <w:jc w:val="right"/>
              <w:rPr>
                <w:lang w:val="en-GB" w:eastAsia="en-GB"/>
              </w:rPr>
            </w:pPr>
            <w:r w:rsidRPr="00E73C9B">
              <w:rPr>
                <w:lang w:val="en-GB" w:eastAsia="en-GB"/>
              </w:rPr>
              <w:t>2</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17897B05" w14:textId="77777777" w:rsidR="00E73C9B" w:rsidRPr="00E73C9B" w:rsidRDefault="00E73C9B" w:rsidP="00616CA4">
            <w:pPr>
              <w:jc w:val="right"/>
              <w:rPr>
                <w:lang w:val="en-GB" w:eastAsia="en-GB"/>
              </w:rPr>
            </w:pPr>
            <w:r w:rsidRPr="00E73C9B">
              <w:rPr>
                <w:lang w:val="en-GB" w:eastAsia="en-GB"/>
              </w:rPr>
              <w:t>(1)</w:t>
            </w:r>
          </w:p>
        </w:tc>
      </w:tr>
      <w:tr w:rsidR="00E73C9B" w:rsidRPr="00E73C9B" w14:paraId="21DDBF1D" w14:textId="77777777" w:rsidTr="00E73C9B">
        <w:trPr>
          <w:trHeight w:val="300"/>
          <w:jc w:val="center"/>
        </w:trPr>
        <w:tc>
          <w:tcPr>
            <w:tcW w:w="3914" w:type="dxa"/>
            <w:tcBorders>
              <w:top w:val="nil"/>
              <w:left w:val="single" w:sz="4" w:space="0" w:color="auto"/>
              <w:bottom w:val="nil"/>
              <w:right w:val="single" w:sz="4" w:space="0" w:color="auto"/>
            </w:tcBorders>
            <w:shd w:val="clear" w:color="auto" w:fill="auto"/>
            <w:noWrap/>
            <w:vAlign w:val="center"/>
            <w:hideMark/>
          </w:tcPr>
          <w:p w14:paraId="30FAE452" w14:textId="77777777" w:rsidR="00E73C9B" w:rsidRPr="00E73C9B" w:rsidRDefault="00E73C9B" w:rsidP="00616CA4">
            <w:pPr>
              <w:rPr>
                <w:lang w:val="en-GB" w:eastAsia="en-GB"/>
              </w:rPr>
            </w:pPr>
            <w:r w:rsidRPr="00E73C9B">
              <w:rPr>
                <w:lang w:val="en-GB" w:eastAsia="en-GB"/>
              </w:rPr>
              <w:t>Total Employee Costs</w:t>
            </w:r>
          </w:p>
        </w:tc>
        <w:tc>
          <w:tcPr>
            <w:tcW w:w="1000" w:type="dxa"/>
            <w:tcBorders>
              <w:top w:val="nil"/>
              <w:left w:val="single" w:sz="4" w:space="0" w:color="auto"/>
              <w:bottom w:val="nil"/>
              <w:right w:val="single" w:sz="4" w:space="0" w:color="auto"/>
            </w:tcBorders>
            <w:shd w:val="clear" w:color="auto" w:fill="auto"/>
            <w:noWrap/>
            <w:vAlign w:val="center"/>
            <w:hideMark/>
          </w:tcPr>
          <w:p w14:paraId="2415E7D2" w14:textId="77777777" w:rsidR="00E73C9B" w:rsidRPr="00E73C9B" w:rsidRDefault="00E73C9B" w:rsidP="00616CA4">
            <w:pPr>
              <w:jc w:val="right"/>
              <w:rPr>
                <w:lang w:val="en-GB" w:eastAsia="en-GB"/>
              </w:rPr>
            </w:pPr>
            <w:r w:rsidRPr="00E73C9B">
              <w:rPr>
                <w:lang w:val="en-GB" w:eastAsia="en-GB"/>
              </w:rPr>
              <w:t>208</w:t>
            </w:r>
          </w:p>
        </w:tc>
        <w:tc>
          <w:tcPr>
            <w:tcW w:w="1000" w:type="dxa"/>
            <w:tcBorders>
              <w:top w:val="nil"/>
              <w:left w:val="single" w:sz="4" w:space="0" w:color="auto"/>
              <w:bottom w:val="nil"/>
              <w:right w:val="single" w:sz="4" w:space="0" w:color="auto"/>
            </w:tcBorders>
            <w:shd w:val="clear" w:color="auto" w:fill="auto"/>
            <w:noWrap/>
            <w:vAlign w:val="center"/>
            <w:hideMark/>
          </w:tcPr>
          <w:p w14:paraId="776B2872" w14:textId="77777777" w:rsidR="00E73C9B" w:rsidRPr="00E73C9B" w:rsidRDefault="00E73C9B" w:rsidP="00616CA4">
            <w:pPr>
              <w:jc w:val="right"/>
              <w:rPr>
                <w:lang w:val="en-GB" w:eastAsia="en-GB"/>
              </w:rPr>
            </w:pPr>
            <w:r w:rsidRPr="00E73C9B">
              <w:rPr>
                <w:lang w:val="en-GB" w:eastAsia="en-GB"/>
              </w:rPr>
              <w:t>207</w:t>
            </w:r>
          </w:p>
        </w:tc>
        <w:tc>
          <w:tcPr>
            <w:tcW w:w="1000" w:type="dxa"/>
            <w:tcBorders>
              <w:top w:val="nil"/>
              <w:left w:val="single" w:sz="4" w:space="0" w:color="auto"/>
              <w:bottom w:val="nil"/>
              <w:right w:val="single" w:sz="4" w:space="0" w:color="auto"/>
            </w:tcBorders>
            <w:shd w:val="clear" w:color="auto" w:fill="auto"/>
            <w:noWrap/>
            <w:vAlign w:val="center"/>
            <w:hideMark/>
          </w:tcPr>
          <w:p w14:paraId="64FB905A" w14:textId="77777777" w:rsidR="00E73C9B" w:rsidRPr="00E73C9B" w:rsidRDefault="00E73C9B" w:rsidP="00616CA4">
            <w:pPr>
              <w:jc w:val="right"/>
              <w:rPr>
                <w:lang w:val="en-GB" w:eastAsia="en-GB"/>
              </w:rPr>
            </w:pPr>
            <w:r w:rsidRPr="00E73C9B">
              <w:rPr>
                <w:lang w:val="en-GB" w:eastAsia="en-GB"/>
              </w:rPr>
              <w:t>1</w:t>
            </w:r>
          </w:p>
        </w:tc>
      </w:tr>
      <w:tr w:rsidR="00E73C9B" w:rsidRPr="00E73C9B" w14:paraId="3AFF7726" w14:textId="77777777" w:rsidTr="00E73C9B">
        <w:trPr>
          <w:trHeight w:val="300"/>
          <w:jc w:val="center"/>
        </w:trPr>
        <w:tc>
          <w:tcPr>
            <w:tcW w:w="3914" w:type="dxa"/>
            <w:tcBorders>
              <w:top w:val="nil"/>
              <w:left w:val="single" w:sz="4" w:space="0" w:color="auto"/>
              <w:bottom w:val="nil"/>
              <w:right w:val="single" w:sz="4" w:space="0" w:color="auto"/>
            </w:tcBorders>
            <w:shd w:val="clear" w:color="auto" w:fill="auto"/>
            <w:noWrap/>
            <w:vAlign w:val="center"/>
            <w:hideMark/>
          </w:tcPr>
          <w:p w14:paraId="52F97D06" w14:textId="77777777" w:rsidR="00E73C9B" w:rsidRPr="00E73C9B" w:rsidRDefault="00E73C9B" w:rsidP="00616CA4">
            <w:pPr>
              <w:rPr>
                <w:lang w:val="en-GB" w:eastAsia="en-GB"/>
              </w:rPr>
            </w:pPr>
            <w:r w:rsidRPr="00E73C9B">
              <w:rPr>
                <w:lang w:val="en-GB" w:eastAsia="en-GB"/>
              </w:rPr>
              <w:t xml:space="preserve">Premises </w:t>
            </w:r>
          </w:p>
        </w:tc>
        <w:tc>
          <w:tcPr>
            <w:tcW w:w="1000" w:type="dxa"/>
            <w:tcBorders>
              <w:top w:val="nil"/>
              <w:left w:val="single" w:sz="4" w:space="0" w:color="auto"/>
              <w:bottom w:val="nil"/>
              <w:right w:val="single" w:sz="4" w:space="0" w:color="auto"/>
            </w:tcBorders>
            <w:shd w:val="clear" w:color="auto" w:fill="auto"/>
            <w:noWrap/>
            <w:vAlign w:val="center"/>
            <w:hideMark/>
          </w:tcPr>
          <w:p w14:paraId="483E1F94" w14:textId="77777777" w:rsidR="00E73C9B" w:rsidRPr="00E73C9B" w:rsidRDefault="00E73C9B" w:rsidP="00616CA4">
            <w:pPr>
              <w:jc w:val="right"/>
              <w:rPr>
                <w:lang w:val="en-GB" w:eastAsia="en-GB"/>
              </w:rPr>
            </w:pPr>
            <w:r w:rsidRPr="00E73C9B">
              <w:rPr>
                <w:lang w:val="en-GB" w:eastAsia="en-GB"/>
              </w:rPr>
              <w:t>10</w:t>
            </w:r>
          </w:p>
        </w:tc>
        <w:tc>
          <w:tcPr>
            <w:tcW w:w="1000" w:type="dxa"/>
            <w:tcBorders>
              <w:top w:val="nil"/>
              <w:left w:val="single" w:sz="4" w:space="0" w:color="auto"/>
              <w:bottom w:val="nil"/>
              <w:right w:val="single" w:sz="4" w:space="0" w:color="auto"/>
            </w:tcBorders>
            <w:shd w:val="clear" w:color="auto" w:fill="auto"/>
            <w:noWrap/>
            <w:vAlign w:val="center"/>
            <w:hideMark/>
          </w:tcPr>
          <w:p w14:paraId="124E46C9" w14:textId="77777777" w:rsidR="00E73C9B" w:rsidRPr="00E73C9B" w:rsidRDefault="00E73C9B" w:rsidP="00616CA4">
            <w:pPr>
              <w:jc w:val="right"/>
              <w:rPr>
                <w:lang w:val="en-GB" w:eastAsia="en-GB"/>
              </w:rPr>
            </w:pPr>
            <w:r w:rsidRPr="00E73C9B">
              <w:rPr>
                <w:lang w:val="en-GB" w:eastAsia="en-GB"/>
              </w:rPr>
              <w:t>10</w:t>
            </w:r>
          </w:p>
        </w:tc>
        <w:tc>
          <w:tcPr>
            <w:tcW w:w="1000" w:type="dxa"/>
            <w:tcBorders>
              <w:top w:val="nil"/>
              <w:left w:val="single" w:sz="4" w:space="0" w:color="auto"/>
              <w:bottom w:val="nil"/>
              <w:right w:val="single" w:sz="4" w:space="0" w:color="auto"/>
            </w:tcBorders>
            <w:shd w:val="clear" w:color="auto" w:fill="auto"/>
            <w:noWrap/>
            <w:vAlign w:val="center"/>
            <w:hideMark/>
          </w:tcPr>
          <w:p w14:paraId="5FFE5493" w14:textId="77777777" w:rsidR="00E73C9B" w:rsidRPr="00E73C9B" w:rsidRDefault="00E73C9B" w:rsidP="00616CA4">
            <w:pPr>
              <w:jc w:val="right"/>
              <w:rPr>
                <w:lang w:val="en-GB" w:eastAsia="en-GB"/>
              </w:rPr>
            </w:pPr>
            <w:r w:rsidRPr="00E73C9B">
              <w:rPr>
                <w:lang w:val="en-GB" w:eastAsia="en-GB"/>
              </w:rPr>
              <w:t>(1)</w:t>
            </w:r>
          </w:p>
        </w:tc>
      </w:tr>
      <w:tr w:rsidR="00E73C9B" w:rsidRPr="00E73C9B" w14:paraId="2FC2AE32" w14:textId="77777777" w:rsidTr="00E73C9B">
        <w:trPr>
          <w:trHeight w:val="300"/>
          <w:jc w:val="center"/>
        </w:trPr>
        <w:tc>
          <w:tcPr>
            <w:tcW w:w="3914" w:type="dxa"/>
            <w:tcBorders>
              <w:top w:val="nil"/>
              <w:left w:val="single" w:sz="4" w:space="0" w:color="auto"/>
              <w:bottom w:val="nil"/>
              <w:right w:val="single" w:sz="4" w:space="0" w:color="auto"/>
            </w:tcBorders>
            <w:shd w:val="clear" w:color="auto" w:fill="auto"/>
            <w:noWrap/>
            <w:vAlign w:val="center"/>
            <w:hideMark/>
          </w:tcPr>
          <w:p w14:paraId="758ACE49" w14:textId="77777777" w:rsidR="00E73C9B" w:rsidRPr="00E73C9B" w:rsidRDefault="00E73C9B" w:rsidP="00616CA4">
            <w:pPr>
              <w:rPr>
                <w:lang w:val="en-GB" w:eastAsia="en-GB"/>
              </w:rPr>
            </w:pPr>
            <w:r w:rsidRPr="00E73C9B">
              <w:rPr>
                <w:lang w:val="en-GB" w:eastAsia="en-GB"/>
              </w:rPr>
              <w:t>Transport</w:t>
            </w:r>
          </w:p>
        </w:tc>
        <w:tc>
          <w:tcPr>
            <w:tcW w:w="1000" w:type="dxa"/>
            <w:tcBorders>
              <w:top w:val="nil"/>
              <w:left w:val="single" w:sz="4" w:space="0" w:color="auto"/>
              <w:bottom w:val="nil"/>
              <w:right w:val="single" w:sz="4" w:space="0" w:color="auto"/>
            </w:tcBorders>
            <w:shd w:val="clear" w:color="auto" w:fill="auto"/>
            <w:noWrap/>
            <w:vAlign w:val="center"/>
            <w:hideMark/>
          </w:tcPr>
          <w:p w14:paraId="6918AC6B" w14:textId="77777777" w:rsidR="00E73C9B" w:rsidRPr="00E73C9B" w:rsidRDefault="00E73C9B" w:rsidP="00616CA4">
            <w:pPr>
              <w:jc w:val="right"/>
              <w:rPr>
                <w:lang w:val="en-GB" w:eastAsia="en-GB"/>
              </w:rPr>
            </w:pPr>
            <w:r w:rsidRPr="00E73C9B">
              <w:rPr>
                <w:lang w:val="en-GB" w:eastAsia="en-GB"/>
              </w:rPr>
              <w:t>5</w:t>
            </w:r>
          </w:p>
        </w:tc>
        <w:tc>
          <w:tcPr>
            <w:tcW w:w="1000" w:type="dxa"/>
            <w:tcBorders>
              <w:top w:val="nil"/>
              <w:left w:val="single" w:sz="4" w:space="0" w:color="auto"/>
              <w:bottom w:val="nil"/>
              <w:right w:val="single" w:sz="4" w:space="0" w:color="auto"/>
            </w:tcBorders>
            <w:shd w:val="clear" w:color="auto" w:fill="auto"/>
            <w:noWrap/>
            <w:vAlign w:val="center"/>
            <w:hideMark/>
          </w:tcPr>
          <w:p w14:paraId="729B8645" w14:textId="77777777" w:rsidR="00E73C9B" w:rsidRPr="00E73C9B" w:rsidRDefault="00E73C9B" w:rsidP="00616CA4">
            <w:pPr>
              <w:jc w:val="right"/>
              <w:rPr>
                <w:lang w:val="en-GB" w:eastAsia="en-GB"/>
              </w:rPr>
            </w:pPr>
            <w:r w:rsidRPr="00E73C9B">
              <w:rPr>
                <w:lang w:val="en-GB" w:eastAsia="en-GB"/>
              </w:rPr>
              <w:t>5</w:t>
            </w:r>
          </w:p>
        </w:tc>
        <w:tc>
          <w:tcPr>
            <w:tcW w:w="1000" w:type="dxa"/>
            <w:tcBorders>
              <w:top w:val="nil"/>
              <w:left w:val="single" w:sz="4" w:space="0" w:color="auto"/>
              <w:bottom w:val="nil"/>
              <w:right w:val="single" w:sz="4" w:space="0" w:color="auto"/>
            </w:tcBorders>
            <w:shd w:val="clear" w:color="auto" w:fill="auto"/>
            <w:noWrap/>
            <w:vAlign w:val="center"/>
            <w:hideMark/>
          </w:tcPr>
          <w:p w14:paraId="537AF981" w14:textId="77777777" w:rsidR="00E73C9B" w:rsidRPr="00E73C9B" w:rsidRDefault="00E73C9B" w:rsidP="00616CA4">
            <w:pPr>
              <w:jc w:val="right"/>
              <w:rPr>
                <w:lang w:val="en-GB" w:eastAsia="en-GB"/>
              </w:rPr>
            </w:pPr>
            <w:r w:rsidRPr="00E73C9B">
              <w:rPr>
                <w:lang w:val="en-GB" w:eastAsia="en-GB"/>
              </w:rPr>
              <w:t>(0)</w:t>
            </w:r>
          </w:p>
        </w:tc>
      </w:tr>
      <w:tr w:rsidR="00E73C9B" w:rsidRPr="00E73C9B" w14:paraId="150A49A0" w14:textId="77777777" w:rsidTr="00E73C9B">
        <w:trPr>
          <w:trHeight w:val="300"/>
          <w:jc w:val="center"/>
        </w:trPr>
        <w:tc>
          <w:tcPr>
            <w:tcW w:w="3914" w:type="dxa"/>
            <w:tcBorders>
              <w:top w:val="nil"/>
              <w:left w:val="single" w:sz="4" w:space="0" w:color="auto"/>
              <w:bottom w:val="nil"/>
              <w:right w:val="single" w:sz="4" w:space="0" w:color="auto"/>
            </w:tcBorders>
            <w:shd w:val="clear" w:color="auto" w:fill="auto"/>
            <w:noWrap/>
            <w:vAlign w:val="center"/>
            <w:hideMark/>
          </w:tcPr>
          <w:p w14:paraId="5AA16FF5" w14:textId="77777777" w:rsidR="00E73C9B" w:rsidRPr="00E73C9B" w:rsidRDefault="00E73C9B" w:rsidP="00616CA4">
            <w:pPr>
              <w:rPr>
                <w:lang w:val="en-GB" w:eastAsia="en-GB"/>
              </w:rPr>
            </w:pPr>
            <w:r w:rsidRPr="00E73C9B">
              <w:rPr>
                <w:lang w:val="en-GB" w:eastAsia="en-GB"/>
              </w:rPr>
              <w:t>Supplies &amp; Services</w:t>
            </w:r>
          </w:p>
        </w:tc>
        <w:tc>
          <w:tcPr>
            <w:tcW w:w="1000" w:type="dxa"/>
            <w:tcBorders>
              <w:top w:val="nil"/>
              <w:left w:val="single" w:sz="4" w:space="0" w:color="auto"/>
              <w:bottom w:val="nil"/>
              <w:right w:val="single" w:sz="4" w:space="0" w:color="auto"/>
            </w:tcBorders>
            <w:shd w:val="clear" w:color="auto" w:fill="auto"/>
            <w:noWrap/>
            <w:vAlign w:val="center"/>
            <w:hideMark/>
          </w:tcPr>
          <w:p w14:paraId="7E50E1E4" w14:textId="77777777" w:rsidR="00E73C9B" w:rsidRPr="00E73C9B" w:rsidRDefault="00E73C9B" w:rsidP="00616CA4">
            <w:pPr>
              <w:jc w:val="right"/>
              <w:rPr>
                <w:lang w:val="en-GB" w:eastAsia="en-GB"/>
              </w:rPr>
            </w:pPr>
            <w:r w:rsidRPr="00E73C9B">
              <w:rPr>
                <w:lang w:val="en-GB" w:eastAsia="en-GB"/>
              </w:rPr>
              <w:t>31</w:t>
            </w:r>
          </w:p>
        </w:tc>
        <w:tc>
          <w:tcPr>
            <w:tcW w:w="1000" w:type="dxa"/>
            <w:tcBorders>
              <w:top w:val="nil"/>
              <w:left w:val="single" w:sz="4" w:space="0" w:color="auto"/>
              <w:bottom w:val="nil"/>
              <w:right w:val="single" w:sz="4" w:space="0" w:color="auto"/>
            </w:tcBorders>
            <w:shd w:val="clear" w:color="auto" w:fill="auto"/>
            <w:noWrap/>
            <w:vAlign w:val="center"/>
            <w:hideMark/>
          </w:tcPr>
          <w:p w14:paraId="7FF6EA80" w14:textId="77777777" w:rsidR="00E73C9B" w:rsidRPr="00E73C9B" w:rsidRDefault="00E73C9B" w:rsidP="00616CA4">
            <w:pPr>
              <w:jc w:val="right"/>
              <w:rPr>
                <w:lang w:val="en-GB" w:eastAsia="en-GB"/>
              </w:rPr>
            </w:pPr>
            <w:r w:rsidRPr="00E73C9B">
              <w:rPr>
                <w:lang w:val="en-GB" w:eastAsia="en-GB"/>
              </w:rPr>
              <w:t>32</w:t>
            </w:r>
          </w:p>
        </w:tc>
        <w:tc>
          <w:tcPr>
            <w:tcW w:w="1000" w:type="dxa"/>
            <w:tcBorders>
              <w:top w:val="nil"/>
              <w:left w:val="single" w:sz="4" w:space="0" w:color="auto"/>
              <w:bottom w:val="nil"/>
              <w:right w:val="single" w:sz="4" w:space="0" w:color="auto"/>
            </w:tcBorders>
            <w:shd w:val="clear" w:color="auto" w:fill="auto"/>
            <w:noWrap/>
            <w:vAlign w:val="center"/>
            <w:hideMark/>
          </w:tcPr>
          <w:p w14:paraId="3E8F2850" w14:textId="77777777" w:rsidR="00E73C9B" w:rsidRPr="00E73C9B" w:rsidRDefault="00E73C9B" w:rsidP="00616CA4">
            <w:pPr>
              <w:jc w:val="right"/>
              <w:rPr>
                <w:lang w:val="en-GB" w:eastAsia="en-GB"/>
              </w:rPr>
            </w:pPr>
            <w:r w:rsidRPr="00E73C9B">
              <w:rPr>
                <w:lang w:val="en-GB" w:eastAsia="en-GB"/>
              </w:rPr>
              <w:t>(1)</w:t>
            </w:r>
          </w:p>
        </w:tc>
      </w:tr>
      <w:tr w:rsidR="00E73C9B" w:rsidRPr="00E73C9B" w14:paraId="4C373B6E" w14:textId="77777777" w:rsidTr="00E73C9B">
        <w:trPr>
          <w:trHeight w:val="300"/>
          <w:jc w:val="center"/>
        </w:trPr>
        <w:tc>
          <w:tcPr>
            <w:tcW w:w="3914" w:type="dxa"/>
            <w:tcBorders>
              <w:top w:val="nil"/>
              <w:left w:val="single" w:sz="4" w:space="0" w:color="auto"/>
              <w:bottom w:val="nil"/>
              <w:right w:val="single" w:sz="4" w:space="0" w:color="auto"/>
            </w:tcBorders>
            <w:shd w:val="clear" w:color="auto" w:fill="auto"/>
            <w:noWrap/>
            <w:vAlign w:val="center"/>
            <w:hideMark/>
          </w:tcPr>
          <w:p w14:paraId="46B73A51" w14:textId="77777777" w:rsidR="00E73C9B" w:rsidRPr="00E73C9B" w:rsidRDefault="00E73C9B" w:rsidP="00616CA4">
            <w:pPr>
              <w:rPr>
                <w:lang w:val="en-GB" w:eastAsia="en-GB"/>
              </w:rPr>
            </w:pPr>
            <w:r w:rsidRPr="00E73C9B">
              <w:rPr>
                <w:lang w:val="en-GB" w:eastAsia="en-GB"/>
              </w:rPr>
              <w:t xml:space="preserve">Financing </w:t>
            </w:r>
          </w:p>
        </w:tc>
        <w:tc>
          <w:tcPr>
            <w:tcW w:w="1000" w:type="dxa"/>
            <w:tcBorders>
              <w:top w:val="nil"/>
              <w:left w:val="single" w:sz="4" w:space="0" w:color="auto"/>
              <w:bottom w:val="nil"/>
              <w:right w:val="single" w:sz="4" w:space="0" w:color="auto"/>
            </w:tcBorders>
            <w:shd w:val="clear" w:color="auto" w:fill="auto"/>
            <w:noWrap/>
            <w:vAlign w:val="center"/>
            <w:hideMark/>
          </w:tcPr>
          <w:p w14:paraId="7E45224B" w14:textId="77777777" w:rsidR="00E73C9B" w:rsidRPr="00E73C9B" w:rsidRDefault="00E73C9B" w:rsidP="00616CA4">
            <w:pPr>
              <w:jc w:val="right"/>
              <w:rPr>
                <w:lang w:val="en-GB" w:eastAsia="en-GB"/>
              </w:rPr>
            </w:pPr>
            <w:r w:rsidRPr="00E73C9B">
              <w:rPr>
                <w:lang w:val="en-GB" w:eastAsia="en-GB"/>
              </w:rPr>
              <w:t>10</w:t>
            </w:r>
          </w:p>
        </w:tc>
        <w:tc>
          <w:tcPr>
            <w:tcW w:w="1000" w:type="dxa"/>
            <w:tcBorders>
              <w:top w:val="nil"/>
              <w:left w:val="single" w:sz="4" w:space="0" w:color="auto"/>
              <w:bottom w:val="nil"/>
              <w:right w:val="single" w:sz="4" w:space="0" w:color="auto"/>
            </w:tcBorders>
            <w:shd w:val="clear" w:color="auto" w:fill="auto"/>
            <w:noWrap/>
            <w:vAlign w:val="center"/>
            <w:hideMark/>
          </w:tcPr>
          <w:p w14:paraId="3D419487" w14:textId="77777777" w:rsidR="00E73C9B" w:rsidRPr="00E73C9B" w:rsidRDefault="00E73C9B" w:rsidP="00616CA4">
            <w:pPr>
              <w:jc w:val="right"/>
              <w:rPr>
                <w:lang w:val="en-GB" w:eastAsia="en-GB"/>
              </w:rPr>
            </w:pPr>
            <w:r w:rsidRPr="00E73C9B">
              <w:rPr>
                <w:lang w:val="en-GB" w:eastAsia="en-GB"/>
              </w:rPr>
              <w:t>6</w:t>
            </w:r>
          </w:p>
        </w:tc>
        <w:tc>
          <w:tcPr>
            <w:tcW w:w="1000" w:type="dxa"/>
            <w:tcBorders>
              <w:top w:val="nil"/>
              <w:left w:val="single" w:sz="4" w:space="0" w:color="auto"/>
              <w:bottom w:val="nil"/>
              <w:right w:val="single" w:sz="4" w:space="0" w:color="auto"/>
            </w:tcBorders>
            <w:shd w:val="clear" w:color="auto" w:fill="auto"/>
            <w:noWrap/>
            <w:vAlign w:val="center"/>
            <w:hideMark/>
          </w:tcPr>
          <w:p w14:paraId="17EBCD7F" w14:textId="77777777" w:rsidR="00E73C9B" w:rsidRPr="00E73C9B" w:rsidRDefault="00E73C9B" w:rsidP="00616CA4">
            <w:pPr>
              <w:jc w:val="right"/>
              <w:rPr>
                <w:lang w:val="en-GB" w:eastAsia="en-GB"/>
              </w:rPr>
            </w:pPr>
            <w:r w:rsidRPr="00E73C9B">
              <w:rPr>
                <w:lang w:val="en-GB" w:eastAsia="en-GB"/>
              </w:rPr>
              <w:t>4</w:t>
            </w:r>
          </w:p>
        </w:tc>
      </w:tr>
      <w:tr w:rsidR="00E73C9B" w:rsidRPr="00E73C9B" w14:paraId="532D9EB5" w14:textId="77777777" w:rsidTr="00E73C9B">
        <w:trPr>
          <w:trHeight w:val="300"/>
          <w:jc w:val="center"/>
        </w:trPr>
        <w:tc>
          <w:tcPr>
            <w:tcW w:w="3914" w:type="dxa"/>
            <w:tcBorders>
              <w:top w:val="nil"/>
              <w:left w:val="single" w:sz="4" w:space="0" w:color="auto"/>
              <w:bottom w:val="nil"/>
              <w:right w:val="single" w:sz="4" w:space="0" w:color="auto"/>
            </w:tcBorders>
            <w:shd w:val="clear" w:color="auto" w:fill="auto"/>
            <w:noWrap/>
            <w:vAlign w:val="center"/>
            <w:hideMark/>
          </w:tcPr>
          <w:p w14:paraId="7DEFD0EF" w14:textId="77777777" w:rsidR="00E73C9B" w:rsidRPr="00E73C9B" w:rsidRDefault="00E73C9B" w:rsidP="00616CA4">
            <w:pPr>
              <w:rPr>
                <w:lang w:val="en-GB" w:eastAsia="en-GB"/>
              </w:rPr>
            </w:pPr>
            <w:r w:rsidRPr="00E73C9B">
              <w:rPr>
                <w:lang w:val="en-GB" w:eastAsia="en-GB"/>
              </w:rPr>
              <w:t>Grants &amp; Income</w:t>
            </w:r>
          </w:p>
        </w:tc>
        <w:tc>
          <w:tcPr>
            <w:tcW w:w="1000" w:type="dxa"/>
            <w:tcBorders>
              <w:top w:val="nil"/>
              <w:left w:val="single" w:sz="4" w:space="0" w:color="auto"/>
              <w:bottom w:val="nil"/>
              <w:right w:val="single" w:sz="4" w:space="0" w:color="auto"/>
            </w:tcBorders>
            <w:shd w:val="clear" w:color="auto" w:fill="auto"/>
            <w:noWrap/>
            <w:vAlign w:val="center"/>
            <w:hideMark/>
          </w:tcPr>
          <w:p w14:paraId="742F6931" w14:textId="77777777" w:rsidR="00E73C9B" w:rsidRPr="00E73C9B" w:rsidRDefault="00E73C9B" w:rsidP="00616CA4">
            <w:pPr>
              <w:jc w:val="right"/>
              <w:rPr>
                <w:lang w:val="en-GB" w:eastAsia="en-GB"/>
              </w:rPr>
            </w:pPr>
            <w:r w:rsidRPr="00E73C9B">
              <w:rPr>
                <w:lang w:val="en-GB" w:eastAsia="en-GB"/>
              </w:rPr>
              <w:t>(18)</w:t>
            </w:r>
          </w:p>
        </w:tc>
        <w:tc>
          <w:tcPr>
            <w:tcW w:w="1000" w:type="dxa"/>
            <w:tcBorders>
              <w:top w:val="nil"/>
              <w:left w:val="single" w:sz="4" w:space="0" w:color="auto"/>
              <w:bottom w:val="nil"/>
              <w:right w:val="single" w:sz="4" w:space="0" w:color="auto"/>
            </w:tcBorders>
            <w:shd w:val="clear" w:color="auto" w:fill="auto"/>
            <w:noWrap/>
            <w:vAlign w:val="center"/>
            <w:hideMark/>
          </w:tcPr>
          <w:p w14:paraId="59E36D1E" w14:textId="77777777" w:rsidR="00E73C9B" w:rsidRPr="00E73C9B" w:rsidRDefault="00E73C9B" w:rsidP="00616CA4">
            <w:pPr>
              <w:jc w:val="right"/>
              <w:rPr>
                <w:lang w:val="en-GB" w:eastAsia="en-GB"/>
              </w:rPr>
            </w:pPr>
            <w:r w:rsidRPr="00E73C9B">
              <w:rPr>
                <w:lang w:val="en-GB" w:eastAsia="en-GB"/>
              </w:rPr>
              <w:t>(13)</w:t>
            </w:r>
          </w:p>
        </w:tc>
        <w:tc>
          <w:tcPr>
            <w:tcW w:w="1000" w:type="dxa"/>
            <w:tcBorders>
              <w:top w:val="nil"/>
              <w:left w:val="single" w:sz="4" w:space="0" w:color="auto"/>
              <w:bottom w:val="nil"/>
              <w:right w:val="single" w:sz="4" w:space="0" w:color="auto"/>
            </w:tcBorders>
            <w:shd w:val="clear" w:color="auto" w:fill="auto"/>
            <w:noWrap/>
            <w:vAlign w:val="center"/>
            <w:hideMark/>
          </w:tcPr>
          <w:p w14:paraId="04DDFC88" w14:textId="77777777" w:rsidR="00E73C9B" w:rsidRPr="00E73C9B" w:rsidRDefault="00E73C9B" w:rsidP="00616CA4">
            <w:pPr>
              <w:jc w:val="right"/>
              <w:rPr>
                <w:lang w:val="en-GB" w:eastAsia="en-GB"/>
              </w:rPr>
            </w:pPr>
            <w:r w:rsidRPr="00E73C9B">
              <w:rPr>
                <w:lang w:val="en-GB" w:eastAsia="en-GB"/>
              </w:rPr>
              <w:t>(5)</w:t>
            </w:r>
          </w:p>
        </w:tc>
      </w:tr>
      <w:tr w:rsidR="00E73C9B" w:rsidRPr="00E73C9B" w14:paraId="68C64A18" w14:textId="77777777" w:rsidTr="00E73C9B">
        <w:trPr>
          <w:trHeight w:val="300"/>
          <w:jc w:val="center"/>
        </w:trPr>
        <w:tc>
          <w:tcPr>
            <w:tcW w:w="3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E7387" w14:textId="77777777" w:rsidR="00E73C9B" w:rsidRPr="00E73C9B" w:rsidRDefault="00E73C9B" w:rsidP="00E73C9B">
            <w:pPr>
              <w:rPr>
                <w:rFonts w:ascii="Calibri" w:eastAsia="Times New Roman" w:hAnsi="Calibri" w:cs="Times New Roman"/>
                <w:b/>
                <w:bCs/>
                <w:color w:val="000000"/>
                <w:sz w:val="22"/>
                <w:szCs w:val="22"/>
                <w:lang w:val="en-GB" w:eastAsia="en-GB"/>
              </w:rPr>
            </w:pPr>
            <w:r w:rsidRPr="00E73C9B">
              <w:rPr>
                <w:rFonts w:ascii="Calibri" w:eastAsia="Times New Roman" w:hAnsi="Calibri" w:cs="Times New Roman"/>
                <w:b/>
                <w:bCs/>
                <w:color w:val="000000"/>
                <w:sz w:val="22"/>
                <w:szCs w:val="22"/>
                <w:lang w:val="en-GB" w:eastAsia="en-GB"/>
              </w:rPr>
              <w:t>TOTAL</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2B97D" w14:textId="77777777" w:rsidR="00E73C9B" w:rsidRPr="00E73C9B" w:rsidRDefault="00E73C9B" w:rsidP="00616CA4">
            <w:pPr>
              <w:jc w:val="right"/>
              <w:rPr>
                <w:b/>
                <w:bCs/>
                <w:lang w:val="en-GB" w:eastAsia="en-GB"/>
              </w:rPr>
            </w:pPr>
            <w:r w:rsidRPr="00E73C9B">
              <w:rPr>
                <w:b/>
                <w:bCs/>
                <w:lang w:val="en-GB" w:eastAsia="en-GB"/>
              </w:rPr>
              <w:t>246</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2DA22" w14:textId="77777777" w:rsidR="00E73C9B" w:rsidRPr="00E73C9B" w:rsidRDefault="00E73C9B" w:rsidP="00616CA4">
            <w:pPr>
              <w:jc w:val="right"/>
              <w:rPr>
                <w:b/>
                <w:bCs/>
                <w:lang w:val="en-GB" w:eastAsia="en-GB"/>
              </w:rPr>
            </w:pPr>
            <w:r w:rsidRPr="00E73C9B">
              <w:rPr>
                <w:b/>
                <w:bCs/>
                <w:lang w:val="en-GB" w:eastAsia="en-GB"/>
              </w:rPr>
              <w:t>248</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72F81" w14:textId="77777777" w:rsidR="00E73C9B" w:rsidRPr="00E73C9B" w:rsidRDefault="00E73C9B" w:rsidP="00616CA4">
            <w:pPr>
              <w:jc w:val="right"/>
              <w:rPr>
                <w:b/>
                <w:bCs/>
                <w:lang w:val="en-GB" w:eastAsia="en-GB"/>
              </w:rPr>
            </w:pPr>
            <w:r w:rsidRPr="00E73C9B">
              <w:rPr>
                <w:b/>
                <w:bCs/>
                <w:lang w:val="en-GB" w:eastAsia="en-GB"/>
              </w:rPr>
              <w:t>(2)</w:t>
            </w:r>
          </w:p>
        </w:tc>
      </w:tr>
    </w:tbl>
    <w:p w14:paraId="6D57C506" w14:textId="77777777" w:rsidR="00616CA4" w:rsidRDefault="00616CA4" w:rsidP="00E73C9B">
      <w:pPr>
        <w:pStyle w:val="Normal0"/>
        <w:jc w:val="center"/>
        <w:rPr>
          <w:rFonts w:ascii="Verdana" w:eastAsia="Times New Roman" w:hAnsi="Verdana" w:cs="Arial"/>
          <w:sz w:val="22"/>
          <w:szCs w:val="22"/>
          <w:highlight w:val="yellow"/>
          <w:lang w:val="en-GB" w:eastAsia="en-GB"/>
        </w:rPr>
      </w:pPr>
    </w:p>
    <w:p w14:paraId="291CB700" w14:textId="77777777" w:rsidR="00E73C9B" w:rsidRDefault="00E73C9B" w:rsidP="00E73C9B">
      <w:pPr>
        <w:pStyle w:val="Normal0"/>
        <w:jc w:val="center"/>
        <w:rPr>
          <w:rFonts w:ascii="Verdana" w:eastAsia="Times New Roman" w:hAnsi="Verdana" w:cs="Arial"/>
          <w:sz w:val="22"/>
          <w:szCs w:val="22"/>
          <w:highlight w:val="yellow"/>
          <w:lang w:val="en-GB" w:eastAsia="en-GB"/>
        </w:rPr>
      </w:pPr>
    </w:p>
    <w:p w14:paraId="015D1DE3" w14:textId="77777777" w:rsidR="00E73C9B" w:rsidRDefault="00E73C9B" w:rsidP="00E73C9B">
      <w:pPr>
        <w:pStyle w:val="Normal0"/>
        <w:jc w:val="center"/>
        <w:rPr>
          <w:rFonts w:ascii="Verdana" w:eastAsia="Times New Roman" w:hAnsi="Verdana" w:cs="Arial"/>
          <w:sz w:val="22"/>
          <w:szCs w:val="22"/>
          <w:highlight w:val="yellow"/>
          <w:lang w:val="en-GB" w:eastAsia="en-GB"/>
        </w:rPr>
        <w:sectPr w:rsidR="00E73C9B" w:rsidSect="00B54A0C">
          <w:type w:val="continuous"/>
          <w:pgSz w:w="16840" w:h="11900" w:orient="landscape"/>
          <w:pgMar w:top="709" w:right="720" w:bottom="567" w:left="720" w:header="708" w:footer="708" w:gutter="0"/>
          <w:cols w:num="2" w:space="708"/>
          <w:docGrid w:linePitch="360"/>
        </w:sectPr>
      </w:pPr>
    </w:p>
    <w:p w14:paraId="4DA54661" w14:textId="32F5236F" w:rsidR="00E73C9B" w:rsidRPr="00DC1077" w:rsidRDefault="00E73C9B" w:rsidP="00E73C9B">
      <w:pPr>
        <w:pStyle w:val="Normal0"/>
        <w:jc w:val="center"/>
        <w:rPr>
          <w:rFonts w:ascii="Verdana" w:eastAsia="Times New Roman" w:hAnsi="Verdana" w:cs="Arial"/>
          <w:sz w:val="22"/>
          <w:szCs w:val="22"/>
          <w:highlight w:val="yellow"/>
          <w:lang w:val="en-GB" w:eastAsia="en-GB"/>
        </w:rPr>
      </w:pPr>
    </w:p>
    <w:p w14:paraId="77DEC53E" w14:textId="5197CFD0" w:rsidR="005A35AA" w:rsidRPr="005A35AA" w:rsidRDefault="005A35AA" w:rsidP="005A35AA">
      <w:pPr>
        <w:jc w:val="both"/>
        <w:rPr>
          <w:rFonts w:ascii="Verdana" w:hAnsi="Verdana" w:cs="Arial"/>
          <w:sz w:val="22"/>
          <w:szCs w:val="22"/>
        </w:rPr>
      </w:pPr>
      <w:r w:rsidRPr="00DC720D">
        <w:rPr>
          <w:rFonts w:ascii="Verdana" w:hAnsi="Verdana" w:cs="Arial"/>
          <w:sz w:val="22"/>
          <w:szCs w:val="22"/>
        </w:rPr>
        <w:t xml:space="preserve">The operational response to the COVID 19 pandemic resulted in additional unplanned costs </w:t>
      </w:r>
      <w:r>
        <w:rPr>
          <w:rFonts w:ascii="Verdana" w:hAnsi="Verdana" w:cs="Arial"/>
          <w:sz w:val="22"/>
          <w:szCs w:val="22"/>
        </w:rPr>
        <w:t>for</w:t>
      </w:r>
      <w:r w:rsidRPr="00DC720D">
        <w:rPr>
          <w:rFonts w:ascii="Verdana" w:hAnsi="Verdana" w:cs="Arial"/>
          <w:sz w:val="22"/>
          <w:szCs w:val="22"/>
        </w:rPr>
        <w:t xml:space="preserve"> police officers and staff</w:t>
      </w:r>
      <w:r>
        <w:rPr>
          <w:rFonts w:ascii="Verdana" w:hAnsi="Verdana" w:cs="Arial"/>
          <w:sz w:val="22"/>
          <w:szCs w:val="22"/>
        </w:rPr>
        <w:t xml:space="preserve"> </w:t>
      </w:r>
      <w:r w:rsidRPr="00DC720D">
        <w:rPr>
          <w:rFonts w:ascii="Verdana" w:hAnsi="Verdana" w:cs="Arial"/>
          <w:sz w:val="22"/>
          <w:szCs w:val="22"/>
        </w:rPr>
        <w:t xml:space="preserve">salary costs, employee overtime, premises, lost income and supplies &amp; services, </w:t>
      </w:r>
      <w:r>
        <w:rPr>
          <w:rFonts w:ascii="Verdana" w:hAnsi="Verdana" w:cs="Arial"/>
          <w:sz w:val="22"/>
          <w:szCs w:val="22"/>
        </w:rPr>
        <w:t xml:space="preserve">with </w:t>
      </w:r>
      <w:r w:rsidRPr="00DC720D">
        <w:rPr>
          <w:rFonts w:ascii="Verdana" w:hAnsi="Verdana" w:cs="Arial"/>
          <w:sz w:val="22"/>
          <w:szCs w:val="22"/>
        </w:rPr>
        <w:t>the</w:t>
      </w:r>
      <w:r>
        <w:rPr>
          <w:rFonts w:ascii="Verdana" w:hAnsi="Verdana" w:cs="Arial"/>
          <w:sz w:val="22"/>
          <w:szCs w:val="22"/>
        </w:rPr>
        <w:t xml:space="preserve"> </w:t>
      </w:r>
      <w:r w:rsidRPr="00DC720D">
        <w:rPr>
          <w:rFonts w:ascii="Verdana" w:hAnsi="Verdana" w:cs="Arial"/>
          <w:sz w:val="22"/>
          <w:szCs w:val="22"/>
        </w:rPr>
        <w:t>most significant cost for the Personal P</w:t>
      </w:r>
      <w:r>
        <w:rPr>
          <w:rFonts w:ascii="Verdana" w:hAnsi="Verdana" w:cs="Arial"/>
          <w:sz w:val="22"/>
          <w:szCs w:val="22"/>
        </w:rPr>
        <w:t xml:space="preserve">rotective Equipment (PPE). </w:t>
      </w:r>
      <w:r w:rsidRPr="00DC720D">
        <w:rPr>
          <w:rFonts w:ascii="Verdana" w:hAnsi="Verdana" w:cs="Arial"/>
          <w:sz w:val="22"/>
          <w:szCs w:val="22"/>
        </w:rPr>
        <w:t>Forces recover</w:t>
      </w:r>
      <w:r>
        <w:rPr>
          <w:rFonts w:ascii="Verdana" w:hAnsi="Verdana" w:cs="Arial"/>
          <w:sz w:val="22"/>
          <w:szCs w:val="22"/>
        </w:rPr>
        <w:t>ed</w:t>
      </w:r>
      <w:r w:rsidRPr="00DC720D">
        <w:rPr>
          <w:rFonts w:ascii="Verdana" w:hAnsi="Verdana" w:cs="Arial"/>
          <w:sz w:val="22"/>
          <w:szCs w:val="22"/>
        </w:rPr>
        <w:t xml:space="preserve"> the costs of PPE, lost income and additional Covid relief</w:t>
      </w:r>
      <w:r>
        <w:rPr>
          <w:rFonts w:ascii="Verdana" w:hAnsi="Verdana" w:cs="Arial"/>
          <w:sz w:val="22"/>
          <w:szCs w:val="22"/>
        </w:rPr>
        <w:t xml:space="preserve"> from Home Office grants</w:t>
      </w:r>
      <w:r w:rsidRPr="00DC720D">
        <w:rPr>
          <w:rFonts w:ascii="Verdana" w:hAnsi="Verdana" w:cs="Arial"/>
          <w:sz w:val="22"/>
          <w:szCs w:val="22"/>
        </w:rPr>
        <w:t>, which amounted to £4.2m for Surrey. The Home Office also awarded Surrey £</w:t>
      </w:r>
      <w:r>
        <w:rPr>
          <w:rFonts w:ascii="Verdana" w:hAnsi="Verdana" w:cs="Arial"/>
          <w:sz w:val="22"/>
          <w:szCs w:val="22"/>
        </w:rPr>
        <w:t>0.4m</w:t>
      </w:r>
      <w:r w:rsidRPr="00DC720D">
        <w:rPr>
          <w:rFonts w:ascii="Verdana" w:hAnsi="Verdana" w:cs="Arial"/>
          <w:sz w:val="22"/>
          <w:szCs w:val="22"/>
        </w:rPr>
        <w:t xml:space="preserve"> from the £30m Covid Surge Fund allocated to police forces</w:t>
      </w:r>
      <w:r>
        <w:rPr>
          <w:rFonts w:ascii="Verdana" w:hAnsi="Verdana" w:cs="Arial"/>
          <w:sz w:val="22"/>
          <w:szCs w:val="22"/>
        </w:rPr>
        <w:t>, with a further £0.8m being awarded from an additional £58m for policing towards the end of the year</w:t>
      </w:r>
      <w:r w:rsidRPr="00DC720D">
        <w:rPr>
          <w:rFonts w:ascii="Verdana" w:hAnsi="Verdana" w:cs="Arial"/>
          <w:sz w:val="22"/>
          <w:szCs w:val="22"/>
        </w:rPr>
        <w:t>.</w:t>
      </w:r>
      <w:r>
        <w:rPr>
          <w:rFonts w:ascii="Verdana" w:hAnsi="Verdana" w:cs="Arial"/>
          <w:sz w:val="22"/>
          <w:szCs w:val="22"/>
        </w:rPr>
        <w:t xml:space="preserve"> The force mitigated remaining additional costs with savings across the force, including savings in training and staff travel where costs were lower than expected due to the ongoing pandemic.</w:t>
      </w:r>
    </w:p>
    <w:p w14:paraId="1B31A881" w14:textId="77777777" w:rsidR="005A35AA" w:rsidRDefault="005A35AA" w:rsidP="006E4155">
      <w:pPr>
        <w:jc w:val="both"/>
        <w:rPr>
          <w:rFonts w:ascii="Verdana" w:hAnsi="Verdana" w:cs="Arial"/>
          <w:sz w:val="22"/>
          <w:szCs w:val="22"/>
        </w:rPr>
      </w:pPr>
    </w:p>
    <w:p w14:paraId="3CC8924C" w14:textId="45453169" w:rsidR="005A35AA" w:rsidRDefault="005A35AA" w:rsidP="006E4155">
      <w:pPr>
        <w:jc w:val="both"/>
        <w:rPr>
          <w:rFonts w:ascii="Verdana" w:hAnsi="Verdana" w:cs="Arial"/>
          <w:sz w:val="22"/>
          <w:szCs w:val="22"/>
        </w:rPr>
      </w:pPr>
      <w:r>
        <w:rPr>
          <w:rFonts w:ascii="Verdana" w:hAnsi="Verdana" w:cs="Arial"/>
          <w:sz w:val="22"/>
          <w:szCs w:val="22"/>
        </w:rPr>
        <w:t>Total costs for the response to the Covid-19 pandemic are summarised in the following table:</w:t>
      </w:r>
    </w:p>
    <w:p w14:paraId="7DDA5A56" w14:textId="77777777" w:rsidR="005A35AA" w:rsidRDefault="005A35AA" w:rsidP="006E4155">
      <w:pPr>
        <w:jc w:val="both"/>
        <w:rPr>
          <w:rFonts w:ascii="Verdana" w:hAnsi="Verdana" w:cs="Arial"/>
          <w:sz w:val="22"/>
          <w:szCs w:val="22"/>
        </w:rPr>
      </w:pPr>
    </w:p>
    <w:tbl>
      <w:tblPr>
        <w:tblW w:w="3600" w:type="dxa"/>
        <w:jc w:val="center"/>
        <w:tblLook w:val="04A0" w:firstRow="1" w:lastRow="0" w:firstColumn="1" w:lastColumn="0" w:noHBand="0" w:noVBand="1"/>
      </w:tblPr>
      <w:tblGrid>
        <w:gridCol w:w="1940"/>
        <w:gridCol w:w="1660"/>
      </w:tblGrid>
      <w:tr w:rsidR="005A35AA" w:rsidRPr="005A35AA" w14:paraId="5CEAA56B" w14:textId="77777777" w:rsidTr="005A35AA">
        <w:trPr>
          <w:trHeight w:val="765"/>
          <w:jc w:val="center"/>
        </w:trPr>
        <w:tc>
          <w:tcPr>
            <w:tcW w:w="1940" w:type="dxa"/>
            <w:tcBorders>
              <w:top w:val="single" w:sz="4" w:space="0" w:color="auto"/>
              <w:left w:val="single" w:sz="4" w:space="0" w:color="auto"/>
              <w:bottom w:val="single" w:sz="4" w:space="0" w:color="auto"/>
              <w:right w:val="nil"/>
            </w:tcBorders>
            <w:shd w:val="clear" w:color="auto" w:fill="auto"/>
            <w:vAlign w:val="center"/>
            <w:hideMark/>
          </w:tcPr>
          <w:p w14:paraId="28120987" w14:textId="77777777" w:rsidR="005A35AA" w:rsidRPr="005A35AA" w:rsidRDefault="005A35AA" w:rsidP="005A35AA">
            <w:pPr>
              <w:jc w:val="center"/>
              <w:rPr>
                <w:rFonts w:ascii="Verdana" w:eastAsia="Times New Roman" w:hAnsi="Verdana" w:cs="Times New Roman"/>
                <w:b/>
                <w:bCs/>
                <w:color w:val="000000"/>
                <w:sz w:val="20"/>
                <w:szCs w:val="20"/>
                <w:lang w:val="en-GB" w:eastAsia="en-GB"/>
              </w:rPr>
            </w:pPr>
            <w:r w:rsidRPr="005A35AA">
              <w:rPr>
                <w:rFonts w:ascii="Verdana" w:eastAsia="Times New Roman" w:hAnsi="Verdana" w:cs="Times New Roman"/>
                <w:b/>
                <w:bCs/>
                <w:color w:val="000000"/>
                <w:sz w:val="20"/>
                <w:szCs w:val="20"/>
                <w:lang w:val="en-GB" w:eastAsia="en-GB"/>
              </w:rPr>
              <w:t>Expenditure &amp; Income</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7045982" w14:textId="63596A5D" w:rsidR="005A35AA" w:rsidRPr="005A35AA" w:rsidRDefault="005A35AA" w:rsidP="005A35AA">
            <w:pPr>
              <w:jc w:val="center"/>
              <w:rPr>
                <w:rFonts w:ascii="Verdana" w:eastAsia="Times New Roman" w:hAnsi="Verdana" w:cs="Times New Roman"/>
                <w:b/>
                <w:bCs/>
                <w:color w:val="000000"/>
                <w:sz w:val="20"/>
                <w:szCs w:val="20"/>
                <w:lang w:val="en-GB" w:eastAsia="en-GB"/>
              </w:rPr>
            </w:pPr>
            <w:r w:rsidRPr="005A35AA">
              <w:rPr>
                <w:rFonts w:ascii="Verdana" w:eastAsia="Times New Roman" w:hAnsi="Verdana" w:cs="Times New Roman"/>
                <w:b/>
                <w:bCs/>
                <w:color w:val="000000"/>
                <w:sz w:val="20"/>
                <w:szCs w:val="20"/>
                <w:lang w:val="en-GB" w:eastAsia="en-GB"/>
              </w:rPr>
              <w:t>Covid-19 Costs</w:t>
            </w:r>
            <w:r w:rsidRPr="005A35AA">
              <w:rPr>
                <w:rFonts w:ascii="Verdana" w:eastAsia="Times New Roman" w:hAnsi="Verdana" w:cs="Times New Roman"/>
                <w:b/>
                <w:bCs/>
                <w:color w:val="000000"/>
                <w:sz w:val="20"/>
                <w:szCs w:val="20"/>
                <w:lang w:val="en-GB" w:eastAsia="en-GB"/>
              </w:rPr>
              <w:br/>
              <w:t>£</w:t>
            </w:r>
            <w:r w:rsidR="00B30C50">
              <w:rPr>
                <w:rFonts w:ascii="Verdana" w:eastAsia="Times New Roman" w:hAnsi="Verdana" w:cs="Times New Roman"/>
                <w:b/>
                <w:bCs/>
                <w:color w:val="000000"/>
                <w:sz w:val="20"/>
                <w:szCs w:val="20"/>
                <w:lang w:val="en-GB" w:eastAsia="en-GB"/>
              </w:rPr>
              <w:t>’000</w:t>
            </w:r>
          </w:p>
        </w:tc>
      </w:tr>
      <w:tr w:rsidR="005A35AA" w:rsidRPr="005A35AA" w14:paraId="2727695D" w14:textId="77777777" w:rsidTr="005A35AA">
        <w:trPr>
          <w:trHeight w:val="255"/>
          <w:jc w:val="center"/>
        </w:trPr>
        <w:tc>
          <w:tcPr>
            <w:tcW w:w="1940" w:type="dxa"/>
            <w:tcBorders>
              <w:top w:val="nil"/>
              <w:left w:val="single" w:sz="4" w:space="0" w:color="auto"/>
              <w:bottom w:val="nil"/>
              <w:right w:val="nil"/>
            </w:tcBorders>
            <w:shd w:val="clear" w:color="auto" w:fill="auto"/>
            <w:noWrap/>
            <w:vAlign w:val="center"/>
            <w:hideMark/>
          </w:tcPr>
          <w:p w14:paraId="30D8E7DE" w14:textId="77777777" w:rsidR="005A35AA" w:rsidRPr="005A35AA" w:rsidRDefault="005A35AA" w:rsidP="005A35AA">
            <w:pPr>
              <w:rPr>
                <w:rFonts w:ascii="Verdana" w:eastAsia="Times New Roman" w:hAnsi="Verdana" w:cs="Times New Roman"/>
                <w:color w:val="000000"/>
                <w:sz w:val="20"/>
                <w:szCs w:val="20"/>
                <w:lang w:val="en-GB" w:eastAsia="en-GB"/>
              </w:rPr>
            </w:pPr>
            <w:r w:rsidRPr="005A35AA">
              <w:rPr>
                <w:rFonts w:ascii="Verdana" w:eastAsia="Times New Roman" w:hAnsi="Verdana" w:cs="Times New Roman"/>
                <w:color w:val="000000"/>
                <w:sz w:val="20"/>
                <w:szCs w:val="20"/>
                <w:lang w:val="en-GB" w:eastAsia="en-GB"/>
              </w:rPr>
              <w:t>National PPE</w:t>
            </w:r>
          </w:p>
        </w:tc>
        <w:tc>
          <w:tcPr>
            <w:tcW w:w="1660" w:type="dxa"/>
            <w:tcBorders>
              <w:top w:val="nil"/>
              <w:left w:val="nil"/>
              <w:bottom w:val="nil"/>
              <w:right w:val="single" w:sz="4" w:space="0" w:color="auto"/>
            </w:tcBorders>
            <w:shd w:val="clear" w:color="auto" w:fill="auto"/>
            <w:noWrap/>
            <w:vAlign w:val="center"/>
            <w:hideMark/>
          </w:tcPr>
          <w:p w14:paraId="0C43FC01" w14:textId="77777777" w:rsidR="005A35AA" w:rsidRPr="005A35AA" w:rsidRDefault="005A35AA" w:rsidP="005A35AA">
            <w:pPr>
              <w:jc w:val="right"/>
              <w:rPr>
                <w:rFonts w:ascii="Verdana" w:eastAsia="Times New Roman" w:hAnsi="Verdana" w:cs="Times New Roman"/>
                <w:color w:val="000000"/>
                <w:sz w:val="20"/>
                <w:szCs w:val="20"/>
                <w:lang w:val="en-GB" w:eastAsia="en-GB"/>
              </w:rPr>
            </w:pPr>
            <w:r w:rsidRPr="005A35AA">
              <w:rPr>
                <w:rFonts w:ascii="Verdana" w:eastAsia="Times New Roman" w:hAnsi="Verdana" w:cs="Times New Roman"/>
                <w:color w:val="000000"/>
                <w:sz w:val="20"/>
                <w:szCs w:val="20"/>
                <w:lang w:val="en-GB" w:eastAsia="en-GB"/>
              </w:rPr>
              <w:t>2,275</w:t>
            </w:r>
          </w:p>
        </w:tc>
      </w:tr>
      <w:tr w:rsidR="005A35AA" w:rsidRPr="005A35AA" w14:paraId="00B9EA55" w14:textId="77777777" w:rsidTr="005A35AA">
        <w:trPr>
          <w:trHeight w:val="255"/>
          <w:jc w:val="center"/>
        </w:trPr>
        <w:tc>
          <w:tcPr>
            <w:tcW w:w="1940" w:type="dxa"/>
            <w:tcBorders>
              <w:top w:val="nil"/>
              <w:left w:val="single" w:sz="4" w:space="0" w:color="auto"/>
              <w:bottom w:val="nil"/>
              <w:right w:val="nil"/>
            </w:tcBorders>
            <w:shd w:val="clear" w:color="auto" w:fill="auto"/>
            <w:noWrap/>
            <w:vAlign w:val="center"/>
            <w:hideMark/>
          </w:tcPr>
          <w:p w14:paraId="2E01D4B3" w14:textId="77777777" w:rsidR="005A35AA" w:rsidRPr="005A35AA" w:rsidRDefault="005A35AA" w:rsidP="005A35AA">
            <w:pPr>
              <w:rPr>
                <w:rFonts w:ascii="Verdana" w:eastAsia="Times New Roman" w:hAnsi="Verdana" w:cs="Times New Roman"/>
                <w:color w:val="000000"/>
                <w:sz w:val="20"/>
                <w:szCs w:val="20"/>
                <w:lang w:val="en-GB" w:eastAsia="en-GB"/>
              </w:rPr>
            </w:pPr>
            <w:r w:rsidRPr="005A35AA">
              <w:rPr>
                <w:rFonts w:ascii="Verdana" w:eastAsia="Times New Roman" w:hAnsi="Verdana" w:cs="Times New Roman"/>
                <w:color w:val="000000"/>
                <w:sz w:val="20"/>
                <w:szCs w:val="20"/>
                <w:lang w:val="en-GB" w:eastAsia="en-GB"/>
              </w:rPr>
              <w:t>Local PPE</w:t>
            </w:r>
          </w:p>
        </w:tc>
        <w:tc>
          <w:tcPr>
            <w:tcW w:w="1660" w:type="dxa"/>
            <w:tcBorders>
              <w:top w:val="nil"/>
              <w:left w:val="nil"/>
              <w:bottom w:val="nil"/>
              <w:right w:val="single" w:sz="4" w:space="0" w:color="auto"/>
            </w:tcBorders>
            <w:shd w:val="clear" w:color="auto" w:fill="auto"/>
            <w:noWrap/>
            <w:vAlign w:val="center"/>
            <w:hideMark/>
          </w:tcPr>
          <w:p w14:paraId="1749AE8C" w14:textId="77777777" w:rsidR="005A35AA" w:rsidRPr="005A35AA" w:rsidRDefault="005A35AA" w:rsidP="005A35AA">
            <w:pPr>
              <w:jc w:val="right"/>
              <w:rPr>
                <w:rFonts w:ascii="Verdana" w:eastAsia="Times New Roman" w:hAnsi="Verdana" w:cs="Times New Roman"/>
                <w:color w:val="000000"/>
                <w:sz w:val="20"/>
                <w:szCs w:val="20"/>
                <w:lang w:val="en-GB" w:eastAsia="en-GB"/>
              </w:rPr>
            </w:pPr>
            <w:r w:rsidRPr="005A35AA">
              <w:rPr>
                <w:rFonts w:ascii="Verdana" w:eastAsia="Times New Roman" w:hAnsi="Verdana" w:cs="Times New Roman"/>
                <w:color w:val="000000"/>
                <w:sz w:val="20"/>
                <w:szCs w:val="20"/>
                <w:lang w:val="en-GB" w:eastAsia="en-GB"/>
              </w:rPr>
              <w:t>489</w:t>
            </w:r>
          </w:p>
        </w:tc>
      </w:tr>
      <w:tr w:rsidR="005A35AA" w:rsidRPr="005A35AA" w14:paraId="56ECFD1D" w14:textId="77777777" w:rsidTr="005A35AA">
        <w:trPr>
          <w:trHeight w:val="255"/>
          <w:jc w:val="center"/>
        </w:trPr>
        <w:tc>
          <w:tcPr>
            <w:tcW w:w="1940" w:type="dxa"/>
            <w:tcBorders>
              <w:top w:val="nil"/>
              <w:left w:val="single" w:sz="4" w:space="0" w:color="auto"/>
              <w:bottom w:val="nil"/>
              <w:right w:val="nil"/>
            </w:tcBorders>
            <w:shd w:val="clear" w:color="auto" w:fill="auto"/>
            <w:noWrap/>
            <w:vAlign w:val="center"/>
            <w:hideMark/>
          </w:tcPr>
          <w:p w14:paraId="775F7E91" w14:textId="77777777" w:rsidR="005A35AA" w:rsidRPr="005A35AA" w:rsidRDefault="005A35AA" w:rsidP="005A35AA">
            <w:pPr>
              <w:rPr>
                <w:rFonts w:ascii="Verdana" w:eastAsia="Times New Roman" w:hAnsi="Verdana" w:cs="Times New Roman"/>
                <w:color w:val="000000"/>
                <w:sz w:val="20"/>
                <w:szCs w:val="20"/>
                <w:lang w:val="en-GB" w:eastAsia="en-GB"/>
              </w:rPr>
            </w:pPr>
            <w:r w:rsidRPr="005A35AA">
              <w:rPr>
                <w:rFonts w:ascii="Verdana" w:eastAsia="Times New Roman" w:hAnsi="Verdana" w:cs="Times New Roman"/>
                <w:color w:val="000000"/>
                <w:sz w:val="20"/>
                <w:szCs w:val="20"/>
                <w:lang w:val="en-GB" w:eastAsia="en-GB"/>
              </w:rPr>
              <w:t>Other Local Costs</w:t>
            </w:r>
          </w:p>
        </w:tc>
        <w:tc>
          <w:tcPr>
            <w:tcW w:w="1660" w:type="dxa"/>
            <w:tcBorders>
              <w:top w:val="nil"/>
              <w:left w:val="nil"/>
              <w:bottom w:val="nil"/>
              <w:right w:val="single" w:sz="4" w:space="0" w:color="auto"/>
            </w:tcBorders>
            <w:shd w:val="clear" w:color="auto" w:fill="auto"/>
            <w:noWrap/>
            <w:vAlign w:val="center"/>
            <w:hideMark/>
          </w:tcPr>
          <w:p w14:paraId="258769A7" w14:textId="77777777" w:rsidR="005A35AA" w:rsidRPr="005A35AA" w:rsidRDefault="005A35AA" w:rsidP="005A35AA">
            <w:pPr>
              <w:jc w:val="right"/>
              <w:rPr>
                <w:rFonts w:ascii="Verdana" w:eastAsia="Times New Roman" w:hAnsi="Verdana" w:cs="Times New Roman"/>
                <w:color w:val="000000"/>
                <w:sz w:val="20"/>
                <w:szCs w:val="20"/>
                <w:lang w:val="en-GB" w:eastAsia="en-GB"/>
              </w:rPr>
            </w:pPr>
            <w:r w:rsidRPr="005A35AA">
              <w:rPr>
                <w:rFonts w:ascii="Verdana" w:eastAsia="Times New Roman" w:hAnsi="Verdana" w:cs="Times New Roman"/>
                <w:color w:val="000000"/>
                <w:sz w:val="20"/>
                <w:szCs w:val="20"/>
                <w:lang w:val="en-GB" w:eastAsia="en-GB"/>
              </w:rPr>
              <w:t>3,867</w:t>
            </w:r>
          </w:p>
        </w:tc>
      </w:tr>
      <w:tr w:rsidR="005A35AA" w:rsidRPr="005A35AA" w14:paraId="65DED06D" w14:textId="77777777" w:rsidTr="005A35AA">
        <w:trPr>
          <w:trHeight w:val="255"/>
          <w:jc w:val="center"/>
        </w:trPr>
        <w:tc>
          <w:tcPr>
            <w:tcW w:w="1940" w:type="dxa"/>
            <w:tcBorders>
              <w:top w:val="single" w:sz="4" w:space="0" w:color="auto"/>
              <w:left w:val="single" w:sz="4" w:space="0" w:color="auto"/>
              <w:bottom w:val="single" w:sz="4" w:space="0" w:color="auto"/>
              <w:right w:val="nil"/>
            </w:tcBorders>
            <w:shd w:val="clear" w:color="000000" w:fill="FFFFCC"/>
            <w:noWrap/>
            <w:vAlign w:val="center"/>
            <w:hideMark/>
          </w:tcPr>
          <w:p w14:paraId="5CB72C62" w14:textId="77777777" w:rsidR="005A35AA" w:rsidRPr="005A35AA" w:rsidRDefault="005A35AA" w:rsidP="005A35AA">
            <w:pPr>
              <w:rPr>
                <w:rFonts w:ascii="Verdana" w:eastAsia="Times New Roman" w:hAnsi="Verdana" w:cs="Times New Roman"/>
                <w:b/>
                <w:bCs/>
                <w:color w:val="000000"/>
                <w:sz w:val="20"/>
                <w:szCs w:val="20"/>
                <w:lang w:val="en-GB" w:eastAsia="en-GB"/>
              </w:rPr>
            </w:pPr>
            <w:r w:rsidRPr="005A35AA">
              <w:rPr>
                <w:rFonts w:ascii="Verdana" w:eastAsia="Times New Roman" w:hAnsi="Verdana" w:cs="Times New Roman"/>
                <w:b/>
                <w:bCs/>
                <w:color w:val="000000"/>
                <w:sz w:val="20"/>
                <w:szCs w:val="20"/>
                <w:lang w:val="en-GB" w:eastAsia="en-GB"/>
              </w:rPr>
              <w:t>Total Costs</w:t>
            </w:r>
          </w:p>
        </w:tc>
        <w:tc>
          <w:tcPr>
            <w:tcW w:w="1660" w:type="dxa"/>
            <w:tcBorders>
              <w:top w:val="single" w:sz="4" w:space="0" w:color="auto"/>
              <w:left w:val="nil"/>
              <w:bottom w:val="single" w:sz="4" w:space="0" w:color="auto"/>
              <w:right w:val="single" w:sz="4" w:space="0" w:color="auto"/>
            </w:tcBorders>
            <w:shd w:val="clear" w:color="000000" w:fill="FFFFCC"/>
            <w:noWrap/>
            <w:vAlign w:val="center"/>
            <w:hideMark/>
          </w:tcPr>
          <w:p w14:paraId="7A2E8630" w14:textId="77777777" w:rsidR="005A35AA" w:rsidRPr="005A35AA" w:rsidRDefault="005A35AA" w:rsidP="005A35AA">
            <w:pPr>
              <w:jc w:val="right"/>
              <w:rPr>
                <w:rFonts w:ascii="Verdana" w:eastAsia="Times New Roman" w:hAnsi="Verdana" w:cs="Times New Roman"/>
                <w:b/>
                <w:bCs/>
                <w:color w:val="000000"/>
                <w:sz w:val="20"/>
                <w:szCs w:val="20"/>
                <w:lang w:val="en-GB" w:eastAsia="en-GB"/>
              </w:rPr>
            </w:pPr>
            <w:r w:rsidRPr="005A35AA">
              <w:rPr>
                <w:rFonts w:ascii="Verdana" w:eastAsia="Times New Roman" w:hAnsi="Verdana" w:cs="Times New Roman"/>
                <w:b/>
                <w:bCs/>
                <w:color w:val="000000"/>
                <w:sz w:val="20"/>
                <w:szCs w:val="20"/>
                <w:lang w:val="en-GB" w:eastAsia="en-GB"/>
              </w:rPr>
              <w:t>6,631</w:t>
            </w:r>
          </w:p>
        </w:tc>
      </w:tr>
      <w:tr w:rsidR="005A35AA" w:rsidRPr="005A35AA" w14:paraId="58E820A4" w14:textId="77777777" w:rsidTr="005A35AA">
        <w:trPr>
          <w:trHeight w:val="255"/>
          <w:jc w:val="center"/>
        </w:trPr>
        <w:tc>
          <w:tcPr>
            <w:tcW w:w="1940" w:type="dxa"/>
            <w:tcBorders>
              <w:top w:val="nil"/>
              <w:left w:val="single" w:sz="4" w:space="0" w:color="auto"/>
              <w:bottom w:val="nil"/>
              <w:right w:val="nil"/>
            </w:tcBorders>
            <w:shd w:val="clear" w:color="auto" w:fill="auto"/>
            <w:noWrap/>
            <w:vAlign w:val="center"/>
            <w:hideMark/>
          </w:tcPr>
          <w:p w14:paraId="2FEEE281" w14:textId="77777777" w:rsidR="005A35AA" w:rsidRPr="005A35AA" w:rsidRDefault="005A35AA" w:rsidP="005A35AA">
            <w:pPr>
              <w:rPr>
                <w:rFonts w:ascii="Verdana" w:eastAsia="Times New Roman" w:hAnsi="Verdana" w:cs="Times New Roman"/>
                <w:color w:val="000000"/>
                <w:sz w:val="20"/>
                <w:szCs w:val="20"/>
                <w:lang w:val="en-GB" w:eastAsia="en-GB"/>
              </w:rPr>
            </w:pPr>
            <w:r w:rsidRPr="005A35AA">
              <w:rPr>
                <w:rFonts w:ascii="Verdana" w:eastAsia="Times New Roman" w:hAnsi="Verdana" w:cs="Times New Roman"/>
                <w:color w:val="000000"/>
                <w:sz w:val="20"/>
                <w:szCs w:val="20"/>
                <w:lang w:val="en-GB" w:eastAsia="en-GB"/>
              </w:rPr>
              <w:t>Income</w:t>
            </w:r>
          </w:p>
        </w:tc>
        <w:tc>
          <w:tcPr>
            <w:tcW w:w="1660" w:type="dxa"/>
            <w:tcBorders>
              <w:top w:val="nil"/>
              <w:left w:val="nil"/>
              <w:bottom w:val="nil"/>
              <w:right w:val="single" w:sz="4" w:space="0" w:color="auto"/>
            </w:tcBorders>
            <w:shd w:val="clear" w:color="auto" w:fill="auto"/>
            <w:noWrap/>
            <w:vAlign w:val="center"/>
            <w:hideMark/>
          </w:tcPr>
          <w:p w14:paraId="7A7440D5" w14:textId="77777777" w:rsidR="005A35AA" w:rsidRPr="005A35AA" w:rsidRDefault="005A35AA" w:rsidP="005A35AA">
            <w:pPr>
              <w:jc w:val="right"/>
              <w:rPr>
                <w:rFonts w:ascii="Verdana" w:eastAsia="Times New Roman" w:hAnsi="Verdana" w:cs="Times New Roman"/>
                <w:color w:val="000000"/>
                <w:sz w:val="20"/>
                <w:szCs w:val="20"/>
                <w:lang w:val="en-GB" w:eastAsia="en-GB"/>
              </w:rPr>
            </w:pPr>
            <w:r w:rsidRPr="005A35AA">
              <w:rPr>
                <w:rFonts w:ascii="Verdana" w:eastAsia="Times New Roman" w:hAnsi="Verdana" w:cs="Times New Roman"/>
                <w:color w:val="000000"/>
                <w:sz w:val="20"/>
                <w:szCs w:val="20"/>
                <w:lang w:val="en-GB" w:eastAsia="en-GB"/>
              </w:rPr>
              <w:t>(4,229)</w:t>
            </w:r>
          </w:p>
        </w:tc>
      </w:tr>
      <w:tr w:rsidR="005A35AA" w:rsidRPr="005A35AA" w14:paraId="695229CB" w14:textId="77777777" w:rsidTr="005A35AA">
        <w:trPr>
          <w:trHeight w:val="255"/>
          <w:jc w:val="center"/>
        </w:trPr>
        <w:tc>
          <w:tcPr>
            <w:tcW w:w="1940" w:type="dxa"/>
            <w:tcBorders>
              <w:top w:val="single" w:sz="4" w:space="0" w:color="auto"/>
              <w:left w:val="single" w:sz="4" w:space="0" w:color="auto"/>
              <w:bottom w:val="single" w:sz="4" w:space="0" w:color="auto"/>
              <w:right w:val="nil"/>
            </w:tcBorders>
            <w:shd w:val="clear" w:color="auto" w:fill="auto"/>
            <w:noWrap/>
            <w:vAlign w:val="center"/>
            <w:hideMark/>
          </w:tcPr>
          <w:p w14:paraId="5C3917C1" w14:textId="77777777" w:rsidR="005A35AA" w:rsidRPr="005A35AA" w:rsidRDefault="005A35AA" w:rsidP="005A35AA">
            <w:pPr>
              <w:rPr>
                <w:rFonts w:ascii="Verdana" w:eastAsia="Times New Roman" w:hAnsi="Verdana" w:cs="Times New Roman"/>
                <w:b/>
                <w:bCs/>
                <w:color w:val="000000"/>
                <w:sz w:val="20"/>
                <w:szCs w:val="20"/>
                <w:lang w:val="en-GB" w:eastAsia="en-GB"/>
              </w:rPr>
            </w:pPr>
            <w:r w:rsidRPr="005A35AA">
              <w:rPr>
                <w:rFonts w:ascii="Verdana" w:eastAsia="Times New Roman" w:hAnsi="Verdana" w:cs="Times New Roman"/>
                <w:b/>
                <w:bCs/>
                <w:color w:val="000000"/>
                <w:sz w:val="20"/>
                <w:szCs w:val="20"/>
                <w:lang w:val="en-GB" w:eastAsia="en-GB"/>
              </w:rPr>
              <w:t>Net Expenditure</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155141B3" w14:textId="77777777" w:rsidR="005A35AA" w:rsidRPr="005A35AA" w:rsidRDefault="005A35AA" w:rsidP="005A35AA">
            <w:pPr>
              <w:jc w:val="right"/>
              <w:rPr>
                <w:rFonts w:ascii="Verdana" w:eastAsia="Times New Roman" w:hAnsi="Verdana" w:cs="Times New Roman"/>
                <w:b/>
                <w:bCs/>
                <w:color w:val="000000"/>
                <w:sz w:val="20"/>
                <w:szCs w:val="20"/>
                <w:lang w:val="en-GB" w:eastAsia="en-GB"/>
              </w:rPr>
            </w:pPr>
            <w:r w:rsidRPr="005A35AA">
              <w:rPr>
                <w:rFonts w:ascii="Verdana" w:eastAsia="Times New Roman" w:hAnsi="Verdana" w:cs="Times New Roman"/>
                <w:b/>
                <w:bCs/>
                <w:color w:val="000000"/>
                <w:sz w:val="20"/>
                <w:szCs w:val="20"/>
                <w:lang w:val="en-GB" w:eastAsia="en-GB"/>
              </w:rPr>
              <w:t>2,402</w:t>
            </w:r>
          </w:p>
        </w:tc>
      </w:tr>
      <w:tr w:rsidR="005A35AA" w:rsidRPr="005A35AA" w14:paraId="74E20626" w14:textId="77777777" w:rsidTr="005A35AA">
        <w:trPr>
          <w:trHeight w:val="255"/>
          <w:jc w:val="center"/>
        </w:trPr>
        <w:tc>
          <w:tcPr>
            <w:tcW w:w="1940" w:type="dxa"/>
            <w:tcBorders>
              <w:top w:val="nil"/>
              <w:left w:val="single" w:sz="4" w:space="0" w:color="auto"/>
              <w:bottom w:val="nil"/>
              <w:right w:val="nil"/>
            </w:tcBorders>
            <w:shd w:val="clear" w:color="auto" w:fill="auto"/>
            <w:noWrap/>
            <w:vAlign w:val="center"/>
            <w:hideMark/>
          </w:tcPr>
          <w:p w14:paraId="101A52AD" w14:textId="77777777" w:rsidR="005A35AA" w:rsidRPr="005A35AA" w:rsidRDefault="005A35AA" w:rsidP="005A35AA">
            <w:pPr>
              <w:rPr>
                <w:rFonts w:ascii="Verdana" w:eastAsia="Times New Roman" w:hAnsi="Verdana" w:cs="Times New Roman"/>
                <w:color w:val="000000"/>
                <w:sz w:val="20"/>
                <w:szCs w:val="20"/>
                <w:lang w:val="en-GB" w:eastAsia="en-GB"/>
              </w:rPr>
            </w:pPr>
            <w:r w:rsidRPr="005A35AA">
              <w:rPr>
                <w:rFonts w:ascii="Verdana" w:eastAsia="Times New Roman" w:hAnsi="Verdana" w:cs="Times New Roman"/>
                <w:color w:val="000000"/>
                <w:sz w:val="20"/>
                <w:szCs w:val="20"/>
                <w:lang w:val="en-GB" w:eastAsia="en-GB"/>
              </w:rPr>
              <w:t> </w:t>
            </w:r>
          </w:p>
        </w:tc>
        <w:tc>
          <w:tcPr>
            <w:tcW w:w="1660" w:type="dxa"/>
            <w:tcBorders>
              <w:top w:val="nil"/>
              <w:left w:val="nil"/>
              <w:bottom w:val="nil"/>
              <w:right w:val="single" w:sz="4" w:space="0" w:color="auto"/>
            </w:tcBorders>
            <w:shd w:val="clear" w:color="auto" w:fill="auto"/>
            <w:noWrap/>
            <w:vAlign w:val="center"/>
            <w:hideMark/>
          </w:tcPr>
          <w:p w14:paraId="5CE268F9" w14:textId="77777777" w:rsidR="005A35AA" w:rsidRPr="005A35AA" w:rsidRDefault="005A35AA" w:rsidP="005A35AA">
            <w:pPr>
              <w:rPr>
                <w:rFonts w:ascii="Verdana" w:eastAsia="Times New Roman" w:hAnsi="Verdana" w:cs="Times New Roman"/>
                <w:color w:val="000000"/>
                <w:sz w:val="20"/>
                <w:szCs w:val="20"/>
                <w:lang w:val="en-GB" w:eastAsia="en-GB"/>
              </w:rPr>
            </w:pPr>
            <w:r w:rsidRPr="005A35AA">
              <w:rPr>
                <w:rFonts w:ascii="Verdana" w:eastAsia="Times New Roman" w:hAnsi="Verdana" w:cs="Times New Roman"/>
                <w:color w:val="000000"/>
                <w:sz w:val="20"/>
                <w:szCs w:val="20"/>
                <w:lang w:val="en-GB" w:eastAsia="en-GB"/>
              </w:rPr>
              <w:t> </w:t>
            </w:r>
          </w:p>
        </w:tc>
      </w:tr>
      <w:tr w:rsidR="005A35AA" w:rsidRPr="005A35AA" w14:paraId="52883CB0" w14:textId="77777777" w:rsidTr="005A35AA">
        <w:trPr>
          <w:trHeight w:val="255"/>
          <w:jc w:val="center"/>
        </w:trPr>
        <w:tc>
          <w:tcPr>
            <w:tcW w:w="1940" w:type="dxa"/>
            <w:tcBorders>
              <w:top w:val="single" w:sz="4" w:space="0" w:color="auto"/>
              <w:left w:val="single" w:sz="4" w:space="0" w:color="auto"/>
              <w:bottom w:val="single" w:sz="4" w:space="0" w:color="auto"/>
              <w:right w:val="nil"/>
            </w:tcBorders>
            <w:shd w:val="clear" w:color="auto" w:fill="auto"/>
            <w:noWrap/>
            <w:vAlign w:val="center"/>
            <w:hideMark/>
          </w:tcPr>
          <w:p w14:paraId="1E12DD03" w14:textId="77777777" w:rsidR="005A35AA" w:rsidRPr="005A35AA" w:rsidRDefault="005A35AA" w:rsidP="005A35AA">
            <w:pPr>
              <w:rPr>
                <w:rFonts w:ascii="Verdana" w:eastAsia="Times New Roman" w:hAnsi="Verdana" w:cs="Times New Roman"/>
                <w:b/>
                <w:bCs/>
                <w:color w:val="000000"/>
                <w:sz w:val="20"/>
                <w:szCs w:val="20"/>
                <w:lang w:val="en-GB" w:eastAsia="en-GB"/>
              </w:rPr>
            </w:pPr>
            <w:r w:rsidRPr="005A35AA">
              <w:rPr>
                <w:rFonts w:ascii="Verdana" w:eastAsia="Times New Roman" w:hAnsi="Verdana" w:cs="Times New Roman"/>
                <w:b/>
                <w:bCs/>
                <w:color w:val="000000"/>
                <w:sz w:val="20"/>
                <w:szCs w:val="20"/>
                <w:lang w:val="en-GB" w:eastAsia="en-GB"/>
              </w:rPr>
              <w:t>Total PPE cost</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54B583A5" w14:textId="77777777" w:rsidR="005A35AA" w:rsidRPr="005A35AA" w:rsidRDefault="005A35AA" w:rsidP="005A35AA">
            <w:pPr>
              <w:jc w:val="right"/>
              <w:rPr>
                <w:rFonts w:ascii="Verdana" w:eastAsia="Times New Roman" w:hAnsi="Verdana" w:cs="Times New Roman"/>
                <w:b/>
                <w:bCs/>
                <w:color w:val="000000"/>
                <w:sz w:val="20"/>
                <w:szCs w:val="20"/>
                <w:lang w:val="en-GB" w:eastAsia="en-GB"/>
              </w:rPr>
            </w:pPr>
            <w:r w:rsidRPr="005A35AA">
              <w:rPr>
                <w:rFonts w:ascii="Verdana" w:eastAsia="Times New Roman" w:hAnsi="Verdana" w:cs="Times New Roman"/>
                <w:b/>
                <w:bCs/>
                <w:color w:val="000000"/>
                <w:sz w:val="20"/>
                <w:szCs w:val="20"/>
                <w:lang w:val="en-GB" w:eastAsia="en-GB"/>
              </w:rPr>
              <w:t>2,764</w:t>
            </w:r>
          </w:p>
        </w:tc>
      </w:tr>
    </w:tbl>
    <w:p w14:paraId="0A855294" w14:textId="77777777" w:rsidR="005A35AA" w:rsidRDefault="005A35AA" w:rsidP="006E4155">
      <w:pPr>
        <w:jc w:val="both"/>
        <w:rPr>
          <w:rFonts w:ascii="Verdana" w:hAnsi="Verdana" w:cs="Arial"/>
          <w:sz w:val="22"/>
          <w:szCs w:val="22"/>
        </w:rPr>
      </w:pPr>
    </w:p>
    <w:p w14:paraId="121429BB" w14:textId="068E516F" w:rsidR="005A35AA" w:rsidRPr="005A35AA" w:rsidRDefault="007A0243" w:rsidP="006E4155">
      <w:pPr>
        <w:jc w:val="both"/>
        <w:rPr>
          <w:rFonts w:ascii="Verdana" w:hAnsi="Verdana" w:cs="Arial"/>
          <w:sz w:val="22"/>
          <w:szCs w:val="22"/>
        </w:rPr>
      </w:pPr>
      <w:r>
        <w:rPr>
          <w:rFonts w:ascii="Verdana" w:hAnsi="Verdana" w:cs="Arial"/>
          <w:sz w:val="22"/>
          <w:szCs w:val="22"/>
        </w:rPr>
        <w:t>Precept &amp; uplift investments were received towards an additional 156.5 posts, of which 142.5 were recruited by March 2021.</w:t>
      </w:r>
    </w:p>
    <w:p w14:paraId="2A9192DF" w14:textId="77777777" w:rsidR="005A35AA" w:rsidRPr="005A35AA" w:rsidRDefault="005A35AA" w:rsidP="006E4155">
      <w:pPr>
        <w:jc w:val="both"/>
        <w:rPr>
          <w:rFonts w:ascii="Verdana" w:hAnsi="Verdana" w:cs="Arial"/>
          <w:sz w:val="22"/>
          <w:szCs w:val="22"/>
        </w:rPr>
      </w:pPr>
    </w:p>
    <w:p w14:paraId="47019160" w14:textId="1AD66AFE" w:rsidR="00090245" w:rsidRPr="00090245" w:rsidRDefault="006E4155" w:rsidP="006E4155">
      <w:pPr>
        <w:jc w:val="both"/>
        <w:rPr>
          <w:rFonts w:ascii="Verdana" w:hAnsi="Verdana" w:cs="Arial"/>
          <w:sz w:val="22"/>
          <w:szCs w:val="22"/>
        </w:rPr>
      </w:pPr>
      <w:r w:rsidRPr="00090245">
        <w:rPr>
          <w:rFonts w:ascii="Verdana" w:hAnsi="Verdana" w:cs="Arial"/>
          <w:sz w:val="22"/>
          <w:szCs w:val="22"/>
        </w:rPr>
        <w:t xml:space="preserve">The Chief Constable establishment for police officers for the year was under the original budget plan </w:t>
      </w:r>
      <w:r w:rsidR="00090245" w:rsidRPr="00090245">
        <w:rPr>
          <w:rFonts w:ascii="Verdana" w:hAnsi="Verdana" w:cs="Arial"/>
          <w:sz w:val="22"/>
          <w:szCs w:val="22"/>
        </w:rPr>
        <w:t>which resulted in unde</w:t>
      </w:r>
      <w:r w:rsidRPr="00090245">
        <w:rPr>
          <w:rFonts w:ascii="Verdana" w:hAnsi="Verdana" w:cs="Arial"/>
          <w:sz w:val="22"/>
          <w:szCs w:val="22"/>
        </w:rPr>
        <w:t>rspend</w:t>
      </w:r>
      <w:r w:rsidR="00090245" w:rsidRPr="00090245">
        <w:rPr>
          <w:rFonts w:ascii="Verdana" w:hAnsi="Verdana" w:cs="Arial"/>
          <w:sz w:val="22"/>
          <w:szCs w:val="22"/>
        </w:rPr>
        <w:t xml:space="preserve"> of £2m which was offset additional costs for police staff, other employee costs and temporary staff and agency costs. Total employee costs were £1.2m over budget</w:t>
      </w:r>
      <w:r w:rsidR="00090245">
        <w:rPr>
          <w:rFonts w:ascii="Verdana" w:hAnsi="Verdana" w:cs="Arial"/>
          <w:sz w:val="22"/>
          <w:szCs w:val="22"/>
        </w:rPr>
        <w:t xml:space="preserve">, £0.6m of </w:t>
      </w:r>
      <w:r w:rsidR="003F61FD">
        <w:rPr>
          <w:rFonts w:ascii="Verdana" w:hAnsi="Verdana" w:cs="Arial"/>
          <w:sz w:val="22"/>
          <w:szCs w:val="22"/>
        </w:rPr>
        <w:t>other staff costs overspend</w:t>
      </w:r>
      <w:r w:rsidR="00090245">
        <w:rPr>
          <w:rFonts w:ascii="Verdana" w:hAnsi="Verdana" w:cs="Arial"/>
          <w:sz w:val="22"/>
          <w:szCs w:val="22"/>
        </w:rPr>
        <w:t xml:space="preserve"> related</w:t>
      </w:r>
      <w:r w:rsidR="003F61FD">
        <w:rPr>
          <w:rFonts w:ascii="Verdana" w:hAnsi="Verdana" w:cs="Arial"/>
          <w:sz w:val="22"/>
          <w:szCs w:val="22"/>
        </w:rPr>
        <w:t xml:space="preserve"> directly</w:t>
      </w:r>
      <w:r w:rsidR="00090245">
        <w:rPr>
          <w:rFonts w:ascii="Verdana" w:hAnsi="Verdana" w:cs="Arial"/>
          <w:sz w:val="22"/>
          <w:szCs w:val="22"/>
        </w:rPr>
        <w:t xml:space="preserve"> to </w:t>
      </w:r>
      <w:r w:rsidR="003F61FD">
        <w:rPr>
          <w:rFonts w:ascii="Verdana" w:hAnsi="Verdana" w:cs="Arial"/>
          <w:sz w:val="22"/>
          <w:szCs w:val="22"/>
        </w:rPr>
        <w:t>covid-19 work</w:t>
      </w:r>
      <w:r w:rsidR="00090245" w:rsidRPr="00090245">
        <w:rPr>
          <w:rFonts w:ascii="Verdana" w:hAnsi="Verdana" w:cs="Arial"/>
          <w:sz w:val="22"/>
          <w:szCs w:val="22"/>
        </w:rPr>
        <w:t xml:space="preserve">. </w:t>
      </w:r>
    </w:p>
    <w:p w14:paraId="143D3A2D" w14:textId="77777777" w:rsidR="00090245" w:rsidRDefault="00090245" w:rsidP="006E4155">
      <w:pPr>
        <w:jc w:val="both"/>
        <w:rPr>
          <w:rFonts w:ascii="Verdana" w:hAnsi="Verdana" w:cs="Arial"/>
          <w:sz w:val="22"/>
          <w:szCs w:val="22"/>
        </w:rPr>
      </w:pPr>
    </w:p>
    <w:p w14:paraId="2ED3430E" w14:textId="7C009F53" w:rsidR="003F61FD" w:rsidRPr="003F61FD" w:rsidRDefault="003F61FD" w:rsidP="006E4155">
      <w:pPr>
        <w:jc w:val="both"/>
        <w:rPr>
          <w:rFonts w:ascii="Verdana" w:hAnsi="Verdana" w:cs="Arial"/>
          <w:sz w:val="22"/>
          <w:szCs w:val="22"/>
        </w:rPr>
      </w:pPr>
      <w:r>
        <w:rPr>
          <w:rFonts w:ascii="Verdana" w:hAnsi="Verdana" w:cs="Arial"/>
          <w:sz w:val="22"/>
          <w:szCs w:val="22"/>
        </w:rPr>
        <w:t xml:space="preserve">Premises related expenditure was below budget by £0.5m due to the Building the Future Project for the new HQ at Leatherhead and Transport costs came in under budget by £0.3m due to reduced insurance premiums and savings in fuel costs. Savings on software licenses/support, telephone and consultancy contribute to underspend of £0.4m in Supplies &amp; Services for the year. These areas of </w:t>
      </w:r>
      <w:r w:rsidRPr="003F61FD">
        <w:rPr>
          <w:rFonts w:ascii="Verdana" w:hAnsi="Verdana" w:cs="Arial"/>
          <w:sz w:val="22"/>
          <w:szCs w:val="22"/>
        </w:rPr>
        <w:t>underspend together with additional income and grants received in year in relation to the Covid Surge Fund, PPE, Surrey Camera Partnership and income from property rentals and secondment of employees resulted in the overall group underspend of £1.6m.</w:t>
      </w:r>
    </w:p>
    <w:p w14:paraId="0BED8806" w14:textId="77777777" w:rsidR="00090245" w:rsidRPr="003F61FD" w:rsidRDefault="00090245" w:rsidP="006E4155">
      <w:pPr>
        <w:jc w:val="both"/>
        <w:rPr>
          <w:rFonts w:ascii="Verdana" w:hAnsi="Verdana" w:cs="Arial"/>
          <w:sz w:val="22"/>
          <w:szCs w:val="22"/>
        </w:rPr>
      </w:pPr>
    </w:p>
    <w:p w14:paraId="2E4C1CB5" w14:textId="6CDBB361" w:rsidR="006E4155" w:rsidRPr="003F61FD" w:rsidRDefault="006E4155" w:rsidP="006E4155">
      <w:pPr>
        <w:jc w:val="both"/>
        <w:rPr>
          <w:rFonts w:ascii="Verdana" w:hAnsi="Verdana" w:cs="Arial"/>
          <w:sz w:val="22"/>
          <w:szCs w:val="22"/>
        </w:rPr>
      </w:pPr>
      <w:r w:rsidRPr="003F61FD">
        <w:rPr>
          <w:rFonts w:ascii="Verdana" w:hAnsi="Verdana" w:cs="Arial"/>
          <w:sz w:val="22"/>
          <w:szCs w:val="22"/>
        </w:rPr>
        <w:t>The 20</w:t>
      </w:r>
      <w:r w:rsidR="003F61FD" w:rsidRPr="003F61FD">
        <w:rPr>
          <w:rFonts w:ascii="Verdana" w:hAnsi="Verdana" w:cs="Arial"/>
          <w:sz w:val="22"/>
          <w:szCs w:val="22"/>
        </w:rPr>
        <w:t>20/21</w:t>
      </w:r>
      <w:r w:rsidRPr="003F61FD">
        <w:rPr>
          <w:rFonts w:ascii="Verdana" w:hAnsi="Verdana" w:cs="Arial"/>
          <w:sz w:val="22"/>
          <w:szCs w:val="22"/>
        </w:rPr>
        <w:t xml:space="preserve"> underspend will be used in accordance with the approved Medium Term Financial Plan and 20</w:t>
      </w:r>
      <w:r w:rsidR="003F61FD" w:rsidRPr="003F61FD">
        <w:rPr>
          <w:rFonts w:ascii="Verdana" w:hAnsi="Verdana" w:cs="Arial"/>
          <w:sz w:val="22"/>
          <w:szCs w:val="22"/>
        </w:rPr>
        <w:t>20</w:t>
      </w:r>
      <w:r w:rsidRPr="003F61FD">
        <w:rPr>
          <w:rFonts w:ascii="Verdana" w:hAnsi="Verdana" w:cs="Arial"/>
          <w:sz w:val="22"/>
          <w:szCs w:val="22"/>
        </w:rPr>
        <w:t>/2</w:t>
      </w:r>
      <w:r w:rsidR="003F61FD" w:rsidRPr="003F61FD">
        <w:rPr>
          <w:rFonts w:ascii="Verdana" w:hAnsi="Verdana" w:cs="Arial"/>
          <w:sz w:val="22"/>
          <w:szCs w:val="22"/>
        </w:rPr>
        <w:t>1</w:t>
      </w:r>
      <w:r w:rsidRPr="003F61FD">
        <w:rPr>
          <w:rFonts w:ascii="Verdana" w:hAnsi="Verdana" w:cs="Arial"/>
          <w:sz w:val="22"/>
          <w:szCs w:val="22"/>
        </w:rPr>
        <w:t xml:space="preserve"> outturn report.</w:t>
      </w:r>
    </w:p>
    <w:p w14:paraId="515E5FD2" w14:textId="77777777" w:rsidR="00F227D9" w:rsidRPr="003F61FD" w:rsidRDefault="00F227D9" w:rsidP="00F227D9">
      <w:pPr>
        <w:pStyle w:val="Normal0"/>
        <w:jc w:val="both"/>
        <w:rPr>
          <w:rFonts w:ascii="Verdana" w:eastAsia="Times New Roman" w:hAnsi="Verdana" w:cs="Arial"/>
          <w:sz w:val="22"/>
          <w:szCs w:val="22"/>
          <w:lang w:val="en-GB" w:eastAsia="en-GB"/>
        </w:rPr>
      </w:pPr>
      <w:r w:rsidRPr="003F61FD">
        <w:rPr>
          <w:rFonts w:ascii="Verdana" w:eastAsia="Times New Roman" w:hAnsi="Verdana" w:cs="Arial"/>
          <w:sz w:val="22"/>
          <w:szCs w:val="22"/>
          <w:lang w:val="en-GB" w:eastAsia="en-GB"/>
        </w:rPr>
        <w:t>The Chief Constable proposed to carry forward a total of £0.</w:t>
      </w:r>
      <w:r w:rsidR="00F52015" w:rsidRPr="003F61FD">
        <w:rPr>
          <w:rFonts w:ascii="Verdana" w:eastAsia="Times New Roman" w:hAnsi="Verdana" w:cs="Arial"/>
          <w:sz w:val="22"/>
          <w:szCs w:val="22"/>
          <w:lang w:val="en-GB" w:eastAsia="en-GB"/>
        </w:rPr>
        <w:t>3</w:t>
      </w:r>
      <w:r w:rsidRPr="003F61FD">
        <w:rPr>
          <w:rFonts w:ascii="Verdana" w:eastAsia="Times New Roman" w:hAnsi="Verdana" w:cs="Arial"/>
          <w:sz w:val="22"/>
          <w:szCs w:val="22"/>
          <w:lang w:val="en-GB" w:eastAsia="en-GB"/>
        </w:rPr>
        <w:t>m to fund additional investments.</w:t>
      </w:r>
    </w:p>
    <w:p w14:paraId="7D541303" w14:textId="77777777" w:rsidR="00F227D9" w:rsidRPr="003F61FD" w:rsidRDefault="00F227D9" w:rsidP="00F227D9">
      <w:pPr>
        <w:pStyle w:val="Normal0"/>
        <w:jc w:val="both"/>
        <w:rPr>
          <w:rFonts w:ascii="Verdana" w:eastAsia="Times New Roman" w:hAnsi="Verdana" w:cs="Arial"/>
          <w:b/>
          <w:sz w:val="22"/>
          <w:szCs w:val="22"/>
          <w:lang w:val="en-GB" w:eastAsia="en-GB"/>
        </w:rPr>
      </w:pPr>
      <w:r w:rsidRPr="003F61FD">
        <w:rPr>
          <w:rFonts w:ascii="Verdana" w:eastAsia="Times New Roman" w:hAnsi="Verdana" w:cs="Arial"/>
          <w:b/>
          <w:sz w:val="22"/>
          <w:szCs w:val="22"/>
          <w:lang w:val="en-GB" w:eastAsia="en-GB"/>
        </w:rPr>
        <w:t>Comprehensive Income and Expenditure Statement (CIES)</w:t>
      </w:r>
    </w:p>
    <w:p w14:paraId="1D6A56EC" w14:textId="77777777" w:rsidR="00F227D9" w:rsidRPr="003F61FD" w:rsidRDefault="00F227D9" w:rsidP="00F227D9">
      <w:pPr>
        <w:pStyle w:val="Normal0"/>
        <w:jc w:val="both"/>
        <w:rPr>
          <w:rFonts w:ascii="Verdana" w:eastAsia="Times New Roman" w:hAnsi="Verdana" w:cs="Arial"/>
          <w:b/>
          <w:sz w:val="22"/>
          <w:szCs w:val="22"/>
          <w:u w:val="thick"/>
          <w:lang w:val="en-GB" w:eastAsia="en-GB"/>
        </w:rPr>
      </w:pPr>
    </w:p>
    <w:p w14:paraId="139566E4" w14:textId="2ABB941F" w:rsidR="00F227D9" w:rsidRPr="003F61FD" w:rsidRDefault="00F227D9" w:rsidP="00F227D9">
      <w:pPr>
        <w:pStyle w:val="Normal0"/>
        <w:jc w:val="both"/>
        <w:rPr>
          <w:rFonts w:ascii="Verdana" w:eastAsia="Times New Roman" w:hAnsi="Verdana" w:cs="Arial"/>
          <w:sz w:val="22"/>
          <w:szCs w:val="22"/>
          <w:lang w:val="en-GB" w:eastAsia="en-GB"/>
        </w:rPr>
      </w:pPr>
      <w:r w:rsidRPr="003F61FD">
        <w:rPr>
          <w:rFonts w:ascii="Verdana" w:eastAsia="Times New Roman" w:hAnsi="Verdana" w:cs="Arial"/>
          <w:sz w:val="22"/>
          <w:szCs w:val="22"/>
          <w:lang w:val="en-GB" w:eastAsia="en-GB"/>
        </w:rPr>
        <w:t>Actual expenditure for the year ended for the year ended 31 March 20</w:t>
      </w:r>
      <w:r w:rsidR="00F87184" w:rsidRPr="003F61FD">
        <w:rPr>
          <w:rFonts w:ascii="Verdana" w:eastAsia="Times New Roman" w:hAnsi="Verdana" w:cs="Arial"/>
          <w:sz w:val="22"/>
          <w:szCs w:val="22"/>
          <w:lang w:val="en-GB" w:eastAsia="en-GB"/>
        </w:rPr>
        <w:t>2</w:t>
      </w:r>
      <w:r w:rsidR="003F61FD" w:rsidRPr="003F61FD">
        <w:rPr>
          <w:rFonts w:ascii="Verdana" w:eastAsia="Times New Roman" w:hAnsi="Verdana" w:cs="Arial"/>
          <w:sz w:val="22"/>
          <w:szCs w:val="22"/>
          <w:lang w:val="en-GB" w:eastAsia="en-GB"/>
        </w:rPr>
        <w:t>1</w:t>
      </w:r>
      <w:r w:rsidRPr="003F61FD">
        <w:rPr>
          <w:rFonts w:ascii="Verdana" w:eastAsia="Times New Roman" w:hAnsi="Verdana" w:cs="Arial"/>
          <w:sz w:val="22"/>
          <w:szCs w:val="22"/>
          <w:lang w:val="en-GB" w:eastAsia="en-GB"/>
        </w:rPr>
        <w:t xml:space="preserve"> compared against the previous year can be seen in the CIES. The Comprehensive Income and Expenditure Statement measures the financial performance for the year in terms of resources consumed over period and the funding provided to finance these resources. The accounting basis used to calculate net expenditure funded from the Home Office grants and local taxation. The CIES includes all net expenditure funded from grant and taxation plus notional (non-cash) amounts that are required by accounting regulations e.g. depreciation and changes in the value of property assets, interest charges on leased assets, and calculations of movements in police officer and police staff pension liabilities. </w:t>
      </w:r>
    </w:p>
    <w:p w14:paraId="2D7DBA7F" w14:textId="0C471B6C" w:rsidR="00743189" w:rsidRDefault="00743189">
      <w:pPr>
        <w:rPr>
          <w:rFonts w:ascii="Verdana" w:eastAsia="Times New Roman" w:hAnsi="Verdana" w:cs="Arial"/>
          <w:sz w:val="22"/>
          <w:szCs w:val="22"/>
          <w:lang w:val="en-GB" w:eastAsia="en-GB"/>
        </w:rPr>
      </w:pPr>
    </w:p>
    <w:p w14:paraId="37BF51B9" w14:textId="5151626F" w:rsidR="00F227D9" w:rsidRDefault="00F227D9" w:rsidP="00F227D9">
      <w:pPr>
        <w:pStyle w:val="Normal0"/>
        <w:jc w:val="both"/>
        <w:rPr>
          <w:rFonts w:ascii="Verdana" w:eastAsia="Times New Roman" w:hAnsi="Verdana" w:cs="Arial"/>
          <w:sz w:val="22"/>
          <w:szCs w:val="22"/>
          <w:lang w:val="en-GB" w:eastAsia="en-GB"/>
        </w:rPr>
      </w:pPr>
      <w:r w:rsidRPr="003F61FD">
        <w:rPr>
          <w:rFonts w:ascii="Verdana" w:eastAsia="Times New Roman" w:hAnsi="Verdana" w:cs="Arial"/>
          <w:sz w:val="22"/>
          <w:szCs w:val="22"/>
          <w:lang w:val="en-GB" w:eastAsia="en-GB"/>
        </w:rPr>
        <w:t>The</w:t>
      </w:r>
      <w:r w:rsidR="001B66A5" w:rsidRPr="003F61FD">
        <w:rPr>
          <w:rFonts w:ascii="Verdana" w:eastAsia="Times New Roman" w:hAnsi="Verdana" w:cs="Arial"/>
          <w:sz w:val="22"/>
          <w:szCs w:val="22"/>
          <w:lang w:val="en-GB" w:eastAsia="en-GB"/>
        </w:rPr>
        <w:t xml:space="preserve"> following</w:t>
      </w:r>
      <w:r w:rsidRPr="003F61FD">
        <w:rPr>
          <w:rFonts w:ascii="Verdana" w:eastAsia="Times New Roman" w:hAnsi="Verdana" w:cs="Arial"/>
          <w:sz w:val="22"/>
          <w:szCs w:val="22"/>
          <w:lang w:val="en-GB" w:eastAsia="en-GB"/>
        </w:rPr>
        <w:t xml:space="preserve"> table reconciles Chief Constable’s net operational expenditure to the position reported in the CIES. The table shows how the management accounts are adjusted for accounting regulations and statutory adjustments to arrive at the deficit on provision of services reported in the Comprehensive Income and Expenditure Statement.</w:t>
      </w:r>
    </w:p>
    <w:p w14:paraId="09F742CF" w14:textId="77777777" w:rsidR="00743189" w:rsidRDefault="00743189" w:rsidP="00F227D9">
      <w:pPr>
        <w:pStyle w:val="Normal0"/>
        <w:jc w:val="both"/>
        <w:rPr>
          <w:rFonts w:ascii="Verdana" w:eastAsia="Times New Roman" w:hAnsi="Verdana" w:cs="Arial"/>
          <w:sz w:val="22"/>
          <w:szCs w:val="22"/>
          <w:lang w:val="en-GB" w:eastAsia="en-GB"/>
        </w:rPr>
      </w:pPr>
    </w:p>
    <w:tbl>
      <w:tblPr>
        <w:tblW w:w="9540" w:type="dxa"/>
        <w:jc w:val="center"/>
        <w:tblLook w:val="04A0" w:firstRow="1" w:lastRow="0" w:firstColumn="1" w:lastColumn="0" w:noHBand="0" w:noVBand="1"/>
      </w:tblPr>
      <w:tblGrid>
        <w:gridCol w:w="1208"/>
        <w:gridCol w:w="7180"/>
        <w:gridCol w:w="1234"/>
      </w:tblGrid>
      <w:tr w:rsidR="00743189" w:rsidRPr="00743189" w14:paraId="114C5CDB" w14:textId="77777777" w:rsidTr="00743189">
        <w:trPr>
          <w:trHeight w:val="765"/>
          <w:jc w:val="center"/>
        </w:trPr>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798893" w14:textId="77777777" w:rsidR="00743189" w:rsidRPr="00743189" w:rsidRDefault="00743189" w:rsidP="00743189">
            <w:pPr>
              <w:jc w:val="center"/>
              <w:rPr>
                <w:rFonts w:ascii="Verdana" w:eastAsia="Times New Roman" w:hAnsi="Verdana" w:cs="Times New Roman"/>
                <w:b/>
                <w:bCs/>
                <w:color w:val="000000"/>
                <w:sz w:val="20"/>
                <w:szCs w:val="20"/>
                <w:lang w:val="en-GB" w:eastAsia="en-GB"/>
              </w:rPr>
            </w:pPr>
            <w:r w:rsidRPr="00743189">
              <w:rPr>
                <w:rFonts w:ascii="Verdana" w:eastAsia="Times New Roman" w:hAnsi="Verdana" w:cs="Times New Roman"/>
                <w:b/>
                <w:bCs/>
                <w:color w:val="000000"/>
                <w:sz w:val="20"/>
                <w:szCs w:val="20"/>
                <w:lang w:val="en-GB" w:eastAsia="en-GB"/>
              </w:rPr>
              <w:t>2019/20</w:t>
            </w:r>
            <w:r w:rsidRPr="00743189">
              <w:rPr>
                <w:rFonts w:ascii="Verdana" w:eastAsia="Times New Roman" w:hAnsi="Verdana" w:cs="Times New Roman"/>
                <w:b/>
                <w:bCs/>
                <w:color w:val="000000"/>
                <w:sz w:val="20"/>
                <w:szCs w:val="20"/>
                <w:lang w:val="en-GB" w:eastAsia="en-GB"/>
              </w:rPr>
              <w:br/>
              <w:t>CC</w:t>
            </w:r>
            <w:r w:rsidRPr="00743189">
              <w:rPr>
                <w:rFonts w:ascii="Verdana" w:eastAsia="Times New Roman" w:hAnsi="Verdana" w:cs="Times New Roman"/>
                <w:b/>
                <w:bCs/>
                <w:color w:val="000000"/>
                <w:sz w:val="20"/>
                <w:szCs w:val="20"/>
                <w:lang w:val="en-GB" w:eastAsia="en-GB"/>
              </w:rPr>
              <w:br/>
              <w:t>£m</w:t>
            </w:r>
          </w:p>
        </w:tc>
        <w:tc>
          <w:tcPr>
            <w:tcW w:w="7180" w:type="dxa"/>
            <w:tcBorders>
              <w:top w:val="single" w:sz="4" w:space="0" w:color="auto"/>
              <w:left w:val="nil"/>
              <w:bottom w:val="single" w:sz="4" w:space="0" w:color="auto"/>
              <w:right w:val="single" w:sz="4" w:space="0" w:color="auto"/>
            </w:tcBorders>
            <w:shd w:val="clear" w:color="000000" w:fill="FFFFFF"/>
            <w:noWrap/>
            <w:vAlign w:val="center"/>
            <w:hideMark/>
          </w:tcPr>
          <w:p w14:paraId="7A7931C9" w14:textId="77777777" w:rsidR="00743189" w:rsidRPr="00743189" w:rsidRDefault="00743189" w:rsidP="00743189">
            <w:pPr>
              <w:rPr>
                <w:rFonts w:ascii="Verdana" w:eastAsia="Times New Roman" w:hAnsi="Verdana" w:cs="Times New Roman"/>
                <w:b/>
                <w:bCs/>
                <w:color w:val="000000"/>
                <w:sz w:val="20"/>
                <w:szCs w:val="20"/>
                <w:lang w:val="en-GB" w:eastAsia="en-GB"/>
              </w:rPr>
            </w:pPr>
            <w:r w:rsidRPr="00743189">
              <w:rPr>
                <w:rFonts w:ascii="Verdana" w:eastAsia="Times New Roman" w:hAnsi="Verdana" w:cs="Times New Roman"/>
                <w:b/>
                <w:bCs/>
                <w:color w:val="000000"/>
                <w:sz w:val="20"/>
                <w:szCs w:val="20"/>
                <w:lang w:val="en-GB" w:eastAsia="en-GB"/>
              </w:rPr>
              <w:t>Operational Delivery Expenditure</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14:paraId="1677E9AD" w14:textId="77777777" w:rsidR="00743189" w:rsidRPr="00743189" w:rsidRDefault="00743189" w:rsidP="00743189">
            <w:pPr>
              <w:jc w:val="center"/>
              <w:rPr>
                <w:rFonts w:ascii="Verdana" w:eastAsia="Times New Roman" w:hAnsi="Verdana" w:cs="Times New Roman"/>
                <w:b/>
                <w:bCs/>
                <w:color w:val="000000"/>
                <w:sz w:val="20"/>
                <w:szCs w:val="20"/>
                <w:lang w:val="en-GB" w:eastAsia="en-GB"/>
              </w:rPr>
            </w:pPr>
            <w:r w:rsidRPr="00743189">
              <w:rPr>
                <w:rFonts w:ascii="Verdana" w:eastAsia="Times New Roman" w:hAnsi="Verdana" w:cs="Times New Roman"/>
                <w:b/>
                <w:bCs/>
                <w:color w:val="000000"/>
                <w:sz w:val="20"/>
                <w:szCs w:val="20"/>
                <w:lang w:val="en-GB" w:eastAsia="en-GB"/>
              </w:rPr>
              <w:t>2020/21</w:t>
            </w:r>
            <w:r w:rsidRPr="00743189">
              <w:rPr>
                <w:rFonts w:ascii="Verdana" w:eastAsia="Times New Roman" w:hAnsi="Verdana" w:cs="Times New Roman"/>
                <w:b/>
                <w:bCs/>
                <w:color w:val="000000"/>
                <w:sz w:val="20"/>
                <w:szCs w:val="20"/>
                <w:lang w:val="en-GB" w:eastAsia="en-GB"/>
              </w:rPr>
              <w:br/>
              <w:t>CC</w:t>
            </w:r>
            <w:r w:rsidRPr="00743189">
              <w:rPr>
                <w:rFonts w:ascii="Verdana" w:eastAsia="Times New Roman" w:hAnsi="Verdana" w:cs="Times New Roman"/>
                <w:b/>
                <w:bCs/>
                <w:color w:val="000000"/>
                <w:sz w:val="20"/>
                <w:szCs w:val="20"/>
                <w:lang w:val="en-GB" w:eastAsia="en-GB"/>
              </w:rPr>
              <w:br/>
              <w:t>£m</w:t>
            </w:r>
          </w:p>
        </w:tc>
      </w:tr>
      <w:tr w:rsidR="00743189" w:rsidRPr="00743189" w14:paraId="2CA57653" w14:textId="77777777" w:rsidTr="00743189">
        <w:trPr>
          <w:trHeight w:val="510"/>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992EA37" w14:textId="77777777" w:rsidR="00743189" w:rsidRPr="00743189" w:rsidRDefault="00743189" w:rsidP="00743189">
            <w:pPr>
              <w:jc w:val="right"/>
              <w:rPr>
                <w:rFonts w:ascii="Verdana" w:eastAsia="Times New Roman" w:hAnsi="Verdana" w:cs="Times New Roman"/>
                <w:b/>
                <w:bCs/>
                <w:color w:val="000000"/>
                <w:sz w:val="20"/>
                <w:szCs w:val="20"/>
                <w:lang w:val="en-GB" w:eastAsia="en-GB"/>
              </w:rPr>
            </w:pPr>
            <w:r w:rsidRPr="00743189">
              <w:rPr>
                <w:rFonts w:ascii="Verdana" w:eastAsia="Times New Roman" w:hAnsi="Verdana" w:cs="Times New Roman"/>
                <w:b/>
                <w:bCs/>
                <w:color w:val="000000"/>
                <w:sz w:val="20"/>
                <w:szCs w:val="20"/>
                <w:lang w:val="en-GB" w:eastAsia="en-GB"/>
              </w:rPr>
              <w:t>231.6</w:t>
            </w:r>
          </w:p>
        </w:tc>
        <w:tc>
          <w:tcPr>
            <w:tcW w:w="7180" w:type="dxa"/>
            <w:tcBorders>
              <w:top w:val="nil"/>
              <w:left w:val="nil"/>
              <w:bottom w:val="single" w:sz="4" w:space="0" w:color="auto"/>
              <w:right w:val="single" w:sz="4" w:space="0" w:color="auto"/>
            </w:tcBorders>
            <w:shd w:val="clear" w:color="000000" w:fill="FFFFFF"/>
            <w:vAlign w:val="center"/>
            <w:hideMark/>
          </w:tcPr>
          <w:p w14:paraId="543023B6" w14:textId="77777777" w:rsidR="00743189" w:rsidRPr="00743189" w:rsidRDefault="00743189" w:rsidP="00743189">
            <w:pPr>
              <w:rPr>
                <w:rFonts w:ascii="Verdana" w:eastAsia="Times New Roman" w:hAnsi="Verdana" w:cs="Times New Roman"/>
                <w:b/>
                <w:bCs/>
                <w:color w:val="000000"/>
                <w:sz w:val="20"/>
                <w:szCs w:val="20"/>
                <w:lang w:val="en-GB" w:eastAsia="en-GB"/>
              </w:rPr>
            </w:pPr>
            <w:r w:rsidRPr="00743189">
              <w:rPr>
                <w:rFonts w:ascii="Verdana" w:eastAsia="Times New Roman" w:hAnsi="Verdana" w:cs="Times New Roman"/>
                <w:b/>
                <w:bCs/>
                <w:color w:val="000000"/>
                <w:sz w:val="20"/>
                <w:szCs w:val="20"/>
                <w:lang w:val="en-GB" w:eastAsia="en-GB"/>
              </w:rPr>
              <w:t>Total Actual net Expenditure per revenue outturn report 2020/21</w:t>
            </w:r>
          </w:p>
        </w:tc>
        <w:tc>
          <w:tcPr>
            <w:tcW w:w="1180" w:type="dxa"/>
            <w:tcBorders>
              <w:top w:val="nil"/>
              <w:left w:val="nil"/>
              <w:bottom w:val="single" w:sz="4" w:space="0" w:color="auto"/>
              <w:right w:val="single" w:sz="4" w:space="0" w:color="auto"/>
            </w:tcBorders>
            <w:shd w:val="clear" w:color="auto" w:fill="auto"/>
            <w:noWrap/>
            <w:vAlign w:val="center"/>
            <w:hideMark/>
          </w:tcPr>
          <w:p w14:paraId="55D6CDE4" w14:textId="77777777" w:rsidR="00743189" w:rsidRPr="00743189" w:rsidRDefault="00743189" w:rsidP="00743189">
            <w:pPr>
              <w:jc w:val="right"/>
              <w:rPr>
                <w:rFonts w:ascii="Verdana" w:eastAsia="Times New Roman" w:hAnsi="Verdana" w:cs="Times New Roman"/>
                <w:b/>
                <w:bCs/>
                <w:color w:val="000000"/>
                <w:sz w:val="20"/>
                <w:szCs w:val="20"/>
                <w:lang w:val="en-GB" w:eastAsia="en-GB"/>
              </w:rPr>
            </w:pPr>
            <w:r w:rsidRPr="00743189">
              <w:rPr>
                <w:rFonts w:ascii="Verdana" w:eastAsia="Times New Roman" w:hAnsi="Verdana" w:cs="Times New Roman"/>
                <w:b/>
                <w:bCs/>
                <w:color w:val="000000"/>
                <w:sz w:val="20"/>
                <w:szCs w:val="20"/>
                <w:lang w:val="en-GB" w:eastAsia="en-GB"/>
              </w:rPr>
              <w:t>245.9</w:t>
            </w:r>
          </w:p>
        </w:tc>
      </w:tr>
      <w:tr w:rsidR="00743189" w:rsidRPr="00743189" w14:paraId="324D424B" w14:textId="77777777" w:rsidTr="00743189">
        <w:trPr>
          <w:trHeight w:val="510"/>
          <w:jc w:val="center"/>
        </w:trPr>
        <w:tc>
          <w:tcPr>
            <w:tcW w:w="1180" w:type="dxa"/>
            <w:tcBorders>
              <w:top w:val="nil"/>
              <w:left w:val="single" w:sz="4" w:space="0" w:color="auto"/>
              <w:bottom w:val="nil"/>
              <w:right w:val="single" w:sz="4" w:space="0" w:color="auto"/>
            </w:tcBorders>
            <w:shd w:val="clear" w:color="auto" w:fill="auto"/>
            <w:noWrap/>
            <w:vAlign w:val="center"/>
            <w:hideMark/>
          </w:tcPr>
          <w:p w14:paraId="62B92777" w14:textId="77777777" w:rsidR="00743189" w:rsidRPr="00743189" w:rsidRDefault="00743189" w:rsidP="00743189">
            <w:pPr>
              <w:jc w:val="right"/>
              <w:rPr>
                <w:rFonts w:ascii="Verdana" w:eastAsia="Times New Roman" w:hAnsi="Verdana" w:cs="Times New Roman"/>
                <w:color w:val="000000"/>
                <w:sz w:val="20"/>
                <w:szCs w:val="20"/>
                <w:lang w:val="en-GB" w:eastAsia="en-GB"/>
              </w:rPr>
            </w:pPr>
            <w:r w:rsidRPr="00743189">
              <w:rPr>
                <w:rFonts w:ascii="Verdana" w:eastAsia="Times New Roman" w:hAnsi="Verdana" w:cs="Times New Roman"/>
                <w:color w:val="000000"/>
                <w:sz w:val="20"/>
                <w:szCs w:val="20"/>
                <w:lang w:val="en-GB" w:eastAsia="en-GB"/>
              </w:rPr>
              <w:t> </w:t>
            </w:r>
          </w:p>
        </w:tc>
        <w:tc>
          <w:tcPr>
            <w:tcW w:w="7180" w:type="dxa"/>
            <w:tcBorders>
              <w:top w:val="nil"/>
              <w:left w:val="nil"/>
              <w:bottom w:val="nil"/>
              <w:right w:val="single" w:sz="4" w:space="0" w:color="auto"/>
            </w:tcBorders>
            <w:shd w:val="clear" w:color="000000" w:fill="FFFFFF"/>
            <w:vAlign w:val="center"/>
            <w:hideMark/>
          </w:tcPr>
          <w:p w14:paraId="742BEDD9" w14:textId="77777777" w:rsidR="00743189" w:rsidRPr="00743189" w:rsidRDefault="00743189" w:rsidP="00743189">
            <w:pPr>
              <w:rPr>
                <w:rFonts w:ascii="Verdana" w:eastAsia="Times New Roman" w:hAnsi="Verdana" w:cs="Times New Roman"/>
                <w:b/>
                <w:bCs/>
                <w:i/>
                <w:iCs/>
                <w:color w:val="000000"/>
                <w:sz w:val="20"/>
                <w:szCs w:val="20"/>
                <w:lang w:val="en-GB" w:eastAsia="en-GB"/>
              </w:rPr>
            </w:pPr>
            <w:r w:rsidRPr="00743189">
              <w:rPr>
                <w:rFonts w:ascii="Verdana" w:eastAsia="Times New Roman" w:hAnsi="Verdana" w:cs="Times New Roman"/>
                <w:b/>
                <w:bCs/>
                <w:i/>
                <w:iCs/>
                <w:color w:val="000000"/>
                <w:sz w:val="20"/>
                <w:szCs w:val="20"/>
                <w:lang w:val="en-GB" w:eastAsia="en-GB"/>
              </w:rPr>
              <w:t>Reserve and Provision transfers excluded from (Surplus)/Deficit on Provision of Services:</w:t>
            </w:r>
          </w:p>
        </w:tc>
        <w:tc>
          <w:tcPr>
            <w:tcW w:w="1180" w:type="dxa"/>
            <w:tcBorders>
              <w:top w:val="nil"/>
              <w:left w:val="nil"/>
              <w:bottom w:val="nil"/>
              <w:right w:val="single" w:sz="4" w:space="0" w:color="auto"/>
            </w:tcBorders>
            <w:shd w:val="clear" w:color="auto" w:fill="auto"/>
            <w:noWrap/>
            <w:vAlign w:val="center"/>
            <w:hideMark/>
          </w:tcPr>
          <w:p w14:paraId="54509411" w14:textId="77777777" w:rsidR="00743189" w:rsidRPr="00743189" w:rsidRDefault="00743189" w:rsidP="00743189">
            <w:pPr>
              <w:jc w:val="right"/>
              <w:rPr>
                <w:rFonts w:ascii="Verdana" w:eastAsia="Times New Roman" w:hAnsi="Verdana" w:cs="Times New Roman"/>
                <w:color w:val="000000"/>
                <w:sz w:val="20"/>
                <w:szCs w:val="20"/>
                <w:lang w:val="en-GB" w:eastAsia="en-GB"/>
              </w:rPr>
            </w:pPr>
            <w:r w:rsidRPr="00743189">
              <w:rPr>
                <w:rFonts w:ascii="Verdana" w:eastAsia="Times New Roman" w:hAnsi="Verdana" w:cs="Times New Roman"/>
                <w:color w:val="000000"/>
                <w:sz w:val="20"/>
                <w:szCs w:val="20"/>
                <w:lang w:val="en-GB" w:eastAsia="en-GB"/>
              </w:rPr>
              <w:t> </w:t>
            </w:r>
          </w:p>
        </w:tc>
      </w:tr>
      <w:tr w:rsidR="00743189" w:rsidRPr="00743189" w14:paraId="434BCB85" w14:textId="77777777" w:rsidTr="00743189">
        <w:trPr>
          <w:trHeight w:val="255"/>
          <w:jc w:val="center"/>
        </w:trPr>
        <w:tc>
          <w:tcPr>
            <w:tcW w:w="1180" w:type="dxa"/>
            <w:tcBorders>
              <w:top w:val="nil"/>
              <w:left w:val="single" w:sz="4" w:space="0" w:color="auto"/>
              <w:bottom w:val="nil"/>
              <w:right w:val="single" w:sz="4" w:space="0" w:color="auto"/>
            </w:tcBorders>
            <w:shd w:val="clear" w:color="auto" w:fill="auto"/>
            <w:noWrap/>
            <w:vAlign w:val="center"/>
            <w:hideMark/>
          </w:tcPr>
          <w:p w14:paraId="58F50339" w14:textId="77777777" w:rsidR="00743189" w:rsidRPr="00743189" w:rsidRDefault="00743189" w:rsidP="00743189">
            <w:pPr>
              <w:jc w:val="right"/>
              <w:rPr>
                <w:rFonts w:ascii="Verdana" w:eastAsia="Times New Roman" w:hAnsi="Verdana" w:cs="Times New Roman"/>
                <w:color w:val="000000"/>
                <w:sz w:val="20"/>
                <w:szCs w:val="20"/>
                <w:lang w:val="en-GB" w:eastAsia="en-GB"/>
              </w:rPr>
            </w:pPr>
            <w:r w:rsidRPr="00743189">
              <w:rPr>
                <w:rFonts w:ascii="Verdana" w:eastAsia="Times New Roman" w:hAnsi="Verdana" w:cs="Times New Roman"/>
                <w:color w:val="FF0000"/>
                <w:sz w:val="20"/>
                <w:szCs w:val="20"/>
                <w:lang w:val="en-GB" w:eastAsia="en-GB"/>
              </w:rPr>
              <w:t>(2.6)</w:t>
            </w:r>
          </w:p>
        </w:tc>
        <w:tc>
          <w:tcPr>
            <w:tcW w:w="7180" w:type="dxa"/>
            <w:tcBorders>
              <w:top w:val="nil"/>
              <w:left w:val="nil"/>
              <w:bottom w:val="nil"/>
              <w:right w:val="single" w:sz="4" w:space="0" w:color="auto"/>
            </w:tcBorders>
            <w:shd w:val="clear" w:color="000000" w:fill="FFFFFF"/>
            <w:vAlign w:val="center"/>
            <w:hideMark/>
          </w:tcPr>
          <w:p w14:paraId="4A898297" w14:textId="77777777" w:rsidR="00743189" w:rsidRPr="00743189" w:rsidRDefault="00743189" w:rsidP="00743189">
            <w:pPr>
              <w:rPr>
                <w:rFonts w:ascii="Verdana" w:eastAsia="Times New Roman" w:hAnsi="Verdana" w:cs="Times New Roman"/>
                <w:color w:val="000000"/>
                <w:sz w:val="20"/>
                <w:szCs w:val="20"/>
                <w:lang w:val="en-GB" w:eastAsia="en-GB"/>
              </w:rPr>
            </w:pPr>
            <w:r w:rsidRPr="00743189">
              <w:rPr>
                <w:rFonts w:ascii="Verdana" w:eastAsia="Times New Roman" w:hAnsi="Verdana" w:cs="Times New Roman"/>
                <w:color w:val="000000"/>
                <w:sz w:val="20"/>
                <w:szCs w:val="20"/>
                <w:lang w:val="en-GB" w:eastAsia="en-GB"/>
              </w:rPr>
              <w:t>Usable Reserves</w:t>
            </w:r>
          </w:p>
        </w:tc>
        <w:tc>
          <w:tcPr>
            <w:tcW w:w="1180" w:type="dxa"/>
            <w:tcBorders>
              <w:top w:val="nil"/>
              <w:left w:val="nil"/>
              <w:bottom w:val="nil"/>
              <w:right w:val="single" w:sz="4" w:space="0" w:color="auto"/>
            </w:tcBorders>
            <w:shd w:val="clear" w:color="auto" w:fill="auto"/>
            <w:noWrap/>
            <w:vAlign w:val="center"/>
            <w:hideMark/>
          </w:tcPr>
          <w:p w14:paraId="1863AF61" w14:textId="77777777" w:rsidR="00743189" w:rsidRPr="00743189" w:rsidRDefault="00743189" w:rsidP="00743189">
            <w:pPr>
              <w:jc w:val="right"/>
              <w:rPr>
                <w:rFonts w:ascii="Verdana" w:eastAsia="Times New Roman" w:hAnsi="Verdana" w:cs="Times New Roman"/>
                <w:color w:val="000000"/>
                <w:sz w:val="20"/>
                <w:szCs w:val="20"/>
                <w:lang w:val="en-GB" w:eastAsia="en-GB"/>
              </w:rPr>
            </w:pPr>
            <w:r w:rsidRPr="00743189">
              <w:rPr>
                <w:rFonts w:ascii="Verdana" w:eastAsia="Times New Roman" w:hAnsi="Verdana" w:cs="Times New Roman"/>
                <w:color w:val="000000"/>
                <w:sz w:val="20"/>
                <w:szCs w:val="20"/>
                <w:lang w:val="en-GB" w:eastAsia="en-GB"/>
              </w:rPr>
              <w:t>0.0</w:t>
            </w:r>
          </w:p>
        </w:tc>
      </w:tr>
      <w:tr w:rsidR="00743189" w:rsidRPr="00743189" w14:paraId="18FC6770" w14:textId="77777777" w:rsidTr="00743189">
        <w:trPr>
          <w:trHeight w:val="255"/>
          <w:jc w:val="center"/>
        </w:trPr>
        <w:tc>
          <w:tcPr>
            <w:tcW w:w="1180" w:type="dxa"/>
            <w:tcBorders>
              <w:top w:val="nil"/>
              <w:left w:val="single" w:sz="4" w:space="0" w:color="auto"/>
              <w:bottom w:val="nil"/>
              <w:right w:val="single" w:sz="4" w:space="0" w:color="auto"/>
            </w:tcBorders>
            <w:shd w:val="clear" w:color="auto" w:fill="auto"/>
            <w:noWrap/>
            <w:vAlign w:val="center"/>
            <w:hideMark/>
          </w:tcPr>
          <w:p w14:paraId="4DCB7865" w14:textId="77777777" w:rsidR="00743189" w:rsidRPr="00743189" w:rsidRDefault="00743189" w:rsidP="00743189">
            <w:pPr>
              <w:jc w:val="right"/>
              <w:rPr>
                <w:rFonts w:ascii="Verdana" w:eastAsia="Times New Roman" w:hAnsi="Verdana" w:cs="Times New Roman"/>
                <w:color w:val="000000"/>
                <w:sz w:val="20"/>
                <w:szCs w:val="20"/>
                <w:lang w:val="en-GB" w:eastAsia="en-GB"/>
              </w:rPr>
            </w:pPr>
            <w:r w:rsidRPr="00743189">
              <w:rPr>
                <w:rFonts w:ascii="Verdana" w:eastAsia="Times New Roman" w:hAnsi="Verdana" w:cs="Times New Roman"/>
                <w:color w:val="FF0000"/>
                <w:sz w:val="20"/>
                <w:szCs w:val="20"/>
                <w:lang w:val="en-GB" w:eastAsia="en-GB"/>
              </w:rPr>
              <w:t>(6.6)</w:t>
            </w:r>
          </w:p>
        </w:tc>
        <w:tc>
          <w:tcPr>
            <w:tcW w:w="7180" w:type="dxa"/>
            <w:tcBorders>
              <w:top w:val="nil"/>
              <w:left w:val="nil"/>
              <w:bottom w:val="nil"/>
              <w:right w:val="single" w:sz="4" w:space="0" w:color="auto"/>
            </w:tcBorders>
            <w:shd w:val="clear" w:color="000000" w:fill="FFFFFF"/>
            <w:vAlign w:val="center"/>
            <w:hideMark/>
          </w:tcPr>
          <w:p w14:paraId="11D694AF" w14:textId="77777777" w:rsidR="00743189" w:rsidRPr="00743189" w:rsidRDefault="00743189" w:rsidP="00743189">
            <w:pPr>
              <w:rPr>
                <w:rFonts w:ascii="Verdana" w:eastAsia="Times New Roman" w:hAnsi="Verdana" w:cs="Times New Roman"/>
                <w:color w:val="000000"/>
                <w:sz w:val="20"/>
                <w:szCs w:val="20"/>
                <w:lang w:val="en-GB" w:eastAsia="en-GB"/>
              </w:rPr>
            </w:pPr>
            <w:r w:rsidRPr="00743189">
              <w:rPr>
                <w:rFonts w:ascii="Verdana" w:eastAsia="Times New Roman" w:hAnsi="Verdana" w:cs="Times New Roman"/>
                <w:color w:val="000000"/>
                <w:sz w:val="20"/>
                <w:szCs w:val="20"/>
                <w:lang w:val="en-GB" w:eastAsia="en-GB"/>
              </w:rPr>
              <w:t>Financial year end accounting adjustments</w:t>
            </w:r>
          </w:p>
        </w:tc>
        <w:tc>
          <w:tcPr>
            <w:tcW w:w="1180" w:type="dxa"/>
            <w:tcBorders>
              <w:top w:val="nil"/>
              <w:left w:val="nil"/>
              <w:bottom w:val="nil"/>
              <w:right w:val="single" w:sz="4" w:space="0" w:color="auto"/>
            </w:tcBorders>
            <w:shd w:val="clear" w:color="auto" w:fill="auto"/>
            <w:noWrap/>
            <w:vAlign w:val="center"/>
            <w:hideMark/>
          </w:tcPr>
          <w:p w14:paraId="7012B6D1" w14:textId="711A7996" w:rsidR="00743189" w:rsidRPr="00743189" w:rsidRDefault="00DB179E" w:rsidP="00DB179E">
            <w:pPr>
              <w:jc w:val="right"/>
              <w:rPr>
                <w:rFonts w:ascii="Verdana" w:eastAsia="Times New Roman" w:hAnsi="Verdana" w:cs="Times New Roman"/>
                <w:color w:val="000000"/>
                <w:sz w:val="20"/>
                <w:szCs w:val="20"/>
                <w:lang w:val="en-GB" w:eastAsia="en-GB"/>
              </w:rPr>
            </w:pPr>
            <w:r>
              <w:rPr>
                <w:rFonts w:ascii="Verdana" w:eastAsia="Times New Roman" w:hAnsi="Verdana" w:cs="Times New Roman"/>
                <w:color w:val="000000"/>
                <w:sz w:val="20"/>
                <w:szCs w:val="20"/>
                <w:lang w:val="en-GB" w:eastAsia="en-GB"/>
              </w:rPr>
              <w:t>5</w:t>
            </w:r>
            <w:r w:rsidR="00743189" w:rsidRPr="00743189">
              <w:rPr>
                <w:rFonts w:ascii="Verdana" w:eastAsia="Times New Roman" w:hAnsi="Verdana" w:cs="Times New Roman"/>
                <w:color w:val="000000"/>
                <w:sz w:val="20"/>
                <w:szCs w:val="20"/>
                <w:lang w:val="en-GB" w:eastAsia="en-GB"/>
              </w:rPr>
              <w:t>.</w:t>
            </w:r>
            <w:r>
              <w:rPr>
                <w:rFonts w:ascii="Verdana" w:eastAsia="Times New Roman" w:hAnsi="Verdana" w:cs="Times New Roman"/>
                <w:color w:val="000000"/>
                <w:sz w:val="20"/>
                <w:szCs w:val="20"/>
                <w:lang w:val="en-GB" w:eastAsia="en-GB"/>
              </w:rPr>
              <w:t>4</w:t>
            </w:r>
          </w:p>
        </w:tc>
      </w:tr>
      <w:tr w:rsidR="00743189" w:rsidRPr="00743189" w14:paraId="4693DA0A" w14:textId="77777777" w:rsidTr="00743189">
        <w:trPr>
          <w:trHeight w:val="255"/>
          <w:jc w:val="center"/>
        </w:trPr>
        <w:tc>
          <w:tcPr>
            <w:tcW w:w="1180" w:type="dxa"/>
            <w:tcBorders>
              <w:top w:val="nil"/>
              <w:left w:val="single" w:sz="4" w:space="0" w:color="auto"/>
              <w:bottom w:val="nil"/>
              <w:right w:val="single" w:sz="4" w:space="0" w:color="auto"/>
            </w:tcBorders>
            <w:shd w:val="clear" w:color="auto" w:fill="auto"/>
            <w:noWrap/>
            <w:vAlign w:val="center"/>
            <w:hideMark/>
          </w:tcPr>
          <w:p w14:paraId="261902BD" w14:textId="77777777" w:rsidR="00743189" w:rsidRPr="00743189" w:rsidRDefault="00743189" w:rsidP="00743189">
            <w:pPr>
              <w:jc w:val="right"/>
              <w:rPr>
                <w:rFonts w:ascii="Verdana" w:eastAsia="Times New Roman" w:hAnsi="Verdana" w:cs="Times New Roman"/>
                <w:color w:val="000000"/>
                <w:sz w:val="20"/>
                <w:szCs w:val="20"/>
                <w:lang w:val="en-GB" w:eastAsia="en-GB"/>
              </w:rPr>
            </w:pPr>
            <w:r w:rsidRPr="00743189">
              <w:rPr>
                <w:rFonts w:ascii="Verdana" w:eastAsia="Times New Roman" w:hAnsi="Verdana" w:cs="Times New Roman"/>
                <w:color w:val="000000"/>
                <w:sz w:val="20"/>
                <w:szCs w:val="20"/>
                <w:lang w:val="en-GB" w:eastAsia="en-GB"/>
              </w:rPr>
              <w:t> </w:t>
            </w:r>
          </w:p>
        </w:tc>
        <w:tc>
          <w:tcPr>
            <w:tcW w:w="7180" w:type="dxa"/>
            <w:tcBorders>
              <w:top w:val="nil"/>
              <w:left w:val="nil"/>
              <w:bottom w:val="nil"/>
              <w:right w:val="single" w:sz="4" w:space="0" w:color="auto"/>
            </w:tcBorders>
            <w:shd w:val="clear" w:color="000000" w:fill="FFFFFF"/>
            <w:vAlign w:val="center"/>
            <w:hideMark/>
          </w:tcPr>
          <w:p w14:paraId="288AD857" w14:textId="77777777" w:rsidR="00743189" w:rsidRPr="00743189" w:rsidRDefault="00743189" w:rsidP="00743189">
            <w:pPr>
              <w:rPr>
                <w:rFonts w:ascii="Verdana" w:eastAsia="Times New Roman" w:hAnsi="Verdana" w:cs="Times New Roman"/>
                <w:b/>
                <w:bCs/>
                <w:i/>
                <w:iCs/>
                <w:color w:val="000000"/>
                <w:sz w:val="20"/>
                <w:szCs w:val="20"/>
                <w:lang w:val="en-GB" w:eastAsia="en-GB"/>
              </w:rPr>
            </w:pPr>
            <w:r w:rsidRPr="00743189">
              <w:rPr>
                <w:rFonts w:ascii="Verdana" w:eastAsia="Times New Roman" w:hAnsi="Verdana" w:cs="Times New Roman"/>
                <w:b/>
                <w:bCs/>
                <w:i/>
                <w:iCs/>
                <w:color w:val="000000"/>
                <w:sz w:val="20"/>
                <w:szCs w:val="20"/>
                <w:lang w:val="en-GB" w:eastAsia="en-GB"/>
              </w:rPr>
              <w:t>Amounts in the CIES not in the outturn report:</w:t>
            </w:r>
          </w:p>
        </w:tc>
        <w:tc>
          <w:tcPr>
            <w:tcW w:w="1180" w:type="dxa"/>
            <w:tcBorders>
              <w:top w:val="nil"/>
              <w:left w:val="nil"/>
              <w:bottom w:val="nil"/>
              <w:right w:val="single" w:sz="4" w:space="0" w:color="auto"/>
            </w:tcBorders>
            <w:shd w:val="clear" w:color="auto" w:fill="auto"/>
            <w:noWrap/>
            <w:vAlign w:val="center"/>
            <w:hideMark/>
          </w:tcPr>
          <w:p w14:paraId="719A469D" w14:textId="77777777" w:rsidR="00743189" w:rsidRPr="00743189" w:rsidRDefault="00743189" w:rsidP="00743189">
            <w:pPr>
              <w:jc w:val="right"/>
              <w:rPr>
                <w:rFonts w:ascii="Verdana" w:eastAsia="Times New Roman" w:hAnsi="Verdana" w:cs="Times New Roman"/>
                <w:color w:val="000000"/>
                <w:sz w:val="20"/>
                <w:szCs w:val="20"/>
                <w:lang w:val="en-GB" w:eastAsia="en-GB"/>
              </w:rPr>
            </w:pPr>
            <w:r w:rsidRPr="00743189">
              <w:rPr>
                <w:rFonts w:ascii="Verdana" w:eastAsia="Times New Roman" w:hAnsi="Verdana" w:cs="Times New Roman"/>
                <w:color w:val="000000"/>
                <w:sz w:val="20"/>
                <w:szCs w:val="20"/>
                <w:lang w:val="en-GB" w:eastAsia="en-GB"/>
              </w:rPr>
              <w:t> </w:t>
            </w:r>
          </w:p>
        </w:tc>
      </w:tr>
      <w:tr w:rsidR="00743189" w:rsidRPr="00743189" w14:paraId="5ED9AD8D" w14:textId="77777777" w:rsidTr="00743189">
        <w:trPr>
          <w:trHeight w:val="255"/>
          <w:jc w:val="center"/>
        </w:trPr>
        <w:tc>
          <w:tcPr>
            <w:tcW w:w="1180" w:type="dxa"/>
            <w:tcBorders>
              <w:top w:val="nil"/>
              <w:left w:val="single" w:sz="4" w:space="0" w:color="auto"/>
              <w:bottom w:val="nil"/>
              <w:right w:val="single" w:sz="4" w:space="0" w:color="auto"/>
            </w:tcBorders>
            <w:shd w:val="clear" w:color="auto" w:fill="auto"/>
            <w:noWrap/>
            <w:vAlign w:val="center"/>
            <w:hideMark/>
          </w:tcPr>
          <w:p w14:paraId="312085C7" w14:textId="77777777" w:rsidR="00743189" w:rsidRPr="00743189" w:rsidRDefault="00743189" w:rsidP="00743189">
            <w:pPr>
              <w:jc w:val="right"/>
              <w:rPr>
                <w:rFonts w:ascii="Verdana" w:eastAsia="Times New Roman" w:hAnsi="Verdana" w:cs="Times New Roman"/>
                <w:color w:val="000000"/>
                <w:sz w:val="20"/>
                <w:szCs w:val="20"/>
                <w:lang w:val="en-GB" w:eastAsia="en-GB"/>
              </w:rPr>
            </w:pPr>
            <w:r w:rsidRPr="00743189">
              <w:rPr>
                <w:rFonts w:ascii="Verdana" w:eastAsia="Times New Roman" w:hAnsi="Verdana" w:cs="Times New Roman"/>
                <w:color w:val="000000"/>
                <w:sz w:val="20"/>
                <w:szCs w:val="20"/>
                <w:lang w:val="en-GB" w:eastAsia="en-GB"/>
              </w:rPr>
              <w:t>11.2</w:t>
            </w:r>
          </w:p>
        </w:tc>
        <w:tc>
          <w:tcPr>
            <w:tcW w:w="7180" w:type="dxa"/>
            <w:tcBorders>
              <w:top w:val="nil"/>
              <w:left w:val="nil"/>
              <w:bottom w:val="nil"/>
              <w:right w:val="single" w:sz="4" w:space="0" w:color="auto"/>
            </w:tcBorders>
            <w:shd w:val="clear" w:color="000000" w:fill="FFFFFF"/>
            <w:vAlign w:val="center"/>
            <w:hideMark/>
          </w:tcPr>
          <w:p w14:paraId="47B8FC75" w14:textId="77777777" w:rsidR="00743189" w:rsidRPr="00743189" w:rsidRDefault="00743189" w:rsidP="00743189">
            <w:pPr>
              <w:rPr>
                <w:rFonts w:ascii="Verdana" w:eastAsia="Times New Roman" w:hAnsi="Verdana" w:cs="Times New Roman"/>
                <w:color w:val="000000"/>
                <w:sz w:val="20"/>
                <w:szCs w:val="20"/>
                <w:lang w:val="en-GB" w:eastAsia="en-GB"/>
              </w:rPr>
            </w:pPr>
            <w:r w:rsidRPr="00743189">
              <w:rPr>
                <w:rFonts w:ascii="Verdana" w:eastAsia="Times New Roman" w:hAnsi="Verdana" w:cs="Times New Roman"/>
                <w:color w:val="000000"/>
                <w:sz w:val="20"/>
                <w:szCs w:val="20"/>
                <w:lang w:val="en-GB" w:eastAsia="en-GB"/>
              </w:rPr>
              <w:t>Depreciation &amp; Amortisation</w:t>
            </w:r>
          </w:p>
        </w:tc>
        <w:tc>
          <w:tcPr>
            <w:tcW w:w="1180" w:type="dxa"/>
            <w:tcBorders>
              <w:top w:val="nil"/>
              <w:left w:val="nil"/>
              <w:bottom w:val="nil"/>
              <w:right w:val="single" w:sz="4" w:space="0" w:color="auto"/>
            </w:tcBorders>
            <w:shd w:val="clear" w:color="auto" w:fill="auto"/>
            <w:noWrap/>
            <w:vAlign w:val="center"/>
            <w:hideMark/>
          </w:tcPr>
          <w:p w14:paraId="1EB9F431" w14:textId="77777777" w:rsidR="00743189" w:rsidRPr="00743189" w:rsidRDefault="00743189" w:rsidP="00743189">
            <w:pPr>
              <w:jc w:val="right"/>
              <w:rPr>
                <w:rFonts w:ascii="Verdana" w:eastAsia="Times New Roman" w:hAnsi="Verdana" w:cs="Times New Roman"/>
                <w:color w:val="000000"/>
                <w:sz w:val="20"/>
                <w:szCs w:val="20"/>
                <w:lang w:val="en-GB" w:eastAsia="en-GB"/>
              </w:rPr>
            </w:pPr>
            <w:r w:rsidRPr="00743189">
              <w:rPr>
                <w:rFonts w:ascii="Verdana" w:eastAsia="Times New Roman" w:hAnsi="Verdana" w:cs="Times New Roman"/>
                <w:color w:val="000000"/>
                <w:sz w:val="20"/>
                <w:szCs w:val="20"/>
                <w:lang w:val="en-GB" w:eastAsia="en-GB"/>
              </w:rPr>
              <w:t>10.5</w:t>
            </w:r>
          </w:p>
        </w:tc>
      </w:tr>
      <w:tr w:rsidR="00743189" w:rsidRPr="00743189" w14:paraId="417E9F2D" w14:textId="77777777" w:rsidTr="00743189">
        <w:trPr>
          <w:trHeight w:val="255"/>
          <w:jc w:val="center"/>
        </w:trPr>
        <w:tc>
          <w:tcPr>
            <w:tcW w:w="1180" w:type="dxa"/>
            <w:tcBorders>
              <w:top w:val="nil"/>
              <w:left w:val="single" w:sz="4" w:space="0" w:color="auto"/>
              <w:bottom w:val="nil"/>
              <w:right w:val="single" w:sz="4" w:space="0" w:color="auto"/>
            </w:tcBorders>
            <w:shd w:val="clear" w:color="auto" w:fill="auto"/>
            <w:noWrap/>
            <w:vAlign w:val="center"/>
            <w:hideMark/>
          </w:tcPr>
          <w:p w14:paraId="5FE3EB70" w14:textId="77777777" w:rsidR="00743189" w:rsidRPr="00743189" w:rsidRDefault="00743189" w:rsidP="00743189">
            <w:pPr>
              <w:jc w:val="right"/>
              <w:rPr>
                <w:rFonts w:ascii="Verdana" w:eastAsia="Times New Roman" w:hAnsi="Verdana" w:cs="Times New Roman"/>
                <w:color w:val="000000"/>
                <w:sz w:val="20"/>
                <w:szCs w:val="20"/>
                <w:lang w:val="en-GB" w:eastAsia="en-GB"/>
              </w:rPr>
            </w:pPr>
            <w:r w:rsidRPr="00743189">
              <w:rPr>
                <w:rFonts w:ascii="Verdana" w:eastAsia="Times New Roman" w:hAnsi="Verdana" w:cs="Times New Roman"/>
                <w:color w:val="000000"/>
                <w:sz w:val="20"/>
                <w:szCs w:val="20"/>
                <w:lang w:val="en-GB" w:eastAsia="en-GB"/>
              </w:rPr>
              <w:t>27.2</w:t>
            </w:r>
          </w:p>
        </w:tc>
        <w:tc>
          <w:tcPr>
            <w:tcW w:w="7180" w:type="dxa"/>
            <w:tcBorders>
              <w:top w:val="nil"/>
              <w:left w:val="nil"/>
              <w:bottom w:val="nil"/>
              <w:right w:val="single" w:sz="4" w:space="0" w:color="auto"/>
            </w:tcBorders>
            <w:shd w:val="clear" w:color="000000" w:fill="FFFFFF"/>
            <w:vAlign w:val="center"/>
            <w:hideMark/>
          </w:tcPr>
          <w:p w14:paraId="45CC1322" w14:textId="77777777" w:rsidR="00743189" w:rsidRPr="00743189" w:rsidRDefault="00743189" w:rsidP="00743189">
            <w:pPr>
              <w:rPr>
                <w:rFonts w:ascii="Verdana" w:eastAsia="Times New Roman" w:hAnsi="Verdana" w:cs="Times New Roman"/>
                <w:color w:val="000000"/>
                <w:sz w:val="20"/>
                <w:szCs w:val="20"/>
                <w:lang w:val="en-GB" w:eastAsia="en-GB"/>
              </w:rPr>
            </w:pPr>
            <w:r w:rsidRPr="00743189">
              <w:rPr>
                <w:rFonts w:ascii="Verdana" w:eastAsia="Times New Roman" w:hAnsi="Verdana" w:cs="Times New Roman"/>
                <w:color w:val="000000"/>
                <w:sz w:val="20"/>
                <w:szCs w:val="20"/>
                <w:lang w:val="en-GB" w:eastAsia="en-GB"/>
              </w:rPr>
              <w:t>Pensions</w:t>
            </w:r>
          </w:p>
        </w:tc>
        <w:tc>
          <w:tcPr>
            <w:tcW w:w="1180" w:type="dxa"/>
            <w:tcBorders>
              <w:top w:val="nil"/>
              <w:left w:val="nil"/>
              <w:bottom w:val="nil"/>
              <w:right w:val="single" w:sz="4" w:space="0" w:color="auto"/>
            </w:tcBorders>
            <w:shd w:val="clear" w:color="auto" w:fill="auto"/>
            <w:noWrap/>
            <w:vAlign w:val="center"/>
            <w:hideMark/>
          </w:tcPr>
          <w:p w14:paraId="4106EB53" w14:textId="77777777" w:rsidR="00743189" w:rsidRPr="00743189" w:rsidRDefault="00743189" w:rsidP="00743189">
            <w:pPr>
              <w:jc w:val="right"/>
              <w:rPr>
                <w:rFonts w:ascii="Verdana" w:eastAsia="Times New Roman" w:hAnsi="Verdana" w:cs="Times New Roman"/>
                <w:color w:val="000000"/>
                <w:sz w:val="20"/>
                <w:szCs w:val="20"/>
                <w:lang w:val="en-GB" w:eastAsia="en-GB"/>
              </w:rPr>
            </w:pPr>
            <w:r w:rsidRPr="00743189">
              <w:rPr>
                <w:rFonts w:ascii="Verdana" w:eastAsia="Times New Roman" w:hAnsi="Verdana" w:cs="Times New Roman"/>
                <w:color w:val="000000"/>
                <w:sz w:val="20"/>
                <w:szCs w:val="20"/>
                <w:lang w:val="en-GB" w:eastAsia="en-GB"/>
              </w:rPr>
              <w:t>21.7</w:t>
            </w:r>
          </w:p>
        </w:tc>
      </w:tr>
      <w:tr w:rsidR="00743189" w:rsidRPr="00743189" w14:paraId="192C42BB" w14:textId="77777777" w:rsidTr="00743189">
        <w:trPr>
          <w:trHeight w:val="255"/>
          <w:jc w:val="cent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D5AE3" w14:textId="77777777" w:rsidR="00743189" w:rsidRPr="00743189" w:rsidRDefault="00743189" w:rsidP="00743189">
            <w:pPr>
              <w:jc w:val="right"/>
              <w:rPr>
                <w:rFonts w:ascii="Verdana" w:eastAsia="Times New Roman" w:hAnsi="Verdana" w:cs="Times New Roman"/>
                <w:b/>
                <w:bCs/>
                <w:color w:val="000000"/>
                <w:sz w:val="20"/>
                <w:szCs w:val="20"/>
                <w:lang w:val="en-GB" w:eastAsia="en-GB"/>
              </w:rPr>
            </w:pPr>
            <w:r w:rsidRPr="00743189">
              <w:rPr>
                <w:rFonts w:ascii="Verdana" w:eastAsia="Times New Roman" w:hAnsi="Verdana" w:cs="Times New Roman"/>
                <w:b/>
                <w:bCs/>
                <w:color w:val="000000"/>
                <w:sz w:val="20"/>
                <w:szCs w:val="20"/>
                <w:lang w:val="en-GB" w:eastAsia="en-GB"/>
              </w:rPr>
              <w:t>260.8</w:t>
            </w:r>
          </w:p>
        </w:tc>
        <w:tc>
          <w:tcPr>
            <w:tcW w:w="7180" w:type="dxa"/>
            <w:tcBorders>
              <w:top w:val="single" w:sz="4" w:space="0" w:color="auto"/>
              <w:left w:val="nil"/>
              <w:bottom w:val="single" w:sz="4" w:space="0" w:color="auto"/>
              <w:right w:val="single" w:sz="4" w:space="0" w:color="auto"/>
            </w:tcBorders>
            <w:shd w:val="clear" w:color="000000" w:fill="FFFFFF"/>
            <w:vAlign w:val="center"/>
            <w:hideMark/>
          </w:tcPr>
          <w:p w14:paraId="628492A0" w14:textId="77777777" w:rsidR="00743189" w:rsidRPr="00743189" w:rsidRDefault="00743189" w:rsidP="00743189">
            <w:pPr>
              <w:rPr>
                <w:rFonts w:ascii="Verdana" w:eastAsia="Times New Roman" w:hAnsi="Verdana" w:cs="Times New Roman"/>
                <w:b/>
                <w:bCs/>
                <w:color w:val="000000"/>
                <w:sz w:val="20"/>
                <w:szCs w:val="20"/>
                <w:lang w:val="en-GB" w:eastAsia="en-GB"/>
              </w:rPr>
            </w:pPr>
            <w:r w:rsidRPr="00743189">
              <w:rPr>
                <w:rFonts w:ascii="Verdana" w:eastAsia="Times New Roman" w:hAnsi="Verdana" w:cs="Times New Roman"/>
                <w:b/>
                <w:bCs/>
                <w:color w:val="000000"/>
                <w:sz w:val="20"/>
                <w:szCs w:val="20"/>
                <w:lang w:val="en-GB" w:eastAsia="en-GB"/>
              </w:rPr>
              <w:t>Net Cost of Services</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12F9EE00" w14:textId="56C70524" w:rsidR="00743189" w:rsidRPr="00743189" w:rsidRDefault="00743189">
            <w:pPr>
              <w:jc w:val="right"/>
              <w:rPr>
                <w:rFonts w:ascii="Verdana" w:eastAsia="Times New Roman" w:hAnsi="Verdana" w:cs="Times New Roman"/>
                <w:b/>
                <w:bCs/>
                <w:color w:val="000000"/>
                <w:sz w:val="20"/>
                <w:szCs w:val="20"/>
                <w:lang w:val="en-GB" w:eastAsia="en-GB"/>
              </w:rPr>
            </w:pPr>
            <w:r w:rsidRPr="00743189">
              <w:rPr>
                <w:rFonts w:ascii="Verdana" w:eastAsia="Times New Roman" w:hAnsi="Verdana" w:cs="Times New Roman"/>
                <w:b/>
                <w:bCs/>
                <w:color w:val="000000"/>
                <w:sz w:val="20"/>
                <w:szCs w:val="20"/>
                <w:lang w:val="en-GB" w:eastAsia="en-GB"/>
              </w:rPr>
              <w:t>28</w:t>
            </w:r>
            <w:r w:rsidR="00DB179E">
              <w:rPr>
                <w:rFonts w:ascii="Verdana" w:eastAsia="Times New Roman" w:hAnsi="Verdana" w:cs="Times New Roman"/>
                <w:b/>
                <w:bCs/>
                <w:color w:val="000000"/>
                <w:sz w:val="20"/>
                <w:szCs w:val="20"/>
                <w:lang w:val="en-GB" w:eastAsia="en-GB"/>
              </w:rPr>
              <w:t>3</w:t>
            </w:r>
            <w:r w:rsidRPr="00743189">
              <w:rPr>
                <w:rFonts w:ascii="Verdana" w:eastAsia="Times New Roman" w:hAnsi="Verdana" w:cs="Times New Roman"/>
                <w:b/>
                <w:bCs/>
                <w:color w:val="000000"/>
                <w:sz w:val="20"/>
                <w:szCs w:val="20"/>
                <w:lang w:val="en-GB" w:eastAsia="en-GB"/>
              </w:rPr>
              <w:t>.</w:t>
            </w:r>
            <w:r w:rsidR="00DB179E">
              <w:rPr>
                <w:rFonts w:ascii="Verdana" w:eastAsia="Times New Roman" w:hAnsi="Verdana" w:cs="Times New Roman"/>
                <w:b/>
                <w:bCs/>
                <w:color w:val="000000"/>
                <w:sz w:val="20"/>
                <w:szCs w:val="20"/>
                <w:lang w:val="en-GB" w:eastAsia="en-GB"/>
              </w:rPr>
              <w:t>5</w:t>
            </w:r>
          </w:p>
        </w:tc>
      </w:tr>
      <w:tr w:rsidR="00743189" w:rsidRPr="00743189" w14:paraId="080DC4A8" w14:textId="77777777" w:rsidTr="00743189">
        <w:trPr>
          <w:trHeight w:val="510"/>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208B369" w14:textId="77777777" w:rsidR="00743189" w:rsidRPr="00743189" w:rsidRDefault="00743189" w:rsidP="00743189">
            <w:pPr>
              <w:jc w:val="right"/>
              <w:rPr>
                <w:rFonts w:ascii="Verdana" w:eastAsia="Times New Roman" w:hAnsi="Verdana" w:cs="Times New Roman"/>
                <w:color w:val="000000"/>
                <w:sz w:val="20"/>
                <w:szCs w:val="20"/>
                <w:lang w:val="en-GB" w:eastAsia="en-GB"/>
              </w:rPr>
            </w:pPr>
            <w:r w:rsidRPr="00743189">
              <w:rPr>
                <w:rFonts w:ascii="Verdana" w:eastAsia="Times New Roman" w:hAnsi="Verdana" w:cs="Times New Roman"/>
                <w:color w:val="FF0000"/>
                <w:sz w:val="20"/>
                <w:szCs w:val="20"/>
                <w:lang w:val="en-GB" w:eastAsia="en-GB"/>
              </w:rPr>
              <w:t>(251.3)</w:t>
            </w:r>
          </w:p>
        </w:tc>
        <w:tc>
          <w:tcPr>
            <w:tcW w:w="7180" w:type="dxa"/>
            <w:tcBorders>
              <w:top w:val="nil"/>
              <w:left w:val="nil"/>
              <w:bottom w:val="single" w:sz="4" w:space="0" w:color="auto"/>
              <w:right w:val="single" w:sz="4" w:space="0" w:color="auto"/>
            </w:tcBorders>
            <w:shd w:val="clear" w:color="000000" w:fill="FFFFFF"/>
            <w:vAlign w:val="center"/>
            <w:hideMark/>
          </w:tcPr>
          <w:p w14:paraId="32D794D1" w14:textId="77777777" w:rsidR="00743189" w:rsidRPr="00743189" w:rsidRDefault="00743189" w:rsidP="00743189">
            <w:pPr>
              <w:rPr>
                <w:rFonts w:ascii="Verdana" w:eastAsia="Times New Roman" w:hAnsi="Verdana" w:cs="Times New Roman"/>
                <w:color w:val="000000"/>
                <w:sz w:val="20"/>
                <w:szCs w:val="20"/>
                <w:lang w:val="en-GB" w:eastAsia="en-GB"/>
              </w:rPr>
            </w:pPr>
            <w:r w:rsidRPr="00743189">
              <w:rPr>
                <w:rFonts w:ascii="Verdana" w:eastAsia="Times New Roman" w:hAnsi="Verdana" w:cs="Times New Roman"/>
                <w:color w:val="000000"/>
                <w:sz w:val="20"/>
                <w:szCs w:val="20"/>
                <w:lang w:val="en-GB" w:eastAsia="en-GB"/>
              </w:rPr>
              <w:t>Intra-group Adjustment from PCC to CC for resources consumed at the request of the Chief Constable</w:t>
            </w:r>
          </w:p>
        </w:tc>
        <w:tc>
          <w:tcPr>
            <w:tcW w:w="1180" w:type="dxa"/>
            <w:tcBorders>
              <w:top w:val="nil"/>
              <w:left w:val="nil"/>
              <w:bottom w:val="single" w:sz="4" w:space="0" w:color="auto"/>
              <w:right w:val="single" w:sz="4" w:space="0" w:color="auto"/>
            </w:tcBorders>
            <w:shd w:val="clear" w:color="auto" w:fill="auto"/>
            <w:noWrap/>
            <w:vAlign w:val="center"/>
            <w:hideMark/>
          </w:tcPr>
          <w:p w14:paraId="1374EF51" w14:textId="72C492DC" w:rsidR="00743189" w:rsidRPr="00743189" w:rsidRDefault="00743189">
            <w:pPr>
              <w:jc w:val="right"/>
              <w:rPr>
                <w:rFonts w:ascii="Verdana" w:eastAsia="Times New Roman" w:hAnsi="Verdana" w:cs="Times New Roman"/>
                <w:color w:val="000000"/>
                <w:sz w:val="20"/>
                <w:szCs w:val="20"/>
                <w:lang w:val="en-GB" w:eastAsia="en-GB"/>
              </w:rPr>
            </w:pPr>
            <w:r w:rsidRPr="00743189">
              <w:rPr>
                <w:rFonts w:ascii="Verdana" w:eastAsia="Times New Roman" w:hAnsi="Verdana" w:cs="Times New Roman"/>
                <w:color w:val="FF0000"/>
                <w:sz w:val="20"/>
                <w:szCs w:val="20"/>
                <w:lang w:val="en-GB" w:eastAsia="en-GB"/>
              </w:rPr>
              <w:t>(26</w:t>
            </w:r>
            <w:r w:rsidR="00DB179E">
              <w:rPr>
                <w:rFonts w:ascii="Verdana" w:eastAsia="Times New Roman" w:hAnsi="Verdana" w:cs="Times New Roman"/>
                <w:color w:val="FF0000"/>
                <w:sz w:val="20"/>
                <w:szCs w:val="20"/>
                <w:lang w:val="en-GB" w:eastAsia="en-GB"/>
              </w:rPr>
              <w:t>0</w:t>
            </w:r>
            <w:r w:rsidRPr="00743189">
              <w:rPr>
                <w:rFonts w:ascii="Verdana" w:eastAsia="Times New Roman" w:hAnsi="Verdana" w:cs="Times New Roman"/>
                <w:color w:val="FF0000"/>
                <w:sz w:val="20"/>
                <w:szCs w:val="20"/>
                <w:lang w:val="en-GB" w:eastAsia="en-GB"/>
              </w:rPr>
              <w:t>.</w:t>
            </w:r>
            <w:r w:rsidR="00DB179E">
              <w:rPr>
                <w:rFonts w:ascii="Verdana" w:eastAsia="Times New Roman" w:hAnsi="Verdana" w:cs="Times New Roman"/>
                <w:color w:val="FF0000"/>
                <w:sz w:val="20"/>
                <w:szCs w:val="20"/>
                <w:lang w:val="en-GB" w:eastAsia="en-GB"/>
              </w:rPr>
              <w:t>9</w:t>
            </w:r>
            <w:r w:rsidRPr="00743189">
              <w:rPr>
                <w:rFonts w:ascii="Verdana" w:eastAsia="Times New Roman" w:hAnsi="Verdana" w:cs="Times New Roman"/>
                <w:color w:val="FF0000"/>
                <w:sz w:val="20"/>
                <w:szCs w:val="20"/>
                <w:lang w:val="en-GB" w:eastAsia="en-GB"/>
              </w:rPr>
              <w:t>)</w:t>
            </w:r>
          </w:p>
        </w:tc>
      </w:tr>
      <w:tr w:rsidR="00743189" w:rsidRPr="00743189" w14:paraId="49844C05" w14:textId="77777777" w:rsidTr="00743189">
        <w:trPr>
          <w:trHeight w:val="510"/>
          <w:jc w:val="center"/>
        </w:trPr>
        <w:tc>
          <w:tcPr>
            <w:tcW w:w="1180" w:type="dxa"/>
            <w:tcBorders>
              <w:top w:val="nil"/>
              <w:left w:val="single" w:sz="4" w:space="0" w:color="auto"/>
              <w:bottom w:val="nil"/>
              <w:right w:val="single" w:sz="4" w:space="0" w:color="auto"/>
            </w:tcBorders>
            <w:shd w:val="clear" w:color="auto" w:fill="auto"/>
            <w:noWrap/>
            <w:vAlign w:val="center"/>
            <w:hideMark/>
          </w:tcPr>
          <w:p w14:paraId="133E066C" w14:textId="77777777" w:rsidR="00743189" w:rsidRPr="00743189" w:rsidRDefault="00743189" w:rsidP="00743189">
            <w:pPr>
              <w:jc w:val="right"/>
              <w:rPr>
                <w:rFonts w:ascii="Verdana" w:eastAsia="Times New Roman" w:hAnsi="Verdana" w:cs="Times New Roman"/>
                <w:color w:val="000000"/>
                <w:sz w:val="20"/>
                <w:szCs w:val="20"/>
                <w:lang w:val="en-GB" w:eastAsia="en-GB"/>
              </w:rPr>
            </w:pPr>
            <w:r w:rsidRPr="00743189">
              <w:rPr>
                <w:rFonts w:ascii="Verdana" w:eastAsia="Times New Roman" w:hAnsi="Verdana" w:cs="Times New Roman"/>
                <w:color w:val="000000"/>
                <w:sz w:val="20"/>
                <w:szCs w:val="20"/>
                <w:lang w:val="en-GB" w:eastAsia="en-GB"/>
              </w:rPr>
              <w:t>53.1</w:t>
            </w:r>
          </w:p>
        </w:tc>
        <w:tc>
          <w:tcPr>
            <w:tcW w:w="7180" w:type="dxa"/>
            <w:tcBorders>
              <w:top w:val="nil"/>
              <w:left w:val="nil"/>
              <w:bottom w:val="nil"/>
              <w:right w:val="single" w:sz="4" w:space="0" w:color="auto"/>
            </w:tcBorders>
            <w:shd w:val="clear" w:color="000000" w:fill="FFFFFF"/>
            <w:vAlign w:val="center"/>
            <w:hideMark/>
          </w:tcPr>
          <w:p w14:paraId="4D892936" w14:textId="77777777" w:rsidR="00743189" w:rsidRPr="00743189" w:rsidRDefault="00743189" w:rsidP="00743189">
            <w:pPr>
              <w:rPr>
                <w:rFonts w:ascii="Verdana" w:eastAsia="Times New Roman" w:hAnsi="Verdana" w:cs="Times New Roman"/>
                <w:color w:val="000000"/>
                <w:sz w:val="20"/>
                <w:szCs w:val="20"/>
                <w:lang w:val="en-GB" w:eastAsia="en-GB"/>
              </w:rPr>
            </w:pPr>
            <w:r w:rsidRPr="00743189">
              <w:rPr>
                <w:rFonts w:ascii="Verdana" w:eastAsia="Times New Roman" w:hAnsi="Verdana" w:cs="Times New Roman"/>
                <w:color w:val="000000"/>
                <w:sz w:val="20"/>
                <w:szCs w:val="20"/>
                <w:lang w:val="en-GB" w:eastAsia="en-GB"/>
              </w:rPr>
              <w:t>Financing and Investment Income &amp; Expenditure including Pension Interest costs and expected return on pension assets</w:t>
            </w:r>
          </w:p>
        </w:tc>
        <w:tc>
          <w:tcPr>
            <w:tcW w:w="1180" w:type="dxa"/>
            <w:tcBorders>
              <w:top w:val="nil"/>
              <w:left w:val="nil"/>
              <w:bottom w:val="nil"/>
              <w:right w:val="single" w:sz="4" w:space="0" w:color="auto"/>
            </w:tcBorders>
            <w:shd w:val="clear" w:color="auto" w:fill="auto"/>
            <w:noWrap/>
            <w:vAlign w:val="center"/>
            <w:hideMark/>
          </w:tcPr>
          <w:p w14:paraId="21FEDD80" w14:textId="77777777" w:rsidR="00743189" w:rsidRPr="00743189" w:rsidRDefault="00743189" w:rsidP="00743189">
            <w:pPr>
              <w:jc w:val="right"/>
              <w:rPr>
                <w:rFonts w:ascii="Verdana" w:eastAsia="Times New Roman" w:hAnsi="Verdana" w:cs="Times New Roman"/>
                <w:color w:val="000000"/>
                <w:sz w:val="20"/>
                <w:szCs w:val="20"/>
                <w:lang w:val="en-GB" w:eastAsia="en-GB"/>
              </w:rPr>
            </w:pPr>
            <w:r w:rsidRPr="00743189">
              <w:rPr>
                <w:rFonts w:ascii="Verdana" w:eastAsia="Times New Roman" w:hAnsi="Verdana" w:cs="Times New Roman"/>
                <w:color w:val="000000"/>
                <w:sz w:val="20"/>
                <w:szCs w:val="20"/>
                <w:lang w:val="en-GB" w:eastAsia="en-GB"/>
              </w:rPr>
              <w:t>45.9</w:t>
            </w:r>
          </w:p>
        </w:tc>
      </w:tr>
      <w:tr w:rsidR="00743189" w:rsidRPr="00743189" w14:paraId="09DEBC45" w14:textId="77777777" w:rsidTr="00743189">
        <w:trPr>
          <w:trHeight w:val="255"/>
          <w:jc w:val="center"/>
        </w:trPr>
        <w:tc>
          <w:tcPr>
            <w:tcW w:w="1180" w:type="dxa"/>
            <w:tcBorders>
              <w:top w:val="nil"/>
              <w:left w:val="single" w:sz="4" w:space="0" w:color="auto"/>
              <w:bottom w:val="nil"/>
              <w:right w:val="single" w:sz="4" w:space="0" w:color="auto"/>
            </w:tcBorders>
            <w:shd w:val="clear" w:color="auto" w:fill="auto"/>
            <w:noWrap/>
            <w:vAlign w:val="center"/>
            <w:hideMark/>
          </w:tcPr>
          <w:p w14:paraId="73653175" w14:textId="77777777" w:rsidR="00743189" w:rsidRPr="00743189" w:rsidRDefault="00743189" w:rsidP="00743189">
            <w:pPr>
              <w:jc w:val="right"/>
              <w:rPr>
                <w:rFonts w:ascii="Verdana" w:eastAsia="Times New Roman" w:hAnsi="Verdana" w:cs="Times New Roman"/>
                <w:color w:val="000000"/>
                <w:sz w:val="20"/>
                <w:szCs w:val="20"/>
                <w:lang w:val="en-GB" w:eastAsia="en-GB"/>
              </w:rPr>
            </w:pPr>
            <w:r w:rsidRPr="00743189">
              <w:rPr>
                <w:rFonts w:ascii="Verdana" w:eastAsia="Times New Roman" w:hAnsi="Verdana" w:cs="Times New Roman"/>
                <w:color w:val="000000"/>
                <w:sz w:val="20"/>
                <w:szCs w:val="20"/>
                <w:lang w:val="en-GB" w:eastAsia="en-GB"/>
              </w:rPr>
              <w:t>0.5</w:t>
            </w:r>
          </w:p>
        </w:tc>
        <w:tc>
          <w:tcPr>
            <w:tcW w:w="7180" w:type="dxa"/>
            <w:tcBorders>
              <w:top w:val="nil"/>
              <w:left w:val="nil"/>
              <w:bottom w:val="nil"/>
              <w:right w:val="single" w:sz="4" w:space="0" w:color="auto"/>
            </w:tcBorders>
            <w:shd w:val="clear" w:color="000000" w:fill="FFFFFF"/>
            <w:vAlign w:val="center"/>
            <w:hideMark/>
          </w:tcPr>
          <w:p w14:paraId="0C2746F3" w14:textId="77777777" w:rsidR="00743189" w:rsidRPr="00743189" w:rsidRDefault="00743189" w:rsidP="00743189">
            <w:pPr>
              <w:rPr>
                <w:rFonts w:ascii="Verdana" w:eastAsia="Times New Roman" w:hAnsi="Verdana" w:cs="Times New Roman"/>
                <w:color w:val="000000"/>
                <w:sz w:val="20"/>
                <w:szCs w:val="20"/>
                <w:lang w:val="en-GB" w:eastAsia="en-GB"/>
              </w:rPr>
            </w:pPr>
            <w:r w:rsidRPr="00743189">
              <w:rPr>
                <w:rFonts w:ascii="Verdana" w:eastAsia="Times New Roman" w:hAnsi="Verdana" w:cs="Times New Roman"/>
                <w:color w:val="000000"/>
                <w:sz w:val="20"/>
                <w:szCs w:val="20"/>
                <w:lang w:val="en-GB" w:eastAsia="en-GB"/>
              </w:rPr>
              <w:t>Levies &amp; other operating expenditure</w:t>
            </w:r>
          </w:p>
        </w:tc>
        <w:tc>
          <w:tcPr>
            <w:tcW w:w="1180" w:type="dxa"/>
            <w:tcBorders>
              <w:top w:val="nil"/>
              <w:left w:val="nil"/>
              <w:bottom w:val="nil"/>
              <w:right w:val="single" w:sz="4" w:space="0" w:color="auto"/>
            </w:tcBorders>
            <w:shd w:val="clear" w:color="auto" w:fill="auto"/>
            <w:noWrap/>
            <w:vAlign w:val="center"/>
            <w:hideMark/>
          </w:tcPr>
          <w:p w14:paraId="59D98C0D" w14:textId="7A42E99F" w:rsidR="00743189" w:rsidRPr="00743189" w:rsidRDefault="00743189" w:rsidP="00DB179E">
            <w:pPr>
              <w:jc w:val="right"/>
              <w:rPr>
                <w:rFonts w:ascii="Verdana" w:eastAsia="Times New Roman" w:hAnsi="Verdana" w:cs="Times New Roman"/>
                <w:color w:val="000000"/>
                <w:sz w:val="20"/>
                <w:szCs w:val="20"/>
                <w:lang w:val="en-GB" w:eastAsia="en-GB"/>
              </w:rPr>
            </w:pPr>
            <w:r w:rsidRPr="00743189">
              <w:rPr>
                <w:rFonts w:ascii="Verdana" w:eastAsia="Times New Roman" w:hAnsi="Verdana" w:cs="Times New Roman"/>
                <w:color w:val="000000"/>
                <w:sz w:val="20"/>
                <w:szCs w:val="20"/>
                <w:lang w:val="en-GB" w:eastAsia="en-GB"/>
              </w:rPr>
              <w:t>0.</w:t>
            </w:r>
            <w:r w:rsidR="00E7271B">
              <w:rPr>
                <w:rFonts w:ascii="Verdana" w:eastAsia="Times New Roman" w:hAnsi="Verdana" w:cs="Times New Roman"/>
                <w:color w:val="000000"/>
                <w:sz w:val="20"/>
                <w:szCs w:val="20"/>
                <w:lang w:val="en-GB" w:eastAsia="en-GB"/>
              </w:rPr>
              <w:t>0</w:t>
            </w:r>
          </w:p>
        </w:tc>
      </w:tr>
      <w:tr w:rsidR="00743189" w:rsidRPr="00743189" w14:paraId="6E2B1E4E" w14:textId="77777777" w:rsidTr="00743189">
        <w:trPr>
          <w:trHeight w:val="255"/>
          <w:jc w:val="center"/>
        </w:trPr>
        <w:tc>
          <w:tcPr>
            <w:tcW w:w="1180" w:type="dxa"/>
            <w:tcBorders>
              <w:top w:val="nil"/>
              <w:left w:val="single" w:sz="4" w:space="0" w:color="auto"/>
              <w:bottom w:val="nil"/>
              <w:right w:val="single" w:sz="4" w:space="0" w:color="auto"/>
            </w:tcBorders>
            <w:shd w:val="clear" w:color="auto" w:fill="auto"/>
            <w:noWrap/>
            <w:vAlign w:val="center"/>
            <w:hideMark/>
          </w:tcPr>
          <w:p w14:paraId="40E96BF9" w14:textId="77777777" w:rsidR="00743189" w:rsidRPr="00743189" w:rsidRDefault="00743189" w:rsidP="00743189">
            <w:pPr>
              <w:jc w:val="right"/>
              <w:rPr>
                <w:rFonts w:ascii="Verdana" w:eastAsia="Times New Roman" w:hAnsi="Verdana" w:cs="Times New Roman"/>
                <w:color w:val="000000"/>
                <w:sz w:val="20"/>
                <w:szCs w:val="20"/>
                <w:lang w:val="en-GB" w:eastAsia="en-GB"/>
              </w:rPr>
            </w:pPr>
            <w:r w:rsidRPr="00743189">
              <w:rPr>
                <w:rFonts w:ascii="Verdana" w:eastAsia="Times New Roman" w:hAnsi="Verdana" w:cs="Times New Roman"/>
                <w:color w:val="000000"/>
                <w:sz w:val="20"/>
                <w:szCs w:val="20"/>
                <w:lang w:val="en-GB" w:eastAsia="en-GB"/>
              </w:rPr>
              <w:t>0.0</w:t>
            </w:r>
          </w:p>
        </w:tc>
        <w:tc>
          <w:tcPr>
            <w:tcW w:w="7180" w:type="dxa"/>
            <w:tcBorders>
              <w:top w:val="nil"/>
              <w:left w:val="nil"/>
              <w:bottom w:val="nil"/>
              <w:right w:val="single" w:sz="4" w:space="0" w:color="auto"/>
            </w:tcBorders>
            <w:shd w:val="clear" w:color="000000" w:fill="FFFFFF"/>
            <w:vAlign w:val="center"/>
            <w:hideMark/>
          </w:tcPr>
          <w:p w14:paraId="55DFFF2E" w14:textId="77777777" w:rsidR="00743189" w:rsidRPr="00743189" w:rsidRDefault="00743189" w:rsidP="00743189">
            <w:pPr>
              <w:rPr>
                <w:rFonts w:ascii="Verdana" w:eastAsia="Times New Roman" w:hAnsi="Verdana" w:cs="Times New Roman"/>
                <w:color w:val="000000"/>
                <w:sz w:val="20"/>
                <w:szCs w:val="20"/>
                <w:lang w:val="en-GB" w:eastAsia="en-GB"/>
              </w:rPr>
            </w:pPr>
            <w:r w:rsidRPr="00743189">
              <w:rPr>
                <w:rFonts w:ascii="Verdana" w:eastAsia="Times New Roman" w:hAnsi="Verdana" w:cs="Times New Roman"/>
                <w:color w:val="000000"/>
                <w:sz w:val="20"/>
                <w:szCs w:val="20"/>
                <w:lang w:val="en-GB" w:eastAsia="en-GB"/>
              </w:rPr>
              <w:t>Taxation and non-specific grant income</w:t>
            </w:r>
          </w:p>
        </w:tc>
        <w:tc>
          <w:tcPr>
            <w:tcW w:w="1180" w:type="dxa"/>
            <w:tcBorders>
              <w:top w:val="nil"/>
              <w:left w:val="nil"/>
              <w:bottom w:val="nil"/>
              <w:right w:val="single" w:sz="4" w:space="0" w:color="auto"/>
            </w:tcBorders>
            <w:shd w:val="clear" w:color="auto" w:fill="auto"/>
            <w:noWrap/>
            <w:vAlign w:val="center"/>
            <w:hideMark/>
          </w:tcPr>
          <w:p w14:paraId="0D4D6BBE" w14:textId="77777777" w:rsidR="00743189" w:rsidRPr="00743189" w:rsidRDefault="00743189" w:rsidP="00743189">
            <w:pPr>
              <w:jc w:val="right"/>
              <w:rPr>
                <w:rFonts w:ascii="Verdana" w:eastAsia="Times New Roman" w:hAnsi="Verdana" w:cs="Times New Roman"/>
                <w:color w:val="000000"/>
                <w:sz w:val="20"/>
                <w:szCs w:val="20"/>
                <w:lang w:val="en-GB" w:eastAsia="en-GB"/>
              </w:rPr>
            </w:pPr>
            <w:r w:rsidRPr="00743189">
              <w:rPr>
                <w:rFonts w:ascii="Verdana" w:eastAsia="Times New Roman" w:hAnsi="Verdana" w:cs="Times New Roman"/>
                <w:color w:val="000000"/>
                <w:sz w:val="20"/>
                <w:szCs w:val="20"/>
                <w:lang w:val="en-GB" w:eastAsia="en-GB"/>
              </w:rPr>
              <w:t>0.0</w:t>
            </w:r>
          </w:p>
        </w:tc>
      </w:tr>
      <w:tr w:rsidR="00743189" w:rsidRPr="00743189" w14:paraId="0112C5B6" w14:textId="77777777" w:rsidTr="00743189">
        <w:trPr>
          <w:trHeight w:val="255"/>
          <w:jc w:val="cent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67EB7" w14:textId="77777777" w:rsidR="00743189" w:rsidRPr="00743189" w:rsidRDefault="00743189" w:rsidP="00743189">
            <w:pPr>
              <w:jc w:val="right"/>
              <w:rPr>
                <w:rFonts w:ascii="Verdana" w:eastAsia="Times New Roman" w:hAnsi="Verdana" w:cs="Times New Roman"/>
                <w:b/>
                <w:bCs/>
                <w:color w:val="000000"/>
                <w:sz w:val="20"/>
                <w:szCs w:val="20"/>
                <w:lang w:val="en-GB" w:eastAsia="en-GB"/>
              </w:rPr>
            </w:pPr>
            <w:r w:rsidRPr="00743189">
              <w:rPr>
                <w:rFonts w:ascii="Verdana" w:eastAsia="Times New Roman" w:hAnsi="Verdana" w:cs="Times New Roman"/>
                <w:b/>
                <w:bCs/>
                <w:color w:val="000000"/>
                <w:sz w:val="20"/>
                <w:szCs w:val="20"/>
                <w:lang w:val="en-GB" w:eastAsia="en-GB"/>
              </w:rPr>
              <w:t>63.1</w:t>
            </w:r>
          </w:p>
        </w:tc>
        <w:tc>
          <w:tcPr>
            <w:tcW w:w="7180" w:type="dxa"/>
            <w:tcBorders>
              <w:top w:val="single" w:sz="4" w:space="0" w:color="auto"/>
              <w:left w:val="nil"/>
              <w:bottom w:val="single" w:sz="4" w:space="0" w:color="auto"/>
              <w:right w:val="single" w:sz="4" w:space="0" w:color="auto"/>
            </w:tcBorders>
            <w:shd w:val="clear" w:color="000000" w:fill="FFFFFF"/>
            <w:vAlign w:val="center"/>
            <w:hideMark/>
          </w:tcPr>
          <w:p w14:paraId="50A7E701" w14:textId="77777777" w:rsidR="00743189" w:rsidRPr="00743189" w:rsidRDefault="00743189" w:rsidP="00743189">
            <w:pPr>
              <w:rPr>
                <w:rFonts w:ascii="Verdana" w:eastAsia="Times New Roman" w:hAnsi="Verdana" w:cs="Times New Roman"/>
                <w:b/>
                <w:bCs/>
                <w:color w:val="000000"/>
                <w:sz w:val="20"/>
                <w:szCs w:val="20"/>
                <w:lang w:val="en-GB" w:eastAsia="en-GB"/>
              </w:rPr>
            </w:pPr>
            <w:r w:rsidRPr="00743189">
              <w:rPr>
                <w:rFonts w:ascii="Verdana" w:eastAsia="Times New Roman" w:hAnsi="Verdana" w:cs="Times New Roman"/>
                <w:b/>
                <w:bCs/>
                <w:color w:val="000000"/>
                <w:sz w:val="20"/>
                <w:szCs w:val="20"/>
                <w:lang w:val="en-GB" w:eastAsia="en-GB"/>
              </w:rPr>
              <w:t>Deficit on the provision of services</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5455F7DD" w14:textId="77777777" w:rsidR="00743189" w:rsidRPr="00743189" w:rsidRDefault="00743189" w:rsidP="00743189">
            <w:pPr>
              <w:jc w:val="right"/>
              <w:rPr>
                <w:rFonts w:ascii="Verdana" w:eastAsia="Times New Roman" w:hAnsi="Verdana" w:cs="Times New Roman"/>
                <w:b/>
                <w:bCs/>
                <w:color w:val="000000"/>
                <w:sz w:val="20"/>
                <w:szCs w:val="20"/>
                <w:lang w:val="en-GB" w:eastAsia="en-GB"/>
              </w:rPr>
            </w:pPr>
            <w:r w:rsidRPr="00743189">
              <w:rPr>
                <w:rFonts w:ascii="Verdana" w:eastAsia="Times New Roman" w:hAnsi="Verdana" w:cs="Times New Roman"/>
                <w:b/>
                <w:bCs/>
                <w:color w:val="000000"/>
                <w:sz w:val="20"/>
                <w:szCs w:val="20"/>
                <w:lang w:val="en-GB" w:eastAsia="en-GB"/>
              </w:rPr>
              <w:t>68.5</w:t>
            </w:r>
          </w:p>
        </w:tc>
      </w:tr>
      <w:tr w:rsidR="00743189" w:rsidRPr="00743189" w14:paraId="6832DB8B" w14:textId="77777777" w:rsidTr="00743189">
        <w:trPr>
          <w:trHeight w:val="255"/>
          <w:jc w:val="center"/>
        </w:trPr>
        <w:tc>
          <w:tcPr>
            <w:tcW w:w="1180" w:type="dxa"/>
            <w:tcBorders>
              <w:top w:val="nil"/>
              <w:left w:val="single" w:sz="4" w:space="0" w:color="auto"/>
              <w:bottom w:val="nil"/>
              <w:right w:val="single" w:sz="4" w:space="0" w:color="auto"/>
            </w:tcBorders>
            <w:shd w:val="clear" w:color="auto" w:fill="auto"/>
            <w:noWrap/>
            <w:vAlign w:val="center"/>
            <w:hideMark/>
          </w:tcPr>
          <w:p w14:paraId="48378439" w14:textId="77777777" w:rsidR="00743189" w:rsidRPr="00743189" w:rsidRDefault="00743189" w:rsidP="00743189">
            <w:pPr>
              <w:jc w:val="right"/>
              <w:rPr>
                <w:rFonts w:ascii="Verdana" w:eastAsia="Times New Roman" w:hAnsi="Verdana" w:cs="Times New Roman"/>
                <w:color w:val="000000"/>
                <w:sz w:val="20"/>
                <w:szCs w:val="20"/>
                <w:lang w:val="en-GB" w:eastAsia="en-GB"/>
              </w:rPr>
            </w:pPr>
            <w:r w:rsidRPr="00743189">
              <w:rPr>
                <w:rFonts w:ascii="Verdana" w:eastAsia="Times New Roman" w:hAnsi="Verdana" w:cs="Times New Roman"/>
                <w:color w:val="000000"/>
                <w:sz w:val="20"/>
                <w:szCs w:val="20"/>
                <w:lang w:val="en-GB" w:eastAsia="en-GB"/>
              </w:rPr>
              <w:t>0.0</w:t>
            </w:r>
          </w:p>
        </w:tc>
        <w:tc>
          <w:tcPr>
            <w:tcW w:w="7180" w:type="dxa"/>
            <w:tcBorders>
              <w:top w:val="nil"/>
              <w:left w:val="nil"/>
              <w:bottom w:val="nil"/>
              <w:right w:val="single" w:sz="4" w:space="0" w:color="auto"/>
            </w:tcBorders>
            <w:shd w:val="clear" w:color="000000" w:fill="FFFFFF"/>
            <w:vAlign w:val="center"/>
            <w:hideMark/>
          </w:tcPr>
          <w:p w14:paraId="14D865E3" w14:textId="77777777" w:rsidR="00743189" w:rsidRPr="00743189" w:rsidRDefault="00743189" w:rsidP="00743189">
            <w:pPr>
              <w:rPr>
                <w:rFonts w:ascii="Verdana" w:eastAsia="Times New Roman" w:hAnsi="Verdana" w:cs="Times New Roman"/>
                <w:color w:val="000000"/>
                <w:sz w:val="20"/>
                <w:szCs w:val="20"/>
                <w:lang w:val="en-GB" w:eastAsia="en-GB"/>
              </w:rPr>
            </w:pPr>
            <w:r w:rsidRPr="00743189">
              <w:rPr>
                <w:rFonts w:ascii="Verdana" w:eastAsia="Times New Roman" w:hAnsi="Verdana" w:cs="Times New Roman"/>
                <w:color w:val="000000"/>
                <w:sz w:val="20"/>
                <w:szCs w:val="20"/>
                <w:lang w:val="en-GB" w:eastAsia="en-GB"/>
              </w:rPr>
              <w:t>(Surplus) on revaluation of Property, Plant and Equipment</w:t>
            </w:r>
          </w:p>
        </w:tc>
        <w:tc>
          <w:tcPr>
            <w:tcW w:w="1180" w:type="dxa"/>
            <w:tcBorders>
              <w:top w:val="nil"/>
              <w:left w:val="nil"/>
              <w:bottom w:val="nil"/>
              <w:right w:val="single" w:sz="4" w:space="0" w:color="auto"/>
            </w:tcBorders>
            <w:shd w:val="clear" w:color="auto" w:fill="auto"/>
            <w:noWrap/>
            <w:vAlign w:val="center"/>
            <w:hideMark/>
          </w:tcPr>
          <w:p w14:paraId="4CC978FA" w14:textId="77777777" w:rsidR="00743189" w:rsidRPr="00743189" w:rsidRDefault="00743189" w:rsidP="00743189">
            <w:pPr>
              <w:jc w:val="right"/>
              <w:rPr>
                <w:rFonts w:ascii="Verdana" w:eastAsia="Times New Roman" w:hAnsi="Verdana" w:cs="Times New Roman"/>
                <w:color w:val="000000"/>
                <w:sz w:val="20"/>
                <w:szCs w:val="20"/>
                <w:lang w:val="en-GB" w:eastAsia="en-GB"/>
              </w:rPr>
            </w:pPr>
            <w:r w:rsidRPr="00743189">
              <w:rPr>
                <w:rFonts w:ascii="Verdana" w:eastAsia="Times New Roman" w:hAnsi="Verdana" w:cs="Times New Roman"/>
                <w:color w:val="000000"/>
                <w:sz w:val="20"/>
                <w:szCs w:val="20"/>
                <w:lang w:val="en-GB" w:eastAsia="en-GB"/>
              </w:rPr>
              <w:t>0.0</w:t>
            </w:r>
          </w:p>
        </w:tc>
      </w:tr>
      <w:tr w:rsidR="00743189" w:rsidRPr="00743189" w14:paraId="672D1D19" w14:textId="77777777" w:rsidTr="00743189">
        <w:trPr>
          <w:trHeight w:val="255"/>
          <w:jc w:val="center"/>
        </w:trPr>
        <w:tc>
          <w:tcPr>
            <w:tcW w:w="1180" w:type="dxa"/>
            <w:tcBorders>
              <w:top w:val="nil"/>
              <w:left w:val="single" w:sz="4" w:space="0" w:color="auto"/>
              <w:bottom w:val="nil"/>
              <w:right w:val="single" w:sz="4" w:space="0" w:color="auto"/>
            </w:tcBorders>
            <w:shd w:val="clear" w:color="auto" w:fill="auto"/>
            <w:noWrap/>
            <w:vAlign w:val="center"/>
            <w:hideMark/>
          </w:tcPr>
          <w:p w14:paraId="021D63B4" w14:textId="77777777" w:rsidR="00743189" w:rsidRPr="00743189" w:rsidRDefault="00743189" w:rsidP="00743189">
            <w:pPr>
              <w:jc w:val="right"/>
              <w:rPr>
                <w:rFonts w:ascii="Verdana" w:eastAsia="Times New Roman" w:hAnsi="Verdana" w:cs="Times New Roman"/>
                <w:color w:val="000000"/>
                <w:sz w:val="20"/>
                <w:szCs w:val="20"/>
                <w:lang w:val="en-GB" w:eastAsia="en-GB"/>
              </w:rPr>
            </w:pPr>
            <w:r w:rsidRPr="00743189">
              <w:rPr>
                <w:rFonts w:ascii="Verdana" w:eastAsia="Times New Roman" w:hAnsi="Verdana" w:cs="Times New Roman"/>
                <w:color w:val="FF0000"/>
                <w:sz w:val="20"/>
                <w:szCs w:val="20"/>
                <w:lang w:val="en-GB" w:eastAsia="en-GB"/>
              </w:rPr>
              <w:t>(193.3)</w:t>
            </w:r>
          </w:p>
        </w:tc>
        <w:tc>
          <w:tcPr>
            <w:tcW w:w="7180" w:type="dxa"/>
            <w:tcBorders>
              <w:top w:val="nil"/>
              <w:left w:val="nil"/>
              <w:bottom w:val="nil"/>
              <w:right w:val="single" w:sz="4" w:space="0" w:color="auto"/>
            </w:tcBorders>
            <w:shd w:val="clear" w:color="000000" w:fill="FFFFFF"/>
            <w:vAlign w:val="center"/>
            <w:hideMark/>
          </w:tcPr>
          <w:p w14:paraId="3C869BB3" w14:textId="77777777" w:rsidR="00743189" w:rsidRPr="00743189" w:rsidRDefault="00743189" w:rsidP="00743189">
            <w:pPr>
              <w:rPr>
                <w:rFonts w:ascii="Verdana" w:eastAsia="Times New Roman" w:hAnsi="Verdana" w:cs="Times New Roman"/>
                <w:color w:val="000000"/>
                <w:sz w:val="20"/>
                <w:szCs w:val="20"/>
                <w:lang w:val="en-GB" w:eastAsia="en-GB"/>
              </w:rPr>
            </w:pPr>
            <w:r w:rsidRPr="00743189">
              <w:rPr>
                <w:rFonts w:ascii="Verdana" w:eastAsia="Times New Roman" w:hAnsi="Verdana" w:cs="Times New Roman"/>
                <w:color w:val="000000"/>
                <w:sz w:val="20"/>
                <w:szCs w:val="20"/>
                <w:lang w:val="en-GB" w:eastAsia="en-GB"/>
              </w:rPr>
              <w:t>Re-measurement of the net defined benefit liability/asset</w:t>
            </w:r>
          </w:p>
        </w:tc>
        <w:tc>
          <w:tcPr>
            <w:tcW w:w="1180" w:type="dxa"/>
            <w:tcBorders>
              <w:top w:val="nil"/>
              <w:left w:val="nil"/>
              <w:bottom w:val="nil"/>
              <w:right w:val="single" w:sz="4" w:space="0" w:color="auto"/>
            </w:tcBorders>
            <w:shd w:val="clear" w:color="auto" w:fill="auto"/>
            <w:noWrap/>
            <w:vAlign w:val="center"/>
            <w:hideMark/>
          </w:tcPr>
          <w:p w14:paraId="130FFB6C" w14:textId="77777777" w:rsidR="00743189" w:rsidRPr="00743189" w:rsidRDefault="00743189" w:rsidP="00743189">
            <w:pPr>
              <w:jc w:val="right"/>
              <w:rPr>
                <w:rFonts w:ascii="Verdana" w:eastAsia="Times New Roman" w:hAnsi="Verdana" w:cs="Times New Roman"/>
                <w:color w:val="000000"/>
                <w:sz w:val="20"/>
                <w:szCs w:val="20"/>
                <w:lang w:val="en-GB" w:eastAsia="en-GB"/>
              </w:rPr>
            </w:pPr>
            <w:r w:rsidRPr="00743189">
              <w:rPr>
                <w:rFonts w:ascii="Verdana" w:eastAsia="Times New Roman" w:hAnsi="Verdana" w:cs="Times New Roman"/>
                <w:color w:val="000000"/>
                <w:sz w:val="20"/>
                <w:szCs w:val="20"/>
                <w:lang w:val="en-GB" w:eastAsia="en-GB"/>
              </w:rPr>
              <w:t>79.9</w:t>
            </w:r>
          </w:p>
        </w:tc>
      </w:tr>
      <w:tr w:rsidR="00743189" w:rsidRPr="00743189" w14:paraId="0F7FDE60" w14:textId="77777777" w:rsidTr="00743189">
        <w:trPr>
          <w:trHeight w:val="255"/>
          <w:jc w:val="cent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23122" w14:textId="77777777" w:rsidR="00743189" w:rsidRPr="00743189" w:rsidRDefault="00743189" w:rsidP="00743189">
            <w:pPr>
              <w:jc w:val="right"/>
              <w:rPr>
                <w:rFonts w:ascii="Verdana" w:eastAsia="Times New Roman" w:hAnsi="Verdana" w:cs="Times New Roman"/>
                <w:b/>
                <w:bCs/>
                <w:color w:val="000000"/>
                <w:sz w:val="20"/>
                <w:szCs w:val="20"/>
                <w:lang w:val="en-GB" w:eastAsia="en-GB"/>
              </w:rPr>
            </w:pPr>
            <w:r w:rsidRPr="00743189">
              <w:rPr>
                <w:rFonts w:ascii="Verdana" w:eastAsia="Times New Roman" w:hAnsi="Verdana" w:cs="Times New Roman"/>
                <w:b/>
                <w:bCs/>
                <w:color w:val="FF0000"/>
                <w:sz w:val="20"/>
                <w:szCs w:val="20"/>
                <w:lang w:val="en-GB" w:eastAsia="en-GB"/>
              </w:rPr>
              <w:t>(130.2)</w:t>
            </w:r>
          </w:p>
        </w:tc>
        <w:tc>
          <w:tcPr>
            <w:tcW w:w="7180" w:type="dxa"/>
            <w:tcBorders>
              <w:top w:val="single" w:sz="4" w:space="0" w:color="auto"/>
              <w:left w:val="nil"/>
              <w:bottom w:val="single" w:sz="4" w:space="0" w:color="auto"/>
              <w:right w:val="single" w:sz="4" w:space="0" w:color="auto"/>
            </w:tcBorders>
            <w:shd w:val="clear" w:color="000000" w:fill="FFFFFF"/>
            <w:vAlign w:val="center"/>
            <w:hideMark/>
          </w:tcPr>
          <w:p w14:paraId="5CE3B227" w14:textId="77777777" w:rsidR="00743189" w:rsidRPr="00743189" w:rsidRDefault="00743189" w:rsidP="00743189">
            <w:pPr>
              <w:rPr>
                <w:rFonts w:ascii="Verdana" w:eastAsia="Times New Roman" w:hAnsi="Verdana" w:cs="Times New Roman"/>
                <w:b/>
                <w:bCs/>
                <w:color w:val="000000"/>
                <w:sz w:val="20"/>
                <w:szCs w:val="20"/>
                <w:lang w:val="en-GB" w:eastAsia="en-GB"/>
              </w:rPr>
            </w:pPr>
            <w:r w:rsidRPr="00743189">
              <w:rPr>
                <w:rFonts w:ascii="Verdana" w:eastAsia="Times New Roman" w:hAnsi="Verdana" w:cs="Times New Roman"/>
                <w:b/>
                <w:bCs/>
                <w:color w:val="000000"/>
                <w:sz w:val="20"/>
                <w:szCs w:val="20"/>
                <w:lang w:val="en-GB" w:eastAsia="en-GB"/>
              </w:rPr>
              <w:t>Total Comprehensive Income and Expenditure</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263662FA" w14:textId="77777777" w:rsidR="00743189" w:rsidRPr="00743189" w:rsidRDefault="00743189" w:rsidP="00743189">
            <w:pPr>
              <w:jc w:val="right"/>
              <w:rPr>
                <w:rFonts w:ascii="Verdana" w:eastAsia="Times New Roman" w:hAnsi="Verdana" w:cs="Times New Roman"/>
                <w:b/>
                <w:bCs/>
                <w:color w:val="000000"/>
                <w:sz w:val="20"/>
                <w:szCs w:val="20"/>
                <w:lang w:val="en-GB" w:eastAsia="en-GB"/>
              </w:rPr>
            </w:pPr>
            <w:r w:rsidRPr="00743189">
              <w:rPr>
                <w:rFonts w:ascii="Verdana" w:eastAsia="Times New Roman" w:hAnsi="Verdana" w:cs="Times New Roman"/>
                <w:b/>
                <w:bCs/>
                <w:color w:val="000000"/>
                <w:sz w:val="20"/>
                <w:szCs w:val="20"/>
                <w:lang w:val="en-GB" w:eastAsia="en-GB"/>
              </w:rPr>
              <w:t>148.4</w:t>
            </w:r>
          </w:p>
        </w:tc>
      </w:tr>
    </w:tbl>
    <w:p w14:paraId="13C6C2D8" w14:textId="77777777" w:rsidR="00C36CEE" w:rsidRDefault="00C36CEE" w:rsidP="00F227D9">
      <w:pPr>
        <w:pStyle w:val="Normal0"/>
        <w:jc w:val="both"/>
        <w:rPr>
          <w:rFonts w:ascii="Verdana" w:eastAsia="Times New Roman" w:hAnsi="Verdana" w:cs="Arial"/>
          <w:sz w:val="22"/>
          <w:szCs w:val="22"/>
          <w:highlight w:val="yellow"/>
          <w:lang w:val="en-GB" w:eastAsia="en-GB"/>
        </w:rPr>
      </w:pPr>
    </w:p>
    <w:p w14:paraId="4B2D8CFE" w14:textId="77777777" w:rsidR="00C36CEE" w:rsidRDefault="00C36CEE" w:rsidP="00F227D9">
      <w:pPr>
        <w:pStyle w:val="Normal0"/>
        <w:jc w:val="both"/>
        <w:rPr>
          <w:rFonts w:ascii="Verdana" w:eastAsia="Times New Roman" w:hAnsi="Verdana" w:cs="Arial"/>
          <w:sz w:val="22"/>
          <w:szCs w:val="22"/>
          <w:highlight w:val="yellow"/>
          <w:lang w:val="en-GB" w:eastAsia="en-GB"/>
        </w:rPr>
      </w:pPr>
    </w:p>
    <w:tbl>
      <w:tblPr>
        <w:tblW w:w="9877" w:type="dxa"/>
        <w:jc w:val="center"/>
        <w:tblLook w:val="04A0" w:firstRow="1" w:lastRow="0" w:firstColumn="1" w:lastColumn="0" w:noHBand="0" w:noVBand="1"/>
      </w:tblPr>
      <w:tblGrid>
        <w:gridCol w:w="1877"/>
        <w:gridCol w:w="6123"/>
        <w:gridCol w:w="1877"/>
      </w:tblGrid>
      <w:tr w:rsidR="003C15B1" w:rsidRPr="003C15B1" w14:paraId="135B50A7" w14:textId="77777777" w:rsidTr="003C15B1">
        <w:trPr>
          <w:trHeight w:val="1068"/>
          <w:jc w:val="center"/>
        </w:trPr>
        <w:tc>
          <w:tcPr>
            <w:tcW w:w="1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3B855" w14:textId="684DE3E2" w:rsidR="003C15B1" w:rsidRPr="00743189" w:rsidRDefault="003C15B1" w:rsidP="00743189">
            <w:pPr>
              <w:jc w:val="center"/>
              <w:rPr>
                <w:rFonts w:ascii="Verdana" w:eastAsia="Times New Roman" w:hAnsi="Verdana" w:cs="Times New Roman"/>
                <w:b/>
                <w:bCs/>
                <w:color w:val="000000"/>
                <w:sz w:val="20"/>
                <w:szCs w:val="20"/>
                <w:lang w:val="en-GB" w:eastAsia="en-GB"/>
              </w:rPr>
            </w:pPr>
            <w:r w:rsidRPr="00743189">
              <w:rPr>
                <w:rFonts w:ascii="Verdana" w:eastAsia="Times New Roman" w:hAnsi="Verdana" w:cs="Times New Roman"/>
                <w:b/>
                <w:bCs/>
                <w:color w:val="000000"/>
                <w:sz w:val="20"/>
                <w:szCs w:val="20"/>
                <w:lang w:val="en-GB" w:eastAsia="en-GB"/>
              </w:rPr>
              <w:t>201</w:t>
            </w:r>
            <w:r w:rsidR="00743189" w:rsidRPr="00743189">
              <w:rPr>
                <w:rFonts w:ascii="Verdana" w:eastAsia="Times New Roman" w:hAnsi="Verdana" w:cs="Times New Roman"/>
                <w:b/>
                <w:bCs/>
                <w:color w:val="000000"/>
                <w:sz w:val="20"/>
                <w:szCs w:val="20"/>
                <w:lang w:val="en-GB" w:eastAsia="en-GB"/>
              </w:rPr>
              <w:t>9</w:t>
            </w:r>
            <w:r w:rsidRPr="00743189">
              <w:rPr>
                <w:rFonts w:ascii="Verdana" w:eastAsia="Times New Roman" w:hAnsi="Verdana" w:cs="Times New Roman"/>
                <w:b/>
                <w:bCs/>
                <w:color w:val="000000"/>
                <w:sz w:val="20"/>
                <w:szCs w:val="20"/>
                <w:lang w:val="en-GB" w:eastAsia="en-GB"/>
              </w:rPr>
              <w:t>/</w:t>
            </w:r>
            <w:r w:rsidR="00743189" w:rsidRPr="00743189">
              <w:rPr>
                <w:rFonts w:ascii="Verdana" w:eastAsia="Times New Roman" w:hAnsi="Verdana" w:cs="Times New Roman"/>
                <w:b/>
                <w:bCs/>
                <w:color w:val="000000"/>
                <w:sz w:val="20"/>
                <w:szCs w:val="20"/>
                <w:lang w:val="en-GB" w:eastAsia="en-GB"/>
              </w:rPr>
              <w:t>20</w:t>
            </w:r>
            <w:r w:rsidRPr="00743189">
              <w:rPr>
                <w:rFonts w:ascii="Verdana" w:eastAsia="Times New Roman" w:hAnsi="Verdana" w:cs="Times New Roman"/>
                <w:b/>
                <w:bCs/>
                <w:color w:val="000000"/>
                <w:sz w:val="20"/>
                <w:szCs w:val="20"/>
                <w:lang w:val="en-GB" w:eastAsia="en-GB"/>
              </w:rPr>
              <w:br/>
              <w:t>Net Expenditure</w:t>
            </w:r>
            <w:r w:rsidRPr="00743189">
              <w:rPr>
                <w:rFonts w:ascii="Verdana" w:eastAsia="Times New Roman" w:hAnsi="Verdana" w:cs="Times New Roman"/>
                <w:b/>
                <w:bCs/>
                <w:color w:val="000000"/>
                <w:sz w:val="20"/>
                <w:szCs w:val="20"/>
                <w:lang w:val="en-GB" w:eastAsia="en-GB"/>
              </w:rPr>
              <w:br/>
              <w:t xml:space="preserve">£m </w:t>
            </w:r>
          </w:p>
        </w:tc>
        <w:tc>
          <w:tcPr>
            <w:tcW w:w="6123" w:type="dxa"/>
            <w:tcBorders>
              <w:top w:val="single" w:sz="4" w:space="0" w:color="auto"/>
              <w:left w:val="nil"/>
              <w:bottom w:val="single" w:sz="4" w:space="0" w:color="auto"/>
              <w:right w:val="nil"/>
            </w:tcBorders>
            <w:shd w:val="clear" w:color="auto" w:fill="auto"/>
            <w:noWrap/>
            <w:vAlign w:val="center"/>
            <w:hideMark/>
          </w:tcPr>
          <w:p w14:paraId="0B738FEA" w14:textId="77777777" w:rsidR="003C15B1" w:rsidRPr="00743189" w:rsidRDefault="003C15B1" w:rsidP="003C15B1">
            <w:pPr>
              <w:rPr>
                <w:rFonts w:ascii="Verdana" w:eastAsia="Times New Roman" w:hAnsi="Verdana" w:cs="Times New Roman"/>
                <w:b/>
                <w:bCs/>
                <w:color w:val="000000"/>
                <w:sz w:val="20"/>
                <w:szCs w:val="20"/>
                <w:lang w:val="en-GB" w:eastAsia="en-GB"/>
              </w:rPr>
            </w:pPr>
            <w:r w:rsidRPr="00743189">
              <w:rPr>
                <w:rFonts w:ascii="Verdana" w:eastAsia="Times New Roman" w:hAnsi="Verdana" w:cs="Times New Roman"/>
                <w:b/>
                <w:bCs/>
                <w:color w:val="000000"/>
                <w:sz w:val="20"/>
                <w:szCs w:val="20"/>
                <w:lang w:val="en-GB" w:eastAsia="en-GB"/>
              </w:rPr>
              <w:t xml:space="preserve"> Summary of Chief Constables CIES </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4C15F" w14:textId="239B1C94" w:rsidR="003C15B1" w:rsidRPr="009E213D" w:rsidRDefault="003C15B1" w:rsidP="00743189">
            <w:pPr>
              <w:jc w:val="center"/>
              <w:rPr>
                <w:rFonts w:ascii="Verdana" w:eastAsia="Times New Roman" w:hAnsi="Verdana" w:cs="Times New Roman"/>
                <w:b/>
                <w:bCs/>
                <w:color w:val="000000"/>
                <w:sz w:val="20"/>
                <w:szCs w:val="20"/>
                <w:lang w:val="en-GB" w:eastAsia="en-GB"/>
              </w:rPr>
            </w:pPr>
            <w:r w:rsidRPr="009E213D">
              <w:rPr>
                <w:rFonts w:ascii="Verdana" w:eastAsia="Times New Roman" w:hAnsi="Verdana" w:cs="Times New Roman"/>
                <w:b/>
                <w:bCs/>
                <w:color w:val="000000"/>
                <w:sz w:val="20"/>
                <w:szCs w:val="20"/>
                <w:lang w:val="en-GB" w:eastAsia="en-GB"/>
              </w:rPr>
              <w:t xml:space="preserve"> 20</w:t>
            </w:r>
            <w:r w:rsidR="00743189" w:rsidRPr="009E213D">
              <w:rPr>
                <w:rFonts w:ascii="Verdana" w:eastAsia="Times New Roman" w:hAnsi="Verdana" w:cs="Times New Roman"/>
                <w:b/>
                <w:bCs/>
                <w:color w:val="000000"/>
                <w:sz w:val="20"/>
                <w:szCs w:val="20"/>
                <w:lang w:val="en-GB" w:eastAsia="en-GB"/>
              </w:rPr>
              <w:t>20</w:t>
            </w:r>
            <w:r w:rsidRPr="009E213D">
              <w:rPr>
                <w:rFonts w:ascii="Verdana" w:eastAsia="Times New Roman" w:hAnsi="Verdana" w:cs="Times New Roman"/>
                <w:b/>
                <w:bCs/>
                <w:color w:val="000000"/>
                <w:sz w:val="20"/>
                <w:szCs w:val="20"/>
                <w:lang w:val="en-GB" w:eastAsia="en-GB"/>
              </w:rPr>
              <w:t>/2</w:t>
            </w:r>
            <w:r w:rsidR="00743189" w:rsidRPr="009E213D">
              <w:rPr>
                <w:rFonts w:ascii="Verdana" w:eastAsia="Times New Roman" w:hAnsi="Verdana" w:cs="Times New Roman"/>
                <w:b/>
                <w:bCs/>
                <w:color w:val="000000"/>
                <w:sz w:val="20"/>
                <w:szCs w:val="20"/>
                <w:lang w:val="en-GB" w:eastAsia="en-GB"/>
              </w:rPr>
              <w:t>1</w:t>
            </w:r>
            <w:r w:rsidRPr="009E213D">
              <w:rPr>
                <w:rFonts w:ascii="Verdana" w:eastAsia="Times New Roman" w:hAnsi="Verdana" w:cs="Times New Roman"/>
                <w:b/>
                <w:bCs/>
                <w:color w:val="000000"/>
                <w:sz w:val="20"/>
                <w:szCs w:val="20"/>
                <w:lang w:val="en-GB" w:eastAsia="en-GB"/>
              </w:rPr>
              <w:br/>
              <w:t>Net Expenditure</w:t>
            </w:r>
            <w:r w:rsidRPr="009E213D">
              <w:rPr>
                <w:rFonts w:ascii="Verdana" w:eastAsia="Times New Roman" w:hAnsi="Verdana" w:cs="Times New Roman"/>
                <w:b/>
                <w:bCs/>
                <w:color w:val="000000"/>
                <w:sz w:val="20"/>
                <w:szCs w:val="20"/>
                <w:lang w:val="en-GB" w:eastAsia="en-GB"/>
              </w:rPr>
              <w:br/>
              <w:t xml:space="preserve">£m </w:t>
            </w:r>
          </w:p>
        </w:tc>
      </w:tr>
      <w:tr w:rsidR="003C15B1" w:rsidRPr="003C15B1" w14:paraId="4DF402DB" w14:textId="77777777" w:rsidTr="00743189">
        <w:trPr>
          <w:trHeight w:val="213"/>
          <w:jc w:val="center"/>
        </w:trPr>
        <w:tc>
          <w:tcPr>
            <w:tcW w:w="1877" w:type="dxa"/>
            <w:tcBorders>
              <w:top w:val="nil"/>
              <w:left w:val="single" w:sz="4" w:space="0" w:color="auto"/>
              <w:bottom w:val="nil"/>
              <w:right w:val="single" w:sz="4" w:space="0" w:color="auto"/>
            </w:tcBorders>
            <w:shd w:val="clear" w:color="auto" w:fill="auto"/>
            <w:noWrap/>
            <w:vAlign w:val="center"/>
            <w:hideMark/>
          </w:tcPr>
          <w:p w14:paraId="3131C2F4" w14:textId="1ED01E66" w:rsidR="003C15B1" w:rsidRPr="00743189" w:rsidRDefault="00743189" w:rsidP="003C15B1">
            <w:pPr>
              <w:jc w:val="right"/>
              <w:rPr>
                <w:rFonts w:ascii="Verdana" w:eastAsia="Times New Roman" w:hAnsi="Verdana" w:cs="Times New Roman"/>
                <w:b/>
                <w:bCs/>
                <w:color w:val="000000"/>
                <w:sz w:val="20"/>
                <w:szCs w:val="20"/>
                <w:lang w:val="en-GB" w:eastAsia="en-GB"/>
              </w:rPr>
            </w:pPr>
            <w:r w:rsidRPr="00743189">
              <w:rPr>
                <w:rFonts w:ascii="Verdana" w:eastAsia="Times New Roman" w:hAnsi="Verdana" w:cs="Times New Roman"/>
                <w:b/>
                <w:bCs/>
                <w:color w:val="000000"/>
                <w:sz w:val="20"/>
                <w:szCs w:val="20"/>
                <w:lang w:val="en-GB" w:eastAsia="en-GB"/>
              </w:rPr>
              <w:t>260.8</w:t>
            </w:r>
          </w:p>
        </w:tc>
        <w:tc>
          <w:tcPr>
            <w:tcW w:w="6123" w:type="dxa"/>
            <w:tcBorders>
              <w:top w:val="nil"/>
              <w:left w:val="nil"/>
              <w:bottom w:val="nil"/>
              <w:right w:val="nil"/>
            </w:tcBorders>
            <w:shd w:val="clear" w:color="auto" w:fill="auto"/>
            <w:noWrap/>
            <w:vAlign w:val="center"/>
            <w:hideMark/>
          </w:tcPr>
          <w:p w14:paraId="5D10CB87" w14:textId="77777777" w:rsidR="003C15B1" w:rsidRPr="00743189" w:rsidRDefault="003C15B1" w:rsidP="003C15B1">
            <w:pPr>
              <w:rPr>
                <w:rFonts w:ascii="Verdana" w:eastAsia="Times New Roman" w:hAnsi="Verdana" w:cs="Times New Roman"/>
                <w:b/>
                <w:bCs/>
                <w:color w:val="000000"/>
                <w:sz w:val="20"/>
                <w:szCs w:val="20"/>
                <w:lang w:val="en-GB" w:eastAsia="en-GB"/>
              </w:rPr>
            </w:pPr>
            <w:r w:rsidRPr="00743189">
              <w:rPr>
                <w:rFonts w:ascii="Verdana" w:eastAsia="Times New Roman" w:hAnsi="Verdana" w:cs="Times New Roman"/>
                <w:b/>
                <w:bCs/>
                <w:color w:val="000000"/>
                <w:sz w:val="20"/>
                <w:szCs w:val="20"/>
                <w:lang w:val="en-GB" w:eastAsia="en-GB"/>
              </w:rPr>
              <w:t>Cost of Services</w:t>
            </w:r>
          </w:p>
        </w:tc>
        <w:tc>
          <w:tcPr>
            <w:tcW w:w="1877" w:type="dxa"/>
            <w:tcBorders>
              <w:top w:val="nil"/>
              <w:left w:val="single" w:sz="4" w:space="0" w:color="auto"/>
              <w:bottom w:val="nil"/>
              <w:right w:val="single" w:sz="4" w:space="0" w:color="auto"/>
            </w:tcBorders>
            <w:shd w:val="clear" w:color="auto" w:fill="auto"/>
            <w:noWrap/>
            <w:vAlign w:val="center"/>
          </w:tcPr>
          <w:p w14:paraId="685CDF6B" w14:textId="26F195D4" w:rsidR="003C15B1" w:rsidRPr="009E213D" w:rsidRDefault="00743189">
            <w:pPr>
              <w:jc w:val="right"/>
              <w:rPr>
                <w:rFonts w:ascii="Verdana" w:eastAsia="Times New Roman" w:hAnsi="Verdana" w:cs="Times New Roman"/>
                <w:b/>
                <w:bCs/>
                <w:color w:val="000000"/>
                <w:sz w:val="20"/>
                <w:szCs w:val="20"/>
                <w:lang w:val="en-GB" w:eastAsia="en-GB"/>
              </w:rPr>
            </w:pPr>
            <w:r w:rsidRPr="009E213D">
              <w:rPr>
                <w:rFonts w:ascii="Verdana" w:eastAsia="Times New Roman" w:hAnsi="Verdana" w:cs="Times New Roman"/>
                <w:b/>
                <w:bCs/>
                <w:color w:val="000000"/>
                <w:sz w:val="20"/>
                <w:szCs w:val="20"/>
                <w:lang w:val="en-GB" w:eastAsia="en-GB"/>
              </w:rPr>
              <w:t>28</w:t>
            </w:r>
            <w:r w:rsidR="00DB179E">
              <w:rPr>
                <w:rFonts w:ascii="Verdana" w:eastAsia="Times New Roman" w:hAnsi="Verdana" w:cs="Times New Roman"/>
                <w:b/>
                <w:bCs/>
                <w:color w:val="000000"/>
                <w:sz w:val="20"/>
                <w:szCs w:val="20"/>
                <w:lang w:val="en-GB" w:eastAsia="en-GB"/>
              </w:rPr>
              <w:t>3</w:t>
            </w:r>
            <w:r w:rsidRPr="009E213D">
              <w:rPr>
                <w:rFonts w:ascii="Verdana" w:eastAsia="Times New Roman" w:hAnsi="Verdana" w:cs="Times New Roman"/>
                <w:b/>
                <w:bCs/>
                <w:color w:val="000000"/>
                <w:sz w:val="20"/>
                <w:szCs w:val="20"/>
                <w:lang w:val="en-GB" w:eastAsia="en-GB"/>
              </w:rPr>
              <w:t>.</w:t>
            </w:r>
            <w:r w:rsidR="00DB179E">
              <w:rPr>
                <w:rFonts w:ascii="Verdana" w:eastAsia="Times New Roman" w:hAnsi="Verdana" w:cs="Times New Roman"/>
                <w:b/>
                <w:bCs/>
                <w:color w:val="000000"/>
                <w:sz w:val="20"/>
                <w:szCs w:val="20"/>
                <w:lang w:val="en-GB" w:eastAsia="en-GB"/>
              </w:rPr>
              <w:t>5</w:t>
            </w:r>
          </w:p>
        </w:tc>
      </w:tr>
      <w:tr w:rsidR="003C15B1" w:rsidRPr="003C15B1" w14:paraId="29B4BAFC" w14:textId="77777777" w:rsidTr="00743189">
        <w:trPr>
          <w:trHeight w:val="213"/>
          <w:jc w:val="center"/>
        </w:trPr>
        <w:tc>
          <w:tcPr>
            <w:tcW w:w="1877" w:type="dxa"/>
            <w:tcBorders>
              <w:top w:val="nil"/>
              <w:left w:val="single" w:sz="4" w:space="0" w:color="auto"/>
              <w:bottom w:val="nil"/>
              <w:right w:val="single" w:sz="4" w:space="0" w:color="auto"/>
            </w:tcBorders>
            <w:shd w:val="clear" w:color="auto" w:fill="auto"/>
            <w:noWrap/>
            <w:vAlign w:val="center"/>
            <w:hideMark/>
          </w:tcPr>
          <w:p w14:paraId="7FF0F119" w14:textId="77777777" w:rsidR="003C15B1" w:rsidRPr="00743189" w:rsidRDefault="003C15B1" w:rsidP="003C15B1">
            <w:pPr>
              <w:rPr>
                <w:rFonts w:ascii="Verdana" w:eastAsia="Times New Roman" w:hAnsi="Verdana" w:cs="Times New Roman"/>
                <w:color w:val="000000"/>
                <w:sz w:val="20"/>
                <w:szCs w:val="20"/>
                <w:lang w:val="en-GB" w:eastAsia="en-GB"/>
              </w:rPr>
            </w:pPr>
            <w:r w:rsidRPr="00743189">
              <w:rPr>
                <w:rFonts w:ascii="Verdana" w:eastAsia="Times New Roman" w:hAnsi="Verdana" w:cs="Times New Roman"/>
                <w:color w:val="000000"/>
                <w:sz w:val="20"/>
                <w:szCs w:val="20"/>
                <w:lang w:val="en-GB" w:eastAsia="en-GB"/>
              </w:rPr>
              <w:t> </w:t>
            </w:r>
          </w:p>
        </w:tc>
        <w:tc>
          <w:tcPr>
            <w:tcW w:w="6123" w:type="dxa"/>
            <w:tcBorders>
              <w:top w:val="nil"/>
              <w:left w:val="nil"/>
              <w:bottom w:val="nil"/>
              <w:right w:val="nil"/>
            </w:tcBorders>
            <w:shd w:val="clear" w:color="auto" w:fill="auto"/>
            <w:noWrap/>
            <w:vAlign w:val="center"/>
            <w:hideMark/>
          </w:tcPr>
          <w:p w14:paraId="595E531A" w14:textId="77777777" w:rsidR="003C15B1" w:rsidRPr="00743189" w:rsidRDefault="003C15B1" w:rsidP="003C15B1">
            <w:pPr>
              <w:rPr>
                <w:rFonts w:ascii="Verdana" w:eastAsia="Times New Roman" w:hAnsi="Verdana" w:cs="Times New Roman"/>
                <w:b/>
                <w:bCs/>
                <w:color w:val="000000"/>
                <w:sz w:val="20"/>
                <w:szCs w:val="20"/>
                <w:lang w:val="en-GB" w:eastAsia="en-GB"/>
              </w:rPr>
            </w:pPr>
            <w:r w:rsidRPr="00743189">
              <w:rPr>
                <w:rFonts w:ascii="Verdana" w:eastAsia="Times New Roman" w:hAnsi="Verdana" w:cs="Times New Roman"/>
                <w:b/>
                <w:bCs/>
                <w:color w:val="000000"/>
                <w:sz w:val="20"/>
                <w:szCs w:val="20"/>
                <w:lang w:val="en-GB" w:eastAsia="en-GB"/>
              </w:rPr>
              <w:t>Other Operating Expenditure</w:t>
            </w:r>
          </w:p>
        </w:tc>
        <w:tc>
          <w:tcPr>
            <w:tcW w:w="1877" w:type="dxa"/>
            <w:tcBorders>
              <w:top w:val="nil"/>
              <w:left w:val="single" w:sz="4" w:space="0" w:color="auto"/>
              <w:bottom w:val="nil"/>
              <w:right w:val="single" w:sz="4" w:space="0" w:color="auto"/>
            </w:tcBorders>
            <w:shd w:val="clear" w:color="auto" w:fill="auto"/>
            <w:noWrap/>
            <w:vAlign w:val="center"/>
          </w:tcPr>
          <w:p w14:paraId="12A6F293" w14:textId="5A3BD218" w:rsidR="003C15B1" w:rsidRPr="009E213D" w:rsidRDefault="003C15B1" w:rsidP="003C15B1">
            <w:pPr>
              <w:rPr>
                <w:rFonts w:ascii="Verdana" w:eastAsia="Times New Roman" w:hAnsi="Verdana" w:cs="Times New Roman"/>
                <w:color w:val="000000"/>
                <w:sz w:val="20"/>
                <w:szCs w:val="20"/>
                <w:lang w:val="en-GB" w:eastAsia="en-GB"/>
              </w:rPr>
            </w:pPr>
          </w:p>
        </w:tc>
      </w:tr>
      <w:tr w:rsidR="003C15B1" w:rsidRPr="003C15B1" w14:paraId="231D9F52" w14:textId="77777777" w:rsidTr="00743189">
        <w:trPr>
          <w:trHeight w:val="213"/>
          <w:jc w:val="center"/>
        </w:trPr>
        <w:tc>
          <w:tcPr>
            <w:tcW w:w="1877" w:type="dxa"/>
            <w:tcBorders>
              <w:top w:val="nil"/>
              <w:left w:val="single" w:sz="4" w:space="0" w:color="auto"/>
              <w:bottom w:val="nil"/>
              <w:right w:val="single" w:sz="4" w:space="0" w:color="auto"/>
            </w:tcBorders>
            <w:shd w:val="clear" w:color="auto" w:fill="auto"/>
            <w:noWrap/>
            <w:vAlign w:val="center"/>
            <w:hideMark/>
          </w:tcPr>
          <w:p w14:paraId="15761743" w14:textId="77777777" w:rsidR="003C15B1" w:rsidRPr="00743189" w:rsidRDefault="003C15B1" w:rsidP="003C15B1">
            <w:pPr>
              <w:jc w:val="right"/>
              <w:rPr>
                <w:rFonts w:ascii="Verdana" w:eastAsia="Times New Roman" w:hAnsi="Verdana" w:cs="Times New Roman"/>
                <w:color w:val="000000"/>
                <w:sz w:val="20"/>
                <w:szCs w:val="20"/>
                <w:lang w:val="en-GB" w:eastAsia="en-GB"/>
              </w:rPr>
            </w:pPr>
            <w:r w:rsidRPr="00743189">
              <w:rPr>
                <w:rFonts w:ascii="Verdana" w:eastAsia="Times New Roman" w:hAnsi="Verdana" w:cs="Times New Roman"/>
                <w:color w:val="000000"/>
                <w:sz w:val="20"/>
                <w:szCs w:val="20"/>
                <w:lang w:val="en-GB" w:eastAsia="en-GB"/>
              </w:rPr>
              <w:t>0.5</w:t>
            </w:r>
          </w:p>
        </w:tc>
        <w:tc>
          <w:tcPr>
            <w:tcW w:w="6123" w:type="dxa"/>
            <w:tcBorders>
              <w:top w:val="nil"/>
              <w:left w:val="nil"/>
              <w:bottom w:val="nil"/>
              <w:right w:val="nil"/>
            </w:tcBorders>
            <w:shd w:val="clear" w:color="auto" w:fill="auto"/>
            <w:noWrap/>
            <w:vAlign w:val="center"/>
            <w:hideMark/>
          </w:tcPr>
          <w:p w14:paraId="6E672447" w14:textId="77777777" w:rsidR="003C15B1" w:rsidRPr="00743189" w:rsidRDefault="003C15B1" w:rsidP="003C15B1">
            <w:pPr>
              <w:rPr>
                <w:rFonts w:ascii="Verdana" w:eastAsia="Times New Roman" w:hAnsi="Verdana" w:cs="Times New Roman"/>
                <w:color w:val="000000"/>
                <w:sz w:val="20"/>
                <w:szCs w:val="20"/>
                <w:lang w:val="en-GB" w:eastAsia="en-GB"/>
              </w:rPr>
            </w:pPr>
            <w:r w:rsidRPr="00743189">
              <w:rPr>
                <w:rFonts w:ascii="Verdana" w:eastAsia="Times New Roman" w:hAnsi="Verdana" w:cs="Times New Roman"/>
                <w:color w:val="000000"/>
                <w:sz w:val="20"/>
                <w:szCs w:val="20"/>
                <w:lang w:val="en-GB" w:eastAsia="en-GB"/>
              </w:rPr>
              <w:t>Levies</w:t>
            </w:r>
          </w:p>
        </w:tc>
        <w:tc>
          <w:tcPr>
            <w:tcW w:w="1877" w:type="dxa"/>
            <w:tcBorders>
              <w:top w:val="nil"/>
              <w:left w:val="single" w:sz="4" w:space="0" w:color="auto"/>
              <w:bottom w:val="nil"/>
              <w:right w:val="single" w:sz="4" w:space="0" w:color="auto"/>
            </w:tcBorders>
            <w:shd w:val="clear" w:color="auto" w:fill="auto"/>
            <w:noWrap/>
            <w:vAlign w:val="center"/>
          </w:tcPr>
          <w:p w14:paraId="05E7A7D1" w14:textId="1D0DB3DE" w:rsidR="003C15B1" w:rsidRPr="009E213D" w:rsidRDefault="005C32F2" w:rsidP="00DB179E">
            <w:pPr>
              <w:jc w:val="right"/>
              <w:rPr>
                <w:rFonts w:ascii="Verdana" w:eastAsia="Times New Roman" w:hAnsi="Verdana" w:cs="Times New Roman"/>
                <w:color w:val="000000"/>
                <w:sz w:val="20"/>
                <w:szCs w:val="20"/>
                <w:lang w:val="en-GB" w:eastAsia="en-GB"/>
              </w:rPr>
            </w:pPr>
            <w:r w:rsidRPr="009E213D">
              <w:rPr>
                <w:rFonts w:ascii="Verdana" w:eastAsia="Times New Roman" w:hAnsi="Verdana" w:cs="Times New Roman"/>
                <w:color w:val="000000"/>
                <w:sz w:val="20"/>
                <w:szCs w:val="20"/>
                <w:lang w:val="en-GB" w:eastAsia="en-GB"/>
              </w:rPr>
              <w:t>0.</w:t>
            </w:r>
            <w:r w:rsidR="00D50C5D">
              <w:rPr>
                <w:rFonts w:ascii="Verdana" w:eastAsia="Times New Roman" w:hAnsi="Verdana" w:cs="Times New Roman"/>
                <w:color w:val="000000"/>
                <w:sz w:val="20"/>
                <w:szCs w:val="20"/>
                <w:lang w:val="en-GB" w:eastAsia="en-GB"/>
              </w:rPr>
              <w:t>0</w:t>
            </w:r>
          </w:p>
        </w:tc>
      </w:tr>
      <w:tr w:rsidR="003C15B1" w:rsidRPr="003C15B1" w14:paraId="3EAAF3A8" w14:textId="77777777" w:rsidTr="00743189">
        <w:trPr>
          <w:trHeight w:val="213"/>
          <w:jc w:val="center"/>
        </w:trPr>
        <w:tc>
          <w:tcPr>
            <w:tcW w:w="1877" w:type="dxa"/>
            <w:tcBorders>
              <w:top w:val="nil"/>
              <w:left w:val="single" w:sz="4" w:space="0" w:color="auto"/>
              <w:bottom w:val="nil"/>
              <w:right w:val="single" w:sz="4" w:space="0" w:color="auto"/>
            </w:tcBorders>
            <w:shd w:val="clear" w:color="auto" w:fill="auto"/>
            <w:noWrap/>
            <w:vAlign w:val="center"/>
            <w:hideMark/>
          </w:tcPr>
          <w:p w14:paraId="4275CE94" w14:textId="55EDC551" w:rsidR="003C15B1" w:rsidRPr="00743189" w:rsidRDefault="00743189" w:rsidP="003C15B1">
            <w:pPr>
              <w:jc w:val="right"/>
              <w:rPr>
                <w:rFonts w:ascii="Verdana" w:eastAsia="Times New Roman" w:hAnsi="Verdana" w:cs="Times New Roman"/>
                <w:color w:val="000000"/>
                <w:sz w:val="20"/>
                <w:szCs w:val="20"/>
                <w:lang w:val="en-GB" w:eastAsia="en-GB"/>
              </w:rPr>
            </w:pPr>
            <w:r w:rsidRPr="00743189">
              <w:rPr>
                <w:rFonts w:ascii="Verdana" w:eastAsia="Times New Roman" w:hAnsi="Verdana" w:cs="Times New Roman"/>
                <w:color w:val="000000"/>
                <w:sz w:val="20"/>
                <w:szCs w:val="20"/>
                <w:lang w:val="en-GB" w:eastAsia="en-GB"/>
              </w:rPr>
              <w:t>(251.3</w:t>
            </w:r>
            <w:r w:rsidR="003C15B1" w:rsidRPr="00743189">
              <w:rPr>
                <w:rFonts w:ascii="Verdana" w:eastAsia="Times New Roman" w:hAnsi="Verdana" w:cs="Times New Roman"/>
                <w:color w:val="000000"/>
                <w:sz w:val="20"/>
                <w:szCs w:val="20"/>
                <w:lang w:val="en-GB" w:eastAsia="en-GB"/>
              </w:rPr>
              <w:t>)</w:t>
            </w:r>
          </w:p>
        </w:tc>
        <w:tc>
          <w:tcPr>
            <w:tcW w:w="6123" w:type="dxa"/>
            <w:tcBorders>
              <w:top w:val="nil"/>
              <w:left w:val="nil"/>
              <w:bottom w:val="nil"/>
              <w:right w:val="nil"/>
            </w:tcBorders>
            <w:shd w:val="clear" w:color="auto" w:fill="auto"/>
            <w:noWrap/>
            <w:vAlign w:val="center"/>
            <w:hideMark/>
          </w:tcPr>
          <w:p w14:paraId="3C82C9AD" w14:textId="77777777" w:rsidR="003C15B1" w:rsidRPr="00743189" w:rsidRDefault="003C15B1" w:rsidP="003C15B1">
            <w:pPr>
              <w:rPr>
                <w:rFonts w:ascii="Verdana" w:eastAsia="Times New Roman" w:hAnsi="Verdana" w:cs="Times New Roman"/>
                <w:color w:val="000000"/>
                <w:sz w:val="20"/>
                <w:szCs w:val="20"/>
                <w:lang w:val="en-GB" w:eastAsia="en-GB"/>
              </w:rPr>
            </w:pPr>
            <w:r w:rsidRPr="00743189">
              <w:rPr>
                <w:rFonts w:ascii="Verdana" w:eastAsia="Times New Roman" w:hAnsi="Verdana" w:cs="Times New Roman"/>
                <w:color w:val="000000"/>
                <w:sz w:val="20"/>
                <w:szCs w:val="20"/>
                <w:lang w:val="en-GB" w:eastAsia="en-GB"/>
              </w:rPr>
              <w:t>Intra-Group Funding</w:t>
            </w:r>
          </w:p>
        </w:tc>
        <w:tc>
          <w:tcPr>
            <w:tcW w:w="1877" w:type="dxa"/>
            <w:tcBorders>
              <w:top w:val="nil"/>
              <w:left w:val="single" w:sz="4" w:space="0" w:color="auto"/>
              <w:bottom w:val="nil"/>
              <w:right w:val="single" w:sz="4" w:space="0" w:color="auto"/>
            </w:tcBorders>
            <w:shd w:val="clear" w:color="auto" w:fill="auto"/>
            <w:noWrap/>
            <w:vAlign w:val="center"/>
          </w:tcPr>
          <w:p w14:paraId="007FB763" w14:textId="31BA1AEC" w:rsidR="003C15B1" w:rsidRPr="009E213D" w:rsidRDefault="005C32F2">
            <w:pPr>
              <w:jc w:val="right"/>
              <w:rPr>
                <w:rFonts w:ascii="Verdana" w:eastAsia="Times New Roman" w:hAnsi="Verdana" w:cs="Times New Roman"/>
                <w:color w:val="000000"/>
                <w:sz w:val="20"/>
                <w:szCs w:val="20"/>
                <w:lang w:val="en-GB" w:eastAsia="en-GB"/>
              </w:rPr>
            </w:pPr>
            <w:r w:rsidRPr="009E213D">
              <w:rPr>
                <w:rFonts w:ascii="Verdana" w:eastAsia="Times New Roman" w:hAnsi="Verdana" w:cs="Times New Roman"/>
                <w:color w:val="000000"/>
                <w:sz w:val="20"/>
                <w:szCs w:val="20"/>
                <w:lang w:val="en-GB" w:eastAsia="en-GB"/>
              </w:rPr>
              <w:t>(26</w:t>
            </w:r>
            <w:r w:rsidR="00DB179E">
              <w:rPr>
                <w:rFonts w:ascii="Verdana" w:eastAsia="Times New Roman" w:hAnsi="Verdana" w:cs="Times New Roman"/>
                <w:color w:val="000000"/>
                <w:sz w:val="20"/>
                <w:szCs w:val="20"/>
                <w:lang w:val="en-GB" w:eastAsia="en-GB"/>
              </w:rPr>
              <w:t>0.9</w:t>
            </w:r>
            <w:r w:rsidRPr="009E213D">
              <w:rPr>
                <w:rFonts w:ascii="Verdana" w:eastAsia="Times New Roman" w:hAnsi="Verdana" w:cs="Times New Roman"/>
                <w:color w:val="000000"/>
                <w:sz w:val="20"/>
                <w:szCs w:val="20"/>
                <w:lang w:val="en-GB" w:eastAsia="en-GB"/>
              </w:rPr>
              <w:t>)</w:t>
            </w:r>
          </w:p>
        </w:tc>
      </w:tr>
      <w:tr w:rsidR="003C15B1" w:rsidRPr="003C15B1" w14:paraId="1BBEAC69" w14:textId="77777777" w:rsidTr="00743189">
        <w:trPr>
          <w:trHeight w:val="213"/>
          <w:jc w:val="center"/>
        </w:trPr>
        <w:tc>
          <w:tcPr>
            <w:tcW w:w="1877" w:type="dxa"/>
            <w:tcBorders>
              <w:top w:val="nil"/>
              <w:left w:val="single" w:sz="4" w:space="0" w:color="auto"/>
              <w:bottom w:val="nil"/>
              <w:right w:val="single" w:sz="4" w:space="0" w:color="auto"/>
            </w:tcBorders>
            <w:shd w:val="clear" w:color="auto" w:fill="auto"/>
            <w:noWrap/>
            <w:vAlign w:val="center"/>
            <w:hideMark/>
          </w:tcPr>
          <w:p w14:paraId="4DE17199" w14:textId="77777777" w:rsidR="003C15B1" w:rsidRPr="00743189" w:rsidRDefault="003C15B1" w:rsidP="003C15B1">
            <w:pPr>
              <w:rPr>
                <w:rFonts w:ascii="Verdana" w:eastAsia="Times New Roman" w:hAnsi="Verdana" w:cs="Times New Roman"/>
                <w:color w:val="000000"/>
                <w:sz w:val="20"/>
                <w:szCs w:val="20"/>
                <w:lang w:val="en-GB" w:eastAsia="en-GB"/>
              </w:rPr>
            </w:pPr>
            <w:r w:rsidRPr="00743189">
              <w:rPr>
                <w:rFonts w:ascii="Verdana" w:eastAsia="Times New Roman" w:hAnsi="Verdana" w:cs="Times New Roman"/>
                <w:color w:val="000000"/>
                <w:sz w:val="20"/>
                <w:szCs w:val="20"/>
                <w:lang w:val="en-GB" w:eastAsia="en-GB"/>
              </w:rPr>
              <w:t> </w:t>
            </w:r>
          </w:p>
        </w:tc>
        <w:tc>
          <w:tcPr>
            <w:tcW w:w="6123" w:type="dxa"/>
            <w:tcBorders>
              <w:top w:val="nil"/>
              <w:left w:val="nil"/>
              <w:bottom w:val="nil"/>
              <w:right w:val="nil"/>
            </w:tcBorders>
            <w:shd w:val="clear" w:color="auto" w:fill="auto"/>
            <w:noWrap/>
            <w:vAlign w:val="center"/>
            <w:hideMark/>
          </w:tcPr>
          <w:p w14:paraId="5CCFDC23" w14:textId="77777777" w:rsidR="003C15B1" w:rsidRPr="00743189" w:rsidRDefault="003C15B1" w:rsidP="003C15B1">
            <w:pPr>
              <w:rPr>
                <w:rFonts w:ascii="Verdana" w:eastAsia="Times New Roman" w:hAnsi="Verdana" w:cs="Times New Roman"/>
                <w:b/>
                <w:bCs/>
                <w:color w:val="000000"/>
                <w:sz w:val="20"/>
                <w:szCs w:val="20"/>
                <w:lang w:val="en-GB" w:eastAsia="en-GB"/>
              </w:rPr>
            </w:pPr>
            <w:r w:rsidRPr="00743189">
              <w:rPr>
                <w:rFonts w:ascii="Verdana" w:eastAsia="Times New Roman" w:hAnsi="Verdana" w:cs="Times New Roman"/>
                <w:b/>
                <w:bCs/>
                <w:color w:val="000000"/>
                <w:sz w:val="20"/>
                <w:szCs w:val="20"/>
                <w:lang w:val="en-GB" w:eastAsia="en-GB"/>
              </w:rPr>
              <w:t>Financing and Investment Income &amp; Expenditure</w:t>
            </w:r>
          </w:p>
        </w:tc>
        <w:tc>
          <w:tcPr>
            <w:tcW w:w="1877" w:type="dxa"/>
            <w:tcBorders>
              <w:top w:val="nil"/>
              <w:left w:val="single" w:sz="4" w:space="0" w:color="auto"/>
              <w:bottom w:val="nil"/>
              <w:right w:val="single" w:sz="4" w:space="0" w:color="auto"/>
            </w:tcBorders>
            <w:shd w:val="clear" w:color="auto" w:fill="auto"/>
            <w:noWrap/>
            <w:vAlign w:val="center"/>
          </w:tcPr>
          <w:p w14:paraId="2D3D1796" w14:textId="77DF551C" w:rsidR="003C15B1" w:rsidRPr="009E213D" w:rsidRDefault="003C15B1" w:rsidP="003C15B1">
            <w:pPr>
              <w:rPr>
                <w:rFonts w:ascii="Verdana" w:eastAsia="Times New Roman" w:hAnsi="Verdana" w:cs="Times New Roman"/>
                <w:color w:val="000000"/>
                <w:sz w:val="20"/>
                <w:szCs w:val="20"/>
                <w:lang w:val="en-GB" w:eastAsia="en-GB"/>
              </w:rPr>
            </w:pPr>
          </w:p>
        </w:tc>
      </w:tr>
      <w:tr w:rsidR="003C15B1" w:rsidRPr="003C15B1" w14:paraId="0A319672" w14:textId="77777777" w:rsidTr="00743189">
        <w:trPr>
          <w:trHeight w:val="213"/>
          <w:jc w:val="center"/>
        </w:trPr>
        <w:tc>
          <w:tcPr>
            <w:tcW w:w="1877" w:type="dxa"/>
            <w:tcBorders>
              <w:top w:val="nil"/>
              <w:left w:val="single" w:sz="4" w:space="0" w:color="auto"/>
              <w:bottom w:val="nil"/>
              <w:right w:val="single" w:sz="4" w:space="0" w:color="auto"/>
            </w:tcBorders>
            <w:shd w:val="clear" w:color="auto" w:fill="auto"/>
            <w:noWrap/>
            <w:vAlign w:val="center"/>
            <w:hideMark/>
          </w:tcPr>
          <w:p w14:paraId="7CE90697" w14:textId="28F8B46D" w:rsidR="003C15B1" w:rsidRPr="00743189" w:rsidRDefault="00743189" w:rsidP="003C15B1">
            <w:pPr>
              <w:jc w:val="right"/>
              <w:rPr>
                <w:rFonts w:ascii="Verdana" w:eastAsia="Times New Roman" w:hAnsi="Verdana" w:cs="Times New Roman"/>
                <w:color w:val="000000"/>
                <w:sz w:val="20"/>
                <w:szCs w:val="20"/>
                <w:lang w:val="en-GB" w:eastAsia="en-GB"/>
              </w:rPr>
            </w:pPr>
            <w:r w:rsidRPr="00743189">
              <w:rPr>
                <w:rFonts w:ascii="Verdana" w:eastAsia="Times New Roman" w:hAnsi="Verdana" w:cs="Times New Roman"/>
                <w:color w:val="000000"/>
                <w:sz w:val="20"/>
                <w:szCs w:val="20"/>
                <w:lang w:val="en-GB" w:eastAsia="en-GB"/>
              </w:rPr>
              <w:t>53.1</w:t>
            </w:r>
          </w:p>
        </w:tc>
        <w:tc>
          <w:tcPr>
            <w:tcW w:w="6123" w:type="dxa"/>
            <w:tcBorders>
              <w:top w:val="nil"/>
              <w:left w:val="nil"/>
              <w:bottom w:val="nil"/>
              <w:right w:val="nil"/>
            </w:tcBorders>
            <w:shd w:val="clear" w:color="auto" w:fill="auto"/>
            <w:noWrap/>
            <w:vAlign w:val="center"/>
            <w:hideMark/>
          </w:tcPr>
          <w:p w14:paraId="12AED5E1" w14:textId="77777777" w:rsidR="003C15B1" w:rsidRPr="00743189" w:rsidRDefault="003C15B1" w:rsidP="003C15B1">
            <w:pPr>
              <w:rPr>
                <w:rFonts w:ascii="Verdana" w:eastAsia="Times New Roman" w:hAnsi="Verdana" w:cs="Times New Roman"/>
                <w:color w:val="000000"/>
                <w:sz w:val="20"/>
                <w:szCs w:val="20"/>
                <w:lang w:val="en-GB" w:eastAsia="en-GB"/>
              </w:rPr>
            </w:pPr>
            <w:r w:rsidRPr="00743189">
              <w:rPr>
                <w:rFonts w:ascii="Verdana" w:eastAsia="Times New Roman" w:hAnsi="Verdana" w:cs="Times New Roman"/>
                <w:color w:val="000000"/>
                <w:sz w:val="20"/>
                <w:szCs w:val="20"/>
                <w:lang w:val="en-GB" w:eastAsia="en-GB"/>
              </w:rPr>
              <w:t>Pension Interest Cost</w:t>
            </w:r>
          </w:p>
        </w:tc>
        <w:tc>
          <w:tcPr>
            <w:tcW w:w="1877" w:type="dxa"/>
            <w:tcBorders>
              <w:top w:val="nil"/>
              <w:left w:val="single" w:sz="4" w:space="0" w:color="auto"/>
              <w:bottom w:val="nil"/>
              <w:right w:val="single" w:sz="4" w:space="0" w:color="auto"/>
            </w:tcBorders>
            <w:shd w:val="clear" w:color="auto" w:fill="auto"/>
            <w:noWrap/>
            <w:vAlign w:val="center"/>
          </w:tcPr>
          <w:p w14:paraId="584FD880" w14:textId="7185162A" w:rsidR="003C15B1" w:rsidRPr="009E213D" w:rsidRDefault="005C32F2" w:rsidP="003C15B1">
            <w:pPr>
              <w:jc w:val="right"/>
              <w:rPr>
                <w:rFonts w:ascii="Verdana" w:eastAsia="Times New Roman" w:hAnsi="Verdana" w:cs="Times New Roman"/>
                <w:color w:val="000000"/>
                <w:sz w:val="20"/>
                <w:szCs w:val="20"/>
                <w:lang w:val="en-GB" w:eastAsia="en-GB"/>
              </w:rPr>
            </w:pPr>
            <w:r w:rsidRPr="009E213D">
              <w:rPr>
                <w:rFonts w:ascii="Verdana" w:eastAsia="Times New Roman" w:hAnsi="Verdana" w:cs="Times New Roman"/>
                <w:color w:val="000000"/>
                <w:sz w:val="20"/>
                <w:szCs w:val="20"/>
                <w:lang w:val="en-GB" w:eastAsia="en-GB"/>
              </w:rPr>
              <w:t>45.9</w:t>
            </w:r>
          </w:p>
        </w:tc>
      </w:tr>
      <w:tr w:rsidR="003C15B1" w:rsidRPr="003C15B1" w14:paraId="55C1B17F" w14:textId="77777777" w:rsidTr="00743189">
        <w:trPr>
          <w:trHeight w:val="213"/>
          <w:jc w:val="center"/>
        </w:trPr>
        <w:tc>
          <w:tcPr>
            <w:tcW w:w="1877" w:type="dxa"/>
            <w:tcBorders>
              <w:top w:val="nil"/>
              <w:left w:val="single" w:sz="4" w:space="0" w:color="auto"/>
              <w:bottom w:val="nil"/>
              <w:right w:val="single" w:sz="4" w:space="0" w:color="auto"/>
            </w:tcBorders>
            <w:shd w:val="clear" w:color="auto" w:fill="auto"/>
            <w:noWrap/>
            <w:vAlign w:val="center"/>
            <w:hideMark/>
          </w:tcPr>
          <w:p w14:paraId="6768C2F2" w14:textId="77777777" w:rsidR="003C15B1" w:rsidRPr="00743189" w:rsidRDefault="003C15B1" w:rsidP="003C15B1">
            <w:pPr>
              <w:rPr>
                <w:rFonts w:ascii="Verdana" w:eastAsia="Times New Roman" w:hAnsi="Verdana" w:cs="Times New Roman"/>
                <w:color w:val="000000"/>
                <w:sz w:val="20"/>
                <w:szCs w:val="20"/>
                <w:lang w:val="en-GB" w:eastAsia="en-GB"/>
              </w:rPr>
            </w:pPr>
            <w:r w:rsidRPr="00743189">
              <w:rPr>
                <w:rFonts w:ascii="Verdana" w:eastAsia="Times New Roman" w:hAnsi="Verdana" w:cs="Times New Roman"/>
                <w:color w:val="000000"/>
                <w:sz w:val="20"/>
                <w:szCs w:val="20"/>
                <w:lang w:val="en-GB" w:eastAsia="en-GB"/>
              </w:rPr>
              <w:t> </w:t>
            </w:r>
          </w:p>
        </w:tc>
        <w:tc>
          <w:tcPr>
            <w:tcW w:w="6123" w:type="dxa"/>
            <w:tcBorders>
              <w:top w:val="nil"/>
              <w:left w:val="nil"/>
              <w:bottom w:val="nil"/>
              <w:right w:val="nil"/>
            </w:tcBorders>
            <w:shd w:val="clear" w:color="auto" w:fill="auto"/>
            <w:noWrap/>
            <w:vAlign w:val="center"/>
            <w:hideMark/>
          </w:tcPr>
          <w:p w14:paraId="390BAE4F" w14:textId="77777777" w:rsidR="003C15B1" w:rsidRPr="00743189" w:rsidRDefault="003C15B1" w:rsidP="003C15B1">
            <w:pPr>
              <w:rPr>
                <w:rFonts w:ascii="Verdana" w:eastAsia="Times New Roman" w:hAnsi="Verdana" w:cs="Times New Roman"/>
                <w:b/>
                <w:bCs/>
                <w:color w:val="000000"/>
                <w:sz w:val="20"/>
                <w:szCs w:val="20"/>
                <w:lang w:val="en-GB" w:eastAsia="en-GB"/>
              </w:rPr>
            </w:pPr>
            <w:r w:rsidRPr="00743189">
              <w:rPr>
                <w:rFonts w:ascii="Verdana" w:eastAsia="Times New Roman" w:hAnsi="Verdana" w:cs="Times New Roman"/>
                <w:b/>
                <w:bCs/>
                <w:color w:val="000000"/>
                <w:sz w:val="20"/>
                <w:szCs w:val="20"/>
                <w:lang w:val="en-GB" w:eastAsia="en-GB"/>
              </w:rPr>
              <w:t>Other Comprehensive Income and Expenditure</w:t>
            </w:r>
          </w:p>
        </w:tc>
        <w:tc>
          <w:tcPr>
            <w:tcW w:w="1877" w:type="dxa"/>
            <w:tcBorders>
              <w:top w:val="nil"/>
              <w:left w:val="single" w:sz="4" w:space="0" w:color="auto"/>
              <w:bottom w:val="nil"/>
              <w:right w:val="single" w:sz="4" w:space="0" w:color="auto"/>
            </w:tcBorders>
            <w:shd w:val="clear" w:color="auto" w:fill="auto"/>
            <w:noWrap/>
            <w:vAlign w:val="center"/>
          </w:tcPr>
          <w:p w14:paraId="102AD1DC" w14:textId="1938D6EE" w:rsidR="003C15B1" w:rsidRPr="009E213D" w:rsidRDefault="003C15B1" w:rsidP="003C15B1">
            <w:pPr>
              <w:rPr>
                <w:rFonts w:ascii="Verdana" w:eastAsia="Times New Roman" w:hAnsi="Verdana" w:cs="Times New Roman"/>
                <w:color w:val="000000"/>
                <w:sz w:val="20"/>
                <w:szCs w:val="20"/>
                <w:lang w:val="en-GB" w:eastAsia="en-GB"/>
              </w:rPr>
            </w:pPr>
          </w:p>
        </w:tc>
      </w:tr>
      <w:tr w:rsidR="003C15B1" w:rsidRPr="003C15B1" w14:paraId="03ECAF97" w14:textId="77777777" w:rsidTr="00743189">
        <w:trPr>
          <w:trHeight w:val="213"/>
          <w:jc w:val="center"/>
        </w:trPr>
        <w:tc>
          <w:tcPr>
            <w:tcW w:w="1877" w:type="dxa"/>
            <w:tcBorders>
              <w:top w:val="nil"/>
              <w:left w:val="single" w:sz="4" w:space="0" w:color="auto"/>
              <w:bottom w:val="nil"/>
              <w:right w:val="single" w:sz="4" w:space="0" w:color="auto"/>
            </w:tcBorders>
            <w:shd w:val="clear" w:color="auto" w:fill="auto"/>
            <w:noWrap/>
            <w:vAlign w:val="center"/>
            <w:hideMark/>
          </w:tcPr>
          <w:p w14:paraId="02C34768" w14:textId="58D33B4C" w:rsidR="003C15B1" w:rsidRPr="00743189" w:rsidRDefault="00743189" w:rsidP="003C15B1">
            <w:pPr>
              <w:jc w:val="right"/>
              <w:rPr>
                <w:rFonts w:ascii="Verdana" w:eastAsia="Times New Roman" w:hAnsi="Verdana" w:cs="Times New Roman"/>
                <w:color w:val="000000"/>
                <w:sz w:val="20"/>
                <w:szCs w:val="20"/>
                <w:lang w:val="en-GB" w:eastAsia="en-GB"/>
              </w:rPr>
            </w:pPr>
            <w:r w:rsidRPr="00743189">
              <w:rPr>
                <w:rFonts w:ascii="Verdana" w:eastAsia="Times New Roman" w:hAnsi="Verdana" w:cs="Times New Roman"/>
                <w:color w:val="000000"/>
                <w:sz w:val="20"/>
                <w:szCs w:val="20"/>
                <w:lang w:val="en-GB" w:eastAsia="en-GB"/>
              </w:rPr>
              <w:t>(193.3)</w:t>
            </w:r>
          </w:p>
        </w:tc>
        <w:tc>
          <w:tcPr>
            <w:tcW w:w="6123" w:type="dxa"/>
            <w:tcBorders>
              <w:top w:val="nil"/>
              <w:left w:val="nil"/>
              <w:bottom w:val="nil"/>
              <w:right w:val="nil"/>
            </w:tcBorders>
            <w:shd w:val="clear" w:color="auto" w:fill="auto"/>
            <w:noWrap/>
            <w:vAlign w:val="center"/>
            <w:hideMark/>
          </w:tcPr>
          <w:p w14:paraId="18971456" w14:textId="77777777" w:rsidR="003C15B1" w:rsidRPr="00743189" w:rsidRDefault="003C15B1" w:rsidP="003C15B1">
            <w:pPr>
              <w:rPr>
                <w:rFonts w:ascii="Verdana" w:eastAsia="Times New Roman" w:hAnsi="Verdana" w:cs="Times New Roman"/>
                <w:color w:val="000000"/>
                <w:sz w:val="20"/>
                <w:szCs w:val="20"/>
                <w:lang w:val="en-GB" w:eastAsia="en-GB"/>
              </w:rPr>
            </w:pPr>
            <w:r w:rsidRPr="00743189">
              <w:rPr>
                <w:rFonts w:ascii="Verdana" w:eastAsia="Times New Roman" w:hAnsi="Verdana" w:cs="Times New Roman"/>
                <w:color w:val="000000"/>
                <w:sz w:val="20"/>
                <w:szCs w:val="20"/>
                <w:lang w:val="en-GB" w:eastAsia="en-GB"/>
              </w:rPr>
              <w:t>Re-measurement of the net defined benefit liability/asset</w:t>
            </w:r>
          </w:p>
        </w:tc>
        <w:tc>
          <w:tcPr>
            <w:tcW w:w="1877" w:type="dxa"/>
            <w:tcBorders>
              <w:top w:val="nil"/>
              <w:left w:val="single" w:sz="4" w:space="0" w:color="auto"/>
              <w:bottom w:val="nil"/>
              <w:right w:val="single" w:sz="4" w:space="0" w:color="auto"/>
            </w:tcBorders>
            <w:shd w:val="clear" w:color="auto" w:fill="auto"/>
            <w:noWrap/>
            <w:vAlign w:val="center"/>
          </w:tcPr>
          <w:p w14:paraId="76F3D985" w14:textId="19B03BFA" w:rsidR="003C15B1" w:rsidRPr="009E213D" w:rsidRDefault="005C32F2" w:rsidP="003C15B1">
            <w:pPr>
              <w:jc w:val="right"/>
              <w:rPr>
                <w:rFonts w:ascii="Verdana" w:eastAsia="Times New Roman" w:hAnsi="Verdana" w:cs="Times New Roman"/>
                <w:color w:val="000000"/>
                <w:sz w:val="20"/>
                <w:szCs w:val="20"/>
                <w:lang w:val="en-GB" w:eastAsia="en-GB"/>
              </w:rPr>
            </w:pPr>
            <w:r w:rsidRPr="009E213D">
              <w:rPr>
                <w:rFonts w:ascii="Verdana" w:eastAsia="Times New Roman" w:hAnsi="Verdana" w:cs="Times New Roman"/>
                <w:color w:val="000000"/>
                <w:sz w:val="20"/>
                <w:szCs w:val="20"/>
                <w:lang w:val="en-GB" w:eastAsia="en-GB"/>
              </w:rPr>
              <w:t>79.9</w:t>
            </w:r>
          </w:p>
        </w:tc>
      </w:tr>
      <w:tr w:rsidR="003C15B1" w:rsidRPr="003C15B1" w14:paraId="39AFD9C5" w14:textId="77777777" w:rsidTr="00743189">
        <w:trPr>
          <w:trHeight w:val="213"/>
          <w:jc w:val="center"/>
        </w:trPr>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7F563" w14:textId="11D8F7DD" w:rsidR="003C15B1" w:rsidRPr="00743189" w:rsidRDefault="00743189" w:rsidP="003C15B1">
            <w:pPr>
              <w:jc w:val="right"/>
              <w:rPr>
                <w:rFonts w:ascii="Verdana" w:eastAsia="Times New Roman" w:hAnsi="Verdana" w:cs="Times New Roman"/>
                <w:b/>
                <w:bCs/>
                <w:color w:val="000000"/>
                <w:sz w:val="20"/>
                <w:szCs w:val="20"/>
                <w:lang w:val="en-GB" w:eastAsia="en-GB"/>
              </w:rPr>
            </w:pPr>
            <w:r w:rsidRPr="00743189">
              <w:rPr>
                <w:rFonts w:ascii="Verdana" w:eastAsia="Times New Roman" w:hAnsi="Verdana" w:cs="Times New Roman"/>
                <w:b/>
                <w:bCs/>
                <w:color w:val="000000"/>
                <w:sz w:val="20"/>
                <w:szCs w:val="20"/>
                <w:lang w:val="en-GB" w:eastAsia="en-GB"/>
              </w:rPr>
              <w:t>(130.2)</w:t>
            </w:r>
          </w:p>
        </w:tc>
        <w:tc>
          <w:tcPr>
            <w:tcW w:w="6123" w:type="dxa"/>
            <w:tcBorders>
              <w:top w:val="single" w:sz="4" w:space="0" w:color="auto"/>
              <w:left w:val="nil"/>
              <w:bottom w:val="single" w:sz="4" w:space="0" w:color="auto"/>
              <w:right w:val="nil"/>
            </w:tcBorders>
            <w:shd w:val="clear" w:color="auto" w:fill="auto"/>
            <w:noWrap/>
            <w:vAlign w:val="center"/>
            <w:hideMark/>
          </w:tcPr>
          <w:p w14:paraId="61BDCA0E" w14:textId="77777777" w:rsidR="003C15B1" w:rsidRPr="00743189" w:rsidRDefault="003C15B1" w:rsidP="003C15B1">
            <w:pPr>
              <w:rPr>
                <w:rFonts w:ascii="Verdana" w:eastAsia="Times New Roman" w:hAnsi="Verdana" w:cs="Times New Roman"/>
                <w:b/>
                <w:bCs/>
                <w:color w:val="000000"/>
                <w:sz w:val="20"/>
                <w:szCs w:val="20"/>
                <w:lang w:val="en-GB" w:eastAsia="en-GB"/>
              </w:rPr>
            </w:pPr>
            <w:r w:rsidRPr="00743189">
              <w:rPr>
                <w:rFonts w:ascii="Verdana" w:eastAsia="Times New Roman" w:hAnsi="Verdana" w:cs="Times New Roman"/>
                <w:b/>
                <w:bCs/>
                <w:color w:val="000000"/>
                <w:sz w:val="20"/>
                <w:szCs w:val="20"/>
                <w:lang w:val="en-GB" w:eastAsia="en-GB"/>
              </w:rPr>
              <w:t>Total Comprehensive Income and Expenditure</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D54ED" w14:textId="18F99CE5" w:rsidR="003C15B1" w:rsidRPr="009E213D" w:rsidRDefault="005C32F2" w:rsidP="003C15B1">
            <w:pPr>
              <w:jc w:val="right"/>
              <w:rPr>
                <w:rFonts w:ascii="Verdana" w:eastAsia="Times New Roman" w:hAnsi="Verdana" w:cs="Times New Roman"/>
                <w:b/>
                <w:bCs/>
                <w:color w:val="000000"/>
                <w:sz w:val="20"/>
                <w:szCs w:val="20"/>
                <w:lang w:val="en-GB" w:eastAsia="en-GB"/>
              </w:rPr>
            </w:pPr>
            <w:r w:rsidRPr="009E213D">
              <w:rPr>
                <w:rFonts w:ascii="Verdana" w:eastAsia="Times New Roman" w:hAnsi="Verdana" w:cs="Times New Roman"/>
                <w:b/>
                <w:bCs/>
                <w:color w:val="000000"/>
                <w:sz w:val="20"/>
                <w:szCs w:val="20"/>
                <w:lang w:val="en-GB" w:eastAsia="en-GB"/>
              </w:rPr>
              <w:t>148.4</w:t>
            </w:r>
          </w:p>
        </w:tc>
      </w:tr>
    </w:tbl>
    <w:p w14:paraId="2A4233F5" w14:textId="77777777" w:rsidR="003C15B1" w:rsidRPr="007D3A46" w:rsidRDefault="003C15B1" w:rsidP="00F227D9">
      <w:pPr>
        <w:pStyle w:val="Normal0"/>
        <w:jc w:val="both"/>
        <w:rPr>
          <w:rFonts w:ascii="Verdana" w:eastAsia="Times New Roman" w:hAnsi="Verdana" w:cs="Arial"/>
          <w:sz w:val="22"/>
          <w:szCs w:val="22"/>
          <w:lang w:val="en-GB" w:eastAsia="en-GB"/>
        </w:rPr>
      </w:pPr>
    </w:p>
    <w:p w14:paraId="48D00C3B" w14:textId="77777777" w:rsidR="00F227D9" w:rsidRPr="007D3A46" w:rsidRDefault="00F227D9" w:rsidP="00F227D9">
      <w:pPr>
        <w:pStyle w:val="Normal0"/>
        <w:jc w:val="both"/>
        <w:rPr>
          <w:rFonts w:ascii="Verdana" w:eastAsia="Times New Roman" w:hAnsi="Verdana" w:cs="Arial"/>
          <w:sz w:val="22"/>
          <w:szCs w:val="22"/>
          <w:lang w:val="en-GB" w:eastAsia="en-GB"/>
        </w:rPr>
      </w:pPr>
      <w:r w:rsidRPr="007D3A46">
        <w:rPr>
          <w:rFonts w:ascii="Verdana" w:eastAsia="Times New Roman" w:hAnsi="Verdana" w:cs="Arial"/>
          <w:sz w:val="22"/>
          <w:szCs w:val="22"/>
          <w:lang w:val="en-GB" w:eastAsia="en-GB"/>
        </w:rPr>
        <w:t>The total net expenditure shown in the Comprehensive Income and Expenditure Statement includes operating income and expenditure along with adjustments for non-cash accounting transactions for depreciation, capital grants and pension costs in accordance with IAS 19 requirements.  A summary of the Comprehensive Income and Expenditure Statement is shown below.  The intra-group funding is a transfer between the PCC and Chief Constable accounts to offset the financial resources consumed at the request of the Chief Constable on behalf of the Group.</w:t>
      </w:r>
    </w:p>
    <w:p w14:paraId="6057A06A" w14:textId="77777777" w:rsidR="003F4F65" w:rsidRPr="007D3A46" w:rsidRDefault="003F4F65" w:rsidP="00F227D9">
      <w:pPr>
        <w:pStyle w:val="Normal0"/>
        <w:jc w:val="both"/>
        <w:rPr>
          <w:rFonts w:ascii="Verdana" w:eastAsia="Times New Roman" w:hAnsi="Verdana" w:cs="Arial"/>
          <w:sz w:val="22"/>
          <w:szCs w:val="22"/>
          <w:lang w:val="en-GB" w:eastAsia="en-GB"/>
        </w:rPr>
      </w:pPr>
    </w:p>
    <w:p w14:paraId="1CB1E38B" w14:textId="77777777" w:rsidR="00F227D9" w:rsidRPr="00F8777F" w:rsidRDefault="00F227D9" w:rsidP="00F227D9">
      <w:pPr>
        <w:pStyle w:val="Normal0"/>
        <w:jc w:val="both"/>
        <w:rPr>
          <w:rFonts w:ascii="Verdana" w:eastAsia="Times New Roman" w:hAnsi="Verdana" w:cs="Arial"/>
          <w:b/>
          <w:sz w:val="22"/>
          <w:szCs w:val="22"/>
          <w:lang w:val="en-GB" w:eastAsia="en-GB"/>
        </w:rPr>
      </w:pPr>
      <w:r w:rsidRPr="00F8777F">
        <w:rPr>
          <w:rFonts w:ascii="Verdana" w:eastAsia="Times New Roman" w:hAnsi="Verdana" w:cs="Arial"/>
          <w:b/>
          <w:sz w:val="22"/>
          <w:szCs w:val="22"/>
          <w:lang w:val="en-GB" w:eastAsia="en-GB"/>
        </w:rPr>
        <w:t xml:space="preserve">Capital Expenditure Budget </w:t>
      </w:r>
    </w:p>
    <w:p w14:paraId="6F730796" w14:textId="77777777" w:rsidR="00F227D9" w:rsidRPr="00F8777F" w:rsidRDefault="00F227D9" w:rsidP="00F227D9">
      <w:pPr>
        <w:pStyle w:val="Normal0"/>
        <w:jc w:val="both"/>
        <w:rPr>
          <w:rFonts w:ascii="Verdana" w:eastAsia="Times New Roman" w:hAnsi="Verdana" w:cs="Arial"/>
          <w:b/>
          <w:sz w:val="22"/>
          <w:szCs w:val="22"/>
          <w:lang w:val="en-GB" w:eastAsia="en-GB"/>
        </w:rPr>
      </w:pPr>
    </w:p>
    <w:p w14:paraId="74CB775D" w14:textId="2E44687B" w:rsidR="00AE1C10" w:rsidRPr="00F8777F" w:rsidRDefault="00AE1C10" w:rsidP="00F52015">
      <w:pPr>
        <w:jc w:val="both"/>
        <w:rPr>
          <w:rFonts w:ascii="Verdana" w:hAnsi="Verdana" w:cs="Arial"/>
          <w:sz w:val="22"/>
          <w:szCs w:val="22"/>
        </w:rPr>
      </w:pPr>
      <w:r w:rsidRPr="00AE1C10">
        <w:rPr>
          <w:rFonts w:ascii="Verdana" w:hAnsi="Verdana" w:cs="Arial"/>
          <w:sz w:val="22"/>
          <w:szCs w:val="22"/>
        </w:rPr>
        <w:t>The capital and investment programme is designed to support business enablement and change projects to promote new ways of working and efficient use of resources. Investment plans for the year included investment towards the new Police Headquarters, fleet replacement in-car technology development, ICT hardware, particularly laptops, development of mobile emergency services network and acquisition of the software developed as part of the Enterprise Resource Planning (ERP) system.</w:t>
      </w:r>
    </w:p>
    <w:p w14:paraId="5FC524E1" w14:textId="77777777" w:rsidR="00F52015" w:rsidRPr="00F8777F" w:rsidRDefault="00F52015" w:rsidP="00F52015">
      <w:pPr>
        <w:jc w:val="both"/>
        <w:rPr>
          <w:rFonts w:ascii="Verdana" w:hAnsi="Verdana" w:cs="Arial"/>
          <w:sz w:val="22"/>
          <w:szCs w:val="22"/>
        </w:rPr>
      </w:pPr>
    </w:p>
    <w:p w14:paraId="2924A5A7" w14:textId="77777777" w:rsidR="00F52015" w:rsidRPr="00F8777F" w:rsidRDefault="00F52015" w:rsidP="00F52015">
      <w:pPr>
        <w:jc w:val="both"/>
        <w:rPr>
          <w:rFonts w:ascii="Verdana" w:hAnsi="Verdana" w:cs="Arial"/>
          <w:sz w:val="22"/>
          <w:szCs w:val="22"/>
        </w:rPr>
      </w:pPr>
      <w:r w:rsidRPr="00F8777F">
        <w:rPr>
          <w:rFonts w:ascii="Verdana" w:hAnsi="Verdana" w:cs="Arial"/>
          <w:sz w:val="22"/>
          <w:szCs w:val="22"/>
        </w:rPr>
        <w:t>The Chief Constable receives a budget from the PCC for day-to-day management and running of the estate on behalf of the Surrey Police Group. The Police and Crime Commissioner retain ownership of all assets and therefore all assets are included on the Balance Sheet of the PCC and Group accounts but not the accounts of the Chief Constable.</w:t>
      </w:r>
    </w:p>
    <w:p w14:paraId="7DF3D04E" w14:textId="77777777" w:rsidR="00F52015" w:rsidRPr="00F8777F" w:rsidRDefault="00F52015" w:rsidP="00F52015">
      <w:pPr>
        <w:jc w:val="both"/>
        <w:rPr>
          <w:rFonts w:ascii="Verdana" w:hAnsi="Verdana" w:cs="Arial"/>
          <w:sz w:val="22"/>
          <w:szCs w:val="22"/>
        </w:rPr>
      </w:pPr>
    </w:p>
    <w:p w14:paraId="3F9514E0" w14:textId="1168FD45" w:rsidR="00AE1C10" w:rsidRPr="00AE1C10" w:rsidRDefault="00AE1C10" w:rsidP="00AE1C10">
      <w:pPr>
        <w:spacing w:line="256" w:lineRule="auto"/>
        <w:jc w:val="both"/>
        <w:rPr>
          <w:rFonts w:ascii="Verdana" w:hAnsi="Verdana"/>
          <w:sz w:val="22"/>
          <w:szCs w:val="22"/>
        </w:rPr>
      </w:pPr>
      <w:r w:rsidRPr="00AE1C10">
        <w:rPr>
          <w:rFonts w:ascii="Verdana" w:hAnsi="Verdana"/>
          <w:sz w:val="22"/>
          <w:szCs w:val="22"/>
        </w:rPr>
        <w:t xml:space="preserve">The PCC approved a Capital Program of £10.5m in February 2020 however with slippage requests from 2019/20 programme this increased the budget to £18.0m. The force runs a flexible programme managing schemes over a rolling 2 year period enabling work to be brought forward or deferred. </w:t>
      </w:r>
    </w:p>
    <w:p w14:paraId="46262858" w14:textId="77777777" w:rsidR="00AE1C10" w:rsidRPr="00AE1C10" w:rsidRDefault="00AE1C10" w:rsidP="00AE1C10">
      <w:pPr>
        <w:spacing w:line="256" w:lineRule="auto"/>
        <w:jc w:val="both"/>
        <w:rPr>
          <w:rFonts w:ascii="Verdana" w:hAnsi="Verdana"/>
          <w:sz w:val="22"/>
          <w:szCs w:val="22"/>
        </w:rPr>
      </w:pPr>
      <w:r w:rsidRPr="00AE1C10">
        <w:rPr>
          <w:rFonts w:ascii="Verdana" w:hAnsi="Verdana"/>
          <w:sz w:val="22"/>
          <w:szCs w:val="22"/>
        </w:rPr>
        <w:t xml:space="preserve">The performance against the budget is as shown in the following table: </w:t>
      </w:r>
    </w:p>
    <w:p w14:paraId="5D6DFDCD" w14:textId="77777777" w:rsidR="00AE1C10" w:rsidRDefault="00AE1C10" w:rsidP="007C1A0A">
      <w:pPr>
        <w:rPr>
          <w:rFonts w:ascii="Verdana" w:hAnsi="Verdana"/>
          <w:sz w:val="22"/>
          <w:szCs w:val="22"/>
          <w:highlight w:val="yellow"/>
        </w:rPr>
      </w:pPr>
    </w:p>
    <w:tbl>
      <w:tblPr>
        <w:tblW w:w="12686" w:type="dxa"/>
        <w:jc w:val="center"/>
        <w:tblLook w:val="04A0" w:firstRow="1" w:lastRow="0" w:firstColumn="1" w:lastColumn="0" w:noHBand="0" w:noVBand="1"/>
      </w:tblPr>
      <w:tblGrid>
        <w:gridCol w:w="3549"/>
        <w:gridCol w:w="1360"/>
        <w:gridCol w:w="1360"/>
        <w:gridCol w:w="1366"/>
        <w:gridCol w:w="1471"/>
        <w:gridCol w:w="1140"/>
        <w:gridCol w:w="1140"/>
        <w:gridCol w:w="1301"/>
      </w:tblGrid>
      <w:tr w:rsidR="00AE1C10" w:rsidRPr="00E73C9B" w14:paraId="01A79C8D" w14:textId="77777777" w:rsidTr="00E73C9B">
        <w:trPr>
          <w:trHeight w:val="233"/>
          <w:jc w:val="center"/>
        </w:trPr>
        <w:tc>
          <w:tcPr>
            <w:tcW w:w="12686" w:type="dxa"/>
            <w:gridSpan w:val="8"/>
            <w:tcBorders>
              <w:top w:val="single" w:sz="4" w:space="0" w:color="auto"/>
              <w:left w:val="single" w:sz="4" w:space="0" w:color="auto"/>
              <w:bottom w:val="single" w:sz="4" w:space="0" w:color="auto"/>
              <w:right w:val="single" w:sz="4" w:space="0" w:color="000000"/>
            </w:tcBorders>
            <w:vAlign w:val="center"/>
            <w:hideMark/>
          </w:tcPr>
          <w:p w14:paraId="13B0D352" w14:textId="77777777" w:rsidR="00AE1C10" w:rsidRPr="00E73C9B" w:rsidRDefault="00AE1C10" w:rsidP="00AE1C10">
            <w:pPr>
              <w:jc w:val="center"/>
              <w:rPr>
                <w:rFonts w:ascii="Verdana" w:eastAsia="Times New Roman" w:hAnsi="Verdana" w:cs="Calibri"/>
                <w:b/>
                <w:bCs/>
                <w:color w:val="000000"/>
                <w:sz w:val="20"/>
                <w:szCs w:val="20"/>
                <w:lang w:val="en-GB" w:eastAsia="en-GB"/>
              </w:rPr>
            </w:pPr>
            <w:r w:rsidRPr="00E73C9B">
              <w:rPr>
                <w:rFonts w:ascii="Verdana" w:eastAsia="Times New Roman" w:hAnsi="Verdana" w:cs="Calibri"/>
                <w:b/>
                <w:bCs/>
                <w:color w:val="000000"/>
                <w:sz w:val="20"/>
                <w:szCs w:val="20"/>
                <w:lang w:val="en-GB" w:eastAsia="en-GB"/>
              </w:rPr>
              <w:t>CAPITAL BUDGET OUTTURN 2020/21</w:t>
            </w:r>
          </w:p>
        </w:tc>
      </w:tr>
      <w:tr w:rsidR="00AE1C10" w:rsidRPr="00E73C9B" w14:paraId="388F00B9" w14:textId="77777777" w:rsidTr="00E73C9B">
        <w:trPr>
          <w:trHeight w:val="666"/>
          <w:jc w:val="center"/>
        </w:trPr>
        <w:tc>
          <w:tcPr>
            <w:tcW w:w="3549" w:type="dxa"/>
            <w:tcBorders>
              <w:top w:val="nil"/>
              <w:left w:val="single" w:sz="4" w:space="0" w:color="auto"/>
              <w:bottom w:val="nil"/>
              <w:right w:val="nil"/>
            </w:tcBorders>
            <w:vAlign w:val="center"/>
            <w:hideMark/>
          </w:tcPr>
          <w:p w14:paraId="162D83B3" w14:textId="77777777" w:rsidR="00AE1C10" w:rsidRPr="00E73C9B" w:rsidRDefault="00AE1C10" w:rsidP="00AE1C10">
            <w:pPr>
              <w:rPr>
                <w:rFonts w:ascii="Verdana" w:eastAsia="Times New Roman" w:hAnsi="Verdana" w:cs="Calibri"/>
                <w:color w:val="000000"/>
                <w:sz w:val="20"/>
                <w:szCs w:val="20"/>
                <w:lang w:val="en-GB" w:eastAsia="en-GB"/>
              </w:rPr>
            </w:pPr>
            <w:r w:rsidRPr="00E73C9B">
              <w:rPr>
                <w:rFonts w:ascii="Verdana" w:eastAsia="Times New Roman" w:hAnsi="Verdana" w:cs="Calibri"/>
                <w:color w:val="000000"/>
                <w:sz w:val="20"/>
                <w:szCs w:val="20"/>
                <w:lang w:val="en-GB" w:eastAsia="en-GB"/>
              </w:rPr>
              <w:t> </w:t>
            </w:r>
          </w:p>
        </w:tc>
        <w:tc>
          <w:tcPr>
            <w:tcW w:w="1360" w:type="dxa"/>
            <w:tcBorders>
              <w:top w:val="nil"/>
              <w:left w:val="single" w:sz="4" w:space="0" w:color="auto"/>
              <w:bottom w:val="nil"/>
              <w:right w:val="single" w:sz="4" w:space="0" w:color="auto"/>
            </w:tcBorders>
            <w:shd w:val="clear" w:color="auto" w:fill="F2F2F2"/>
            <w:vAlign w:val="center"/>
            <w:hideMark/>
          </w:tcPr>
          <w:p w14:paraId="6B221F86" w14:textId="77777777" w:rsidR="00AE1C10" w:rsidRPr="00E73C9B" w:rsidRDefault="00AE1C10" w:rsidP="00AE1C10">
            <w:pPr>
              <w:jc w:val="center"/>
              <w:rPr>
                <w:rFonts w:ascii="Verdana" w:eastAsia="Times New Roman" w:hAnsi="Verdana" w:cs="Calibri"/>
                <w:b/>
                <w:bCs/>
                <w:color w:val="000000"/>
                <w:sz w:val="20"/>
                <w:szCs w:val="20"/>
                <w:lang w:val="en-GB" w:eastAsia="en-GB"/>
              </w:rPr>
            </w:pPr>
            <w:r w:rsidRPr="00E73C9B">
              <w:rPr>
                <w:rFonts w:ascii="Verdana" w:eastAsia="Times New Roman" w:hAnsi="Verdana" w:cs="Calibri"/>
                <w:b/>
                <w:bCs/>
                <w:color w:val="000000"/>
                <w:sz w:val="20"/>
                <w:szCs w:val="20"/>
                <w:lang w:val="en-GB" w:eastAsia="en-GB"/>
              </w:rPr>
              <w:t>Original Budget</w:t>
            </w:r>
          </w:p>
        </w:tc>
        <w:tc>
          <w:tcPr>
            <w:tcW w:w="1360" w:type="dxa"/>
            <w:tcBorders>
              <w:top w:val="nil"/>
              <w:left w:val="nil"/>
              <w:bottom w:val="nil"/>
              <w:right w:val="single" w:sz="4" w:space="0" w:color="auto"/>
            </w:tcBorders>
            <w:vAlign w:val="center"/>
            <w:hideMark/>
          </w:tcPr>
          <w:p w14:paraId="1720578C" w14:textId="77777777" w:rsidR="00AE1C10" w:rsidRPr="00E73C9B" w:rsidRDefault="00AE1C10" w:rsidP="00AE1C10">
            <w:pPr>
              <w:jc w:val="center"/>
              <w:rPr>
                <w:rFonts w:ascii="Verdana" w:eastAsia="Times New Roman" w:hAnsi="Verdana" w:cs="Calibri"/>
                <w:b/>
                <w:bCs/>
                <w:color w:val="000000"/>
                <w:sz w:val="20"/>
                <w:szCs w:val="20"/>
                <w:lang w:val="en-GB" w:eastAsia="en-GB"/>
              </w:rPr>
            </w:pPr>
            <w:r w:rsidRPr="00E73C9B">
              <w:rPr>
                <w:rFonts w:ascii="Verdana" w:eastAsia="Times New Roman" w:hAnsi="Verdana" w:cs="Calibri"/>
                <w:b/>
                <w:bCs/>
                <w:color w:val="000000"/>
                <w:sz w:val="20"/>
                <w:szCs w:val="20"/>
                <w:lang w:val="en-GB" w:eastAsia="en-GB"/>
              </w:rPr>
              <w:t>Other Changes</w:t>
            </w:r>
          </w:p>
        </w:tc>
        <w:tc>
          <w:tcPr>
            <w:tcW w:w="1361" w:type="dxa"/>
            <w:tcBorders>
              <w:top w:val="nil"/>
              <w:left w:val="nil"/>
              <w:bottom w:val="nil"/>
              <w:right w:val="single" w:sz="4" w:space="0" w:color="auto"/>
            </w:tcBorders>
            <w:vAlign w:val="center"/>
            <w:hideMark/>
          </w:tcPr>
          <w:p w14:paraId="4ECB5B78" w14:textId="77777777" w:rsidR="00AE1C10" w:rsidRPr="00E73C9B" w:rsidRDefault="00AE1C10" w:rsidP="00AE1C10">
            <w:pPr>
              <w:jc w:val="center"/>
              <w:rPr>
                <w:rFonts w:ascii="Verdana" w:eastAsia="Times New Roman" w:hAnsi="Verdana" w:cs="Calibri"/>
                <w:b/>
                <w:bCs/>
                <w:color w:val="000000"/>
                <w:sz w:val="20"/>
                <w:szCs w:val="20"/>
                <w:lang w:val="en-GB" w:eastAsia="en-GB"/>
              </w:rPr>
            </w:pPr>
            <w:r w:rsidRPr="00E73C9B">
              <w:rPr>
                <w:rFonts w:ascii="Verdana" w:eastAsia="Times New Roman" w:hAnsi="Verdana" w:cs="Calibri"/>
                <w:b/>
                <w:bCs/>
                <w:color w:val="000000"/>
                <w:sz w:val="20"/>
                <w:szCs w:val="20"/>
                <w:lang w:val="en-GB" w:eastAsia="en-GB"/>
              </w:rPr>
              <w:t>Budget Virements</w:t>
            </w:r>
          </w:p>
        </w:tc>
        <w:tc>
          <w:tcPr>
            <w:tcW w:w="1471" w:type="dxa"/>
            <w:tcBorders>
              <w:top w:val="nil"/>
              <w:left w:val="nil"/>
              <w:bottom w:val="nil"/>
              <w:right w:val="single" w:sz="4" w:space="0" w:color="auto"/>
            </w:tcBorders>
            <w:vAlign w:val="center"/>
            <w:hideMark/>
          </w:tcPr>
          <w:p w14:paraId="6A80DA9D" w14:textId="77777777" w:rsidR="00AE1C10" w:rsidRPr="00E73C9B" w:rsidRDefault="00AE1C10" w:rsidP="00AE1C10">
            <w:pPr>
              <w:jc w:val="center"/>
              <w:rPr>
                <w:rFonts w:ascii="Verdana" w:eastAsia="Times New Roman" w:hAnsi="Verdana" w:cs="Calibri"/>
                <w:b/>
                <w:bCs/>
                <w:color w:val="000000"/>
                <w:sz w:val="20"/>
                <w:szCs w:val="20"/>
                <w:lang w:val="en-GB" w:eastAsia="en-GB"/>
              </w:rPr>
            </w:pPr>
            <w:r w:rsidRPr="00E73C9B">
              <w:rPr>
                <w:rFonts w:ascii="Verdana" w:eastAsia="Times New Roman" w:hAnsi="Verdana" w:cs="Calibri"/>
                <w:b/>
                <w:bCs/>
                <w:color w:val="000000"/>
                <w:sz w:val="20"/>
                <w:szCs w:val="20"/>
                <w:lang w:val="en-GB" w:eastAsia="en-GB"/>
              </w:rPr>
              <w:t>Revenue to Capital Transfers</w:t>
            </w:r>
          </w:p>
        </w:tc>
        <w:tc>
          <w:tcPr>
            <w:tcW w:w="1140" w:type="dxa"/>
            <w:tcBorders>
              <w:top w:val="nil"/>
              <w:left w:val="nil"/>
              <w:bottom w:val="nil"/>
              <w:right w:val="single" w:sz="4" w:space="0" w:color="auto"/>
            </w:tcBorders>
            <w:shd w:val="clear" w:color="auto" w:fill="F2F2F2"/>
            <w:vAlign w:val="center"/>
            <w:hideMark/>
          </w:tcPr>
          <w:p w14:paraId="6C4FB8EF" w14:textId="77777777" w:rsidR="00AE1C10" w:rsidRPr="00E73C9B" w:rsidRDefault="00AE1C10" w:rsidP="00AE1C10">
            <w:pPr>
              <w:jc w:val="center"/>
              <w:rPr>
                <w:rFonts w:ascii="Verdana" w:eastAsia="Times New Roman" w:hAnsi="Verdana" w:cs="Calibri"/>
                <w:b/>
                <w:bCs/>
                <w:color w:val="000000"/>
                <w:sz w:val="20"/>
                <w:szCs w:val="20"/>
                <w:lang w:val="en-GB" w:eastAsia="en-GB"/>
              </w:rPr>
            </w:pPr>
            <w:r w:rsidRPr="00E73C9B">
              <w:rPr>
                <w:rFonts w:ascii="Verdana" w:eastAsia="Times New Roman" w:hAnsi="Verdana" w:cs="Calibri"/>
                <w:b/>
                <w:bCs/>
                <w:color w:val="000000"/>
                <w:sz w:val="20"/>
                <w:szCs w:val="20"/>
                <w:lang w:val="en-GB" w:eastAsia="en-GB"/>
              </w:rPr>
              <w:t>Revised Budget</w:t>
            </w:r>
          </w:p>
        </w:tc>
        <w:tc>
          <w:tcPr>
            <w:tcW w:w="1140" w:type="dxa"/>
            <w:tcBorders>
              <w:top w:val="nil"/>
              <w:left w:val="nil"/>
              <w:bottom w:val="nil"/>
              <w:right w:val="single" w:sz="4" w:space="0" w:color="auto"/>
            </w:tcBorders>
            <w:vAlign w:val="center"/>
            <w:hideMark/>
          </w:tcPr>
          <w:p w14:paraId="4976AB59" w14:textId="77777777" w:rsidR="00AE1C10" w:rsidRPr="00E73C9B" w:rsidRDefault="00AE1C10" w:rsidP="00AE1C10">
            <w:pPr>
              <w:jc w:val="center"/>
              <w:rPr>
                <w:rFonts w:ascii="Verdana" w:eastAsia="Times New Roman" w:hAnsi="Verdana" w:cs="Calibri"/>
                <w:b/>
                <w:bCs/>
                <w:color w:val="000000"/>
                <w:sz w:val="20"/>
                <w:szCs w:val="20"/>
                <w:lang w:val="en-GB" w:eastAsia="en-GB"/>
              </w:rPr>
            </w:pPr>
            <w:r w:rsidRPr="00E73C9B">
              <w:rPr>
                <w:rFonts w:ascii="Verdana" w:eastAsia="Times New Roman" w:hAnsi="Verdana" w:cs="Calibri"/>
                <w:b/>
                <w:bCs/>
                <w:color w:val="000000"/>
                <w:sz w:val="20"/>
                <w:szCs w:val="20"/>
                <w:lang w:val="en-GB" w:eastAsia="en-GB"/>
              </w:rPr>
              <w:t>Actuals</w:t>
            </w:r>
          </w:p>
        </w:tc>
        <w:tc>
          <w:tcPr>
            <w:tcW w:w="1301" w:type="dxa"/>
            <w:tcBorders>
              <w:top w:val="nil"/>
              <w:left w:val="nil"/>
              <w:bottom w:val="nil"/>
              <w:right w:val="single" w:sz="4" w:space="0" w:color="auto"/>
            </w:tcBorders>
            <w:vAlign w:val="center"/>
            <w:hideMark/>
          </w:tcPr>
          <w:p w14:paraId="68985F5A" w14:textId="77777777" w:rsidR="00AE1C10" w:rsidRPr="00E73C9B" w:rsidRDefault="00AE1C10" w:rsidP="00AE1C10">
            <w:pPr>
              <w:jc w:val="center"/>
              <w:rPr>
                <w:rFonts w:ascii="Verdana" w:eastAsia="Times New Roman" w:hAnsi="Verdana" w:cs="Calibri"/>
                <w:b/>
                <w:bCs/>
                <w:color w:val="000000"/>
                <w:sz w:val="20"/>
                <w:szCs w:val="20"/>
                <w:lang w:val="en-GB" w:eastAsia="en-GB"/>
              </w:rPr>
            </w:pPr>
            <w:r w:rsidRPr="00E73C9B">
              <w:rPr>
                <w:rFonts w:ascii="Verdana" w:eastAsia="Times New Roman" w:hAnsi="Verdana" w:cs="Calibri"/>
                <w:b/>
                <w:bCs/>
                <w:color w:val="000000"/>
                <w:sz w:val="20"/>
                <w:szCs w:val="20"/>
                <w:lang w:val="en-GB" w:eastAsia="en-GB"/>
              </w:rPr>
              <w:t>Variance over / (under) spend</w:t>
            </w:r>
          </w:p>
        </w:tc>
      </w:tr>
      <w:tr w:rsidR="00AE1C10" w:rsidRPr="00E73C9B" w14:paraId="2EBCBB7D" w14:textId="77777777" w:rsidTr="00E73C9B">
        <w:trPr>
          <w:trHeight w:val="222"/>
          <w:jc w:val="center"/>
        </w:trPr>
        <w:tc>
          <w:tcPr>
            <w:tcW w:w="3549" w:type="dxa"/>
            <w:tcBorders>
              <w:top w:val="nil"/>
              <w:left w:val="single" w:sz="4" w:space="0" w:color="auto"/>
              <w:bottom w:val="single" w:sz="4" w:space="0" w:color="auto"/>
              <w:right w:val="nil"/>
            </w:tcBorders>
            <w:noWrap/>
            <w:vAlign w:val="center"/>
            <w:hideMark/>
          </w:tcPr>
          <w:p w14:paraId="611B8ACD" w14:textId="77777777" w:rsidR="00AE1C10" w:rsidRPr="00E73C9B" w:rsidRDefault="00AE1C10" w:rsidP="00AE1C10">
            <w:pPr>
              <w:rPr>
                <w:rFonts w:ascii="Verdana" w:eastAsia="Times New Roman" w:hAnsi="Verdana" w:cs="Calibri"/>
                <w:color w:val="000000"/>
                <w:sz w:val="20"/>
                <w:szCs w:val="20"/>
                <w:lang w:val="en-GB" w:eastAsia="en-GB"/>
              </w:rPr>
            </w:pPr>
            <w:r w:rsidRPr="00E73C9B">
              <w:rPr>
                <w:rFonts w:ascii="Verdana" w:eastAsia="Times New Roman" w:hAnsi="Verdana" w:cs="Calibri"/>
                <w:color w:val="000000"/>
                <w:sz w:val="20"/>
                <w:szCs w:val="20"/>
                <w:lang w:val="en-GB" w:eastAsia="en-GB"/>
              </w:rPr>
              <w:t> </w:t>
            </w:r>
          </w:p>
        </w:tc>
        <w:tc>
          <w:tcPr>
            <w:tcW w:w="1360" w:type="dxa"/>
            <w:tcBorders>
              <w:top w:val="nil"/>
              <w:left w:val="single" w:sz="4" w:space="0" w:color="auto"/>
              <w:bottom w:val="single" w:sz="4" w:space="0" w:color="auto"/>
              <w:right w:val="single" w:sz="4" w:space="0" w:color="auto"/>
            </w:tcBorders>
            <w:shd w:val="clear" w:color="auto" w:fill="F2F2F2"/>
            <w:noWrap/>
            <w:vAlign w:val="center"/>
            <w:hideMark/>
          </w:tcPr>
          <w:p w14:paraId="78A8D341" w14:textId="77777777" w:rsidR="00AE1C10" w:rsidRPr="00E73C9B" w:rsidRDefault="00AE1C10" w:rsidP="00AE1C10">
            <w:pPr>
              <w:jc w:val="center"/>
              <w:rPr>
                <w:rFonts w:ascii="Verdana" w:eastAsia="Times New Roman" w:hAnsi="Verdana" w:cs="Calibri"/>
                <w:b/>
                <w:bCs/>
                <w:color w:val="000000"/>
                <w:sz w:val="20"/>
                <w:szCs w:val="20"/>
                <w:lang w:val="en-GB" w:eastAsia="en-GB"/>
              </w:rPr>
            </w:pPr>
            <w:r w:rsidRPr="00E73C9B">
              <w:rPr>
                <w:rFonts w:ascii="Verdana" w:eastAsia="Times New Roman" w:hAnsi="Verdana" w:cs="Calibri"/>
                <w:b/>
                <w:bCs/>
                <w:color w:val="000000"/>
                <w:sz w:val="20"/>
                <w:szCs w:val="20"/>
                <w:lang w:val="en-GB" w:eastAsia="en-GB"/>
              </w:rPr>
              <w:t>£m</w:t>
            </w:r>
          </w:p>
        </w:tc>
        <w:tc>
          <w:tcPr>
            <w:tcW w:w="1360" w:type="dxa"/>
            <w:tcBorders>
              <w:top w:val="nil"/>
              <w:left w:val="nil"/>
              <w:bottom w:val="single" w:sz="4" w:space="0" w:color="auto"/>
              <w:right w:val="single" w:sz="4" w:space="0" w:color="auto"/>
            </w:tcBorders>
            <w:noWrap/>
            <w:vAlign w:val="center"/>
            <w:hideMark/>
          </w:tcPr>
          <w:p w14:paraId="7FBD5D52" w14:textId="77777777" w:rsidR="00AE1C10" w:rsidRPr="00E73C9B" w:rsidRDefault="00AE1C10" w:rsidP="00AE1C10">
            <w:pPr>
              <w:jc w:val="center"/>
              <w:rPr>
                <w:rFonts w:ascii="Verdana" w:eastAsia="Times New Roman" w:hAnsi="Verdana" w:cs="Calibri"/>
                <w:b/>
                <w:bCs/>
                <w:color w:val="000000"/>
                <w:sz w:val="20"/>
                <w:szCs w:val="20"/>
                <w:lang w:val="en-GB" w:eastAsia="en-GB"/>
              </w:rPr>
            </w:pPr>
            <w:r w:rsidRPr="00E73C9B">
              <w:rPr>
                <w:rFonts w:ascii="Verdana" w:eastAsia="Times New Roman" w:hAnsi="Verdana" w:cs="Calibri"/>
                <w:b/>
                <w:bCs/>
                <w:color w:val="000000"/>
                <w:sz w:val="20"/>
                <w:szCs w:val="20"/>
                <w:lang w:val="en-GB" w:eastAsia="en-GB"/>
              </w:rPr>
              <w:t>£m</w:t>
            </w:r>
          </w:p>
        </w:tc>
        <w:tc>
          <w:tcPr>
            <w:tcW w:w="1361" w:type="dxa"/>
            <w:tcBorders>
              <w:top w:val="nil"/>
              <w:left w:val="nil"/>
              <w:bottom w:val="single" w:sz="4" w:space="0" w:color="auto"/>
              <w:right w:val="single" w:sz="4" w:space="0" w:color="auto"/>
            </w:tcBorders>
            <w:noWrap/>
            <w:vAlign w:val="center"/>
            <w:hideMark/>
          </w:tcPr>
          <w:p w14:paraId="1EB2049C" w14:textId="77777777" w:rsidR="00AE1C10" w:rsidRPr="00E73C9B" w:rsidRDefault="00AE1C10" w:rsidP="00AE1C10">
            <w:pPr>
              <w:jc w:val="center"/>
              <w:rPr>
                <w:rFonts w:ascii="Verdana" w:eastAsia="Times New Roman" w:hAnsi="Verdana" w:cs="Calibri"/>
                <w:b/>
                <w:bCs/>
                <w:color w:val="000000"/>
                <w:sz w:val="20"/>
                <w:szCs w:val="20"/>
                <w:lang w:val="en-GB" w:eastAsia="en-GB"/>
              </w:rPr>
            </w:pPr>
            <w:r w:rsidRPr="00E73C9B">
              <w:rPr>
                <w:rFonts w:ascii="Verdana" w:eastAsia="Times New Roman" w:hAnsi="Verdana" w:cs="Calibri"/>
                <w:b/>
                <w:bCs/>
                <w:color w:val="000000"/>
                <w:sz w:val="20"/>
                <w:szCs w:val="20"/>
                <w:lang w:val="en-GB" w:eastAsia="en-GB"/>
              </w:rPr>
              <w:t>£m</w:t>
            </w:r>
          </w:p>
        </w:tc>
        <w:tc>
          <w:tcPr>
            <w:tcW w:w="1471" w:type="dxa"/>
            <w:tcBorders>
              <w:top w:val="nil"/>
              <w:left w:val="nil"/>
              <w:bottom w:val="single" w:sz="4" w:space="0" w:color="auto"/>
              <w:right w:val="single" w:sz="4" w:space="0" w:color="auto"/>
            </w:tcBorders>
            <w:noWrap/>
            <w:vAlign w:val="center"/>
            <w:hideMark/>
          </w:tcPr>
          <w:p w14:paraId="2E6784DA" w14:textId="77777777" w:rsidR="00AE1C10" w:rsidRPr="00E73C9B" w:rsidRDefault="00AE1C10" w:rsidP="00AE1C10">
            <w:pPr>
              <w:jc w:val="center"/>
              <w:rPr>
                <w:rFonts w:ascii="Verdana" w:eastAsia="Times New Roman" w:hAnsi="Verdana" w:cs="Calibri"/>
                <w:b/>
                <w:bCs/>
                <w:color w:val="000000"/>
                <w:sz w:val="20"/>
                <w:szCs w:val="20"/>
                <w:lang w:val="en-GB" w:eastAsia="en-GB"/>
              </w:rPr>
            </w:pPr>
            <w:r w:rsidRPr="00E73C9B">
              <w:rPr>
                <w:rFonts w:ascii="Verdana" w:eastAsia="Times New Roman" w:hAnsi="Verdana" w:cs="Calibri"/>
                <w:b/>
                <w:bCs/>
                <w:color w:val="000000"/>
                <w:sz w:val="20"/>
                <w:szCs w:val="20"/>
                <w:lang w:val="en-GB" w:eastAsia="en-GB"/>
              </w:rPr>
              <w:t>£m</w:t>
            </w:r>
          </w:p>
        </w:tc>
        <w:tc>
          <w:tcPr>
            <w:tcW w:w="1140" w:type="dxa"/>
            <w:tcBorders>
              <w:top w:val="nil"/>
              <w:left w:val="nil"/>
              <w:bottom w:val="single" w:sz="4" w:space="0" w:color="auto"/>
              <w:right w:val="single" w:sz="4" w:space="0" w:color="auto"/>
            </w:tcBorders>
            <w:shd w:val="clear" w:color="auto" w:fill="F2F2F2"/>
            <w:noWrap/>
            <w:vAlign w:val="center"/>
            <w:hideMark/>
          </w:tcPr>
          <w:p w14:paraId="5460712A" w14:textId="77777777" w:rsidR="00AE1C10" w:rsidRPr="00E73C9B" w:rsidRDefault="00AE1C10" w:rsidP="00AE1C10">
            <w:pPr>
              <w:jc w:val="center"/>
              <w:rPr>
                <w:rFonts w:ascii="Verdana" w:eastAsia="Times New Roman" w:hAnsi="Verdana" w:cs="Calibri"/>
                <w:b/>
                <w:bCs/>
                <w:color w:val="000000"/>
                <w:sz w:val="20"/>
                <w:szCs w:val="20"/>
                <w:lang w:val="en-GB" w:eastAsia="en-GB"/>
              </w:rPr>
            </w:pPr>
            <w:r w:rsidRPr="00E73C9B">
              <w:rPr>
                <w:rFonts w:ascii="Verdana" w:eastAsia="Times New Roman" w:hAnsi="Verdana" w:cs="Calibri"/>
                <w:b/>
                <w:bCs/>
                <w:color w:val="000000"/>
                <w:sz w:val="20"/>
                <w:szCs w:val="20"/>
                <w:lang w:val="en-GB" w:eastAsia="en-GB"/>
              </w:rPr>
              <w:t>£m</w:t>
            </w:r>
          </w:p>
        </w:tc>
        <w:tc>
          <w:tcPr>
            <w:tcW w:w="1140" w:type="dxa"/>
            <w:tcBorders>
              <w:top w:val="nil"/>
              <w:left w:val="nil"/>
              <w:bottom w:val="single" w:sz="4" w:space="0" w:color="auto"/>
              <w:right w:val="single" w:sz="4" w:space="0" w:color="auto"/>
            </w:tcBorders>
            <w:noWrap/>
            <w:vAlign w:val="center"/>
            <w:hideMark/>
          </w:tcPr>
          <w:p w14:paraId="12E24D86" w14:textId="77777777" w:rsidR="00AE1C10" w:rsidRPr="00E73C9B" w:rsidRDefault="00AE1C10" w:rsidP="00AE1C10">
            <w:pPr>
              <w:jc w:val="center"/>
              <w:rPr>
                <w:rFonts w:ascii="Verdana" w:eastAsia="Times New Roman" w:hAnsi="Verdana" w:cs="Calibri"/>
                <w:b/>
                <w:bCs/>
                <w:color w:val="000000"/>
                <w:sz w:val="20"/>
                <w:szCs w:val="20"/>
                <w:lang w:val="en-GB" w:eastAsia="en-GB"/>
              </w:rPr>
            </w:pPr>
            <w:r w:rsidRPr="00E73C9B">
              <w:rPr>
                <w:rFonts w:ascii="Verdana" w:eastAsia="Times New Roman" w:hAnsi="Verdana" w:cs="Calibri"/>
                <w:b/>
                <w:bCs/>
                <w:color w:val="000000"/>
                <w:sz w:val="20"/>
                <w:szCs w:val="20"/>
                <w:lang w:val="en-GB" w:eastAsia="en-GB"/>
              </w:rPr>
              <w:t>£m</w:t>
            </w:r>
          </w:p>
        </w:tc>
        <w:tc>
          <w:tcPr>
            <w:tcW w:w="1301" w:type="dxa"/>
            <w:tcBorders>
              <w:top w:val="nil"/>
              <w:left w:val="nil"/>
              <w:bottom w:val="single" w:sz="4" w:space="0" w:color="auto"/>
              <w:right w:val="single" w:sz="4" w:space="0" w:color="auto"/>
            </w:tcBorders>
            <w:noWrap/>
            <w:vAlign w:val="center"/>
            <w:hideMark/>
          </w:tcPr>
          <w:p w14:paraId="0EC4CB6D" w14:textId="77777777" w:rsidR="00AE1C10" w:rsidRPr="00E73C9B" w:rsidRDefault="00AE1C10" w:rsidP="00AE1C10">
            <w:pPr>
              <w:jc w:val="center"/>
              <w:rPr>
                <w:rFonts w:ascii="Verdana" w:eastAsia="Times New Roman" w:hAnsi="Verdana" w:cs="Calibri"/>
                <w:b/>
                <w:bCs/>
                <w:color w:val="000000"/>
                <w:sz w:val="20"/>
                <w:szCs w:val="20"/>
                <w:lang w:val="en-GB" w:eastAsia="en-GB"/>
              </w:rPr>
            </w:pPr>
            <w:r w:rsidRPr="00E73C9B">
              <w:rPr>
                <w:rFonts w:ascii="Verdana" w:eastAsia="Times New Roman" w:hAnsi="Verdana" w:cs="Calibri"/>
                <w:b/>
                <w:bCs/>
                <w:color w:val="000000"/>
                <w:sz w:val="20"/>
                <w:szCs w:val="20"/>
                <w:lang w:val="en-GB" w:eastAsia="en-GB"/>
              </w:rPr>
              <w:t>£m</w:t>
            </w:r>
          </w:p>
        </w:tc>
      </w:tr>
      <w:tr w:rsidR="00AE1C10" w:rsidRPr="00E73C9B" w14:paraId="70EA1E15" w14:textId="77777777" w:rsidTr="00E73C9B">
        <w:trPr>
          <w:trHeight w:val="222"/>
          <w:jc w:val="center"/>
        </w:trPr>
        <w:tc>
          <w:tcPr>
            <w:tcW w:w="3549" w:type="dxa"/>
            <w:tcBorders>
              <w:top w:val="nil"/>
              <w:left w:val="single" w:sz="4" w:space="0" w:color="auto"/>
              <w:bottom w:val="nil"/>
              <w:right w:val="nil"/>
            </w:tcBorders>
            <w:noWrap/>
            <w:vAlign w:val="center"/>
            <w:hideMark/>
          </w:tcPr>
          <w:p w14:paraId="1971684E" w14:textId="77777777" w:rsidR="00AE1C10" w:rsidRPr="00E73C9B" w:rsidRDefault="00AE1C10" w:rsidP="00AE1C10">
            <w:pPr>
              <w:rPr>
                <w:rFonts w:ascii="Verdana" w:eastAsia="Times New Roman" w:hAnsi="Verdana" w:cs="Calibri"/>
                <w:color w:val="000000"/>
                <w:sz w:val="20"/>
                <w:szCs w:val="20"/>
                <w:lang w:val="en-GB" w:eastAsia="en-GB"/>
              </w:rPr>
            </w:pPr>
            <w:r w:rsidRPr="00E73C9B">
              <w:rPr>
                <w:rFonts w:ascii="Verdana" w:eastAsia="Times New Roman" w:hAnsi="Verdana" w:cs="Calibri"/>
                <w:color w:val="000000"/>
                <w:sz w:val="20"/>
                <w:szCs w:val="20"/>
                <w:lang w:val="en-GB" w:eastAsia="en-GB"/>
              </w:rPr>
              <w:t>ICT</w:t>
            </w:r>
          </w:p>
        </w:tc>
        <w:tc>
          <w:tcPr>
            <w:tcW w:w="1360" w:type="dxa"/>
            <w:tcBorders>
              <w:top w:val="nil"/>
              <w:left w:val="single" w:sz="4" w:space="0" w:color="auto"/>
              <w:bottom w:val="nil"/>
              <w:right w:val="single" w:sz="4" w:space="0" w:color="auto"/>
            </w:tcBorders>
            <w:shd w:val="clear" w:color="auto" w:fill="F2F2F2"/>
            <w:noWrap/>
            <w:vAlign w:val="center"/>
            <w:hideMark/>
          </w:tcPr>
          <w:p w14:paraId="2EBB2D29" w14:textId="77777777" w:rsidR="00AE1C10" w:rsidRPr="00E73C9B" w:rsidRDefault="00AE1C10" w:rsidP="00AE1C10">
            <w:pPr>
              <w:jc w:val="right"/>
              <w:rPr>
                <w:rFonts w:ascii="Verdana" w:eastAsia="Times New Roman" w:hAnsi="Verdana" w:cs="Calibri"/>
                <w:color w:val="000000"/>
                <w:sz w:val="20"/>
                <w:szCs w:val="20"/>
                <w:lang w:val="en-GB" w:eastAsia="en-GB"/>
              </w:rPr>
            </w:pPr>
            <w:r w:rsidRPr="00E73C9B">
              <w:rPr>
                <w:rFonts w:ascii="Verdana" w:eastAsia="Times New Roman" w:hAnsi="Verdana" w:cs="Calibri"/>
                <w:color w:val="000000"/>
                <w:sz w:val="20"/>
                <w:szCs w:val="20"/>
                <w:lang w:val="en-GB" w:eastAsia="en-GB"/>
              </w:rPr>
              <w:t>6.114</w:t>
            </w:r>
          </w:p>
        </w:tc>
        <w:tc>
          <w:tcPr>
            <w:tcW w:w="1360" w:type="dxa"/>
            <w:tcBorders>
              <w:top w:val="nil"/>
              <w:left w:val="nil"/>
              <w:bottom w:val="nil"/>
              <w:right w:val="single" w:sz="4" w:space="0" w:color="auto"/>
            </w:tcBorders>
            <w:noWrap/>
            <w:vAlign w:val="center"/>
            <w:hideMark/>
          </w:tcPr>
          <w:p w14:paraId="5DC059E8" w14:textId="77777777" w:rsidR="00AE1C10" w:rsidRPr="00E73C9B" w:rsidRDefault="00AE1C10" w:rsidP="00AE1C10">
            <w:pPr>
              <w:jc w:val="right"/>
              <w:rPr>
                <w:rFonts w:ascii="Verdana" w:eastAsia="Times New Roman" w:hAnsi="Verdana" w:cs="Calibri"/>
                <w:color w:val="000000"/>
                <w:sz w:val="20"/>
                <w:szCs w:val="20"/>
                <w:lang w:val="en-GB" w:eastAsia="en-GB"/>
              </w:rPr>
            </w:pPr>
            <w:r w:rsidRPr="00E73C9B">
              <w:rPr>
                <w:rFonts w:ascii="Verdana" w:eastAsia="Times New Roman" w:hAnsi="Verdana" w:cs="Calibri"/>
                <w:color w:val="000000"/>
                <w:sz w:val="20"/>
                <w:szCs w:val="20"/>
                <w:lang w:val="en-GB" w:eastAsia="en-GB"/>
              </w:rPr>
              <w:t>0.680</w:t>
            </w:r>
          </w:p>
        </w:tc>
        <w:tc>
          <w:tcPr>
            <w:tcW w:w="1361" w:type="dxa"/>
            <w:tcBorders>
              <w:top w:val="nil"/>
              <w:left w:val="nil"/>
              <w:bottom w:val="nil"/>
              <w:right w:val="single" w:sz="4" w:space="0" w:color="auto"/>
            </w:tcBorders>
            <w:noWrap/>
            <w:vAlign w:val="center"/>
            <w:hideMark/>
          </w:tcPr>
          <w:p w14:paraId="3745F538" w14:textId="77777777" w:rsidR="00AE1C10" w:rsidRPr="00E73C9B" w:rsidRDefault="00AE1C10" w:rsidP="00AE1C10">
            <w:pPr>
              <w:jc w:val="right"/>
              <w:rPr>
                <w:rFonts w:ascii="Verdana" w:eastAsia="Times New Roman" w:hAnsi="Verdana" w:cs="Calibri"/>
                <w:color w:val="000000"/>
                <w:sz w:val="20"/>
                <w:szCs w:val="20"/>
                <w:lang w:val="en-GB" w:eastAsia="en-GB"/>
              </w:rPr>
            </w:pPr>
            <w:r w:rsidRPr="00E73C9B">
              <w:rPr>
                <w:rFonts w:ascii="Verdana" w:eastAsia="Times New Roman" w:hAnsi="Verdana" w:cs="Calibri"/>
                <w:color w:val="FF0000"/>
                <w:sz w:val="20"/>
                <w:szCs w:val="20"/>
                <w:lang w:val="en-GB" w:eastAsia="en-GB"/>
              </w:rPr>
              <w:t>(0.997)</w:t>
            </w:r>
          </w:p>
        </w:tc>
        <w:tc>
          <w:tcPr>
            <w:tcW w:w="1471" w:type="dxa"/>
            <w:tcBorders>
              <w:top w:val="nil"/>
              <w:left w:val="nil"/>
              <w:bottom w:val="nil"/>
              <w:right w:val="single" w:sz="4" w:space="0" w:color="auto"/>
            </w:tcBorders>
            <w:noWrap/>
            <w:vAlign w:val="center"/>
            <w:hideMark/>
          </w:tcPr>
          <w:p w14:paraId="11DD3A51" w14:textId="77777777" w:rsidR="00AE1C10" w:rsidRPr="00E73C9B" w:rsidRDefault="00AE1C10" w:rsidP="00AE1C10">
            <w:pPr>
              <w:jc w:val="right"/>
              <w:rPr>
                <w:rFonts w:ascii="Verdana" w:eastAsia="Times New Roman" w:hAnsi="Verdana" w:cs="Calibri"/>
                <w:color w:val="000000"/>
                <w:sz w:val="20"/>
                <w:szCs w:val="20"/>
                <w:lang w:val="en-GB" w:eastAsia="en-GB"/>
              </w:rPr>
            </w:pPr>
            <w:r w:rsidRPr="00E73C9B">
              <w:rPr>
                <w:rFonts w:ascii="Verdana" w:eastAsia="Times New Roman" w:hAnsi="Verdana" w:cs="Calibri"/>
                <w:color w:val="000000"/>
                <w:sz w:val="20"/>
                <w:szCs w:val="20"/>
                <w:lang w:val="en-GB" w:eastAsia="en-GB"/>
              </w:rPr>
              <w:t>0.620</w:t>
            </w:r>
          </w:p>
        </w:tc>
        <w:tc>
          <w:tcPr>
            <w:tcW w:w="1140" w:type="dxa"/>
            <w:tcBorders>
              <w:top w:val="nil"/>
              <w:left w:val="nil"/>
              <w:bottom w:val="nil"/>
              <w:right w:val="single" w:sz="4" w:space="0" w:color="auto"/>
            </w:tcBorders>
            <w:shd w:val="clear" w:color="auto" w:fill="F2F2F2"/>
            <w:noWrap/>
            <w:vAlign w:val="center"/>
            <w:hideMark/>
          </w:tcPr>
          <w:p w14:paraId="6F12E826" w14:textId="77777777" w:rsidR="00AE1C10" w:rsidRPr="00E73C9B" w:rsidRDefault="00AE1C10" w:rsidP="00AE1C10">
            <w:pPr>
              <w:jc w:val="right"/>
              <w:rPr>
                <w:rFonts w:ascii="Verdana" w:eastAsia="Times New Roman" w:hAnsi="Verdana" w:cs="Calibri"/>
                <w:color w:val="000000"/>
                <w:sz w:val="20"/>
                <w:szCs w:val="20"/>
                <w:lang w:val="en-GB" w:eastAsia="en-GB"/>
              </w:rPr>
            </w:pPr>
            <w:r w:rsidRPr="00E73C9B">
              <w:rPr>
                <w:rFonts w:ascii="Verdana" w:eastAsia="Times New Roman" w:hAnsi="Verdana" w:cs="Calibri"/>
                <w:color w:val="000000"/>
                <w:sz w:val="20"/>
                <w:szCs w:val="20"/>
                <w:lang w:val="en-GB" w:eastAsia="en-GB"/>
              </w:rPr>
              <w:t>6.417</w:t>
            </w:r>
          </w:p>
        </w:tc>
        <w:tc>
          <w:tcPr>
            <w:tcW w:w="1140" w:type="dxa"/>
            <w:tcBorders>
              <w:top w:val="nil"/>
              <w:left w:val="nil"/>
              <w:bottom w:val="nil"/>
              <w:right w:val="single" w:sz="4" w:space="0" w:color="auto"/>
            </w:tcBorders>
            <w:noWrap/>
            <w:vAlign w:val="center"/>
            <w:hideMark/>
          </w:tcPr>
          <w:p w14:paraId="4360F8E2" w14:textId="77777777" w:rsidR="00AE1C10" w:rsidRPr="00E73C9B" w:rsidRDefault="00AE1C10" w:rsidP="00AE1C10">
            <w:pPr>
              <w:jc w:val="right"/>
              <w:rPr>
                <w:rFonts w:ascii="Verdana" w:eastAsia="Times New Roman" w:hAnsi="Verdana" w:cs="Calibri"/>
                <w:color w:val="000000"/>
                <w:sz w:val="20"/>
                <w:szCs w:val="20"/>
                <w:lang w:val="en-GB" w:eastAsia="en-GB"/>
              </w:rPr>
            </w:pPr>
            <w:r w:rsidRPr="00E73C9B">
              <w:rPr>
                <w:rFonts w:ascii="Verdana" w:eastAsia="Times New Roman" w:hAnsi="Verdana" w:cs="Calibri"/>
                <w:color w:val="000000"/>
                <w:sz w:val="20"/>
                <w:szCs w:val="20"/>
                <w:lang w:val="en-GB" w:eastAsia="en-GB"/>
              </w:rPr>
              <w:t>3.096</w:t>
            </w:r>
          </w:p>
        </w:tc>
        <w:tc>
          <w:tcPr>
            <w:tcW w:w="1301" w:type="dxa"/>
            <w:tcBorders>
              <w:top w:val="nil"/>
              <w:left w:val="nil"/>
              <w:bottom w:val="nil"/>
              <w:right w:val="single" w:sz="4" w:space="0" w:color="auto"/>
            </w:tcBorders>
            <w:noWrap/>
            <w:vAlign w:val="center"/>
            <w:hideMark/>
          </w:tcPr>
          <w:p w14:paraId="7A38D256" w14:textId="77777777" w:rsidR="00AE1C10" w:rsidRPr="00E73C9B" w:rsidRDefault="00AE1C10" w:rsidP="00AE1C10">
            <w:pPr>
              <w:jc w:val="right"/>
              <w:rPr>
                <w:rFonts w:ascii="Verdana" w:eastAsia="Times New Roman" w:hAnsi="Verdana" w:cs="Calibri"/>
                <w:color w:val="000000"/>
                <w:sz w:val="20"/>
                <w:szCs w:val="20"/>
                <w:lang w:val="en-GB" w:eastAsia="en-GB"/>
              </w:rPr>
            </w:pPr>
            <w:r w:rsidRPr="00E73C9B">
              <w:rPr>
                <w:rFonts w:ascii="Verdana" w:eastAsia="Times New Roman" w:hAnsi="Verdana" w:cs="Calibri"/>
                <w:color w:val="FF0000"/>
                <w:sz w:val="20"/>
                <w:szCs w:val="20"/>
                <w:lang w:val="en-GB" w:eastAsia="en-GB"/>
              </w:rPr>
              <w:t>(3.321)</w:t>
            </w:r>
          </w:p>
        </w:tc>
      </w:tr>
      <w:tr w:rsidR="00AE1C10" w:rsidRPr="00E73C9B" w14:paraId="0BA4B038" w14:textId="77777777" w:rsidTr="00E73C9B">
        <w:trPr>
          <w:trHeight w:val="222"/>
          <w:jc w:val="center"/>
        </w:trPr>
        <w:tc>
          <w:tcPr>
            <w:tcW w:w="3549" w:type="dxa"/>
            <w:tcBorders>
              <w:top w:val="nil"/>
              <w:left w:val="single" w:sz="4" w:space="0" w:color="auto"/>
              <w:bottom w:val="nil"/>
              <w:right w:val="nil"/>
            </w:tcBorders>
            <w:noWrap/>
            <w:vAlign w:val="center"/>
            <w:hideMark/>
          </w:tcPr>
          <w:p w14:paraId="6090FABF" w14:textId="77777777" w:rsidR="00AE1C10" w:rsidRPr="00E73C9B" w:rsidRDefault="00AE1C10" w:rsidP="00AE1C10">
            <w:pPr>
              <w:rPr>
                <w:rFonts w:ascii="Verdana" w:eastAsia="Times New Roman" w:hAnsi="Verdana" w:cs="Calibri"/>
                <w:color w:val="000000"/>
                <w:sz w:val="20"/>
                <w:szCs w:val="20"/>
                <w:lang w:val="en-GB" w:eastAsia="en-GB"/>
              </w:rPr>
            </w:pPr>
            <w:r w:rsidRPr="00E73C9B">
              <w:rPr>
                <w:rFonts w:ascii="Verdana" w:eastAsia="Times New Roman" w:hAnsi="Verdana" w:cs="Calibri"/>
                <w:color w:val="000000"/>
                <w:sz w:val="20"/>
                <w:szCs w:val="20"/>
                <w:lang w:val="en-GB" w:eastAsia="en-GB"/>
              </w:rPr>
              <w:t>ERP</w:t>
            </w:r>
          </w:p>
        </w:tc>
        <w:tc>
          <w:tcPr>
            <w:tcW w:w="1360" w:type="dxa"/>
            <w:tcBorders>
              <w:top w:val="nil"/>
              <w:left w:val="single" w:sz="4" w:space="0" w:color="auto"/>
              <w:bottom w:val="nil"/>
              <w:right w:val="single" w:sz="4" w:space="0" w:color="auto"/>
            </w:tcBorders>
            <w:shd w:val="clear" w:color="auto" w:fill="F2F2F2"/>
            <w:noWrap/>
            <w:vAlign w:val="center"/>
            <w:hideMark/>
          </w:tcPr>
          <w:p w14:paraId="34F0599D" w14:textId="77777777" w:rsidR="00AE1C10" w:rsidRPr="00E73C9B" w:rsidRDefault="00AE1C10" w:rsidP="00AE1C10">
            <w:pPr>
              <w:rPr>
                <w:rFonts w:ascii="Verdana" w:eastAsia="Times New Roman" w:hAnsi="Verdana" w:cs="Calibri"/>
                <w:color w:val="000000"/>
                <w:sz w:val="20"/>
                <w:szCs w:val="20"/>
                <w:lang w:val="en-GB" w:eastAsia="en-GB"/>
              </w:rPr>
            </w:pPr>
            <w:r w:rsidRPr="00E73C9B">
              <w:rPr>
                <w:rFonts w:ascii="Verdana" w:eastAsia="Times New Roman" w:hAnsi="Verdana" w:cs="Calibri"/>
                <w:color w:val="000000"/>
                <w:sz w:val="20"/>
                <w:szCs w:val="20"/>
                <w:lang w:val="en-GB" w:eastAsia="en-GB"/>
              </w:rPr>
              <w:t> </w:t>
            </w:r>
          </w:p>
        </w:tc>
        <w:tc>
          <w:tcPr>
            <w:tcW w:w="1360" w:type="dxa"/>
            <w:tcBorders>
              <w:top w:val="nil"/>
              <w:left w:val="nil"/>
              <w:bottom w:val="nil"/>
              <w:right w:val="single" w:sz="4" w:space="0" w:color="auto"/>
            </w:tcBorders>
            <w:noWrap/>
            <w:vAlign w:val="center"/>
            <w:hideMark/>
          </w:tcPr>
          <w:p w14:paraId="03AAA8EA" w14:textId="77777777" w:rsidR="00AE1C10" w:rsidRPr="00E73C9B" w:rsidRDefault="00AE1C10" w:rsidP="00AE1C10">
            <w:pPr>
              <w:rPr>
                <w:rFonts w:ascii="Verdana" w:eastAsia="Times New Roman" w:hAnsi="Verdana" w:cs="Calibri"/>
                <w:color w:val="000000"/>
                <w:sz w:val="20"/>
                <w:szCs w:val="20"/>
                <w:lang w:val="en-GB" w:eastAsia="en-GB"/>
              </w:rPr>
            </w:pPr>
            <w:r w:rsidRPr="00E73C9B">
              <w:rPr>
                <w:rFonts w:ascii="Verdana" w:eastAsia="Times New Roman" w:hAnsi="Verdana" w:cs="Calibri"/>
                <w:color w:val="000000"/>
                <w:sz w:val="20"/>
                <w:szCs w:val="20"/>
                <w:lang w:val="en-GB" w:eastAsia="en-GB"/>
              </w:rPr>
              <w:t> </w:t>
            </w:r>
          </w:p>
        </w:tc>
        <w:tc>
          <w:tcPr>
            <w:tcW w:w="1361" w:type="dxa"/>
            <w:tcBorders>
              <w:top w:val="nil"/>
              <w:left w:val="nil"/>
              <w:bottom w:val="nil"/>
              <w:right w:val="single" w:sz="4" w:space="0" w:color="auto"/>
            </w:tcBorders>
            <w:noWrap/>
            <w:vAlign w:val="center"/>
            <w:hideMark/>
          </w:tcPr>
          <w:p w14:paraId="451EDA6C" w14:textId="77777777" w:rsidR="00AE1C10" w:rsidRPr="00E73C9B" w:rsidRDefault="00AE1C10" w:rsidP="00AE1C10">
            <w:pPr>
              <w:rPr>
                <w:rFonts w:ascii="Verdana" w:eastAsia="Times New Roman" w:hAnsi="Verdana" w:cs="Calibri"/>
                <w:color w:val="000000"/>
                <w:sz w:val="20"/>
                <w:szCs w:val="20"/>
                <w:lang w:val="en-GB" w:eastAsia="en-GB"/>
              </w:rPr>
            </w:pPr>
            <w:r w:rsidRPr="00E73C9B">
              <w:rPr>
                <w:rFonts w:ascii="Verdana" w:eastAsia="Times New Roman" w:hAnsi="Verdana" w:cs="Calibri"/>
                <w:color w:val="000000"/>
                <w:sz w:val="20"/>
                <w:szCs w:val="20"/>
                <w:lang w:val="en-GB" w:eastAsia="en-GB"/>
              </w:rPr>
              <w:t> </w:t>
            </w:r>
          </w:p>
        </w:tc>
        <w:tc>
          <w:tcPr>
            <w:tcW w:w="1471" w:type="dxa"/>
            <w:tcBorders>
              <w:top w:val="nil"/>
              <w:left w:val="nil"/>
              <w:bottom w:val="nil"/>
              <w:right w:val="single" w:sz="4" w:space="0" w:color="auto"/>
            </w:tcBorders>
            <w:noWrap/>
            <w:vAlign w:val="center"/>
            <w:hideMark/>
          </w:tcPr>
          <w:p w14:paraId="4BAE2AAA" w14:textId="77777777" w:rsidR="00AE1C10" w:rsidRPr="00E73C9B" w:rsidRDefault="00AE1C10" w:rsidP="00AE1C10">
            <w:pPr>
              <w:jc w:val="right"/>
              <w:rPr>
                <w:rFonts w:ascii="Verdana" w:eastAsia="Times New Roman" w:hAnsi="Verdana" w:cs="Calibri"/>
                <w:color w:val="000000"/>
                <w:sz w:val="20"/>
                <w:szCs w:val="20"/>
                <w:lang w:val="en-GB" w:eastAsia="en-GB"/>
              </w:rPr>
            </w:pPr>
            <w:r w:rsidRPr="00E73C9B">
              <w:rPr>
                <w:rFonts w:ascii="Verdana" w:eastAsia="Times New Roman" w:hAnsi="Verdana" w:cs="Calibri"/>
                <w:color w:val="000000"/>
                <w:sz w:val="20"/>
                <w:szCs w:val="20"/>
                <w:lang w:val="en-GB" w:eastAsia="en-GB"/>
              </w:rPr>
              <w:t>1.917</w:t>
            </w:r>
          </w:p>
        </w:tc>
        <w:tc>
          <w:tcPr>
            <w:tcW w:w="1140" w:type="dxa"/>
            <w:tcBorders>
              <w:top w:val="nil"/>
              <w:left w:val="nil"/>
              <w:bottom w:val="nil"/>
              <w:right w:val="single" w:sz="4" w:space="0" w:color="auto"/>
            </w:tcBorders>
            <w:shd w:val="clear" w:color="auto" w:fill="F2F2F2"/>
            <w:noWrap/>
            <w:vAlign w:val="center"/>
            <w:hideMark/>
          </w:tcPr>
          <w:p w14:paraId="73A795E5" w14:textId="77777777" w:rsidR="00AE1C10" w:rsidRPr="00E73C9B" w:rsidRDefault="00AE1C10" w:rsidP="00AE1C10">
            <w:pPr>
              <w:jc w:val="right"/>
              <w:rPr>
                <w:rFonts w:ascii="Verdana" w:eastAsia="Times New Roman" w:hAnsi="Verdana" w:cs="Calibri"/>
                <w:color w:val="000000"/>
                <w:sz w:val="20"/>
                <w:szCs w:val="20"/>
                <w:lang w:val="en-GB" w:eastAsia="en-GB"/>
              </w:rPr>
            </w:pPr>
            <w:r w:rsidRPr="00E73C9B">
              <w:rPr>
                <w:rFonts w:ascii="Verdana" w:eastAsia="Times New Roman" w:hAnsi="Verdana" w:cs="Calibri"/>
                <w:color w:val="000000"/>
                <w:sz w:val="20"/>
                <w:szCs w:val="20"/>
                <w:lang w:val="en-GB" w:eastAsia="en-GB"/>
              </w:rPr>
              <w:t>1.917</w:t>
            </w:r>
          </w:p>
        </w:tc>
        <w:tc>
          <w:tcPr>
            <w:tcW w:w="1140" w:type="dxa"/>
            <w:tcBorders>
              <w:top w:val="nil"/>
              <w:left w:val="nil"/>
              <w:bottom w:val="nil"/>
              <w:right w:val="single" w:sz="4" w:space="0" w:color="auto"/>
            </w:tcBorders>
            <w:noWrap/>
            <w:vAlign w:val="center"/>
            <w:hideMark/>
          </w:tcPr>
          <w:p w14:paraId="7F2E5FBC" w14:textId="77777777" w:rsidR="00AE1C10" w:rsidRPr="00E73C9B" w:rsidRDefault="00AE1C10" w:rsidP="00AE1C10">
            <w:pPr>
              <w:jc w:val="right"/>
              <w:rPr>
                <w:rFonts w:ascii="Verdana" w:eastAsia="Times New Roman" w:hAnsi="Verdana" w:cs="Calibri"/>
                <w:color w:val="000000"/>
                <w:sz w:val="20"/>
                <w:szCs w:val="20"/>
                <w:lang w:val="en-GB" w:eastAsia="en-GB"/>
              </w:rPr>
            </w:pPr>
            <w:r w:rsidRPr="00E73C9B">
              <w:rPr>
                <w:rFonts w:ascii="Verdana" w:eastAsia="Times New Roman" w:hAnsi="Verdana" w:cs="Calibri"/>
                <w:color w:val="000000"/>
                <w:sz w:val="20"/>
                <w:szCs w:val="20"/>
                <w:lang w:val="en-GB" w:eastAsia="en-GB"/>
              </w:rPr>
              <w:t>1.917</w:t>
            </w:r>
          </w:p>
        </w:tc>
        <w:tc>
          <w:tcPr>
            <w:tcW w:w="1301" w:type="dxa"/>
            <w:tcBorders>
              <w:top w:val="nil"/>
              <w:left w:val="nil"/>
              <w:bottom w:val="nil"/>
              <w:right w:val="single" w:sz="4" w:space="0" w:color="auto"/>
            </w:tcBorders>
            <w:noWrap/>
            <w:vAlign w:val="center"/>
            <w:hideMark/>
          </w:tcPr>
          <w:p w14:paraId="311B9EB7" w14:textId="77777777" w:rsidR="00AE1C10" w:rsidRPr="00E73C9B" w:rsidRDefault="00AE1C10" w:rsidP="00AE1C10">
            <w:pPr>
              <w:jc w:val="right"/>
              <w:rPr>
                <w:rFonts w:ascii="Verdana" w:eastAsia="Times New Roman" w:hAnsi="Verdana" w:cs="Calibri"/>
                <w:color w:val="000000"/>
                <w:sz w:val="20"/>
                <w:szCs w:val="20"/>
                <w:lang w:val="en-GB" w:eastAsia="en-GB"/>
              </w:rPr>
            </w:pPr>
            <w:r w:rsidRPr="00E73C9B">
              <w:rPr>
                <w:rFonts w:ascii="Verdana" w:eastAsia="Times New Roman" w:hAnsi="Verdana" w:cs="Calibri"/>
                <w:color w:val="000000"/>
                <w:sz w:val="20"/>
                <w:szCs w:val="20"/>
                <w:lang w:val="en-GB" w:eastAsia="en-GB"/>
              </w:rPr>
              <w:t>0.000</w:t>
            </w:r>
          </w:p>
        </w:tc>
      </w:tr>
      <w:tr w:rsidR="00AE1C10" w:rsidRPr="00E73C9B" w14:paraId="5382B16F" w14:textId="77777777" w:rsidTr="00E73C9B">
        <w:trPr>
          <w:trHeight w:val="222"/>
          <w:jc w:val="center"/>
        </w:trPr>
        <w:tc>
          <w:tcPr>
            <w:tcW w:w="3549" w:type="dxa"/>
            <w:tcBorders>
              <w:top w:val="nil"/>
              <w:left w:val="single" w:sz="4" w:space="0" w:color="auto"/>
              <w:bottom w:val="nil"/>
              <w:right w:val="nil"/>
            </w:tcBorders>
            <w:noWrap/>
            <w:vAlign w:val="center"/>
            <w:hideMark/>
          </w:tcPr>
          <w:p w14:paraId="480910BC" w14:textId="77777777" w:rsidR="00AE1C10" w:rsidRPr="00E73C9B" w:rsidRDefault="00AE1C10" w:rsidP="00AE1C10">
            <w:pPr>
              <w:rPr>
                <w:rFonts w:ascii="Verdana" w:eastAsia="Times New Roman" w:hAnsi="Verdana" w:cs="Calibri"/>
                <w:color w:val="000000"/>
                <w:sz w:val="20"/>
                <w:szCs w:val="20"/>
                <w:lang w:val="en-GB" w:eastAsia="en-GB"/>
              </w:rPr>
            </w:pPr>
            <w:r w:rsidRPr="00E73C9B">
              <w:rPr>
                <w:rFonts w:ascii="Verdana" w:eastAsia="Times New Roman" w:hAnsi="Verdana" w:cs="Calibri"/>
                <w:color w:val="000000"/>
                <w:sz w:val="20"/>
                <w:szCs w:val="20"/>
                <w:lang w:val="en-GB" w:eastAsia="en-GB"/>
              </w:rPr>
              <w:t>Commercial and Financial</w:t>
            </w:r>
          </w:p>
        </w:tc>
        <w:tc>
          <w:tcPr>
            <w:tcW w:w="1360" w:type="dxa"/>
            <w:tcBorders>
              <w:top w:val="nil"/>
              <w:left w:val="single" w:sz="4" w:space="0" w:color="auto"/>
              <w:bottom w:val="nil"/>
              <w:right w:val="single" w:sz="4" w:space="0" w:color="auto"/>
            </w:tcBorders>
            <w:shd w:val="clear" w:color="auto" w:fill="F2F2F2"/>
            <w:noWrap/>
            <w:vAlign w:val="center"/>
            <w:hideMark/>
          </w:tcPr>
          <w:p w14:paraId="1ED3E593" w14:textId="77777777" w:rsidR="00AE1C10" w:rsidRPr="00E73C9B" w:rsidRDefault="00AE1C10" w:rsidP="00AE1C10">
            <w:pPr>
              <w:jc w:val="right"/>
              <w:rPr>
                <w:rFonts w:ascii="Verdana" w:eastAsia="Times New Roman" w:hAnsi="Verdana" w:cs="Calibri"/>
                <w:color w:val="000000"/>
                <w:sz w:val="20"/>
                <w:szCs w:val="20"/>
                <w:lang w:val="en-GB" w:eastAsia="en-GB"/>
              </w:rPr>
            </w:pPr>
            <w:r w:rsidRPr="00E73C9B">
              <w:rPr>
                <w:rFonts w:ascii="Verdana" w:eastAsia="Times New Roman" w:hAnsi="Verdana" w:cs="Calibri"/>
                <w:color w:val="000000"/>
                <w:sz w:val="20"/>
                <w:szCs w:val="20"/>
                <w:lang w:val="en-GB" w:eastAsia="en-GB"/>
              </w:rPr>
              <w:t>5.032</w:t>
            </w:r>
          </w:p>
        </w:tc>
        <w:tc>
          <w:tcPr>
            <w:tcW w:w="1360" w:type="dxa"/>
            <w:tcBorders>
              <w:top w:val="nil"/>
              <w:left w:val="nil"/>
              <w:bottom w:val="nil"/>
              <w:right w:val="single" w:sz="4" w:space="0" w:color="auto"/>
            </w:tcBorders>
            <w:noWrap/>
            <w:vAlign w:val="center"/>
            <w:hideMark/>
          </w:tcPr>
          <w:p w14:paraId="421AF3BF" w14:textId="77777777" w:rsidR="00AE1C10" w:rsidRPr="00E73C9B" w:rsidRDefault="00AE1C10" w:rsidP="00AE1C10">
            <w:pPr>
              <w:jc w:val="right"/>
              <w:rPr>
                <w:rFonts w:ascii="Verdana" w:eastAsia="Times New Roman" w:hAnsi="Verdana" w:cs="Calibri"/>
                <w:color w:val="000000"/>
                <w:sz w:val="20"/>
                <w:szCs w:val="20"/>
                <w:lang w:val="en-GB" w:eastAsia="en-GB"/>
              </w:rPr>
            </w:pPr>
            <w:r w:rsidRPr="00E73C9B">
              <w:rPr>
                <w:rFonts w:ascii="Verdana" w:eastAsia="Times New Roman" w:hAnsi="Verdana" w:cs="Calibri"/>
                <w:color w:val="000000"/>
                <w:sz w:val="20"/>
                <w:szCs w:val="20"/>
                <w:lang w:val="en-GB" w:eastAsia="en-GB"/>
              </w:rPr>
              <w:t>0.235</w:t>
            </w:r>
          </w:p>
        </w:tc>
        <w:tc>
          <w:tcPr>
            <w:tcW w:w="1361" w:type="dxa"/>
            <w:tcBorders>
              <w:top w:val="nil"/>
              <w:left w:val="nil"/>
              <w:bottom w:val="nil"/>
              <w:right w:val="single" w:sz="4" w:space="0" w:color="auto"/>
            </w:tcBorders>
            <w:noWrap/>
            <w:vAlign w:val="center"/>
            <w:hideMark/>
          </w:tcPr>
          <w:p w14:paraId="1F05BAD5" w14:textId="77777777" w:rsidR="00AE1C10" w:rsidRPr="00E73C9B" w:rsidRDefault="00AE1C10" w:rsidP="00AE1C10">
            <w:pPr>
              <w:jc w:val="right"/>
              <w:rPr>
                <w:rFonts w:ascii="Verdana" w:eastAsia="Times New Roman" w:hAnsi="Verdana" w:cs="Calibri"/>
                <w:color w:val="000000"/>
                <w:sz w:val="20"/>
                <w:szCs w:val="20"/>
                <w:lang w:val="en-GB" w:eastAsia="en-GB"/>
              </w:rPr>
            </w:pPr>
            <w:r w:rsidRPr="00E73C9B">
              <w:rPr>
                <w:rFonts w:ascii="Verdana" w:eastAsia="Times New Roman" w:hAnsi="Verdana" w:cs="Calibri"/>
                <w:color w:val="000000"/>
                <w:sz w:val="20"/>
                <w:szCs w:val="20"/>
                <w:lang w:val="en-GB" w:eastAsia="en-GB"/>
              </w:rPr>
              <w:t>0.260</w:t>
            </w:r>
          </w:p>
        </w:tc>
        <w:tc>
          <w:tcPr>
            <w:tcW w:w="1471" w:type="dxa"/>
            <w:tcBorders>
              <w:top w:val="nil"/>
              <w:left w:val="nil"/>
              <w:bottom w:val="nil"/>
              <w:right w:val="single" w:sz="4" w:space="0" w:color="auto"/>
            </w:tcBorders>
            <w:noWrap/>
            <w:vAlign w:val="center"/>
            <w:hideMark/>
          </w:tcPr>
          <w:p w14:paraId="39DD4C0E" w14:textId="77777777" w:rsidR="00AE1C10" w:rsidRPr="00E73C9B" w:rsidRDefault="00AE1C10" w:rsidP="00AE1C10">
            <w:pPr>
              <w:rPr>
                <w:rFonts w:ascii="Verdana" w:eastAsia="Times New Roman" w:hAnsi="Verdana" w:cs="Calibri"/>
                <w:color w:val="000000"/>
                <w:sz w:val="20"/>
                <w:szCs w:val="20"/>
                <w:lang w:val="en-GB" w:eastAsia="en-GB"/>
              </w:rPr>
            </w:pPr>
            <w:r w:rsidRPr="00E73C9B">
              <w:rPr>
                <w:rFonts w:ascii="Verdana" w:eastAsia="Times New Roman" w:hAnsi="Verdana" w:cs="Calibri"/>
                <w:color w:val="000000"/>
                <w:sz w:val="20"/>
                <w:szCs w:val="20"/>
                <w:lang w:val="en-GB" w:eastAsia="en-GB"/>
              </w:rPr>
              <w:t> </w:t>
            </w:r>
          </w:p>
        </w:tc>
        <w:tc>
          <w:tcPr>
            <w:tcW w:w="1140" w:type="dxa"/>
            <w:tcBorders>
              <w:top w:val="nil"/>
              <w:left w:val="nil"/>
              <w:bottom w:val="nil"/>
              <w:right w:val="single" w:sz="4" w:space="0" w:color="auto"/>
            </w:tcBorders>
            <w:shd w:val="clear" w:color="auto" w:fill="F2F2F2"/>
            <w:noWrap/>
            <w:vAlign w:val="center"/>
            <w:hideMark/>
          </w:tcPr>
          <w:p w14:paraId="79BB8448" w14:textId="77777777" w:rsidR="00AE1C10" w:rsidRPr="00E73C9B" w:rsidRDefault="00AE1C10" w:rsidP="00AE1C10">
            <w:pPr>
              <w:jc w:val="right"/>
              <w:rPr>
                <w:rFonts w:ascii="Verdana" w:eastAsia="Times New Roman" w:hAnsi="Verdana" w:cs="Calibri"/>
                <w:color w:val="000000"/>
                <w:sz w:val="20"/>
                <w:szCs w:val="20"/>
                <w:lang w:val="en-GB" w:eastAsia="en-GB"/>
              </w:rPr>
            </w:pPr>
            <w:r w:rsidRPr="00E73C9B">
              <w:rPr>
                <w:rFonts w:ascii="Verdana" w:eastAsia="Times New Roman" w:hAnsi="Verdana" w:cs="Calibri"/>
                <w:color w:val="000000"/>
                <w:sz w:val="20"/>
                <w:szCs w:val="20"/>
                <w:lang w:val="en-GB" w:eastAsia="en-GB"/>
              </w:rPr>
              <w:t>5.527</w:t>
            </w:r>
          </w:p>
        </w:tc>
        <w:tc>
          <w:tcPr>
            <w:tcW w:w="1140" w:type="dxa"/>
            <w:tcBorders>
              <w:top w:val="nil"/>
              <w:left w:val="nil"/>
              <w:bottom w:val="nil"/>
              <w:right w:val="single" w:sz="4" w:space="0" w:color="auto"/>
            </w:tcBorders>
            <w:noWrap/>
            <w:vAlign w:val="center"/>
            <w:hideMark/>
          </w:tcPr>
          <w:p w14:paraId="29CEBE23" w14:textId="77777777" w:rsidR="00AE1C10" w:rsidRPr="00E73C9B" w:rsidRDefault="00AE1C10" w:rsidP="00AE1C10">
            <w:pPr>
              <w:jc w:val="right"/>
              <w:rPr>
                <w:rFonts w:ascii="Verdana" w:eastAsia="Times New Roman" w:hAnsi="Verdana" w:cs="Calibri"/>
                <w:color w:val="000000"/>
                <w:sz w:val="20"/>
                <w:szCs w:val="20"/>
                <w:lang w:val="en-GB" w:eastAsia="en-GB"/>
              </w:rPr>
            </w:pPr>
            <w:r w:rsidRPr="00E73C9B">
              <w:rPr>
                <w:rFonts w:ascii="Verdana" w:eastAsia="Times New Roman" w:hAnsi="Verdana" w:cs="Calibri"/>
                <w:color w:val="000000"/>
                <w:sz w:val="20"/>
                <w:szCs w:val="20"/>
                <w:lang w:val="en-GB" w:eastAsia="en-GB"/>
              </w:rPr>
              <w:t>4.478</w:t>
            </w:r>
          </w:p>
        </w:tc>
        <w:tc>
          <w:tcPr>
            <w:tcW w:w="1301" w:type="dxa"/>
            <w:tcBorders>
              <w:top w:val="nil"/>
              <w:left w:val="nil"/>
              <w:bottom w:val="nil"/>
              <w:right w:val="single" w:sz="4" w:space="0" w:color="auto"/>
            </w:tcBorders>
            <w:noWrap/>
            <w:vAlign w:val="center"/>
            <w:hideMark/>
          </w:tcPr>
          <w:p w14:paraId="7B61017A" w14:textId="77777777" w:rsidR="00AE1C10" w:rsidRPr="00E73C9B" w:rsidRDefault="00AE1C10" w:rsidP="00AE1C10">
            <w:pPr>
              <w:jc w:val="right"/>
              <w:rPr>
                <w:rFonts w:ascii="Verdana" w:eastAsia="Times New Roman" w:hAnsi="Verdana" w:cs="Calibri"/>
                <w:color w:val="000000"/>
                <w:sz w:val="20"/>
                <w:szCs w:val="20"/>
                <w:lang w:val="en-GB" w:eastAsia="en-GB"/>
              </w:rPr>
            </w:pPr>
            <w:r w:rsidRPr="00E73C9B">
              <w:rPr>
                <w:rFonts w:ascii="Verdana" w:eastAsia="Times New Roman" w:hAnsi="Verdana" w:cs="Calibri"/>
                <w:color w:val="FF0000"/>
                <w:sz w:val="20"/>
                <w:szCs w:val="20"/>
                <w:lang w:val="en-GB" w:eastAsia="en-GB"/>
              </w:rPr>
              <w:t>(1.049)</w:t>
            </w:r>
          </w:p>
        </w:tc>
      </w:tr>
      <w:tr w:rsidR="00AE1C10" w:rsidRPr="00E73C9B" w14:paraId="5D16C532" w14:textId="77777777" w:rsidTr="00E73C9B">
        <w:trPr>
          <w:trHeight w:val="222"/>
          <w:jc w:val="center"/>
        </w:trPr>
        <w:tc>
          <w:tcPr>
            <w:tcW w:w="3549" w:type="dxa"/>
            <w:tcBorders>
              <w:top w:val="nil"/>
              <w:left w:val="single" w:sz="4" w:space="0" w:color="auto"/>
              <w:bottom w:val="nil"/>
              <w:right w:val="nil"/>
            </w:tcBorders>
            <w:noWrap/>
            <w:vAlign w:val="center"/>
            <w:hideMark/>
          </w:tcPr>
          <w:p w14:paraId="57DDE2F0" w14:textId="77777777" w:rsidR="00AE1C10" w:rsidRPr="00E73C9B" w:rsidRDefault="00AE1C10" w:rsidP="00AE1C10">
            <w:pPr>
              <w:rPr>
                <w:rFonts w:ascii="Verdana" w:eastAsia="Times New Roman" w:hAnsi="Verdana" w:cs="Calibri"/>
                <w:color w:val="000000"/>
                <w:sz w:val="20"/>
                <w:szCs w:val="20"/>
                <w:lang w:val="en-GB" w:eastAsia="en-GB"/>
              </w:rPr>
            </w:pPr>
            <w:r w:rsidRPr="00E73C9B">
              <w:rPr>
                <w:rFonts w:ascii="Verdana" w:eastAsia="Times New Roman" w:hAnsi="Verdana" w:cs="Calibri"/>
                <w:color w:val="000000"/>
                <w:sz w:val="20"/>
                <w:szCs w:val="20"/>
                <w:lang w:val="en-GB" w:eastAsia="en-GB"/>
              </w:rPr>
              <w:t>Specialist Crime</w:t>
            </w:r>
          </w:p>
        </w:tc>
        <w:tc>
          <w:tcPr>
            <w:tcW w:w="1360" w:type="dxa"/>
            <w:tcBorders>
              <w:top w:val="nil"/>
              <w:left w:val="single" w:sz="4" w:space="0" w:color="auto"/>
              <w:bottom w:val="nil"/>
              <w:right w:val="single" w:sz="4" w:space="0" w:color="auto"/>
            </w:tcBorders>
            <w:shd w:val="clear" w:color="auto" w:fill="F2F2F2"/>
            <w:noWrap/>
            <w:vAlign w:val="center"/>
            <w:hideMark/>
          </w:tcPr>
          <w:p w14:paraId="7657F570" w14:textId="77777777" w:rsidR="00AE1C10" w:rsidRPr="00E73C9B" w:rsidRDefault="00AE1C10" w:rsidP="00AE1C10">
            <w:pPr>
              <w:jc w:val="right"/>
              <w:rPr>
                <w:rFonts w:ascii="Verdana" w:eastAsia="Times New Roman" w:hAnsi="Verdana" w:cs="Calibri"/>
                <w:color w:val="000000"/>
                <w:sz w:val="20"/>
                <w:szCs w:val="20"/>
                <w:lang w:val="en-GB" w:eastAsia="en-GB"/>
              </w:rPr>
            </w:pPr>
            <w:r w:rsidRPr="00E73C9B">
              <w:rPr>
                <w:rFonts w:ascii="Verdana" w:eastAsia="Times New Roman" w:hAnsi="Verdana" w:cs="Calibri"/>
                <w:color w:val="000000"/>
                <w:sz w:val="20"/>
                <w:szCs w:val="20"/>
                <w:lang w:val="en-GB" w:eastAsia="en-GB"/>
              </w:rPr>
              <w:t>0.326</w:t>
            </w:r>
          </w:p>
        </w:tc>
        <w:tc>
          <w:tcPr>
            <w:tcW w:w="1360" w:type="dxa"/>
            <w:tcBorders>
              <w:top w:val="nil"/>
              <w:left w:val="nil"/>
              <w:bottom w:val="nil"/>
              <w:right w:val="single" w:sz="4" w:space="0" w:color="auto"/>
            </w:tcBorders>
            <w:noWrap/>
            <w:vAlign w:val="center"/>
            <w:hideMark/>
          </w:tcPr>
          <w:p w14:paraId="276FCB3E" w14:textId="77777777" w:rsidR="00AE1C10" w:rsidRPr="00E73C9B" w:rsidRDefault="00AE1C10" w:rsidP="00AE1C10">
            <w:pPr>
              <w:rPr>
                <w:rFonts w:ascii="Verdana" w:eastAsia="Times New Roman" w:hAnsi="Verdana" w:cs="Calibri"/>
                <w:color w:val="000000"/>
                <w:sz w:val="20"/>
                <w:szCs w:val="20"/>
                <w:lang w:val="en-GB" w:eastAsia="en-GB"/>
              </w:rPr>
            </w:pPr>
            <w:r w:rsidRPr="00E73C9B">
              <w:rPr>
                <w:rFonts w:ascii="Verdana" w:eastAsia="Times New Roman" w:hAnsi="Verdana" w:cs="Calibri"/>
                <w:color w:val="000000"/>
                <w:sz w:val="20"/>
                <w:szCs w:val="20"/>
                <w:lang w:val="en-GB" w:eastAsia="en-GB"/>
              </w:rPr>
              <w:t> </w:t>
            </w:r>
          </w:p>
        </w:tc>
        <w:tc>
          <w:tcPr>
            <w:tcW w:w="1361" w:type="dxa"/>
            <w:tcBorders>
              <w:top w:val="nil"/>
              <w:left w:val="nil"/>
              <w:bottom w:val="nil"/>
              <w:right w:val="single" w:sz="4" w:space="0" w:color="auto"/>
            </w:tcBorders>
            <w:noWrap/>
            <w:vAlign w:val="center"/>
            <w:hideMark/>
          </w:tcPr>
          <w:p w14:paraId="06D4BF40" w14:textId="77777777" w:rsidR="00AE1C10" w:rsidRPr="00E73C9B" w:rsidRDefault="00AE1C10" w:rsidP="00AE1C10">
            <w:pPr>
              <w:rPr>
                <w:rFonts w:ascii="Verdana" w:eastAsia="Times New Roman" w:hAnsi="Verdana" w:cs="Calibri"/>
                <w:color w:val="000000"/>
                <w:sz w:val="20"/>
                <w:szCs w:val="20"/>
                <w:lang w:val="en-GB" w:eastAsia="en-GB"/>
              </w:rPr>
            </w:pPr>
            <w:r w:rsidRPr="00E73C9B">
              <w:rPr>
                <w:rFonts w:ascii="Verdana" w:eastAsia="Times New Roman" w:hAnsi="Verdana" w:cs="Calibri"/>
                <w:color w:val="000000"/>
                <w:sz w:val="20"/>
                <w:szCs w:val="20"/>
                <w:lang w:val="en-GB" w:eastAsia="en-GB"/>
              </w:rPr>
              <w:t> </w:t>
            </w:r>
          </w:p>
        </w:tc>
        <w:tc>
          <w:tcPr>
            <w:tcW w:w="1471" w:type="dxa"/>
            <w:tcBorders>
              <w:top w:val="nil"/>
              <w:left w:val="nil"/>
              <w:bottom w:val="nil"/>
              <w:right w:val="single" w:sz="4" w:space="0" w:color="auto"/>
            </w:tcBorders>
            <w:noWrap/>
            <w:vAlign w:val="center"/>
            <w:hideMark/>
          </w:tcPr>
          <w:p w14:paraId="2AB9B6CB" w14:textId="77777777" w:rsidR="00AE1C10" w:rsidRPr="00E73C9B" w:rsidRDefault="00AE1C10" w:rsidP="00AE1C10">
            <w:pPr>
              <w:rPr>
                <w:rFonts w:ascii="Verdana" w:eastAsia="Times New Roman" w:hAnsi="Verdana" w:cs="Calibri"/>
                <w:color w:val="000000"/>
                <w:sz w:val="20"/>
                <w:szCs w:val="20"/>
                <w:lang w:val="en-GB" w:eastAsia="en-GB"/>
              </w:rPr>
            </w:pPr>
            <w:r w:rsidRPr="00E73C9B">
              <w:rPr>
                <w:rFonts w:ascii="Verdana" w:eastAsia="Times New Roman" w:hAnsi="Verdana" w:cs="Calibri"/>
                <w:color w:val="000000"/>
                <w:sz w:val="20"/>
                <w:szCs w:val="20"/>
                <w:lang w:val="en-GB" w:eastAsia="en-GB"/>
              </w:rPr>
              <w:t> </w:t>
            </w:r>
          </w:p>
        </w:tc>
        <w:tc>
          <w:tcPr>
            <w:tcW w:w="1140" w:type="dxa"/>
            <w:tcBorders>
              <w:top w:val="nil"/>
              <w:left w:val="nil"/>
              <w:bottom w:val="nil"/>
              <w:right w:val="single" w:sz="4" w:space="0" w:color="auto"/>
            </w:tcBorders>
            <w:shd w:val="clear" w:color="auto" w:fill="F2F2F2"/>
            <w:noWrap/>
            <w:vAlign w:val="center"/>
            <w:hideMark/>
          </w:tcPr>
          <w:p w14:paraId="31A65A98" w14:textId="77777777" w:rsidR="00AE1C10" w:rsidRPr="00E73C9B" w:rsidRDefault="00AE1C10" w:rsidP="00AE1C10">
            <w:pPr>
              <w:jc w:val="right"/>
              <w:rPr>
                <w:rFonts w:ascii="Verdana" w:eastAsia="Times New Roman" w:hAnsi="Verdana" w:cs="Calibri"/>
                <w:color w:val="000000"/>
                <w:sz w:val="20"/>
                <w:szCs w:val="20"/>
                <w:lang w:val="en-GB" w:eastAsia="en-GB"/>
              </w:rPr>
            </w:pPr>
            <w:r w:rsidRPr="00E73C9B">
              <w:rPr>
                <w:rFonts w:ascii="Verdana" w:eastAsia="Times New Roman" w:hAnsi="Verdana" w:cs="Calibri"/>
                <w:color w:val="000000"/>
                <w:sz w:val="20"/>
                <w:szCs w:val="20"/>
                <w:lang w:val="en-GB" w:eastAsia="en-GB"/>
              </w:rPr>
              <w:t>0.326</w:t>
            </w:r>
          </w:p>
        </w:tc>
        <w:tc>
          <w:tcPr>
            <w:tcW w:w="1140" w:type="dxa"/>
            <w:tcBorders>
              <w:top w:val="nil"/>
              <w:left w:val="nil"/>
              <w:bottom w:val="nil"/>
              <w:right w:val="single" w:sz="4" w:space="0" w:color="auto"/>
            </w:tcBorders>
            <w:noWrap/>
            <w:vAlign w:val="center"/>
            <w:hideMark/>
          </w:tcPr>
          <w:p w14:paraId="55EE52AF" w14:textId="77777777" w:rsidR="00AE1C10" w:rsidRPr="00E73C9B" w:rsidRDefault="00AE1C10" w:rsidP="00AE1C10">
            <w:pPr>
              <w:jc w:val="right"/>
              <w:rPr>
                <w:rFonts w:ascii="Verdana" w:eastAsia="Times New Roman" w:hAnsi="Verdana" w:cs="Calibri"/>
                <w:color w:val="000000"/>
                <w:sz w:val="20"/>
                <w:szCs w:val="20"/>
                <w:lang w:val="en-GB" w:eastAsia="en-GB"/>
              </w:rPr>
            </w:pPr>
            <w:r w:rsidRPr="00E73C9B">
              <w:rPr>
                <w:rFonts w:ascii="Verdana" w:eastAsia="Times New Roman" w:hAnsi="Verdana" w:cs="Calibri"/>
                <w:color w:val="000000"/>
                <w:sz w:val="20"/>
                <w:szCs w:val="20"/>
                <w:lang w:val="en-GB" w:eastAsia="en-GB"/>
              </w:rPr>
              <w:t>0.232</w:t>
            </w:r>
          </w:p>
        </w:tc>
        <w:tc>
          <w:tcPr>
            <w:tcW w:w="1301" w:type="dxa"/>
            <w:tcBorders>
              <w:top w:val="nil"/>
              <w:left w:val="nil"/>
              <w:bottom w:val="nil"/>
              <w:right w:val="single" w:sz="4" w:space="0" w:color="auto"/>
            </w:tcBorders>
            <w:noWrap/>
            <w:vAlign w:val="center"/>
            <w:hideMark/>
          </w:tcPr>
          <w:p w14:paraId="32E6D8C5" w14:textId="77777777" w:rsidR="00AE1C10" w:rsidRPr="00E73C9B" w:rsidRDefault="00AE1C10" w:rsidP="00AE1C10">
            <w:pPr>
              <w:jc w:val="right"/>
              <w:rPr>
                <w:rFonts w:ascii="Verdana" w:eastAsia="Times New Roman" w:hAnsi="Verdana" w:cs="Calibri"/>
                <w:color w:val="000000"/>
                <w:sz w:val="20"/>
                <w:szCs w:val="20"/>
                <w:lang w:val="en-GB" w:eastAsia="en-GB"/>
              </w:rPr>
            </w:pPr>
            <w:r w:rsidRPr="00E73C9B">
              <w:rPr>
                <w:rFonts w:ascii="Verdana" w:eastAsia="Times New Roman" w:hAnsi="Verdana" w:cs="Calibri"/>
                <w:color w:val="FF0000"/>
                <w:sz w:val="20"/>
                <w:szCs w:val="20"/>
                <w:lang w:val="en-GB" w:eastAsia="en-GB"/>
              </w:rPr>
              <w:t>(0.094)</w:t>
            </w:r>
          </w:p>
        </w:tc>
      </w:tr>
      <w:tr w:rsidR="00AE1C10" w:rsidRPr="00E73C9B" w14:paraId="20002AEF" w14:textId="77777777" w:rsidTr="00E73C9B">
        <w:trPr>
          <w:trHeight w:val="222"/>
          <w:jc w:val="center"/>
        </w:trPr>
        <w:tc>
          <w:tcPr>
            <w:tcW w:w="3549" w:type="dxa"/>
            <w:tcBorders>
              <w:top w:val="nil"/>
              <w:left w:val="single" w:sz="4" w:space="0" w:color="auto"/>
              <w:bottom w:val="nil"/>
              <w:right w:val="nil"/>
            </w:tcBorders>
            <w:noWrap/>
            <w:vAlign w:val="center"/>
            <w:hideMark/>
          </w:tcPr>
          <w:p w14:paraId="4D9801E1" w14:textId="77777777" w:rsidR="00AE1C10" w:rsidRPr="00E73C9B" w:rsidRDefault="00AE1C10" w:rsidP="00AE1C10">
            <w:pPr>
              <w:rPr>
                <w:rFonts w:ascii="Verdana" w:eastAsia="Times New Roman" w:hAnsi="Verdana" w:cs="Calibri"/>
                <w:color w:val="000000"/>
                <w:sz w:val="20"/>
                <w:szCs w:val="20"/>
                <w:lang w:val="en-GB" w:eastAsia="en-GB"/>
              </w:rPr>
            </w:pPr>
            <w:r w:rsidRPr="00E73C9B">
              <w:rPr>
                <w:rFonts w:ascii="Verdana" w:eastAsia="Times New Roman" w:hAnsi="Verdana" w:cs="Calibri"/>
                <w:color w:val="000000"/>
                <w:sz w:val="20"/>
                <w:szCs w:val="20"/>
                <w:lang w:val="en-GB" w:eastAsia="en-GB"/>
              </w:rPr>
              <w:t>Operations</w:t>
            </w:r>
          </w:p>
        </w:tc>
        <w:tc>
          <w:tcPr>
            <w:tcW w:w="1360" w:type="dxa"/>
            <w:tcBorders>
              <w:top w:val="nil"/>
              <w:left w:val="single" w:sz="4" w:space="0" w:color="auto"/>
              <w:bottom w:val="nil"/>
              <w:right w:val="single" w:sz="4" w:space="0" w:color="auto"/>
            </w:tcBorders>
            <w:shd w:val="clear" w:color="auto" w:fill="F2F2F2"/>
            <w:noWrap/>
            <w:vAlign w:val="center"/>
            <w:hideMark/>
          </w:tcPr>
          <w:p w14:paraId="5B8CF219" w14:textId="77777777" w:rsidR="00AE1C10" w:rsidRPr="00E73C9B" w:rsidRDefault="00AE1C10" w:rsidP="00AE1C10">
            <w:pPr>
              <w:jc w:val="right"/>
              <w:rPr>
                <w:rFonts w:ascii="Verdana" w:eastAsia="Times New Roman" w:hAnsi="Verdana" w:cs="Calibri"/>
                <w:color w:val="000000"/>
                <w:sz w:val="20"/>
                <w:szCs w:val="20"/>
                <w:lang w:val="en-GB" w:eastAsia="en-GB"/>
              </w:rPr>
            </w:pPr>
            <w:r w:rsidRPr="00E73C9B">
              <w:rPr>
                <w:rFonts w:ascii="Verdana" w:eastAsia="Times New Roman" w:hAnsi="Verdana" w:cs="Calibri"/>
                <w:color w:val="000000"/>
                <w:sz w:val="20"/>
                <w:szCs w:val="20"/>
                <w:lang w:val="en-GB" w:eastAsia="en-GB"/>
              </w:rPr>
              <w:t>0.624</w:t>
            </w:r>
          </w:p>
        </w:tc>
        <w:tc>
          <w:tcPr>
            <w:tcW w:w="1360" w:type="dxa"/>
            <w:tcBorders>
              <w:top w:val="nil"/>
              <w:left w:val="nil"/>
              <w:bottom w:val="nil"/>
              <w:right w:val="single" w:sz="4" w:space="0" w:color="auto"/>
            </w:tcBorders>
            <w:noWrap/>
            <w:vAlign w:val="center"/>
            <w:hideMark/>
          </w:tcPr>
          <w:p w14:paraId="49308F5C" w14:textId="77777777" w:rsidR="00AE1C10" w:rsidRPr="00E73C9B" w:rsidRDefault="00AE1C10" w:rsidP="00AE1C10">
            <w:pPr>
              <w:rPr>
                <w:rFonts w:ascii="Verdana" w:eastAsia="Times New Roman" w:hAnsi="Verdana" w:cs="Calibri"/>
                <w:color w:val="000000"/>
                <w:sz w:val="20"/>
                <w:szCs w:val="20"/>
                <w:lang w:val="en-GB" w:eastAsia="en-GB"/>
              </w:rPr>
            </w:pPr>
            <w:r w:rsidRPr="00E73C9B">
              <w:rPr>
                <w:rFonts w:ascii="Verdana" w:eastAsia="Times New Roman" w:hAnsi="Verdana" w:cs="Calibri"/>
                <w:color w:val="000000"/>
                <w:sz w:val="20"/>
                <w:szCs w:val="20"/>
                <w:lang w:val="en-GB" w:eastAsia="en-GB"/>
              </w:rPr>
              <w:t> </w:t>
            </w:r>
          </w:p>
        </w:tc>
        <w:tc>
          <w:tcPr>
            <w:tcW w:w="1361" w:type="dxa"/>
            <w:tcBorders>
              <w:top w:val="nil"/>
              <w:left w:val="nil"/>
              <w:bottom w:val="nil"/>
              <w:right w:val="single" w:sz="4" w:space="0" w:color="auto"/>
            </w:tcBorders>
            <w:noWrap/>
            <w:vAlign w:val="center"/>
            <w:hideMark/>
          </w:tcPr>
          <w:p w14:paraId="66F893F0" w14:textId="77777777" w:rsidR="00AE1C10" w:rsidRPr="00E73C9B" w:rsidRDefault="00AE1C10" w:rsidP="00AE1C10">
            <w:pPr>
              <w:jc w:val="right"/>
              <w:rPr>
                <w:rFonts w:ascii="Verdana" w:eastAsia="Times New Roman" w:hAnsi="Verdana" w:cs="Calibri"/>
                <w:color w:val="000000"/>
                <w:sz w:val="20"/>
                <w:szCs w:val="20"/>
                <w:lang w:val="en-GB" w:eastAsia="en-GB"/>
              </w:rPr>
            </w:pPr>
            <w:r w:rsidRPr="00E73C9B">
              <w:rPr>
                <w:rFonts w:ascii="Verdana" w:eastAsia="Times New Roman" w:hAnsi="Verdana" w:cs="Calibri"/>
                <w:color w:val="000000"/>
                <w:sz w:val="20"/>
                <w:szCs w:val="20"/>
                <w:lang w:val="en-GB" w:eastAsia="en-GB"/>
              </w:rPr>
              <w:t>0.200</w:t>
            </w:r>
          </w:p>
        </w:tc>
        <w:tc>
          <w:tcPr>
            <w:tcW w:w="1471" w:type="dxa"/>
            <w:tcBorders>
              <w:top w:val="nil"/>
              <w:left w:val="nil"/>
              <w:bottom w:val="nil"/>
              <w:right w:val="single" w:sz="4" w:space="0" w:color="auto"/>
            </w:tcBorders>
            <w:noWrap/>
            <w:vAlign w:val="center"/>
            <w:hideMark/>
          </w:tcPr>
          <w:p w14:paraId="69503E05" w14:textId="77777777" w:rsidR="00AE1C10" w:rsidRPr="00E73C9B" w:rsidRDefault="00AE1C10" w:rsidP="00AE1C10">
            <w:pPr>
              <w:rPr>
                <w:rFonts w:ascii="Verdana" w:eastAsia="Times New Roman" w:hAnsi="Verdana" w:cs="Calibri"/>
                <w:color w:val="000000"/>
                <w:sz w:val="20"/>
                <w:szCs w:val="20"/>
                <w:lang w:val="en-GB" w:eastAsia="en-GB"/>
              </w:rPr>
            </w:pPr>
            <w:r w:rsidRPr="00E73C9B">
              <w:rPr>
                <w:rFonts w:ascii="Verdana" w:eastAsia="Times New Roman" w:hAnsi="Verdana" w:cs="Calibri"/>
                <w:color w:val="000000"/>
                <w:sz w:val="20"/>
                <w:szCs w:val="20"/>
                <w:lang w:val="en-GB" w:eastAsia="en-GB"/>
              </w:rPr>
              <w:t> </w:t>
            </w:r>
          </w:p>
        </w:tc>
        <w:tc>
          <w:tcPr>
            <w:tcW w:w="1140" w:type="dxa"/>
            <w:tcBorders>
              <w:top w:val="nil"/>
              <w:left w:val="nil"/>
              <w:bottom w:val="nil"/>
              <w:right w:val="single" w:sz="4" w:space="0" w:color="auto"/>
            </w:tcBorders>
            <w:shd w:val="clear" w:color="auto" w:fill="F2F2F2"/>
            <w:noWrap/>
            <w:vAlign w:val="center"/>
            <w:hideMark/>
          </w:tcPr>
          <w:p w14:paraId="46682BDE" w14:textId="77777777" w:rsidR="00AE1C10" w:rsidRPr="00E73C9B" w:rsidRDefault="00AE1C10" w:rsidP="00AE1C10">
            <w:pPr>
              <w:jc w:val="right"/>
              <w:rPr>
                <w:rFonts w:ascii="Verdana" w:eastAsia="Times New Roman" w:hAnsi="Verdana" w:cs="Calibri"/>
                <w:color w:val="000000"/>
                <w:sz w:val="20"/>
                <w:szCs w:val="20"/>
                <w:lang w:val="en-GB" w:eastAsia="en-GB"/>
              </w:rPr>
            </w:pPr>
            <w:r w:rsidRPr="00E73C9B">
              <w:rPr>
                <w:rFonts w:ascii="Verdana" w:eastAsia="Times New Roman" w:hAnsi="Verdana" w:cs="Calibri"/>
                <w:color w:val="000000"/>
                <w:sz w:val="20"/>
                <w:szCs w:val="20"/>
                <w:lang w:val="en-GB" w:eastAsia="en-GB"/>
              </w:rPr>
              <w:t>0.824</w:t>
            </w:r>
          </w:p>
        </w:tc>
        <w:tc>
          <w:tcPr>
            <w:tcW w:w="1140" w:type="dxa"/>
            <w:tcBorders>
              <w:top w:val="nil"/>
              <w:left w:val="nil"/>
              <w:bottom w:val="nil"/>
              <w:right w:val="single" w:sz="4" w:space="0" w:color="auto"/>
            </w:tcBorders>
            <w:noWrap/>
            <w:vAlign w:val="center"/>
            <w:hideMark/>
          </w:tcPr>
          <w:p w14:paraId="2567CCA0" w14:textId="77777777" w:rsidR="00AE1C10" w:rsidRPr="00E73C9B" w:rsidRDefault="00AE1C10" w:rsidP="00AE1C10">
            <w:pPr>
              <w:jc w:val="right"/>
              <w:rPr>
                <w:rFonts w:ascii="Verdana" w:eastAsia="Times New Roman" w:hAnsi="Verdana" w:cs="Calibri"/>
                <w:color w:val="000000"/>
                <w:sz w:val="20"/>
                <w:szCs w:val="20"/>
                <w:lang w:val="en-GB" w:eastAsia="en-GB"/>
              </w:rPr>
            </w:pPr>
            <w:r w:rsidRPr="00E73C9B">
              <w:rPr>
                <w:rFonts w:ascii="Verdana" w:eastAsia="Times New Roman" w:hAnsi="Verdana" w:cs="Calibri"/>
                <w:color w:val="000000"/>
                <w:sz w:val="20"/>
                <w:szCs w:val="20"/>
                <w:lang w:val="en-GB" w:eastAsia="en-GB"/>
              </w:rPr>
              <w:t>1.089</w:t>
            </w:r>
          </w:p>
        </w:tc>
        <w:tc>
          <w:tcPr>
            <w:tcW w:w="1301" w:type="dxa"/>
            <w:tcBorders>
              <w:top w:val="nil"/>
              <w:left w:val="nil"/>
              <w:bottom w:val="nil"/>
              <w:right w:val="single" w:sz="4" w:space="0" w:color="auto"/>
            </w:tcBorders>
            <w:noWrap/>
            <w:vAlign w:val="center"/>
            <w:hideMark/>
          </w:tcPr>
          <w:p w14:paraId="1A21DBF6" w14:textId="77777777" w:rsidR="00AE1C10" w:rsidRPr="00E73C9B" w:rsidRDefault="00AE1C10" w:rsidP="00AE1C10">
            <w:pPr>
              <w:jc w:val="right"/>
              <w:rPr>
                <w:rFonts w:ascii="Verdana" w:eastAsia="Times New Roman" w:hAnsi="Verdana" w:cs="Calibri"/>
                <w:color w:val="000000"/>
                <w:sz w:val="20"/>
                <w:szCs w:val="20"/>
                <w:lang w:val="en-GB" w:eastAsia="en-GB"/>
              </w:rPr>
            </w:pPr>
            <w:r w:rsidRPr="00E73C9B">
              <w:rPr>
                <w:rFonts w:ascii="Verdana" w:eastAsia="Times New Roman" w:hAnsi="Verdana" w:cs="Calibri"/>
                <w:color w:val="000000"/>
                <w:sz w:val="20"/>
                <w:szCs w:val="20"/>
                <w:lang w:val="en-GB" w:eastAsia="en-GB"/>
              </w:rPr>
              <w:t>0.265</w:t>
            </w:r>
          </w:p>
        </w:tc>
      </w:tr>
      <w:tr w:rsidR="00AE1C10" w:rsidRPr="00E73C9B" w14:paraId="62B6C165" w14:textId="77777777" w:rsidTr="00E73C9B">
        <w:trPr>
          <w:trHeight w:val="222"/>
          <w:jc w:val="center"/>
        </w:trPr>
        <w:tc>
          <w:tcPr>
            <w:tcW w:w="3549" w:type="dxa"/>
            <w:tcBorders>
              <w:top w:val="nil"/>
              <w:left w:val="single" w:sz="4" w:space="0" w:color="auto"/>
              <w:bottom w:val="nil"/>
              <w:right w:val="nil"/>
            </w:tcBorders>
            <w:noWrap/>
            <w:vAlign w:val="center"/>
            <w:hideMark/>
          </w:tcPr>
          <w:p w14:paraId="417BE000" w14:textId="77777777" w:rsidR="00AE1C10" w:rsidRPr="00E73C9B" w:rsidRDefault="00AE1C10" w:rsidP="00AE1C10">
            <w:pPr>
              <w:rPr>
                <w:rFonts w:ascii="Verdana" w:eastAsia="Times New Roman" w:hAnsi="Verdana" w:cs="Calibri"/>
                <w:color w:val="000000"/>
                <w:sz w:val="20"/>
                <w:szCs w:val="20"/>
                <w:lang w:val="en-GB" w:eastAsia="en-GB"/>
              </w:rPr>
            </w:pPr>
            <w:r w:rsidRPr="00E73C9B">
              <w:rPr>
                <w:rFonts w:ascii="Verdana" w:eastAsia="Times New Roman" w:hAnsi="Verdana" w:cs="Calibri"/>
                <w:color w:val="000000"/>
                <w:sz w:val="20"/>
                <w:szCs w:val="20"/>
                <w:lang w:val="en-GB" w:eastAsia="en-GB"/>
              </w:rPr>
              <w:t>Corporate Services (inc Estates)</w:t>
            </w:r>
          </w:p>
        </w:tc>
        <w:tc>
          <w:tcPr>
            <w:tcW w:w="1360" w:type="dxa"/>
            <w:tcBorders>
              <w:top w:val="nil"/>
              <w:left w:val="single" w:sz="4" w:space="0" w:color="auto"/>
              <w:bottom w:val="nil"/>
              <w:right w:val="single" w:sz="4" w:space="0" w:color="auto"/>
            </w:tcBorders>
            <w:shd w:val="clear" w:color="auto" w:fill="F2F2F2"/>
            <w:noWrap/>
            <w:vAlign w:val="center"/>
            <w:hideMark/>
          </w:tcPr>
          <w:p w14:paraId="484D3D49" w14:textId="77777777" w:rsidR="00AE1C10" w:rsidRPr="00E73C9B" w:rsidRDefault="00AE1C10" w:rsidP="00AE1C10">
            <w:pPr>
              <w:jc w:val="right"/>
              <w:rPr>
                <w:rFonts w:ascii="Verdana" w:eastAsia="Times New Roman" w:hAnsi="Verdana" w:cs="Calibri"/>
                <w:color w:val="000000"/>
                <w:sz w:val="20"/>
                <w:szCs w:val="20"/>
                <w:lang w:val="en-GB" w:eastAsia="en-GB"/>
              </w:rPr>
            </w:pPr>
            <w:r w:rsidRPr="00E73C9B">
              <w:rPr>
                <w:rFonts w:ascii="Verdana" w:eastAsia="Times New Roman" w:hAnsi="Verdana" w:cs="Calibri"/>
                <w:color w:val="000000"/>
                <w:sz w:val="20"/>
                <w:szCs w:val="20"/>
                <w:lang w:val="en-GB" w:eastAsia="en-GB"/>
              </w:rPr>
              <w:t>4.047</w:t>
            </w:r>
          </w:p>
        </w:tc>
        <w:tc>
          <w:tcPr>
            <w:tcW w:w="1360" w:type="dxa"/>
            <w:tcBorders>
              <w:top w:val="nil"/>
              <w:left w:val="nil"/>
              <w:bottom w:val="nil"/>
              <w:right w:val="single" w:sz="4" w:space="0" w:color="auto"/>
            </w:tcBorders>
            <w:noWrap/>
            <w:vAlign w:val="center"/>
            <w:hideMark/>
          </w:tcPr>
          <w:p w14:paraId="5634F8D4" w14:textId="77777777" w:rsidR="00AE1C10" w:rsidRPr="00E73C9B" w:rsidRDefault="00AE1C10" w:rsidP="00AE1C10">
            <w:pPr>
              <w:jc w:val="right"/>
              <w:rPr>
                <w:rFonts w:ascii="Verdana" w:eastAsia="Times New Roman" w:hAnsi="Verdana" w:cs="Calibri"/>
                <w:color w:val="000000"/>
                <w:sz w:val="20"/>
                <w:szCs w:val="20"/>
                <w:lang w:val="en-GB" w:eastAsia="en-GB"/>
              </w:rPr>
            </w:pPr>
            <w:r w:rsidRPr="00E73C9B">
              <w:rPr>
                <w:rFonts w:ascii="Verdana" w:eastAsia="Times New Roman" w:hAnsi="Verdana" w:cs="Calibri"/>
                <w:color w:val="FF0000"/>
                <w:sz w:val="20"/>
                <w:szCs w:val="20"/>
                <w:lang w:val="en-GB" w:eastAsia="en-GB"/>
              </w:rPr>
              <w:t>(0.082)</w:t>
            </w:r>
          </w:p>
        </w:tc>
        <w:tc>
          <w:tcPr>
            <w:tcW w:w="1361" w:type="dxa"/>
            <w:tcBorders>
              <w:top w:val="nil"/>
              <w:left w:val="nil"/>
              <w:bottom w:val="nil"/>
              <w:right w:val="single" w:sz="4" w:space="0" w:color="auto"/>
            </w:tcBorders>
            <w:noWrap/>
            <w:vAlign w:val="center"/>
            <w:hideMark/>
          </w:tcPr>
          <w:p w14:paraId="493AB8A7" w14:textId="77777777" w:rsidR="00AE1C10" w:rsidRPr="00E73C9B" w:rsidRDefault="00AE1C10" w:rsidP="00AE1C10">
            <w:pPr>
              <w:jc w:val="right"/>
              <w:rPr>
                <w:rFonts w:ascii="Verdana" w:eastAsia="Times New Roman" w:hAnsi="Verdana" w:cs="Calibri"/>
                <w:color w:val="000000"/>
                <w:sz w:val="20"/>
                <w:szCs w:val="20"/>
                <w:lang w:val="en-GB" w:eastAsia="en-GB"/>
              </w:rPr>
            </w:pPr>
            <w:r w:rsidRPr="00E73C9B">
              <w:rPr>
                <w:rFonts w:ascii="Verdana" w:eastAsia="Times New Roman" w:hAnsi="Verdana" w:cs="Calibri"/>
                <w:color w:val="FF0000"/>
                <w:sz w:val="20"/>
                <w:szCs w:val="20"/>
                <w:lang w:val="en-GB" w:eastAsia="en-GB"/>
              </w:rPr>
              <w:t>(0.200)</w:t>
            </w:r>
          </w:p>
        </w:tc>
        <w:tc>
          <w:tcPr>
            <w:tcW w:w="1471" w:type="dxa"/>
            <w:tcBorders>
              <w:top w:val="nil"/>
              <w:left w:val="nil"/>
              <w:bottom w:val="nil"/>
              <w:right w:val="single" w:sz="4" w:space="0" w:color="auto"/>
            </w:tcBorders>
            <w:noWrap/>
            <w:vAlign w:val="center"/>
            <w:hideMark/>
          </w:tcPr>
          <w:p w14:paraId="6CCABE20" w14:textId="77777777" w:rsidR="00AE1C10" w:rsidRPr="00E73C9B" w:rsidRDefault="00AE1C10" w:rsidP="00AE1C10">
            <w:pPr>
              <w:rPr>
                <w:rFonts w:ascii="Verdana" w:eastAsia="Times New Roman" w:hAnsi="Verdana" w:cs="Calibri"/>
                <w:color w:val="000000"/>
                <w:sz w:val="20"/>
                <w:szCs w:val="20"/>
                <w:lang w:val="en-GB" w:eastAsia="en-GB"/>
              </w:rPr>
            </w:pPr>
            <w:r w:rsidRPr="00E73C9B">
              <w:rPr>
                <w:rFonts w:ascii="Verdana" w:eastAsia="Times New Roman" w:hAnsi="Verdana" w:cs="Calibri"/>
                <w:color w:val="000000"/>
                <w:sz w:val="20"/>
                <w:szCs w:val="20"/>
                <w:lang w:val="en-GB" w:eastAsia="en-GB"/>
              </w:rPr>
              <w:t> </w:t>
            </w:r>
          </w:p>
        </w:tc>
        <w:tc>
          <w:tcPr>
            <w:tcW w:w="1140" w:type="dxa"/>
            <w:tcBorders>
              <w:top w:val="nil"/>
              <w:left w:val="nil"/>
              <w:bottom w:val="nil"/>
              <w:right w:val="single" w:sz="4" w:space="0" w:color="auto"/>
            </w:tcBorders>
            <w:shd w:val="clear" w:color="auto" w:fill="F2F2F2"/>
            <w:noWrap/>
            <w:vAlign w:val="center"/>
            <w:hideMark/>
          </w:tcPr>
          <w:p w14:paraId="38ECBB33" w14:textId="77777777" w:rsidR="00AE1C10" w:rsidRPr="00E73C9B" w:rsidRDefault="00AE1C10" w:rsidP="00AE1C10">
            <w:pPr>
              <w:jc w:val="right"/>
              <w:rPr>
                <w:rFonts w:ascii="Verdana" w:eastAsia="Times New Roman" w:hAnsi="Verdana" w:cs="Calibri"/>
                <w:color w:val="000000"/>
                <w:sz w:val="20"/>
                <w:szCs w:val="20"/>
                <w:lang w:val="en-GB" w:eastAsia="en-GB"/>
              </w:rPr>
            </w:pPr>
            <w:r w:rsidRPr="00E73C9B">
              <w:rPr>
                <w:rFonts w:ascii="Verdana" w:eastAsia="Times New Roman" w:hAnsi="Verdana" w:cs="Calibri"/>
                <w:color w:val="000000"/>
                <w:sz w:val="20"/>
                <w:szCs w:val="20"/>
                <w:lang w:val="en-GB" w:eastAsia="en-GB"/>
              </w:rPr>
              <w:t>3.765</w:t>
            </w:r>
          </w:p>
        </w:tc>
        <w:tc>
          <w:tcPr>
            <w:tcW w:w="1140" w:type="dxa"/>
            <w:tcBorders>
              <w:top w:val="nil"/>
              <w:left w:val="nil"/>
              <w:bottom w:val="nil"/>
              <w:right w:val="single" w:sz="4" w:space="0" w:color="auto"/>
            </w:tcBorders>
            <w:noWrap/>
            <w:vAlign w:val="center"/>
            <w:hideMark/>
          </w:tcPr>
          <w:p w14:paraId="6CD66AD1" w14:textId="77777777" w:rsidR="00AE1C10" w:rsidRPr="00E73C9B" w:rsidRDefault="00AE1C10" w:rsidP="00AE1C10">
            <w:pPr>
              <w:jc w:val="right"/>
              <w:rPr>
                <w:rFonts w:ascii="Verdana" w:eastAsia="Times New Roman" w:hAnsi="Verdana" w:cs="Calibri"/>
                <w:color w:val="000000"/>
                <w:sz w:val="20"/>
                <w:szCs w:val="20"/>
                <w:lang w:val="en-GB" w:eastAsia="en-GB"/>
              </w:rPr>
            </w:pPr>
            <w:r w:rsidRPr="00E73C9B">
              <w:rPr>
                <w:rFonts w:ascii="Verdana" w:eastAsia="Times New Roman" w:hAnsi="Verdana" w:cs="Calibri"/>
                <w:color w:val="000000"/>
                <w:sz w:val="20"/>
                <w:szCs w:val="20"/>
                <w:lang w:val="en-GB" w:eastAsia="en-GB"/>
              </w:rPr>
              <w:t>1.627</w:t>
            </w:r>
          </w:p>
        </w:tc>
        <w:tc>
          <w:tcPr>
            <w:tcW w:w="1301" w:type="dxa"/>
            <w:tcBorders>
              <w:top w:val="nil"/>
              <w:left w:val="nil"/>
              <w:bottom w:val="nil"/>
              <w:right w:val="single" w:sz="4" w:space="0" w:color="auto"/>
            </w:tcBorders>
            <w:noWrap/>
            <w:vAlign w:val="center"/>
            <w:hideMark/>
          </w:tcPr>
          <w:p w14:paraId="78CCC537" w14:textId="77777777" w:rsidR="00AE1C10" w:rsidRPr="00E73C9B" w:rsidRDefault="00AE1C10" w:rsidP="00AE1C10">
            <w:pPr>
              <w:jc w:val="right"/>
              <w:rPr>
                <w:rFonts w:ascii="Verdana" w:eastAsia="Times New Roman" w:hAnsi="Verdana" w:cs="Calibri"/>
                <w:color w:val="000000"/>
                <w:sz w:val="20"/>
                <w:szCs w:val="20"/>
                <w:lang w:val="en-GB" w:eastAsia="en-GB"/>
              </w:rPr>
            </w:pPr>
            <w:r w:rsidRPr="00E73C9B">
              <w:rPr>
                <w:rFonts w:ascii="Verdana" w:eastAsia="Times New Roman" w:hAnsi="Verdana" w:cs="Calibri"/>
                <w:color w:val="FF0000"/>
                <w:sz w:val="20"/>
                <w:szCs w:val="20"/>
                <w:lang w:val="en-GB" w:eastAsia="en-GB"/>
              </w:rPr>
              <w:t>(2.138)</w:t>
            </w:r>
          </w:p>
        </w:tc>
      </w:tr>
      <w:tr w:rsidR="00AE1C10" w:rsidRPr="00E73C9B" w14:paraId="000C54F4" w14:textId="77777777" w:rsidTr="00E73C9B">
        <w:trPr>
          <w:trHeight w:val="222"/>
          <w:jc w:val="center"/>
        </w:trPr>
        <w:tc>
          <w:tcPr>
            <w:tcW w:w="3549" w:type="dxa"/>
            <w:tcBorders>
              <w:top w:val="nil"/>
              <w:left w:val="single" w:sz="4" w:space="0" w:color="auto"/>
              <w:bottom w:val="nil"/>
              <w:right w:val="nil"/>
            </w:tcBorders>
            <w:noWrap/>
            <w:vAlign w:val="center"/>
            <w:hideMark/>
          </w:tcPr>
          <w:p w14:paraId="1826279F" w14:textId="77777777" w:rsidR="00AE1C10" w:rsidRPr="00E73C9B" w:rsidRDefault="00AE1C10" w:rsidP="00AE1C10">
            <w:pPr>
              <w:rPr>
                <w:rFonts w:ascii="Verdana" w:eastAsia="Times New Roman" w:hAnsi="Verdana" w:cs="Calibri"/>
                <w:color w:val="000000"/>
                <w:sz w:val="20"/>
                <w:szCs w:val="20"/>
                <w:lang w:val="en-GB" w:eastAsia="en-GB"/>
              </w:rPr>
            </w:pPr>
            <w:r w:rsidRPr="00E73C9B">
              <w:rPr>
                <w:rFonts w:ascii="Verdana" w:eastAsia="Times New Roman" w:hAnsi="Verdana" w:cs="Calibri"/>
                <w:color w:val="000000"/>
                <w:sz w:val="20"/>
                <w:szCs w:val="20"/>
                <w:lang w:val="en-GB" w:eastAsia="en-GB"/>
              </w:rPr>
              <w:t>Contact</w:t>
            </w:r>
          </w:p>
        </w:tc>
        <w:tc>
          <w:tcPr>
            <w:tcW w:w="1360" w:type="dxa"/>
            <w:tcBorders>
              <w:top w:val="nil"/>
              <w:left w:val="single" w:sz="4" w:space="0" w:color="auto"/>
              <w:bottom w:val="nil"/>
              <w:right w:val="single" w:sz="4" w:space="0" w:color="auto"/>
            </w:tcBorders>
            <w:shd w:val="clear" w:color="auto" w:fill="F2F2F2"/>
            <w:noWrap/>
            <w:vAlign w:val="center"/>
            <w:hideMark/>
          </w:tcPr>
          <w:p w14:paraId="0ACAAFC5" w14:textId="77777777" w:rsidR="00AE1C10" w:rsidRPr="00E73C9B" w:rsidRDefault="00AE1C10" w:rsidP="00AE1C10">
            <w:pPr>
              <w:jc w:val="right"/>
              <w:rPr>
                <w:rFonts w:ascii="Verdana" w:eastAsia="Times New Roman" w:hAnsi="Verdana" w:cs="Calibri"/>
                <w:color w:val="000000"/>
                <w:sz w:val="20"/>
                <w:szCs w:val="20"/>
                <w:lang w:val="en-GB" w:eastAsia="en-GB"/>
              </w:rPr>
            </w:pPr>
            <w:r w:rsidRPr="00E73C9B">
              <w:rPr>
                <w:rFonts w:ascii="Verdana" w:eastAsia="Times New Roman" w:hAnsi="Verdana" w:cs="Calibri"/>
                <w:color w:val="000000"/>
                <w:sz w:val="20"/>
                <w:szCs w:val="20"/>
                <w:lang w:val="en-GB" w:eastAsia="en-GB"/>
              </w:rPr>
              <w:t>0.845</w:t>
            </w:r>
          </w:p>
        </w:tc>
        <w:tc>
          <w:tcPr>
            <w:tcW w:w="1360" w:type="dxa"/>
            <w:tcBorders>
              <w:top w:val="nil"/>
              <w:left w:val="nil"/>
              <w:bottom w:val="nil"/>
              <w:right w:val="single" w:sz="4" w:space="0" w:color="auto"/>
            </w:tcBorders>
            <w:noWrap/>
            <w:vAlign w:val="center"/>
            <w:hideMark/>
          </w:tcPr>
          <w:p w14:paraId="1CC5C41A" w14:textId="77777777" w:rsidR="00AE1C10" w:rsidRPr="00E73C9B" w:rsidRDefault="00AE1C10" w:rsidP="00AE1C10">
            <w:pPr>
              <w:jc w:val="right"/>
              <w:rPr>
                <w:rFonts w:ascii="Verdana" w:eastAsia="Times New Roman" w:hAnsi="Verdana" w:cs="Calibri"/>
                <w:color w:val="000000"/>
                <w:sz w:val="20"/>
                <w:szCs w:val="20"/>
                <w:lang w:val="en-GB" w:eastAsia="en-GB"/>
              </w:rPr>
            </w:pPr>
            <w:r w:rsidRPr="00E73C9B">
              <w:rPr>
                <w:rFonts w:ascii="Verdana" w:eastAsia="Times New Roman" w:hAnsi="Verdana" w:cs="Calibri"/>
                <w:color w:val="000000"/>
                <w:sz w:val="20"/>
                <w:szCs w:val="20"/>
                <w:lang w:val="en-GB" w:eastAsia="en-GB"/>
              </w:rPr>
              <w:t>0.015</w:t>
            </w:r>
          </w:p>
        </w:tc>
        <w:tc>
          <w:tcPr>
            <w:tcW w:w="1361" w:type="dxa"/>
            <w:tcBorders>
              <w:top w:val="nil"/>
              <w:left w:val="nil"/>
              <w:bottom w:val="nil"/>
              <w:right w:val="single" w:sz="4" w:space="0" w:color="auto"/>
            </w:tcBorders>
            <w:noWrap/>
            <w:vAlign w:val="center"/>
            <w:hideMark/>
          </w:tcPr>
          <w:p w14:paraId="6A00E160" w14:textId="77777777" w:rsidR="00AE1C10" w:rsidRPr="00E73C9B" w:rsidRDefault="00AE1C10" w:rsidP="00AE1C10">
            <w:pPr>
              <w:jc w:val="right"/>
              <w:rPr>
                <w:rFonts w:ascii="Verdana" w:eastAsia="Times New Roman" w:hAnsi="Verdana" w:cs="Calibri"/>
                <w:color w:val="000000"/>
                <w:sz w:val="20"/>
                <w:szCs w:val="20"/>
                <w:lang w:val="en-GB" w:eastAsia="en-GB"/>
              </w:rPr>
            </w:pPr>
            <w:r w:rsidRPr="00E73C9B">
              <w:rPr>
                <w:rFonts w:ascii="Verdana" w:eastAsia="Times New Roman" w:hAnsi="Verdana" w:cs="Calibri"/>
                <w:color w:val="000000"/>
                <w:sz w:val="20"/>
                <w:szCs w:val="20"/>
                <w:lang w:val="en-GB" w:eastAsia="en-GB"/>
              </w:rPr>
              <w:t>0.436</w:t>
            </w:r>
          </w:p>
        </w:tc>
        <w:tc>
          <w:tcPr>
            <w:tcW w:w="1471" w:type="dxa"/>
            <w:tcBorders>
              <w:top w:val="nil"/>
              <w:left w:val="nil"/>
              <w:bottom w:val="nil"/>
              <w:right w:val="single" w:sz="4" w:space="0" w:color="auto"/>
            </w:tcBorders>
            <w:noWrap/>
            <w:vAlign w:val="center"/>
            <w:hideMark/>
          </w:tcPr>
          <w:p w14:paraId="3ED3081A" w14:textId="77777777" w:rsidR="00AE1C10" w:rsidRPr="00E73C9B" w:rsidRDefault="00AE1C10" w:rsidP="00AE1C10">
            <w:pPr>
              <w:rPr>
                <w:rFonts w:ascii="Verdana" w:eastAsia="Times New Roman" w:hAnsi="Verdana" w:cs="Calibri"/>
                <w:color w:val="000000"/>
                <w:sz w:val="20"/>
                <w:szCs w:val="20"/>
                <w:lang w:val="en-GB" w:eastAsia="en-GB"/>
              </w:rPr>
            </w:pPr>
            <w:r w:rsidRPr="00E73C9B">
              <w:rPr>
                <w:rFonts w:ascii="Verdana" w:eastAsia="Times New Roman" w:hAnsi="Verdana" w:cs="Calibri"/>
                <w:color w:val="000000"/>
                <w:sz w:val="20"/>
                <w:szCs w:val="20"/>
                <w:lang w:val="en-GB" w:eastAsia="en-GB"/>
              </w:rPr>
              <w:t> </w:t>
            </w:r>
          </w:p>
        </w:tc>
        <w:tc>
          <w:tcPr>
            <w:tcW w:w="1140" w:type="dxa"/>
            <w:tcBorders>
              <w:top w:val="nil"/>
              <w:left w:val="nil"/>
              <w:bottom w:val="nil"/>
              <w:right w:val="single" w:sz="4" w:space="0" w:color="auto"/>
            </w:tcBorders>
            <w:shd w:val="clear" w:color="auto" w:fill="F2F2F2"/>
            <w:noWrap/>
            <w:vAlign w:val="center"/>
            <w:hideMark/>
          </w:tcPr>
          <w:p w14:paraId="40EA9A52" w14:textId="77777777" w:rsidR="00AE1C10" w:rsidRPr="00E73C9B" w:rsidRDefault="00AE1C10" w:rsidP="00AE1C10">
            <w:pPr>
              <w:jc w:val="right"/>
              <w:rPr>
                <w:rFonts w:ascii="Verdana" w:eastAsia="Times New Roman" w:hAnsi="Verdana" w:cs="Calibri"/>
                <w:color w:val="000000"/>
                <w:sz w:val="20"/>
                <w:szCs w:val="20"/>
                <w:lang w:val="en-GB" w:eastAsia="en-GB"/>
              </w:rPr>
            </w:pPr>
            <w:r w:rsidRPr="00E73C9B">
              <w:rPr>
                <w:rFonts w:ascii="Verdana" w:eastAsia="Times New Roman" w:hAnsi="Verdana" w:cs="Calibri"/>
                <w:color w:val="000000"/>
                <w:sz w:val="20"/>
                <w:szCs w:val="20"/>
                <w:lang w:val="en-GB" w:eastAsia="en-GB"/>
              </w:rPr>
              <w:t>1.296</w:t>
            </w:r>
          </w:p>
        </w:tc>
        <w:tc>
          <w:tcPr>
            <w:tcW w:w="1140" w:type="dxa"/>
            <w:tcBorders>
              <w:top w:val="nil"/>
              <w:left w:val="nil"/>
              <w:bottom w:val="nil"/>
              <w:right w:val="single" w:sz="4" w:space="0" w:color="auto"/>
            </w:tcBorders>
            <w:noWrap/>
            <w:vAlign w:val="center"/>
            <w:hideMark/>
          </w:tcPr>
          <w:p w14:paraId="032F2392" w14:textId="77777777" w:rsidR="00AE1C10" w:rsidRPr="00E73C9B" w:rsidRDefault="00AE1C10" w:rsidP="00AE1C10">
            <w:pPr>
              <w:jc w:val="right"/>
              <w:rPr>
                <w:rFonts w:ascii="Verdana" w:eastAsia="Times New Roman" w:hAnsi="Verdana" w:cs="Calibri"/>
                <w:color w:val="000000"/>
                <w:sz w:val="20"/>
                <w:szCs w:val="20"/>
                <w:lang w:val="en-GB" w:eastAsia="en-GB"/>
              </w:rPr>
            </w:pPr>
            <w:r w:rsidRPr="00E73C9B">
              <w:rPr>
                <w:rFonts w:ascii="Verdana" w:eastAsia="Times New Roman" w:hAnsi="Verdana" w:cs="Calibri"/>
                <w:color w:val="000000"/>
                <w:sz w:val="20"/>
                <w:szCs w:val="20"/>
                <w:lang w:val="en-GB" w:eastAsia="en-GB"/>
              </w:rPr>
              <w:t>0.886</w:t>
            </w:r>
          </w:p>
        </w:tc>
        <w:tc>
          <w:tcPr>
            <w:tcW w:w="1301" w:type="dxa"/>
            <w:tcBorders>
              <w:top w:val="nil"/>
              <w:left w:val="nil"/>
              <w:bottom w:val="nil"/>
              <w:right w:val="single" w:sz="4" w:space="0" w:color="auto"/>
            </w:tcBorders>
            <w:noWrap/>
            <w:vAlign w:val="center"/>
            <w:hideMark/>
          </w:tcPr>
          <w:p w14:paraId="42743B1B" w14:textId="77777777" w:rsidR="00AE1C10" w:rsidRPr="00E73C9B" w:rsidRDefault="00AE1C10" w:rsidP="00AE1C10">
            <w:pPr>
              <w:jc w:val="right"/>
              <w:rPr>
                <w:rFonts w:ascii="Verdana" w:eastAsia="Times New Roman" w:hAnsi="Verdana" w:cs="Calibri"/>
                <w:color w:val="000000"/>
                <w:sz w:val="20"/>
                <w:szCs w:val="20"/>
                <w:lang w:val="en-GB" w:eastAsia="en-GB"/>
              </w:rPr>
            </w:pPr>
            <w:r w:rsidRPr="00E73C9B">
              <w:rPr>
                <w:rFonts w:ascii="Verdana" w:eastAsia="Times New Roman" w:hAnsi="Verdana" w:cs="Calibri"/>
                <w:color w:val="FF0000"/>
                <w:sz w:val="20"/>
                <w:szCs w:val="20"/>
                <w:lang w:val="en-GB" w:eastAsia="en-GB"/>
              </w:rPr>
              <w:t>(0.410)</w:t>
            </w:r>
          </w:p>
        </w:tc>
      </w:tr>
      <w:tr w:rsidR="00AE1C10" w:rsidRPr="00E73C9B" w14:paraId="59C91BFC" w14:textId="77777777" w:rsidTr="00E73C9B">
        <w:trPr>
          <w:trHeight w:val="222"/>
          <w:jc w:val="center"/>
        </w:trPr>
        <w:tc>
          <w:tcPr>
            <w:tcW w:w="3549" w:type="dxa"/>
            <w:tcBorders>
              <w:top w:val="nil"/>
              <w:left w:val="single" w:sz="4" w:space="0" w:color="auto"/>
              <w:bottom w:val="nil"/>
              <w:right w:val="nil"/>
            </w:tcBorders>
            <w:noWrap/>
            <w:vAlign w:val="center"/>
            <w:hideMark/>
          </w:tcPr>
          <w:p w14:paraId="7423CC76" w14:textId="77777777" w:rsidR="00AE1C10" w:rsidRPr="00E73C9B" w:rsidRDefault="00AE1C10" w:rsidP="00AE1C10">
            <w:pPr>
              <w:rPr>
                <w:rFonts w:ascii="Verdana" w:eastAsia="Times New Roman" w:hAnsi="Verdana" w:cs="Calibri"/>
                <w:color w:val="000000"/>
                <w:sz w:val="20"/>
                <w:szCs w:val="20"/>
                <w:lang w:val="en-GB" w:eastAsia="en-GB"/>
              </w:rPr>
            </w:pPr>
            <w:r w:rsidRPr="00E73C9B">
              <w:rPr>
                <w:rFonts w:ascii="Verdana" w:eastAsia="Times New Roman" w:hAnsi="Verdana" w:cs="Calibri"/>
                <w:color w:val="000000"/>
                <w:sz w:val="20"/>
                <w:szCs w:val="20"/>
                <w:lang w:val="en-GB" w:eastAsia="en-GB"/>
              </w:rPr>
              <w:t>Other</w:t>
            </w:r>
          </w:p>
        </w:tc>
        <w:tc>
          <w:tcPr>
            <w:tcW w:w="1360" w:type="dxa"/>
            <w:tcBorders>
              <w:top w:val="nil"/>
              <w:left w:val="single" w:sz="4" w:space="0" w:color="auto"/>
              <w:bottom w:val="nil"/>
              <w:right w:val="single" w:sz="4" w:space="0" w:color="auto"/>
            </w:tcBorders>
            <w:shd w:val="clear" w:color="auto" w:fill="F2F2F2"/>
            <w:noWrap/>
            <w:vAlign w:val="center"/>
            <w:hideMark/>
          </w:tcPr>
          <w:p w14:paraId="1C67B113" w14:textId="77777777" w:rsidR="00AE1C10" w:rsidRPr="00E73C9B" w:rsidRDefault="00AE1C10" w:rsidP="00AE1C10">
            <w:pPr>
              <w:jc w:val="right"/>
              <w:rPr>
                <w:rFonts w:ascii="Verdana" w:eastAsia="Times New Roman" w:hAnsi="Verdana" w:cs="Calibri"/>
                <w:color w:val="000000"/>
                <w:sz w:val="20"/>
                <w:szCs w:val="20"/>
                <w:lang w:val="en-GB" w:eastAsia="en-GB"/>
              </w:rPr>
            </w:pPr>
            <w:r w:rsidRPr="00E73C9B">
              <w:rPr>
                <w:rFonts w:ascii="Verdana" w:eastAsia="Times New Roman" w:hAnsi="Verdana" w:cs="Calibri"/>
                <w:color w:val="000000"/>
                <w:sz w:val="20"/>
                <w:szCs w:val="20"/>
                <w:lang w:val="en-GB" w:eastAsia="en-GB"/>
              </w:rPr>
              <w:t>1.056</w:t>
            </w:r>
          </w:p>
        </w:tc>
        <w:tc>
          <w:tcPr>
            <w:tcW w:w="1360" w:type="dxa"/>
            <w:tcBorders>
              <w:top w:val="nil"/>
              <w:left w:val="nil"/>
              <w:bottom w:val="nil"/>
              <w:right w:val="single" w:sz="4" w:space="0" w:color="auto"/>
            </w:tcBorders>
            <w:noWrap/>
            <w:vAlign w:val="center"/>
            <w:hideMark/>
          </w:tcPr>
          <w:p w14:paraId="5100DDE0" w14:textId="77777777" w:rsidR="00AE1C10" w:rsidRPr="00E73C9B" w:rsidRDefault="00AE1C10" w:rsidP="00AE1C10">
            <w:pPr>
              <w:rPr>
                <w:rFonts w:ascii="Verdana" w:eastAsia="Times New Roman" w:hAnsi="Verdana" w:cs="Calibri"/>
                <w:color w:val="000000"/>
                <w:sz w:val="20"/>
                <w:szCs w:val="20"/>
                <w:lang w:val="en-GB" w:eastAsia="en-GB"/>
              </w:rPr>
            </w:pPr>
            <w:r w:rsidRPr="00E73C9B">
              <w:rPr>
                <w:rFonts w:ascii="Verdana" w:eastAsia="Times New Roman" w:hAnsi="Verdana" w:cs="Calibri"/>
                <w:color w:val="000000"/>
                <w:sz w:val="20"/>
                <w:szCs w:val="20"/>
                <w:lang w:val="en-GB" w:eastAsia="en-GB"/>
              </w:rPr>
              <w:t> </w:t>
            </w:r>
          </w:p>
        </w:tc>
        <w:tc>
          <w:tcPr>
            <w:tcW w:w="1361" w:type="dxa"/>
            <w:tcBorders>
              <w:top w:val="nil"/>
              <w:left w:val="nil"/>
              <w:bottom w:val="nil"/>
              <w:right w:val="single" w:sz="4" w:space="0" w:color="auto"/>
            </w:tcBorders>
            <w:noWrap/>
            <w:vAlign w:val="center"/>
            <w:hideMark/>
          </w:tcPr>
          <w:p w14:paraId="294CA827" w14:textId="77777777" w:rsidR="00AE1C10" w:rsidRPr="00E73C9B" w:rsidRDefault="00AE1C10" w:rsidP="00AE1C10">
            <w:pPr>
              <w:jc w:val="right"/>
              <w:rPr>
                <w:rFonts w:ascii="Verdana" w:eastAsia="Times New Roman" w:hAnsi="Verdana" w:cs="Calibri"/>
                <w:color w:val="000000"/>
                <w:sz w:val="20"/>
                <w:szCs w:val="20"/>
                <w:lang w:val="en-GB" w:eastAsia="en-GB"/>
              </w:rPr>
            </w:pPr>
            <w:r w:rsidRPr="00E73C9B">
              <w:rPr>
                <w:rFonts w:ascii="Verdana" w:eastAsia="Times New Roman" w:hAnsi="Verdana" w:cs="Calibri"/>
                <w:color w:val="FF0000"/>
                <w:sz w:val="20"/>
                <w:szCs w:val="20"/>
                <w:lang w:val="en-GB" w:eastAsia="en-GB"/>
              </w:rPr>
              <w:t>(1.056)</w:t>
            </w:r>
          </w:p>
        </w:tc>
        <w:tc>
          <w:tcPr>
            <w:tcW w:w="1471" w:type="dxa"/>
            <w:tcBorders>
              <w:top w:val="nil"/>
              <w:left w:val="nil"/>
              <w:bottom w:val="nil"/>
              <w:right w:val="single" w:sz="4" w:space="0" w:color="auto"/>
            </w:tcBorders>
            <w:noWrap/>
            <w:vAlign w:val="center"/>
            <w:hideMark/>
          </w:tcPr>
          <w:p w14:paraId="7CDBA878" w14:textId="77777777" w:rsidR="00AE1C10" w:rsidRPr="00E73C9B" w:rsidRDefault="00AE1C10" w:rsidP="00AE1C10">
            <w:pPr>
              <w:rPr>
                <w:rFonts w:ascii="Verdana" w:eastAsia="Times New Roman" w:hAnsi="Verdana" w:cs="Calibri"/>
                <w:color w:val="000000"/>
                <w:sz w:val="20"/>
                <w:szCs w:val="20"/>
                <w:lang w:val="en-GB" w:eastAsia="en-GB"/>
              </w:rPr>
            </w:pPr>
            <w:r w:rsidRPr="00E73C9B">
              <w:rPr>
                <w:rFonts w:ascii="Verdana" w:eastAsia="Times New Roman" w:hAnsi="Verdana" w:cs="Calibri"/>
                <w:color w:val="000000"/>
                <w:sz w:val="20"/>
                <w:szCs w:val="20"/>
                <w:lang w:val="en-GB" w:eastAsia="en-GB"/>
              </w:rPr>
              <w:t> </w:t>
            </w:r>
          </w:p>
        </w:tc>
        <w:tc>
          <w:tcPr>
            <w:tcW w:w="1140" w:type="dxa"/>
            <w:tcBorders>
              <w:top w:val="nil"/>
              <w:left w:val="nil"/>
              <w:bottom w:val="nil"/>
              <w:right w:val="single" w:sz="4" w:space="0" w:color="auto"/>
            </w:tcBorders>
            <w:shd w:val="clear" w:color="auto" w:fill="F2F2F2"/>
            <w:noWrap/>
            <w:vAlign w:val="center"/>
            <w:hideMark/>
          </w:tcPr>
          <w:p w14:paraId="11DB0EAA" w14:textId="77777777" w:rsidR="00AE1C10" w:rsidRPr="00E73C9B" w:rsidRDefault="00AE1C10" w:rsidP="00AE1C10">
            <w:pPr>
              <w:rPr>
                <w:rFonts w:ascii="Verdana" w:eastAsia="Times New Roman" w:hAnsi="Verdana" w:cs="Calibri"/>
                <w:color w:val="000000"/>
                <w:sz w:val="20"/>
                <w:szCs w:val="20"/>
                <w:lang w:val="en-GB" w:eastAsia="en-GB"/>
              </w:rPr>
            </w:pPr>
            <w:r w:rsidRPr="00E73C9B">
              <w:rPr>
                <w:rFonts w:ascii="Verdana" w:eastAsia="Times New Roman" w:hAnsi="Verdana" w:cs="Calibri"/>
                <w:color w:val="000000"/>
                <w:sz w:val="20"/>
                <w:szCs w:val="20"/>
                <w:lang w:val="en-GB" w:eastAsia="en-GB"/>
              </w:rPr>
              <w:t> </w:t>
            </w:r>
          </w:p>
        </w:tc>
        <w:tc>
          <w:tcPr>
            <w:tcW w:w="1140" w:type="dxa"/>
            <w:tcBorders>
              <w:top w:val="nil"/>
              <w:left w:val="nil"/>
              <w:bottom w:val="nil"/>
              <w:right w:val="single" w:sz="4" w:space="0" w:color="auto"/>
            </w:tcBorders>
            <w:noWrap/>
            <w:vAlign w:val="center"/>
            <w:hideMark/>
          </w:tcPr>
          <w:p w14:paraId="1BCE4808" w14:textId="77777777" w:rsidR="00AE1C10" w:rsidRPr="00E73C9B" w:rsidRDefault="00AE1C10" w:rsidP="00AE1C10">
            <w:pPr>
              <w:rPr>
                <w:rFonts w:ascii="Verdana" w:eastAsia="Times New Roman" w:hAnsi="Verdana" w:cs="Calibri"/>
                <w:color w:val="000000"/>
                <w:sz w:val="20"/>
                <w:szCs w:val="20"/>
                <w:lang w:val="en-GB" w:eastAsia="en-GB"/>
              </w:rPr>
            </w:pPr>
            <w:r w:rsidRPr="00E73C9B">
              <w:rPr>
                <w:rFonts w:ascii="Verdana" w:eastAsia="Times New Roman" w:hAnsi="Verdana" w:cs="Calibri"/>
                <w:color w:val="000000"/>
                <w:sz w:val="20"/>
                <w:szCs w:val="20"/>
                <w:lang w:val="en-GB" w:eastAsia="en-GB"/>
              </w:rPr>
              <w:t> </w:t>
            </w:r>
          </w:p>
        </w:tc>
        <w:tc>
          <w:tcPr>
            <w:tcW w:w="1301" w:type="dxa"/>
            <w:tcBorders>
              <w:top w:val="nil"/>
              <w:left w:val="nil"/>
              <w:bottom w:val="nil"/>
              <w:right w:val="single" w:sz="4" w:space="0" w:color="auto"/>
            </w:tcBorders>
            <w:noWrap/>
            <w:vAlign w:val="center"/>
            <w:hideMark/>
          </w:tcPr>
          <w:p w14:paraId="53AE1E31" w14:textId="77777777" w:rsidR="00AE1C10" w:rsidRPr="00E73C9B" w:rsidRDefault="00AE1C10" w:rsidP="00AE1C10">
            <w:pPr>
              <w:rPr>
                <w:rFonts w:ascii="Verdana" w:eastAsia="Times New Roman" w:hAnsi="Verdana" w:cs="Calibri"/>
                <w:color w:val="000000"/>
                <w:sz w:val="20"/>
                <w:szCs w:val="20"/>
                <w:lang w:val="en-GB" w:eastAsia="en-GB"/>
              </w:rPr>
            </w:pPr>
            <w:r w:rsidRPr="00E73C9B">
              <w:rPr>
                <w:rFonts w:ascii="Verdana" w:eastAsia="Times New Roman" w:hAnsi="Verdana" w:cs="Calibri"/>
                <w:color w:val="000000"/>
                <w:sz w:val="20"/>
                <w:szCs w:val="20"/>
                <w:lang w:val="en-GB" w:eastAsia="en-GB"/>
              </w:rPr>
              <w:t> </w:t>
            </w:r>
          </w:p>
        </w:tc>
      </w:tr>
      <w:tr w:rsidR="00AE1C10" w:rsidRPr="00E73C9B" w14:paraId="4E309354" w14:textId="77777777" w:rsidTr="00E73C9B">
        <w:trPr>
          <w:trHeight w:val="222"/>
          <w:jc w:val="center"/>
        </w:trPr>
        <w:tc>
          <w:tcPr>
            <w:tcW w:w="3549" w:type="dxa"/>
            <w:tcBorders>
              <w:top w:val="single" w:sz="4" w:space="0" w:color="auto"/>
              <w:left w:val="single" w:sz="4" w:space="0" w:color="auto"/>
              <w:bottom w:val="single" w:sz="4" w:space="0" w:color="auto"/>
              <w:right w:val="nil"/>
            </w:tcBorders>
            <w:noWrap/>
            <w:vAlign w:val="center"/>
            <w:hideMark/>
          </w:tcPr>
          <w:p w14:paraId="134378C1" w14:textId="77777777" w:rsidR="00AE1C10" w:rsidRPr="00E73C9B" w:rsidRDefault="00AE1C10" w:rsidP="00AE1C10">
            <w:pPr>
              <w:rPr>
                <w:rFonts w:ascii="Verdana" w:eastAsia="Times New Roman" w:hAnsi="Verdana" w:cs="Calibri"/>
                <w:b/>
                <w:bCs/>
                <w:color w:val="000000"/>
                <w:sz w:val="20"/>
                <w:szCs w:val="20"/>
                <w:lang w:val="en-GB" w:eastAsia="en-GB"/>
              </w:rPr>
            </w:pPr>
            <w:r w:rsidRPr="00E73C9B">
              <w:rPr>
                <w:rFonts w:ascii="Verdana" w:eastAsia="Times New Roman" w:hAnsi="Verdana" w:cs="Calibri"/>
                <w:b/>
                <w:bCs/>
                <w:color w:val="000000"/>
                <w:sz w:val="20"/>
                <w:szCs w:val="20"/>
                <w:lang w:val="en-GB" w:eastAsia="en-GB"/>
              </w:rPr>
              <w:t>Total</w:t>
            </w:r>
          </w:p>
        </w:tc>
        <w:tc>
          <w:tcPr>
            <w:tcW w:w="136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E7C2E4D" w14:textId="77777777" w:rsidR="00AE1C10" w:rsidRPr="00E73C9B" w:rsidRDefault="00AE1C10" w:rsidP="00AE1C10">
            <w:pPr>
              <w:jc w:val="right"/>
              <w:rPr>
                <w:rFonts w:ascii="Verdana" w:eastAsia="Times New Roman" w:hAnsi="Verdana" w:cs="Calibri"/>
                <w:b/>
                <w:bCs/>
                <w:color w:val="000000"/>
                <w:sz w:val="20"/>
                <w:szCs w:val="20"/>
                <w:lang w:val="en-GB" w:eastAsia="en-GB"/>
              </w:rPr>
            </w:pPr>
            <w:r w:rsidRPr="00E73C9B">
              <w:rPr>
                <w:rFonts w:ascii="Verdana" w:eastAsia="Times New Roman" w:hAnsi="Verdana" w:cs="Calibri"/>
                <w:b/>
                <w:bCs/>
                <w:color w:val="000000"/>
                <w:sz w:val="20"/>
                <w:szCs w:val="20"/>
                <w:lang w:val="en-GB" w:eastAsia="en-GB"/>
              </w:rPr>
              <w:t>18.044</w:t>
            </w:r>
          </w:p>
        </w:tc>
        <w:tc>
          <w:tcPr>
            <w:tcW w:w="1360" w:type="dxa"/>
            <w:tcBorders>
              <w:top w:val="single" w:sz="4" w:space="0" w:color="auto"/>
              <w:left w:val="nil"/>
              <w:bottom w:val="single" w:sz="4" w:space="0" w:color="auto"/>
              <w:right w:val="single" w:sz="4" w:space="0" w:color="auto"/>
            </w:tcBorders>
            <w:noWrap/>
            <w:vAlign w:val="center"/>
            <w:hideMark/>
          </w:tcPr>
          <w:p w14:paraId="1D08FD91" w14:textId="77777777" w:rsidR="00AE1C10" w:rsidRPr="00E73C9B" w:rsidRDefault="00AE1C10" w:rsidP="00AE1C10">
            <w:pPr>
              <w:jc w:val="right"/>
              <w:rPr>
                <w:rFonts w:ascii="Verdana" w:eastAsia="Times New Roman" w:hAnsi="Verdana" w:cs="Calibri"/>
                <w:b/>
                <w:bCs/>
                <w:color w:val="000000"/>
                <w:sz w:val="20"/>
                <w:szCs w:val="20"/>
                <w:lang w:val="en-GB" w:eastAsia="en-GB"/>
              </w:rPr>
            </w:pPr>
            <w:r w:rsidRPr="00E73C9B">
              <w:rPr>
                <w:rFonts w:ascii="Verdana" w:eastAsia="Times New Roman" w:hAnsi="Verdana" w:cs="Calibri"/>
                <w:b/>
                <w:bCs/>
                <w:color w:val="000000"/>
                <w:sz w:val="20"/>
                <w:szCs w:val="20"/>
                <w:lang w:val="en-GB" w:eastAsia="en-GB"/>
              </w:rPr>
              <w:t>0.848</w:t>
            </w:r>
          </w:p>
        </w:tc>
        <w:tc>
          <w:tcPr>
            <w:tcW w:w="1361" w:type="dxa"/>
            <w:tcBorders>
              <w:top w:val="single" w:sz="4" w:space="0" w:color="auto"/>
              <w:left w:val="nil"/>
              <w:bottom w:val="single" w:sz="4" w:space="0" w:color="auto"/>
              <w:right w:val="single" w:sz="4" w:space="0" w:color="auto"/>
            </w:tcBorders>
            <w:noWrap/>
            <w:vAlign w:val="center"/>
            <w:hideMark/>
          </w:tcPr>
          <w:p w14:paraId="7CF462FD" w14:textId="77777777" w:rsidR="00AE1C10" w:rsidRPr="00E73C9B" w:rsidRDefault="00AE1C10" w:rsidP="00AE1C10">
            <w:pPr>
              <w:jc w:val="right"/>
              <w:rPr>
                <w:rFonts w:ascii="Verdana" w:eastAsia="Times New Roman" w:hAnsi="Verdana" w:cs="Calibri"/>
                <w:b/>
                <w:bCs/>
                <w:color w:val="000000"/>
                <w:sz w:val="20"/>
                <w:szCs w:val="20"/>
                <w:lang w:val="en-GB" w:eastAsia="en-GB"/>
              </w:rPr>
            </w:pPr>
            <w:r w:rsidRPr="00E73C9B">
              <w:rPr>
                <w:rFonts w:ascii="Verdana" w:eastAsia="Times New Roman" w:hAnsi="Verdana" w:cs="Calibri"/>
                <w:b/>
                <w:bCs/>
                <w:color w:val="FF0000"/>
                <w:sz w:val="20"/>
                <w:szCs w:val="20"/>
                <w:lang w:val="en-GB" w:eastAsia="en-GB"/>
              </w:rPr>
              <w:t>(1.357)</w:t>
            </w:r>
          </w:p>
        </w:tc>
        <w:tc>
          <w:tcPr>
            <w:tcW w:w="1471" w:type="dxa"/>
            <w:tcBorders>
              <w:top w:val="single" w:sz="4" w:space="0" w:color="auto"/>
              <w:left w:val="nil"/>
              <w:bottom w:val="single" w:sz="4" w:space="0" w:color="auto"/>
              <w:right w:val="single" w:sz="4" w:space="0" w:color="auto"/>
            </w:tcBorders>
            <w:noWrap/>
            <w:vAlign w:val="center"/>
            <w:hideMark/>
          </w:tcPr>
          <w:p w14:paraId="46867068" w14:textId="77777777" w:rsidR="00AE1C10" w:rsidRPr="00E73C9B" w:rsidRDefault="00AE1C10" w:rsidP="00AE1C10">
            <w:pPr>
              <w:jc w:val="right"/>
              <w:rPr>
                <w:rFonts w:ascii="Verdana" w:eastAsia="Times New Roman" w:hAnsi="Verdana" w:cs="Calibri"/>
                <w:b/>
                <w:bCs/>
                <w:color w:val="000000"/>
                <w:sz w:val="20"/>
                <w:szCs w:val="20"/>
                <w:lang w:val="en-GB" w:eastAsia="en-GB"/>
              </w:rPr>
            </w:pPr>
            <w:r w:rsidRPr="00E73C9B">
              <w:rPr>
                <w:rFonts w:ascii="Verdana" w:eastAsia="Times New Roman" w:hAnsi="Verdana" w:cs="Calibri"/>
                <w:b/>
                <w:bCs/>
                <w:color w:val="000000"/>
                <w:sz w:val="20"/>
                <w:szCs w:val="20"/>
                <w:lang w:val="en-GB" w:eastAsia="en-GB"/>
              </w:rPr>
              <w:t>2.537</w:t>
            </w:r>
          </w:p>
        </w:tc>
        <w:tc>
          <w:tcPr>
            <w:tcW w:w="1140" w:type="dxa"/>
            <w:tcBorders>
              <w:top w:val="single" w:sz="4" w:space="0" w:color="auto"/>
              <w:left w:val="nil"/>
              <w:bottom w:val="single" w:sz="4" w:space="0" w:color="auto"/>
              <w:right w:val="single" w:sz="4" w:space="0" w:color="auto"/>
            </w:tcBorders>
            <w:shd w:val="clear" w:color="auto" w:fill="F2F2F2"/>
            <w:noWrap/>
            <w:vAlign w:val="center"/>
            <w:hideMark/>
          </w:tcPr>
          <w:p w14:paraId="2E932039" w14:textId="77777777" w:rsidR="00AE1C10" w:rsidRPr="00E73C9B" w:rsidRDefault="00AE1C10" w:rsidP="00AE1C10">
            <w:pPr>
              <w:jc w:val="right"/>
              <w:rPr>
                <w:rFonts w:ascii="Verdana" w:eastAsia="Times New Roman" w:hAnsi="Verdana" w:cs="Calibri"/>
                <w:b/>
                <w:bCs/>
                <w:color w:val="000000"/>
                <w:sz w:val="20"/>
                <w:szCs w:val="20"/>
                <w:lang w:val="en-GB" w:eastAsia="en-GB"/>
              </w:rPr>
            </w:pPr>
            <w:r w:rsidRPr="00E73C9B">
              <w:rPr>
                <w:rFonts w:ascii="Verdana" w:eastAsia="Times New Roman" w:hAnsi="Verdana" w:cs="Calibri"/>
                <w:b/>
                <w:bCs/>
                <w:color w:val="000000"/>
                <w:sz w:val="20"/>
                <w:szCs w:val="20"/>
                <w:lang w:val="en-GB" w:eastAsia="en-GB"/>
              </w:rPr>
              <w:t>20.072</w:t>
            </w:r>
          </w:p>
        </w:tc>
        <w:tc>
          <w:tcPr>
            <w:tcW w:w="1140" w:type="dxa"/>
            <w:tcBorders>
              <w:top w:val="single" w:sz="4" w:space="0" w:color="auto"/>
              <w:left w:val="nil"/>
              <w:bottom w:val="single" w:sz="4" w:space="0" w:color="auto"/>
              <w:right w:val="single" w:sz="4" w:space="0" w:color="auto"/>
            </w:tcBorders>
            <w:noWrap/>
            <w:vAlign w:val="center"/>
            <w:hideMark/>
          </w:tcPr>
          <w:p w14:paraId="5D47E766" w14:textId="77777777" w:rsidR="00AE1C10" w:rsidRPr="00E73C9B" w:rsidRDefault="00AE1C10" w:rsidP="00AE1C10">
            <w:pPr>
              <w:jc w:val="right"/>
              <w:rPr>
                <w:rFonts w:ascii="Verdana" w:eastAsia="Times New Roman" w:hAnsi="Verdana" w:cs="Calibri"/>
                <w:b/>
                <w:bCs/>
                <w:color w:val="000000"/>
                <w:sz w:val="20"/>
                <w:szCs w:val="20"/>
                <w:lang w:val="en-GB" w:eastAsia="en-GB"/>
              </w:rPr>
            </w:pPr>
            <w:r w:rsidRPr="00E73C9B">
              <w:rPr>
                <w:rFonts w:ascii="Verdana" w:eastAsia="Times New Roman" w:hAnsi="Verdana" w:cs="Calibri"/>
                <w:b/>
                <w:bCs/>
                <w:color w:val="000000"/>
                <w:sz w:val="20"/>
                <w:szCs w:val="20"/>
                <w:lang w:val="en-GB" w:eastAsia="en-GB"/>
              </w:rPr>
              <w:t>13.325</w:t>
            </w:r>
          </w:p>
        </w:tc>
        <w:tc>
          <w:tcPr>
            <w:tcW w:w="1301" w:type="dxa"/>
            <w:tcBorders>
              <w:top w:val="single" w:sz="4" w:space="0" w:color="auto"/>
              <w:left w:val="nil"/>
              <w:bottom w:val="single" w:sz="4" w:space="0" w:color="auto"/>
              <w:right w:val="single" w:sz="4" w:space="0" w:color="auto"/>
            </w:tcBorders>
            <w:noWrap/>
            <w:vAlign w:val="center"/>
            <w:hideMark/>
          </w:tcPr>
          <w:p w14:paraId="2A8512D7" w14:textId="77777777" w:rsidR="00AE1C10" w:rsidRPr="00E73C9B" w:rsidRDefault="00AE1C10" w:rsidP="00AE1C10">
            <w:pPr>
              <w:jc w:val="right"/>
              <w:rPr>
                <w:rFonts w:ascii="Verdana" w:eastAsia="Times New Roman" w:hAnsi="Verdana" w:cs="Calibri"/>
                <w:b/>
                <w:bCs/>
                <w:color w:val="000000"/>
                <w:sz w:val="20"/>
                <w:szCs w:val="20"/>
                <w:lang w:val="en-GB" w:eastAsia="en-GB"/>
              </w:rPr>
            </w:pPr>
            <w:r w:rsidRPr="00E73C9B">
              <w:rPr>
                <w:rFonts w:ascii="Verdana" w:eastAsia="Times New Roman" w:hAnsi="Verdana" w:cs="Calibri"/>
                <w:b/>
                <w:bCs/>
                <w:color w:val="FF0000"/>
                <w:sz w:val="20"/>
                <w:szCs w:val="20"/>
                <w:lang w:val="en-GB" w:eastAsia="en-GB"/>
              </w:rPr>
              <w:t>(6.747)</w:t>
            </w:r>
          </w:p>
        </w:tc>
      </w:tr>
    </w:tbl>
    <w:p w14:paraId="6B31ACF1" w14:textId="77777777" w:rsidR="00FC158C" w:rsidRDefault="00FC158C" w:rsidP="007C1A0A">
      <w:pPr>
        <w:rPr>
          <w:rFonts w:ascii="Verdana" w:hAnsi="Verdana"/>
          <w:sz w:val="22"/>
          <w:szCs w:val="22"/>
          <w:highlight w:val="yellow"/>
        </w:rPr>
      </w:pPr>
    </w:p>
    <w:p w14:paraId="4FA3FCA8" w14:textId="6598E62E" w:rsidR="00F227D9" w:rsidRPr="00D47A6C" w:rsidRDefault="00F227D9" w:rsidP="00F227D9">
      <w:pPr>
        <w:pStyle w:val="Normal0"/>
        <w:jc w:val="both"/>
        <w:rPr>
          <w:rFonts w:ascii="Verdana" w:eastAsia="Times New Roman" w:hAnsi="Verdana" w:cs="Arial"/>
          <w:b/>
          <w:sz w:val="22"/>
          <w:szCs w:val="22"/>
          <w:lang w:val="en-GB" w:eastAsia="en-GB"/>
        </w:rPr>
      </w:pPr>
      <w:r w:rsidRPr="00D47A6C">
        <w:rPr>
          <w:rFonts w:ascii="Verdana" w:eastAsia="Times New Roman" w:hAnsi="Verdana" w:cs="Arial"/>
          <w:b/>
          <w:sz w:val="22"/>
          <w:szCs w:val="22"/>
          <w:lang w:val="en-GB" w:eastAsia="en-GB"/>
        </w:rPr>
        <w:t>Balance Sheet</w:t>
      </w:r>
    </w:p>
    <w:p w14:paraId="61209FC2" w14:textId="77777777" w:rsidR="00F227D9" w:rsidRPr="00D47A6C" w:rsidRDefault="00F227D9" w:rsidP="00F227D9">
      <w:pPr>
        <w:pStyle w:val="Normal0"/>
        <w:rPr>
          <w:rFonts w:ascii="Verdana" w:eastAsia="Times New Roman" w:hAnsi="Verdana" w:cs="Arial"/>
          <w:sz w:val="22"/>
          <w:szCs w:val="22"/>
          <w:lang w:val="en-GB" w:eastAsia="en-GB"/>
        </w:rPr>
      </w:pPr>
    </w:p>
    <w:p w14:paraId="3B9DB071" w14:textId="77777777" w:rsidR="00F227D9" w:rsidRPr="00D47A6C" w:rsidRDefault="00F227D9" w:rsidP="00F227D9">
      <w:pPr>
        <w:pStyle w:val="Normal0"/>
        <w:rPr>
          <w:rFonts w:ascii="Verdana" w:eastAsia="Times New Roman" w:hAnsi="Verdana" w:cs="Arial"/>
          <w:sz w:val="22"/>
          <w:szCs w:val="22"/>
          <w:lang w:val="en-GB" w:eastAsia="en-GB"/>
        </w:rPr>
      </w:pPr>
      <w:r w:rsidRPr="00D47A6C">
        <w:rPr>
          <w:rFonts w:ascii="Verdana" w:eastAsia="Times New Roman" w:hAnsi="Verdana" w:cs="Arial"/>
          <w:sz w:val="22"/>
          <w:szCs w:val="22"/>
          <w:lang w:val="en-GB" w:eastAsia="en-GB"/>
        </w:rPr>
        <w:t>The balance sheet shows the value of the recognised assets and liabilities. The net liabilities are matched by the reserves held.</w:t>
      </w:r>
    </w:p>
    <w:p w14:paraId="2B86A629" w14:textId="77777777" w:rsidR="00F52015" w:rsidRPr="00D47A6C" w:rsidRDefault="00F52015" w:rsidP="00F227D9">
      <w:pPr>
        <w:pStyle w:val="Normal0"/>
        <w:rPr>
          <w:rFonts w:ascii="Verdana" w:eastAsia="Times New Roman" w:hAnsi="Verdana" w:cs="Arial"/>
          <w:sz w:val="22"/>
          <w:szCs w:val="22"/>
          <w:lang w:val="en-GB" w:eastAsia="en-GB"/>
        </w:rPr>
      </w:pPr>
    </w:p>
    <w:tbl>
      <w:tblPr>
        <w:tblW w:w="7917" w:type="dxa"/>
        <w:tblInd w:w="1450" w:type="dxa"/>
        <w:tblLook w:val="04A0" w:firstRow="1" w:lastRow="0" w:firstColumn="1" w:lastColumn="0" w:noHBand="0" w:noVBand="1"/>
      </w:tblPr>
      <w:tblGrid>
        <w:gridCol w:w="3397"/>
        <w:gridCol w:w="1593"/>
        <w:gridCol w:w="1701"/>
        <w:gridCol w:w="1226"/>
      </w:tblGrid>
      <w:tr w:rsidR="00F52015" w:rsidRPr="00DC1077" w14:paraId="2E74A33A" w14:textId="77777777" w:rsidTr="005151AB">
        <w:trPr>
          <w:trHeight w:val="360"/>
        </w:trPr>
        <w:tc>
          <w:tcPr>
            <w:tcW w:w="7917" w:type="dxa"/>
            <w:gridSpan w:val="4"/>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7A134D4" w14:textId="77777777" w:rsidR="00F52015" w:rsidRPr="0031733F" w:rsidRDefault="00F52015" w:rsidP="00F52015">
            <w:pPr>
              <w:jc w:val="center"/>
              <w:rPr>
                <w:rFonts w:ascii="Calibri" w:hAnsi="Calibri"/>
                <w:b/>
                <w:color w:val="000000"/>
                <w:sz w:val="22"/>
                <w:szCs w:val="22"/>
              </w:rPr>
            </w:pPr>
            <w:r w:rsidRPr="0031733F">
              <w:rPr>
                <w:rFonts w:ascii="Calibri" w:hAnsi="Calibri"/>
                <w:b/>
                <w:color w:val="000000"/>
                <w:sz w:val="22"/>
                <w:szCs w:val="22"/>
              </w:rPr>
              <w:t>Chief Constable's Balance Sheet</w:t>
            </w:r>
          </w:p>
        </w:tc>
      </w:tr>
      <w:tr w:rsidR="005151AB" w:rsidRPr="00DC1077" w14:paraId="1253E24E" w14:textId="77777777" w:rsidTr="005151AB">
        <w:trPr>
          <w:trHeight w:val="554"/>
        </w:trPr>
        <w:tc>
          <w:tcPr>
            <w:tcW w:w="3397" w:type="dxa"/>
            <w:tcBorders>
              <w:top w:val="nil"/>
              <w:left w:val="single" w:sz="4" w:space="0" w:color="auto"/>
              <w:bottom w:val="single" w:sz="4" w:space="0" w:color="auto"/>
              <w:right w:val="nil"/>
            </w:tcBorders>
            <w:shd w:val="clear" w:color="000000" w:fill="FFFFFF"/>
            <w:noWrap/>
            <w:vAlign w:val="bottom"/>
            <w:hideMark/>
          </w:tcPr>
          <w:p w14:paraId="4BA6A55C" w14:textId="77777777" w:rsidR="005151AB" w:rsidRPr="0031733F" w:rsidRDefault="005151AB" w:rsidP="005151AB">
            <w:pPr>
              <w:rPr>
                <w:rFonts w:ascii="Calibri" w:hAnsi="Calibri"/>
                <w:color w:val="000000"/>
                <w:sz w:val="22"/>
                <w:szCs w:val="22"/>
              </w:rPr>
            </w:pPr>
            <w:r w:rsidRPr="0031733F">
              <w:rPr>
                <w:rFonts w:ascii="Calibri" w:hAnsi="Calibri"/>
                <w:color w:val="000000"/>
                <w:sz w:val="22"/>
                <w:szCs w:val="22"/>
              </w:rPr>
              <w:t> </w:t>
            </w:r>
          </w:p>
        </w:tc>
        <w:tc>
          <w:tcPr>
            <w:tcW w:w="1593" w:type="dxa"/>
            <w:tcBorders>
              <w:top w:val="nil"/>
              <w:left w:val="single" w:sz="4" w:space="0" w:color="auto"/>
              <w:bottom w:val="single" w:sz="4" w:space="0" w:color="auto"/>
              <w:right w:val="nil"/>
            </w:tcBorders>
            <w:shd w:val="clear" w:color="000000" w:fill="FFFFFF"/>
            <w:vAlign w:val="bottom"/>
            <w:hideMark/>
          </w:tcPr>
          <w:p w14:paraId="5322AA97" w14:textId="35F69D1D" w:rsidR="005151AB" w:rsidRPr="0031733F" w:rsidRDefault="005151AB" w:rsidP="005151AB">
            <w:pPr>
              <w:jc w:val="center"/>
              <w:rPr>
                <w:rFonts w:ascii="Calibri" w:hAnsi="Calibri"/>
                <w:b/>
                <w:color w:val="000000"/>
                <w:sz w:val="22"/>
                <w:szCs w:val="22"/>
              </w:rPr>
            </w:pPr>
            <w:r w:rsidRPr="0031733F">
              <w:rPr>
                <w:rFonts w:ascii="Calibri" w:hAnsi="Calibri"/>
                <w:b/>
                <w:color w:val="000000"/>
                <w:sz w:val="22"/>
                <w:szCs w:val="22"/>
              </w:rPr>
              <w:t>31 March 2021</w:t>
            </w:r>
          </w:p>
          <w:p w14:paraId="73F73978" w14:textId="77777777" w:rsidR="005151AB" w:rsidRPr="0031733F" w:rsidRDefault="005151AB" w:rsidP="005151AB">
            <w:pPr>
              <w:jc w:val="center"/>
              <w:rPr>
                <w:rFonts w:ascii="Calibri" w:hAnsi="Calibri"/>
                <w:color w:val="000000"/>
                <w:sz w:val="22"/>
                <w:szCs w:val="22"/>
              </w:rPr>
            </w:pPr>
            <w:r w:rsidRPr="0031733F">
              <w:rPr>
                <w:rFonts w:ascii="Calibri" w:hAnsi="Calibri"/>
                <w:b/>
                <w:color w:val="000000"/>
                <w:sz w:val="22"/>
                <w:szCs w:val="22"/>
              </w:rPr>
              <w:t xml:space="preserve">      £m</w:t>
            </w:r>
          </w:p>
        </w:tc>
        <w:tc>
          <w:tcPr>
            <w:tcW w:w="1701" w:type="dxa"/>
            <w:tcBorders>
              <w:top w:val="nil"/>
              <w:left w:val="single" w:sz="4" w:space="0" w:color="auto"/>
              <w:bottom w:val="single" w:sz="4" w:space="0" w:color="auto"/>
              <w:right w:val="single" w:sz="4" w:space="0" w:color="auto"/>
            </w:tcBorders>
            <w:shd w:val="clear" w:color="000000" w:fill="FFFFFF"/>
            <w:vAlign w:val="bottom"/>
            <w:hideMark/>
          </w:tcPr>
          <w:p w14:paraId="0304A195" w14:textId="77777777" w:rsidR="005151AB" w:rsidRPr="0031733F" w:rsidRDefault="005151AB" w:rsidP="005151AB">
            <w:pPr>
              <w:jc w:val="center"/>
              <w:rPr>
                <w:rFonts w:ascii="Calibri" w:hAnsi="Calibri"/>
                <w:b/>
                <w:color w:val="000000"/>
                <w:sz w:val="22"/>
                <w:szCs w:val="22"/>
              </w:rPr>
            </w:pPr>
            <w:r w:rsidRPr="0031733F">
              <w:rPr>
                <w:rFonts w:ascii="Calibri" w:hAnsi="Calibri"/>
                <w:b/>
                <w:color w:val="000000"/>
                <w:sz w:val="22"/>
                <w:szCs w:val="22"/>
              </w:rPr>
              <w:t>31 March 2020</w:t>
            </w:r>
          </w:p>
          <w:p w14:paraId="6E64AFE5" w14:textId="63B78BCC" w:rsidR="005151AB" w:rsidRPr="0031733F" w:rsidRDefault="005151AB" w:rsidP="005151AB">
            <w:pPr>
              <w:jc w:val="center"/>
              <w:rPr>
                <w:rFonts w:ascii="Calibri" w:hAnsi="Calibri"/>
                <w:b/>
                <w:color w:val="000000"/>
                <w:sz w:val="22"/>
                <w:szCs w:val="22"/>
              </w:rPr>
            </w:pPr>
            <w:r w:rsidRPr="0031733F">
              <w:rPr>
                <w:rFonts w:ascii="Calibri" w:hAnsi="Calibri"/>
                <w:b/>
                <w:color w:val="000000"/>
                <w:sz w:val="22"/>
                <w:szCs w:val="22"/>
              </w:rPr>
              <w:t xml:space="preserve">      £m</w:t>
            </w:r>
          </w:p>
        </w:tc>
        <w:tc>
          <w:tcPr>
            <w:tcW w:w="1226" w:type="dxa"/>
            <w:tcBorders>
              <w:top w:val="nil"/>
              <w:left w:val="nil"/>
              <w:bottom w:val="single" w:sz="4" w:space="0" w:color="auto"/>
              <w:right w:val="single" w:sz="4" w:space="0" w:color="auto"/>
            </w:tcBorders>
            <w:shd w:val="clear" w:color="000000" w:fill="FFFFFF"/>
            <w:vAlign w:val="bottom"/>
            <w:hideMark/>
          </w:tcPr>
          <w:p w14:paraId="27BCD569" w14:textId="77777777" w:rsidR="005151AB" w:rsidRPr="0031733F" w:rsidRDefault="005151AB" w:rsidP="005151AB">
            <w:pPr>
              <w:jc w:val="center"/>
              <w:rPr>
                <w:rFonts w:ascii="Calibri" w:hAnsi="Calibri"/>
                <w:b/>
                <w:color w:val="000000"/>
                <w:sz w:val="22"/>
                <w:szCs w:val="22"/>
              </w:rPr>
            </w:pPr>
            <w:r w:rsidRPr="0031733F">
              <w:rPr>
                <w:rFonts w:ascii="Calibri" w:hAnsi="Calibri"/>
                <w:b/>
                <w:color w:val="000000"/>
                <w:sz w:val="22"/>
                <w:szCs w:val="22"/>
              </w:rPr>
              <w:t>Movement £m</w:t>
            </w:r>
          </w:p>
        </w:tc>
      </w:tr>
      <w:tr w:rsidR="005151AB" w:rsidRPr="00DC1077" w14:paraId="4B808A20" w14:textId="77777777" w:rsidTr="005151AB">
        <w:trPr>
          <w:trHeight w:val="277"/>
        </w:trPr>
        <w:tc>
          <w:tcPr>
            <w:tcW w:w="3397" w:type="dxa"/>
            <w:tcBorders>
              <w:top w:val="nil"/>
              <w:left w:val="single" w:sz="4" w:space="0" w:color="auto"/>
              <w:bottom w:val="nil"/>
              <w:right w:val="nil"/>
            </w:tcBorders>
            <w:shd w:val="clear" w:color="000000" w:fill="FFFFFF"/>
            <w:noWrap/>
            <w:vAlign w:val="center"/>
            <w:hideMark/>
          </w:tcPr>
          <w:p w14:paraId="371D96EA" w14:textId="77777777" w:rsidR="005151AB" w:rsidRPr="0031733F" w:rsidRDefault="005151AB" w:rsidP="005151AB">
            <w:pPr>
              <w:ind w:firstLineChars="100" w:firstLine="220"/>
              <w:rPr>
                <w:rFonts w:ascii="Calibri" w:hAnsi="Calibri"/>
                <w:color w:val="000000"/>
                <w:sz w:val="22"/>
                <w:szCs w:val="22"/>
              </w:rPr>
            </w:pPr>
            <w:r w:rsidRPr="0031733F">
              <w:rPr>
                <w:rFonts w:ascii="Calibri" w:hAnsi="Calibri"/>
                <w:color w:val="000000"/>
                <w:sz w:val="22"/>
                <w:szCs w:val="22"/>
              </w:rPr>
              <w:t xml:space="preserve">Current Assets </w:t>
            </w:r>
          </w:p>
        </w:tc>
        <w:tc>
          <w:tcPr>
            <w:tcW w:w="1593" w:type="dxa"/>
            <w:tcBorders>
              <w:top w:val="nil"/>
              <w:left w:val="single" w:sz="4" w:space="0" w:color="auto"/>
              <w:bottom w:val="nil"/>
              <w:right w:val="nil"/>
            </w:tcBorders>
            <w:shd w:val="clear" w:color="000000" w:fill="FFFFFF"/>
            <w:noWrap/>
            <w:vAlign w:val="center"/>
            <w:hideMark/>
          </w:tcPr>
          <w:p w14:paraId="05335AEA" w14:textId="77777777" w:rsidR="005151AB" w:rsidRPr="0031733F" w:rsidRDefault="005151AB" w:rsidP="005151AB">
            <w:pPr>
              <w:ind w:firstLineChars="100" w:firstLine="220"/>
              <w:jc w:val="right"/>
              <w:rPr>
                <w:rFonts w:ascii="Calibri" w:hAnsi="Calibri"/>
                <w:color w:val="000000"/>
                <w:sz w:val="22"/>
                <w:szCs w:val="22"/>
              </w:rPr>
            </w:pPr>
            <w:r w:rsidRPr="0031733F">
              <w:rPr>
                <w:rFonts w:ascii="Calibri" w:hAnsi="Calibri"/>
                <w:color w:val="000000"/>
                <w:sz w:val="22"/>
                <w:szCs w:val="22"/>
              </w:rPr>
              <w:t>0.1</w:t>
            </w:r>
          </w:p>
        </w:tc>
        <w:tc>
          <w:tcPr>
            <w:tcW w:w="1701" w:type="dxa"/>
            <w:tcBorders>
              <w:top w:val="nil"/>
              <w:left w:val="single" w:sz="4" w:space="0" w:color="auto"/>
              <w:bottom w:val="nil"/>
              <w:right w:val="single" w:sz="4" w:space="0" w:color="auto"/>
            </w:tcBorders>
            <w:shd w:val="clear" w:color="000000" w:fill="FFFFFF"/>
            <w:noWrap/>
            <w:vAlign w:val="center"/>
            <w:hideMark/>
          </w:tcPr>
          <w:p w14:paraId="1E337690" w14:textId="6EDEE614" w:rsidR="005151AB" w:rsidRPr="0031733F" w:rsidRDefault="005151AB" w:rsidP="005151AB">
            <w:pPr>
              <w:ind w:firstLineChars="100" w:firstLine="220"/>
              <w:jc w:val="right"/>
              <w:rPr>
                <w:rFonts w:ascii="Calibri" w:hAnsi="Calibri"/>
                <w:color w:val="000000"/>
                <w:sz w:val="22"/>
                <w:szCs w:val="22"/>
              </w:rPr>
            </w:pPr>
            <w:r w:rsidRPr="0031733F">
              <w:rPr>
                <w:rFonts w:ascii="Calibri" w:hAnsi="Calibri"/>
                <w:color w:val="000000"/>
                <w:sz w:val="22"/>
                <w:szCs w:val="22"/>
              </w:rPr>
              <w:t>0.1</w:t>
            </w:r>
          </w:p>
        </w:tc>
        <w:tc>
          <w:tcPr>
            <w:tcW w:w="1226" w:type="dxa"/>
            <w:tcBorders>
              <w:top w:val="nil"/>
              <w:left w:val="nil"/>
              <w:bottom w:val="nil"/>
              <w:right w:val="single" w:sz="4" w:space="0" w:color="auto"/>
            </w:tcBorders>
            <w:shd w:val="clear" w:color="000000" w:fill="FFFFFF"/>
            <w:noWrap/>
            <w:vAlign w:val="center"/>
            <w:hideMark/>
          </w:tcPr>
          <w:p w14:paraId="37582497" w14:textId="77777777" w:rsidR="005151AB" w:rsidRPr="0031733F" w:rsidRDefault="005151AB" w:rsidP="005151AB">
            <w:pPr>
              <w:ind w:firstLineChars="100" w:firstLine="220"/>
              <w:jc w:val="right"/>
              <w:rPr>
                <w:rFonts w:ascii="Calibri" w:hAnsi="Calibri"/>
                <w:color w:val="000000"/>
                <w:sz w:val="22"/>
                <w:szCs w:val="22"/>
              </w:rPr>
            </w:pPr>
            <w:r w:rsidRPr="0031733F">
              <w:rPr>
                <w:rFonts w:ascii="Calibri" w:hAnsi="Calibri"/>
                <w:color w:val="000000"/>
                <w:sz w:val="22"/>
                <w:szCs w:val="22"/>
              </w:rPr>
              <w:t>0.0</w:t>
            </w:r>
          </w:p>
        </w:tc>
      </w:tr>
      <w:tr w:rsidR="005151AB" w:rsidRPr="00DC1077" w14:paraId="1AC8D681" w14:textId="77777777" w:rsidTr="005151AB">
        <w:trPr>
          <w:trHeight w:val="277"/>
        </w:trPr>
        <w:tc>
          <w:tcPr>
            <w:tcW w:w="3397" w:type="dxa"/>
            <w:tcBorders>
              <w:top w:val="nil"/>
              <w:left w:val="single" w:sz="4" w:space="0" w:color="auto"/>
              <w:bottom w:val="nil"/>
              <w:right w:val="nil"/>
            </w:tcBorders>
            <w:shd w:val="clear" w:color="000000" w:fill="FFFFFF"/>
            <w:noWrap/>
            <w:vAlign w:val="center"/>
            <w:hideMark/>
          </w:tcPr>
          <w:p w14:paraId="1D3FBC3A" w14:textId="77777777" w:rsidR="005151AB" w:rsidRPr="0031733F" w:rsidRDefault="005151AB" w:rsidP="005151AB">
            <w:pPr>
              <w:ind w:firstLineChars="100" w:firstLine="220"/>
              <w:rPr>
                <w:rFonts w:ascii="Calibri" w:hAnsi="Calibri"/>
                <w:color w:val="000000"/>
                <w:sz w:val="22"/>
                <w:szCs w:val="22"/>
              </w:rPr>
            </w:pPr>
            <w:r w:rsidRPr="0031733F">
              <w:rPr>
                <w:rFonts w:ascii="Calibri" w:hAnsi="Calibri"/>
                <w:color w:val="000000"/>
                <w:sz w:val="22"/>
                <w:szCs w:val="22"/>
              </w:rPr>
              <w:t>Current Liabilities</w:t>
            </w:r>
          </w:p>
        </w:tc>
        <w:tc>
          <w:tcPr>
            <w:tcW w:w="1593" w:type="dxa"/>
            <w:tcBorders>
              <w:top w:val="nil"/>
              <w:left w:val="single" w:sz="4" w:space="0" w:color="auto"/>
              <w:bottom w:val="nil"/>
              <w:right w:val="nil"/>
            </w:tcBorders>
            <w:shd w:val="clear" w:color="000000" w:fill="FFFFFF"/>
            <w:noWrap/>
            <w:vAlign w:val="center"/>
            <w:hideMark/>
          </w:tcPr>
          <w:p w14:paraId="3124C54D" w14:textId="16B9F1F8" w:rsidR="005151AB" w:rsidRPr="0031733F" w:rsidRDefault="0031733F" w:rsidP="005151AB">
            <w:pPr>
              <w:ind w:firstLineChars="100" w:firstLine="220"/>
              <w:jc w:val="right"/>
              <w:rPr>
                <w:rFonts w:ascii="Calibri" w:hAnsi="Calibri"/>
                <w:color w:val="000000"/>
                <w:sz w:val="22"/>
                <w:szCs w:val="22"/>
              </w:rPr>
            </w:pPr>
            <w:r w:rsidRPr="0031733F">
              <w:rPr>
                <w:rFonts w:ascii="Calibri" w:hAnsi="Calibri"/>
                <w:color w:val="000000"/>
                <w:sz w:val="22"/>
                <w:szCs w:val="22"/>
              </w:rPr>
              <w:t>(2.1</w:t>
            </w:r>
            <w:r w:rsidR="005151AB" w:rsidRPr="0031733F">
              <w:rPr>
                <w:rFonts w:ascii="Calibri" w:hAnsi="Calibri"/>
                <w:color w:val="000000"/>
                <w:sz w:val="22"/>
                <w:szCs w:val="22"/>
              </w:rPr>
              <w:t>)</w:t>
            </w:r>
          </w:p>
        </w:tc>
        <w:tc>
          <w:tcPr>
            <w:tcW w:w="1701" w:type="dxa"/>
            <w:tcBorders>
              <w:top w:val="nil"/>
              <w:left w:val="single" w:sz="4" w:space="0" w:color="auto"/>
              <w:bottom w:val="nil"/>
              <w:right w:val="single" w:sz="4" w:space="0" w:color="auto"/>
            </w:tcBorders>
            <w:shd w:val="clear" w:color="000000" w:fill="FFFFFF"/>
            <w:noWrap/>
            <w:vAlign w:val="center"/>
            <w:hideMark/>
          </w:tcPr>
          <w:p w14:paraId="6AB1F8B5" w14:textId="21655888" w:rsidR="005151AB" w:rsidRPr="0031733F" w:rsidRDefault="005151AB" w:rsidP="0031733F">
            <w:pPr>
              <w:ind w:firstLineChars="100" w:firstLine="220"/>
              <w:jc w:val="right"/>
              <w:rPr>
                <w:rFonts w:ascii="Calibri" w:hAnsi="Calibri"/>
                <w:color w:val="000000"/>
                <w:sz w:val="22"/>
                <w:szCs w:val="22"/>
              </w:rPr>
            </w:pPr>
            <w:r w:rsidRPr="0031733F">
              <w:rPr>
                <w:rFonts w:ascii="Calibri" w:hAnsi="Calibri"/>
                <w:color w:val="000000"/>
                <w:sz w:val="22"/>
                <w:szCs w:val="22"/>
              </w:rPr>
              <w:t>(</w:t>
            </w:r>
            <w:r w:rsidR="0031733F" w:rsidRPr="0031733F">
              <w:rPr>
                <w:rFonts w:ascii="Calibri" w:hAnsi="Calibri"/>
                <w:color w:val="000000"/>
                <w:sz w:val="22"/>
                <w:szCs w:val="22"/>
              </w:rPr>
              <w:t>1.2</w:t>
            </w:r>
            <w:r w:rsidRPr="0031733F">
              <w:rPr>
                <w:rFonts w:ascii="Calibri" w:hAnsi="Calibri"/>
                <w:color w:val="000000"/>
                <w:sz w:val="22"/>
                <w:szCs w:val="22"/>
              </w:rPr>
              <w:t>)</w:t>
            </w:r>
          </w:p>
        </w:tc>
        <w:tc>
          <w:tcPr>
            <w:tcW w:w="1226" w:type="dxa"/>
            <w:tcBorders>
              <w:top w:val="nil"/>
              <w:left w:val="nil"/>
              <w:bottom w:val="nil"/>
              <w:right w:val="single" w:sz="4" w:space="0" w:color="auto"/>
            </w:tcBorders>
            <w:shd w:val="clear" w:color="000000" w:fill="FFFFFF"/>
            <w:noWrap/>
            <w:vAlign w:val="center"/>
            <w:hideMark/>
          </w:tcPr>
          <w:p w14:paraId="489F1A82" w14:textId="45DC14CB" w:rsidR="005151AB" w:rsidRPr="0031733F" w:rsidRDefault="005151AB" w:rsidP="0031733F">
            <w:pPr>
              <w:ind w:firstLineChars="100" w:firstLine="220"/>
              <w:jc w:val="right"/>
              <w:rPr>
                <w:rFonts w:ascii="Calibri" w:hAnsi="Calibri"/>
                <w:color w:val="000000"/>
                <w:sz w:val="22"/>
                <w:szCs w:val="22"/>
              </w:rPr>
            </w:pPr>
            <w:r w:rsidRPr="0031733F">
              <w:rPr>
                <w:rFonts w:ascii="Calibri" w:hAnsi="Calibri"/>
                <w:color w:val="000000"/>
                <w:sz w:val="22"/>
                <w:szCs w:val="22"/>
              </w:rPr>
              <w:t>(0.</w:t>
            </w:r>
            <w:r w:rsidR="0031733F" w:rsidRPr="0031733F">
              <w:rPr>
                <w:rFonts w:ascii="Calibri" w:hAnsi="Calibri"/>
                <w:color w:val="000000"/>
                <w:sz w:val="22"/>
                <w:szCs w:val="22"/>
              </w:rPr>
              <w:t>9</w:t>
            </w:r>
            <w:r w:rsidRPr="0031733F">
              <w:rPr>
                <w:rFonts w:ascii="Calibri" w:hAnsi="Calibri"/>
                <w:color w:val="000000"/>
                <w:sz w:val="22"/>
                <w:szCs w:val="22"/>
              </w:rPr>
              <w:t>)</w:t>
            </w:r>
          </w:p>
        </w:tc>
      </w:tr>
      <w:tr w:rsidR="005151AB" w:rsidRPr="00DC1077" w14:paraId="7C449277" w14:textId="77777777" w:rsidTr="005151AB">
        <w:trPr>
          <w:trHeight w:val="277"/>
        </w:trPr>
        <w:tc>
          <w:tcPr>
            <w:tcW w:w="3397" w:type="dxa"/>
            <w:tcBorders>
              <w:top w:val="nil"/>
              <w:left w:val="single" w:sz="4" w:space="0" w:color="auto"/>
              <w:bottom w:val="single" w:sz="4" w:space="0" w:color="auto"/>
              <w:right w:val="nil"/>
            </w:tcBorders>
            <w:shd w:val="clear" w:color="000000" w:fill="FFFFFF"/>
            <w:noWrap/>
            <w:vAlign w:val="center"/>
            <w:hideMark/>
          </w:tcPr>
          <w:p w14:paraId="25D9CE35" w14:textId="77777777" w:rsidR="005151AB" w:rsidRPr="0031733F" w:rsidRDefault="005151AB" w:rsidP="005151AB">
            <w:pPr>
              <w:ind w:firstLineChars="100" w:firstLine="220"/>
              <w:rPr>
                <w:rFonts w:ascii="Calibri" w:hAnsi="Calibri"/>
                <w:color w:val="000000"/>
                <w:sz w:val="22"/>
                <w:szCs w:val="22"/>
              </w:rPr>
            </w:pPr>
            <w:r w:rsidRPr="0031733F">
              <w:rPr>
                <w:rFonts w:ascii="Calibri" w:hAnsi="Calibri"/>
                <w:color w:val="000000"/>
                <w:sz w:val="22"/>
                <w:szCs w:val="22"/>
              </w:rPr>
              <w:t>Long term Liabilities</w:t>
            </w:r>
          </w:p>
        </w:tc>
        <w:tc>
          <w:tcPr>
            <w:tcW w:w="1593" w:type="dxa"/>
            <w:tcBorders>
              <w:top w:val="nil"/>
              <w:left w:val="single" w:sz="4" w:space="0" w:color="auto"/>
              <w:bottom w:val="single" w:sz="4" w:space="0" w:color="auto"/>
              <w:right w:val="nil"/>
            </w:tcBorders>
            <w:shd w:val="clear" w:color="000000" w:fill="FFFFFF"/>
            <w:noWrap/>
            <w:vAlign w:val="center"/>
            <w:hideMark/>
          </w:tcPr>
          <w:p w14:paraId="2FC89BB3" w14:textId="7F69D93F" w:rsidR="005151AB" w:rsidRPr="0031733F" w:rsidRDefault="005151AB" w:rsidP="005151AB">
            <w:pPr>
              <w:ind w:firstLineChars="100" w:firstLine="220"/>
              <w:jc w:val="right"/>
              <w:rPr>
                <w:rFonts w:ascii="Calibri" w:hAnsi="Calibri"/>
                <w:color w:val="000000"/>
                <w:sz w:val="22"/>
                <w:szCs w:val="22"/>
              </w:rPr>
            </w:pPr>
            <w:r w:rsidRPr="0031733F">
              <w:rPr>
                <w:rFonts w:ascii="Calibri" w:hAnsi="Calibri"/>
                <w:color w:val="000000"/>
                <w:sz w:val="22"/>
                <w:szCs w:val="22"/>
              </w:rPr>
              <w:t>(2,</w:t>
            </w:r>
            <w:r w:rsidR="0031733F" w:rsidRPr="0031733F">
              <w:rPr>
                <w:rFonts w:ascii="Calibri" w:hAnsi="Calibri"/>
                <w:color w:val="000000"/>
                <w:sz w:val="22"/>
                <w:szCs w:val="22"/>
              </w:rPr>
              <w:t>174.0</w:t>
            </w:r>
            <w:r w:rsidRPr="0031733F">
              <w:rPr>
                <w:rFonts w:ascii="Calibri" w:hAnsi="Calibri"/>
                <w:color w:val="000000"/>
                <w:sz w:val="22"/>
                <w:szCs w:val="22"/>
              </w:rPr>
              <w:t>)</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3E09F0B4" w14:textId="75F78A41" w:rsidR="005151AB" w:rsidRPr="0031733F" w:rsidRDefault="005151AB" w:rsidP="005151AB">
            <w:pPr>
              <w:ind w:firstLineChars="100" w:firstLine="220"/>
              <w:jc w:val="right"/>
              <w:rPr>
                <w:rFonts w:ascii="Calibri" w:hAnsi="Calibri"/>
                <w:color w:val="000000"/>
                <w:sz w:val="22"/>
                <w:szCs w:val="22"/>
              </w:rPr>
            </w:pPr>
            <w:r w:rsidRPr="0031733F">
              <w:rPr>
                <w:rFonts w:ascii="Calibri" w:hAnsi="Calibri"/>
                <w:color w:val="000000"/>
                <w:sz w:val="22"/>
                <w:szCs w:val="22"/>
              </w:rPr>
              <w:t>(2,026.5)</w:t>
            </w:r>
          </w:p>
        </w:tc>
        <w:tc>
          <w:tcPr>
            <w:tcW w:w="1226" w:type="dxa"/>
            <w:tcBorders>
              <w:top w:val="nil"/>
              <w:left w:val="nil"/>
              <w:bottom w:val="single" w:sz="4" w:space="0" w:color="auto"/>
              <w:right w:val="single" w:sz="4" w:space="0" w:color="auto"/>
            </w:tcBorders>
            <w:shd w:val="clear" w:color="000000" w:fill="FFFFFF"/>
            <w:noWrap/>
            <w:vAlign w:val="center"/>
            <w:hideMark/>
          </w:tcPr>
          <w:p w14:paraId="1E63F898" w14:textId="0F810BDF" w:rsidR="005151AB" w:rsidRPr="0031733F" w:rsidRDefault="0031733F" w:rsidP="005151AB">
            <w:pPr>
              <w:ind w:firstLineChars="100" w:firstLine="220"/>
              <w:jc w:val="right"/>
              <w:rPr>
                <w:rFonts w:ascii="Calibri" w:hAnsi="Calibri"/>
                <w:color w:val="000000"/>
                <w:sz w:val="22"/>
                <w:szCs w:val="22"/>
              </w:rPr>
            </w:pPr>
            <w:r w:rsidRPr="0031733F">
              <w:rPr>
                <w:rFonts w:ascii="Calibri" w:hAnsi="Calibri"/>
                <w:color w:val="000000"/>
                <w:sz w:val="22"/>
                <w:szCs w:val="22"/>
              </w:rPr>
              <w:t>(147.5)</w:t>
            </w:r>
          </w:p>
        </w:tc>
      </w:tr>
      <w:tr w:rsidR="005151AB" w:rsidRPr="00DC1077" w14:paraId="43EE6D2B" w14:textId="77777777" w:rsidTr="005151AB">
        <w:trPr>
          <w:trHeight w:val="291"/>
        </w:trPr>
        <w:tc>
          <w:tcPr>
            <w:tcW w:w="3397" w:type="dxa"/>
            <w:tcBorders>
              <w:top w:val="single" w:sz="4" w:space="0" w:color="auto"/>
              <w:left w:val="single" w:sz="4" w:space="0" w:color="auto"/>
              <w:bottom w:val="single" w:sz="4" w:space="0" w:color="auto"/>
              <w:right w:val="nil"/>
            </w:tcBorders>
            <w:shd w:val="clear" w:color="000000" w:fill="FFFFFF"/>
            <w:noWrap/>
            <w:vAlign w:val="bottom"/>
            <w:hideMark/>
          </w:tcPr>
          <w:p w14:paraId="6DB3E8B9" w14:textId="77777777" w:rsidR="005151AB" w:rsidRPr="0031733F" w:rsidRDefault="005151AB" w:rsidP="005151AB">
            <w:pPr>
              <w:ind w:firstLineChars="100" w:firstLine="221"/>
              <w:rPr>
                <w:rFonts w:ascii="Calibri" w:hAnsi="Calibri"/>
                <w:b/>
                <w:color w:val="000000"/>
                <w:sz w:val="22"/>
                <w:szCs w:val="22"/>
              </w:rPr>
            </w:pPr>
            <w:r w:rsidRPr="0031733F">
              <w:rPr>
                <w:rFonts w:ascii="Calibri" w:hAnsi="Calibri"/>
                <w:b/>
                <w:color w:val="000000"/>
                <w:sz w:val="22"/>
                <w:szCs w:val="22"/>
              </w:rPr>
              <w:t>Net Liabilities</w:t>
            </w:r>
          </w:p>
        </w:tc>
        <w:tc>
          <w:tcPr>
            <w:tcW w:w="1593" w:type="dxa"/>
            <w:tcBorders>
              <w:top w:val="single" w:sz="4" w:space="0" w:color="auto"/>
              <w:left w:val="single" w:sz="4" w:space="0" w:color="auto"/>
              <w:bottom w:val="single" w:sz="4" w:space="0" w:color="auto"/>
              <w:right w:val="nil"/>
            </w:tcBorders>
            <w:shd w:val="clear" w:color="000000" w:fill="FFFFFF"/>
            <w:noWrap/>
            <w:vAlign w:val="bottom"/>
            <w:hideMark/>
          </w:tcPr>
          <w:p w14:paraId="29F3E709" w14:textId="6101BFD4" w:rsidR="005151AB" w:rsidRPr="0031733F" w:rsidRDefault="0031733F" w:rsidP="005151AB">
            <w:pPr>
              <w:ind w:firstLineChars="100" w:firstLine="221"/>
              <w:jc w:val="right"/>
              <w:rPr>
                <w:rFonts w:ascii="Calibri" w:hAnsi="Calibri"/>
                <w:b/>
                <w:color w:val="000000"/>
                <w:sz w:val="22"/>
                <w:szCs w:val="22"/>
              </w:rPr>
            </w:pPr>
            <w:r w:rsidRPr="0031733F">
              <w:rPr>
                <w:rFonts w:ascii="Calibri" w:hAnsi="Calibri"/>
                <w:b/>
                <w:color w:val="000000"/>
                <w:sz w:val="22"/>
                <w:szCs w:val="22"/>
              </w:rPr>
              <w:t>(2,176.0</w:t>
            </w:r>
            <w:r w:rsidR="005151AB" w:rsidRPr="0031733F">
              <w:rPr>
                <w:rFonts w:ascii="Calibri" w:hAnsi="Calibri"/>
                <w:b/>
                <w:color w:val="000000"/>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F3186B" w14:textId="2552D1EC" w:rsidR="005151AB" w:rsidRPr="0031733F" w:rsidRDefault="005151AB" w:rsidP="005151AB">
            <w:pPr>
              <w:ind w:firstLineChars="100" w:firstLine="221"/>
              <w:jc w:val="right"/>
              <w:rPr>
                <w:rFonts w:ascii="Calibri" w:hAnsi="Calibri"/>
                <w:b/>
                <w:color w:val="000000"/>
                <w:sz w:val="22"/>
                <w:szCs w:val="22"/>
              </w:rPr>
            </w:pPr>
            <w:r w:rsidRPr="0031733F">
              <w:rPr>
                <w:rFonts w:ascii="Calibri" w:hAnsi="Calibri"/>
                <w:b/>
                <w:color w:val="000000"/>
                <w:sz w:val="22"/>
                <w:szCs w:val="22"/>
              </w:rPr>
              <w:t>(2,027.6)</w:t>
            </w:r>
          </w:p>
        </w:tc>
        <w:tc>
          <w:tcPr>
            <w:tcW w:w="1226" w:type="dxa"/>
            <w:tcBorders>
              <w:top w:val="single" w:sz="4" w:space="0" w:color="auto"/>
              <w:left w:val="nil"/>
              <w:bottom w:val="single" w:sz="4" w:space="0" w:color="auto"/>
              <w:right w:val="single" w:sz="4" w:space="0" w:color="auto"/>
            </w:tcBorders>
            <w:shd w:val="clear" w:color="000000" w:fill="FFFFFF"/>
            <w:noWrap/>
            <w:vAlign w:val="bottom"/>
            <w:hideMark/>
          </w:tcPr>
          <w:p w14:paraId="64FC73AC" w14:textId="12BBDC67" w:rsidR="005151AB" w:rsidRPr="0031733F" w:rsidRDefault="0031733F" w:rsidP="005151AB">
            <w:pPr>
              <w:ind w:firstLineChars="100" w:firstLine="221"/>
              <w:jc w:val="right"/>
              <w:rPr>
                <w:rFonts w:ascii="Calibri" w:hAnsi="Calibri"/>
                <w:b/>
                <w:color w:val="000000"/>
                <w:sz w:val="22"/>
                <w:szCs w:val="22"/>
              </w:rPr>
            </w:pPr>
            <w:r w:rsidRPr="0031733F">
              <w:rPr>
                <w:rFonts w:ascii="Calibri" w:hAnsi="Calibri"/>
                <w:b/>
                <w:color w:val="000000"/>
                <w:sz w:val="22"/>
                <w:szCs w:val="22"/>
              </w:rPr>
              <w:t>(148.4)</w:t>
            </w:r>
          </w:p>
        </w:tc>
      </w:tr>
      <w:tr w:rsidR="005151AB" w:rsidRPr="00DC1077" w14:paraId="318AB35D" w14:textId="77777777" w:rsidTr="005151AB">
        <w:trPr>
          <w:trHeight w:val="55"/>
        </w:trPr>
        <w:tc>
          <w:tcPr>
            <w:tcW w:w="3397" w:type="dxa"/>
            <w:tcBorders>
              <w:top w:val="single" w:sz="4" w:space="0" w:color="auto"/>
              <w:left w:val="single" w:sz="4" w:space="0" w:color="auto"/>
              <w:bottom w:val="nil"/>
              <w:right w:val="nil"/>
            </w:tcBorders>
            <w:shd w:val="clear" w:color="000000" w:fill="FFFFFF"/>
            <w:noWrap/>
            <w:vAlign w:val="center"/>
            <w:hideMark/>
          </w:tcPr>
          <w:p w14:paraId="2CDEE2BD" w14:textId="77777777" w:rsidR="005151AB" w:rsidRPr="0031733F" w:rsidRDefault="005151AB" w:rsidP="005151AB">
            <w:pPr>
              <w:ind w:firstLineChars="100" w:firstLine="220"/>
              <w:rPr>
                <w:rFonts w:ascii="Calibri" w:hAnsi="Calibri"/>
                <w:color w:val="000000"/>
                <w:sz w:val="22"/>
                <w:szCs w:val="22"/>
              </w:rPr>
            </w:pPr>
            <w:r w:rsidRPr="0031733F">
              <w:rPr>
                <w:rFonts w:ascii="Calibri" w:hAnsi="Calibri"/>
                <w:color w:val="000000"/>
                <w:sz w:val="22"/>
                <w:szCs w:val="22"/>
              </w:rPr>
              <w:t> </w:t>
            </w:r>
          </w:p>
        </w:tc>
        <w:tc>
          <w:tcPr>
            <w:tcW w:w="1593" w:type="dxa"/>
            <w:tcBorders>
              <w:top w:val="single" w:sz="4" w:space="0" w:color="auto"/>
              <w:left w:val="single" w:sz="4" w:space="0" w:color="auto"/>
              <w:bottom w:val="nil"/>
              <w:right w:val="nil"/>
            </w:tcBorders>
            <w:shd w:val="clear" w:color="000000" w:fill="FFFFFF"/>
            <w:noWrap/>
            <w:vAlign w:val="center"/>
            <w:hideMark/>
          </w:tcPr>
          <w:p w14:paraId="7DAD3783" w14:textId="77777777" w:rsidR="005151AB" w:rsidRPr="0031733F" w:rsidRDefault="005151AB" w:rsidP="005151AB">
            <w:pPr>
              <w:ind w:firstLineChars="100" w:firstLine="220"/>
              <w:jc w:val="right"/>
              <w:rPr>
                <w:rFonts w:ascii="Calibri" w:hAnsi="Calibri"/>
                <w:color w:val="000000"/>
                <w:sz w:val="22"/>
                <w:szCs w:val="22"/>
              </w:rPr>
            </w:pPr>
            <w:r w:rsidRPr="0031733F">
              <w:rPr>
                <w:rFonts w:ascii="Calibri" w:hAnsi="Calibri"/>
                <w:color w:val="000000"/>
                <w:sz w:val="22"/>
                <w:szCs w:val="22"/>
              </w:rPr>
              <w:t> </w:t>
            </w:r>
          </w:p>
        </w:tc>
        <w:tc>
          <w:tcPr>
            <w:tcW w:w="1701" w:type="dxa"/>
            <w:tcBorders>
              <w:top w:val="single" w:sz="4" w:space="0" w:color="auto"/>
              <w:left w:val="single" w:sz="4" w:space="0" w:color="auto"/>
              <w:bottom w:val="nil"/>
              <w:right w:val="single" w:sz="4" w:space="0" w:color="auto"/>
            </w:tcBorders>
            <w:shd w:val="clear" w:color="000000" w:fill="FFFFFF"/>
            <w:noWrap/>
            <w:vAlign w:val="center"/>
            <w:hideMark/>
          </w:tcPr>
          <w:p w14:paraId="79378809" w14:textId="0440D74B" w:rsidR="005151AB" w:rsidRPr="0031733F" w:rsidRDefault="005151AB" w:rsidP="005151AB">
            <w:pPr>
              <w:ind w:firstLineChars="100" w:firstLine="220"/>
              <w:jc w:val="right"/>
              <w:rPr>
                <w:rFonts w:ascii="Calibri" w:hAnsi="Calibri"/>
                <w:color w:val="000000"/>
                <w:sz w:val="22"/>
                <w:szCs w:val="22"/>
              </w:rPr>
            </w:pPr>
            <w:r w:rsidRPr="0031733F">
              <w:rPr>
                <w:rFonts w:ascii="Calibri" w:hAnsi="Calibri"/>
                <w:color w:val="000000"/>
                <w:sz w:val="22"/>
                <w:szCs w:val="22"/>
              </w:rPr>
              <w:t> </w:t>
            </w:r>
          </w:p>
        </w:tc>
        <w:tc>
          <w:tcPr>
            <w:tcW w:w="1226" w:type="dxa"/>
            <w:tcBorders>
              <w:top w:val="single" w:sz="4" w:space="0" w:color="auto"/>
              <w:left w:val="nil"/>
              <w:bottom w:val="nil"/>
              <w:right w:val="single" w:sz="4" w:space="0" w:color="auto"/>
            </w:tcBorders>
            <w:shd w:val="clear" w:color="000000" w:fill="FFFFFF"/>
            <w:noWrap/>
            <w:vAlign w:val="center"/>
            <w:hideMark/>
          </w:tcPr>
          <w:p w14:paraId="626AAD64" w14:textId="77777777" w:rsidR="005151AB" w:rsidRPr="0031733F" w:rsidRDefault="005151AB" w:rsidP="005151AB">
            <w:pPr>
              <w:ind w:firstLineChars="100" w:firstLine="220"/>
              <w:jc w:val="right"/>
              <w:rPr>
                <w:rFonts w:ascii="Calibri" w:hAnsi="Calibri"/>
                <w:color w:val="000000"/>
                <w:sz w:val="22"/>
                <w:szCs w:val="22"/>
              </w:rPr>
            </w:pPr>
            <w:r w:rsidRPr="0031733F">
              <w:rPr>
                <w:rFonts w:ascii="Calibri" w:hAnsi="Calibri"/>
                <w:color w:val="000000"/>
                <w:sz w:val="22"/>
                <w:szCs w:val="22"/>
              </w:rPr>
              <w:t> </w:t>
            </w:r>
          </w:p>
        </w:tc>
      </w:tr>
      <w:tr w:rsidR="005151AB" w:rsidRPr="00DC1077" w14:paraId="63FC5692" w14:textId="77777777" w:rsidTr="005151AB">
        <w:trPr>
          <w:trHeight w:val="277"/>
        </w:trPr>
        <w:tc>
          <w:tcPr>
            <w:tcW w:w="3397" w:type="dxa"/>
            <w:tcBorders>
              <w:top w:val="nil"/>
              <w:left w:val="single" w:sz="4" w:space="0" w:color="auto"/>
              <w:bottom w:val="nil"/>
              <w:right w:val="nil"/>
            </w:tcBorders>
            <w:shd w:val="clear" w:color="000000" w:fill="FFFFFF"/>
            <w:noWrap/>
            <w:vAlign w:val="bottom"/>
            <w:hideMark/>
          </w:tcPr>
          <w:p w14:paraId="310FCF0D" w14:textId="77777777" w:rsidR="005151AB" w:rsidRPr="0031733F" w:rsidRDefault="005151AB" w:rsidP="005151AB">
            <w:pPr>
              <w:ind w:firstLineChars="100" w:firstLine="220"/>
              <w:rPr>
                <w:rFonts w:ascii="Calibri" w:hAnsi="Calibri"/>
                <w:color w:val="000000"/>
                <w:sz w:val="22"/>
                <w:szCs w:val="22"/>
              </w:rPr>
            </w:pPr>
            <w:r w:rsidRPr="0031733F">
              <w:rPr>
                <w:rFonts w:ascii="Calibri" w:hAnsi="Calibri"/>
                <w:color w:val="000000"/>
                <w:sz w:val="22"/>
                <w:szCs w:val="22"/>
              </w:rPr>
              <w:t>Financed by</w:t>
            </w:r>
          </w:p>
        </w:tc>
        <w:tc>
          <w:tcPr>
            <w:tcW w:w="1593" w:type="dxa"/>
            <w:tcBorders>
              <w:top w:val="nil"/>
              <w:left w:val="single" w:sz="4" w:space="0" w:color="auto"/>
              <w:bottom w:val="nil"/>
              <w:right w:val="nil"/>
            </w:tcBorders>
            <w:shd w:val="clear" w:color="000000" w:fill="FFFFFF"/>
            <w:noWrap/>
            <w:vAlign w:val="bottom"/>
            <w:hideMark/>
          </w:tcPr>
          <w:p w14:paraId="4686FE83" w14:textId="77777777" w:rsidR="005151AB" w:rsidRPr="0031733F" w:rsidRDefault="005151AB" w:rsidP="005151AB">
            <w:pPr>
              <w:ind w:firstLineChars="100" w:firstLine="220"/>
              <w:jc w:val="right"/>
              <w:rPr>
                <w:rFonts w:ascii="Calibri" w:hAnsi="Calibri"/>
                <w:color w:val="000000"/>
                <w:sz w:val="22"/>
                <w:szCs w:val="22"/>
              </w:rPr>
            </w:pPr>
            <w:r w:rsidRPr="0031733F">
              <w:rPr>
                <w:rFonts w:ascii="Calibri" w:hAnsi="Calibri"/>
                <w:color w:val="000000"/>
                <w:sz w:val="22"/>
                <w:szCs w:val="22"/>
              </w:rPr>
              <w:t> </w:t>
            </w:r>
          </w:p>
        </w:tc>
        <w:tc>
          <w:tcPr>
            <w:tcW w:w="1701" w:type="dxa"/>
            <w:tcBorders>
              <w:top w:val="nil"/>
              <w:left w:val="single" w:sz="4" w:space="0" w:color="auto"/>
              <w:bottom w:val="nil"/>
              <w:right w:val="single" w:sz="4" w:space="0" w:color="auto"/>
            </w:tcBorders>
            <w:shd w:val="clear" w:color="000000" w:fill="FFFFFF"/>
            <w:noWrap/>
            <w:vAlign w:val="bottom"/>
            <w:hideMark/>
          </w:tcPr>
          <w:p w14:paraId="43DECACC" w14:textId="21DBEA53" w:rsidR="005151AB" w:rsidRPr="0031733F" w:rsidRDefault="005151AB" w:rsidP="005151AB">
            <w:pPr>
              <w:ind w:firstLineChars="100" w:firstLine="220"/>
              <w:jc w:val="right"/>
              <w:rPr>
                <w:rFonts w:ascii="Calibri" w:hAnsi="Calibri"/>
                <w:color w:val="000000"/>
                <w:sz w:val="22"/>
                <w:szCs w:val="22"/>
              </w:rPr>
            </w:pPr>
            <w:r w:rsidRPr="0031733F">
              <w:rPr>
                <w:rFonts w:ascii="Calibri" w:hAnsi="Calibri"/>
                <w:color w:val="000000"/>
                <w:sz w:val="22"/>
                <w:szCs w:val="22"/>
              </w:rPr>
              <w:t> </w:t>
            </w:r>
          </w:p>
        </w:tc>
        <w:tc>
          <w:tcPr>
            <w:tcW w:w="1226" w:type="dxa"/>
            <w:tcBorders>
              <w:top w:val="nil"/>
              <w:left w:val="nil"/>
              <w:bottom w:val="nil"/>
              <w:right w:val="single" w:sz="4" w:space="0" w:color="auto"/>
            </w:tcBorders>
            <w:shd w:val="clear" w:color="000000" w:fill="FFFFFF"/>
            <w:noWrap/>
            <w:vAlign w:val="bottom"/>
            <w:hideMark/>
          </w:tcPr>
          <w:p w14:paraId="5516BA77" w14:textId="77777777" w:rsidR="005151AB" w:rsidRPr="0031733F" w:rsidRDefault="005151AB" w:rsidP="005151AB">
            <w:pPr>
              <w:ind w:firstLineChars="100" w:firstLine="220"/>
              <w:jc w:val="right"/>
              <w:rPr>
                <w:rFonts w:ascii="Calibri" w:hAnsi="Calibri"/>
                <w:color w:val="000000"/>
                <w:sz w:val="22"/>
                <w:szCs w:val="22"/>
              </w:rPr>
            </w:pPr>
            <w:r w:rsidRPr="0031733F">
              <w:rPr>
                <w:rFonts w:ascii="Calibri" w:hAnsi="Calibri"/>
                <w:color w:val="000000"/>
                <w:sz w:val="22"/>
                <w:szCs w:val="22"/>
              </w:rPr>
              <w:t> </w:t>
            </w:r>
          </w:p>
        </w:tc>
      </w:tr>
      <w:tr w:rsidR="005151AB" w:rsidRPr="00DC1077" w14:paraId="248E6CD2" w14:textId="77777777" w:rsidTr="005151AB">
        <w:trPr>
          <w:trHeight w:val="277"/>
        </w:trPr>
        <w:tc>
          <w:tcPr>
            <w:tcW w:w="3397" w:type="dxa"/>
            <w:tcBorders>
              <w:top w:val="nil"/>
              <w:left w:val="single" w:sz="4" w:space="0" w:color="auto"/>
              <w:bottom w:val="nil"/>
              <w:right w:val="nil"/>
            </w:tcBorders>
            <w:shd w:val="clear" w:color="000000" w:fill="FFFFFF"/>
            <w:noWrap/>
            <w:vAlign w:val="center"/>
            <w:hideMark/>
          </w:tcPr>
          <w:p w14:paraId="62921C18" w14:textId="77777777" w:rsidR="005151AB" w:rsidRPr="0031733F" w:rsidRDefault="005151AB" w:rsidP="005151AB">
            <w:pPr>
              <w:ind w:firstLineChars="100" w:firstLine="220"/>
              <w:rPr>
                <w:rFonts w:ascii="Calibri" w:hAnsi="Calibri"/>
                <w:color w:val="000000"/>
                <w:sz w:val="22"/>
                <w:szCs w:val="22"/>
              </w:rPr>
            </w:pPr>
            <w:r w:rsidRPr="0031733F">
              <w:rPr>
                <w:rFonts w:ascii="Calibri" w:hAnsi="Calibri"/>
                <w:color w:val="000000"/>
                <w:sz w:val="22"/>
                <w:szCs w:val="22"/>
              </w:rPr>
              <w:t>Pensions Reserves</w:t>
            </w:r>
          </w:p>
        </w:tc>
        <w:tc>
          <w:tcPr>
            <w:tcW w:w="1593" w:type="dxa"/>
            <w:tcBorders>
              <w:top w:val="nil"/>
              <w:left w:val="single" w:sz="4" w:space="0" w:color="auto"/>
              <w:bottom w:val="nil"/>
              <w:right w:val="nil"/>
            </w:tcBorders>
            <w:shd w:val="clear" w:color="000000" w:fill="FFFFFF"/>
            <w:noWrap/>
            <w:vAlign w:val="center"/>
            <w:hideMark/>
          </w:tcPr>
          <w:p w14:paraId="1A4CA4A1" w14:textId="716CB6F5" w:rsidR="005151AB" w:rsidRPr="0031733F" w:rsidRDefault="0031733F" w:rsidP="005151AB">
            <w:pPr>
              <w:ind w:firstLineChars="100" w:firstLine="220"/>
              <w:jc w:val="right"/>
              <w:rPr>
                <w:rFonts w:ascii="Calibri" w:hAnsi="Calibri"/>
                <w:color w:val="000000"/>
                <w:sz w:val="22"/>
                <w:szCs w:val="22"/>
              </w:rPr>
            </w:pPr>
            <w:r w:rsidRPr="0031733F">
              <w:rPr>
                <w:rFonts w:ascii="Calibri" w:hAnsi="Calibri"/>
                <w:color w:val="000000"/>
                <w:sz w:val="22"/>
                <w:szCs w:val="22"/>
              </w:rPr>
              <w:t>2,174.0</w:t>
            </w:r>
          </w:p>
        </w:tc>
        <w:tc>
          <w:tcPr>
            <w:tcW w:w="1701" w:type="dxa"/>
            <w:tcBorders>
              <w:top w:val="nil"/>
              <w:left w:val="single" w:sz="4" w:space="0" w:color="auto"/>
              <w:bottom w:val="nil"/>
              <w:right w:val="single" w:sz="4" w:space="0" w:color="auto"/>
            </w:tcBorders>
            <w:shd w:val="clear" w:color="000000" w:fill="FFFFFF"/>
            <w:noWrap/>
            <w:vAlign w:val="center"/>
            <w:hideMark/>
          </w:tcPr>
          <w:p w14:paraId="09547B26" w14:textId="334D8F5D" w:rsidR="005151AB" w:rsidRPr="0031733F" w:rsidRDefault="005151AB" w:rsidP="005151AB">
            <w:pPr>
              <w:ind w:firstLineChars="100" w:firstLine="220"/>
              <w:jc w:val="right"/>
              <w:rPr>
                <w:rFonts w:ascii="Calibri" w:hAnsi="Calibri"/>
                <w:color w:val="000000"/>
                <w:sz w:val="22"/>
                <w:szCs w:val="22"/>
              </w:rPr>
            </w:pPr>
            <w:r w:rsidRPr="0031733F">
              <w:rPr>
                <w:rFonts w:ascii="Calibri" w:hAnsi="Calibri"/>
                <w:color w:val="000000"/>
                <w:sz w:val="22"/>
                <w:szCs w:val="22"/>
              </w:rPr>
              <w:t>2,026.5</w:t>
            </w:r>
          </w:p>
        </w:tc>
        <w:tc>
          <w:tcPr>
            <w:tcW w:w="1226" w:type="dxa"/>
            <w:tcBorders>
              <w:top w:val="nil"/>
              <w:left w:val="nil"/>
              <w:bottom w:val="nil"/>
              <w:right w:val="single" w:sz="4" w:space="0" w:color="auto"/>
            </w:tcBorders>
            <w:shd w:val="clear" w:color="000000" w:fill="FFFFFF"/>
            <w:noWrap/>
            <w:vAlign w:val="center"/>
            <w:hideMark/>
          </w:tcPr>
          <w:p w14:paraId="09051F4C" w14:textId="7D818386" w:rsidR="005151AB" w:rsidRPr="0031733F" w:rsidRDefault="0031733F" w:rsidP="005151AB">
            <w:pPr>
              <w:ind w:firstLineChars="100" w:firstLine="220"/>
              <w:jc w:val="right"/>
              <w:rPr>
                <w:rFonts w:ascii="Calibri" w:hAnsi="Calibri"/>
                <w:color w:val="000000"/>
                <w:sz w:val="22"/>
                <w:szCs w:val="22"/>
              </w:rPr>
            </w:pPr>
            <w:r w:rsidRPr="0031733F">
              <w:rPr>
                <w:rFonts w:ascii="Calibri" w:hAnsi="Calibri"/>
                <w:color w:val="000000"/>
                <w:sz w:val="22"/>
                <w:szCs w:val="22"/>
              </w:rPr>
              <w:t>14</w:t>
            </w:r>
            <w:r>
              <w:rPr>
                <w:rFonts w:ascii="Calibri" w:hAnsi="Calibri"/>
                <w:color w:val="000000"/>
                <w:sz w:val="22"/>
                <w:szCs w:val="22"/>
              </w:rPr>
              <w:t>7.5</w:t>
            </w:r>
          </w:p>
        </w:tc>
      </w:tr>
      <w:tr w:rsidR="005151AB" w:rsidRPr="00DC1077" w14:paraId="442499B9" w14:textId="77777777" w:rsidTr="005151AB">
        <w:trPr>
          <w:trHeight w:val="277"/>
        </w:trPr>
        <w:tc>
          <w:tcPr>
            <w:tcW w:w="3397" w:type="dxa"/>
            <w:tcBorders>
              <w:top w:val="nil"/>
              <w:left w:val="single" w:sz="4" w:space="0" w:color="auto"/>
              <w:bottom w:val="single" w:sz="4" w:space="0" w:color="auto"/>
              <w:right w:val="nil"/>
            </w:tcBorders>
            <w:shd w:val="clear" w:color="000000" w:fill="FFFFFF"/>
            <w:noWrap/>
            <w:vAlign w:val="center"/>
            <w:hideMark/>
          </w:tcPr>
          <w:p w14:paraId="06F16F56" w14:textId="77777777" w:rsidR="005151AB" w:rsidRPr="0031733F" w:rsidRDefault="005151AB" w:rsidP="005151AB">
            <w:pPr>
              <w:ind w:firstLineChars="100" w:firstLine="220"/>
              <w:rPr>
                <w:rFonts w:ascii="Calibri" w:hAnsi="Calibri"/>
                <w:color w:val="000000"/>
                <w:sz w:val="22"/>
                <w:szCs w:val="22"/>
              </w:rPr>
            </w:pPr>
            <w:r w:rsidRPr="0031733F">
              <w:rPr>
                <w:rFonts w:ascii="Calibri" w:hAnsi="Calibri"/>
                <w:color w:val="000000"/>
                <w:sz w:val="22"/>
                <w:szCs w:val="22"/>
              </w:rPr>
              <w:t>Accumulated Absences Account</w:t>
            </w:r>
          </w:p>
        </w:tc>
        <w:tc>
          <w:tcPr>
            <w:tcW w:w="1593" w:type="dxa"/>
            <w:tcBorders>
              <w:top w:val="nil"/>
              <w:left w:val="single" w:sz="4" w:space="0" w:color="auto"/>
              <w:bottom w:val="single" w:sz="4" w:space="0" w:color="auto"/>
              <w:right w:val="nil"/>
            </w:tcBorders>
            <w:shd w:val="clear" w:color="000000" w:fill="FFFFFF"/>
            <w:noWrap/>
            <w:vAlign w:val="center"/>
            <w:hideMark/>
          </w:tcPr>
          <w:p w14:paraId="7748EECF" w14:textId="4B2F5214" w:rsidR="005151AB" w:rsidRPr="0031733F" w:rsidRDefault="0031733F" w:rsidP="005151AB">
            <w:pPr>
              <w:ind w:firstLineChars="100" w:firstLine="220"/>
              <w:jc w:val="right"/>
              <w:rPr>
                <w:rFonts w:ascii="Calibri" w:hAnsi="Calibri"/>
                <w:color w:val="000000"/>
                <w:sz w:val="22"/>
                <w:szCs w:val="22"/>
              </w:rPr>
            </w:pPr>
            <w:r w:rsidRPr="0031733F">
              <w:rPr>
                <w:rFonts w:ascii="Calibri" w:hAnsi="Calibri"/>
                <w:color w:val="000000"/>
                <w:sz w:val="22"/>
                <w:szCs w:val="22"/>
              </w:rPr>
              <w:t>2.0</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43FE80B9" w14:textId="4181A52C" w:rsidR="005151AB" w:rsidRPr="0031733F" w:rsidRDefault="005151AB" w:rsidP="005151AB">
            <w:pPr>
              <w:ind w:firstLineChars="100" w:firstLine="220"/>
              <w:jc w:val="right"/>
              <w:rPr>
                <w:rFonts w:ascii="Calibri" w:hAnsi="Calibri"/>
                <w:color w:val="000000"/>
                <w:sz w:val="22"/>
                <w:szCs w:val="22"/>
              </w:rPr>
            </w:pPr>
            <w:r w:rsidRPr="0031733F">
              <w:rPr>
                <w:rFonts w:ascii="Calibri" w:hAnsi="Calibri"/>
                <w:color w:val="000000"/>
                <w:sz w:val="22"/>
                <w:szCs w:val="22"/>
              </w:rPr>
              <w:t>1.1</w:t>
            </w:r>
          </w:p>
        </w:tc>
        <w:tc>
          <w:tcPr>
            <w:tcW w:w="1226" w:type="dxa"/>
            <w:tcBorders>
              <w:top w:val="nil"/>
              <w:left w:val="nil"/>
              <w:bottom w:val="single" w:sz="4" w:space="0" w:color="auto"/>
              <w:right w:val="single" w:sz="4" w:space="0" w:color="auto"/>
            </w:tcBorders>
            <w:shd w:val="clear" w:color="000000" w:fill="FFFFFF"/>
            <w:noWrap/>
            <w:vAlign w:val="center"/>
            <w:hideMark/>
          </w:tcPr>
          <w:p w14:paraId="159D070F" w14:textId="6C9F9999" w:rsidR="005151AB" w:rsidRPr="0031733F" w:rsidRDefault="005151AB" w:rsidP="0031733F">
            <w:pPr>
              <w:ind w:firstLineChars="100" w:firstLine="220"/>
              <w:jc w:val="right"/>
              <w:rPr>
                <w:rFonts w:ascii="Calibri" w:hAnsi="Calibri"/>
                <w:color w:val="000000"/>
                <w:sz w:val="22"/>
                <w:szCs w:val="22"/>
              </w:rPr>
            </w:pPr>
            <w:r w:rsidRPr="0031733F">
              <w:rPr>
                <w:rFonts w:ascii="Calibri" w:hAnsi="Calibri"/>
                <w:color w:val="000000"/>
                <w:sz w:val="22"/>
                <w:szCs w:val="22"/>
              </w:rPr>
              <w:t>0.</w:t>
            </w:r>
            <w:r w:rsidR="0031733F" w:rsidRPr="0031733F">
              <w:rPr>
                <w:rFonts w:ascii="Calibri" w:hAnsi="Calibri"/>
                <w:color w:val="000000"/>
                <w:sz w:val="22"/>
                <w:szCs w:val="22"/>
              </w:rPr>
              <w:t>9</w:t>
            </w:r>
          </w:p>
        </w:tc>
      </w:tr>
      <w:tr w:rsidR="005151AB" w:rsidRPr="00DC1077" w14:paraId="6FE78BB4" w14:textId="77777777" w:rsidTr="005151AB">
        <w:trPr>
          <w:trHeight w:val="291"/>
        </w:trPr>
        <w:tc>
          <w:tcPr>
            <w:tcW w:w="33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2A2ECA" w14:textId="77777777" w:rsidR="005151AB" w:rsidRPr="0031733F" w:rsidRDefault="005151AB" w:rsidP="005151AB">
            <w:pPr>
              <w:ind w:firstLineChars="100" w:firstLine="221"/>
              <w:rPr>
                <w:rFonts w:ascii="Calibri" w:hAnsi="Calibri"/>
                <w:b/>
                <w:color w:val="000000"/>
                <w:sz w:val="22"/>
                <w:szCs w:val="22"/>
              </w:rPr>
            </w:pPr>
            <w:r w:rsidRPr="0031733F">
              <w:rPr>
                <w:rFonts w:ascii="Calibri" w:hAnsi="Calibri"/>
                <w:b/>
                <w:color w:val="000000"/>
                <w:sz w:val="22"/>
                <w:szCs w:val="22"/>
              </w:rPr>
              <w:t>Total Reserves</w:t>
            </w:r>
          </w:p>
        </w:tc>
        <w:tc>
          <w:tcPr>
            <w:tcW w:w="1593" w:type="dxa"/>
            <w:tcBorders>
              <w:top w:val="single" w:sz="4" w:space="0" w:color="auto"/>
              <w:left w:val="nil"/>
              <w:bottom w:val="single" w:sz="4" w:space="0" w:color="auto"/>
              <w:right w:val="nil"/>
            </w:tcBorders>
            <w:shd w:val="clear" w:color="000000" w:fill="FFFFFF"/>
            <w:noWrap/>
            <w:vAlign w:val="bottom"/>
            <w:hideMark/>
          </w:tcPr>
          <w:p w14:paraId="2C51DA65" w14:textId="26ACB883" w:rsidR="005151AB" w:rsidRPr="0031733F" w:rsidRDefault="0031733F" w:rsidP="005151AB">
            <w:pPr>
              <w:ind w:firstLineChars="100" w:firstLine="221"/>
              <w:jc w:val="right"/>
              <w:rPr>
                <w:rFonts w:ascii="Calibri" w:hAnsi="Calibri"/>
                <w:b/>
                <w:color w:val="000000"/>
                <w:sz w:val="22"/>
                <w:szCs w:val="22"/>
              </w:rPr>
            </w:pPr>
            <w:r w:rsidRPr="0031733F">
              <w:rPr>
                <w:rFonts w:ascii="Calibri" w:hAnsi="Calibri"/>
                <w:b/>
                <w:color w:val="000000"/>
                <w:sz w:val="22"/>
                <w:szCs w:val="22"/>
              </w:rPr>
              <w:t>2,176.0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341474" w14:textId="25AA6047" w:rsidR="005151AB" w:rsidRPr="0031733F" w:rsidRDefault="005151AB" w:rsidP="005151AB">
            <w:pPr>
              <w:ind w:firstLineChars="100" w:firstLine="221"/>
              <w:jc w:val="right"/>
              <w:rPr>
                <w:rFonts w:ascii="Calibri" w:hAnsi="Calibri"/>
                <w:b/>
                <w:color w:val="000000"/>
                <w:sz w:val="22"/>
                <w:szCs w:val="22"/>
              </w:rPr>
            </w:pPr>
            <w:r w:rsidRPr="0031733F">
              <w:rPr>
                <w:rFonts w:ascii="Calibri" w:hAnsi="Calibri"/>
                <w:b/>
                <w:color w:val="000000"/>
                <w:sz w:val="22"/>
                <w:szCs w:val="22"/>
              </w:rPr>
              <w:t>2,027.6</w:t>
            </w:r>
          </w:p>
        </w:tc>
        <w:tc>
          <w:tcPr>
            <w:tcW w:w="1226" w:type="dxa"/>
            <w:tcBorders>
              <w:top w:val="single" w:sz="4" w:space="0" w:color="auto"/>
              <w:left w:val="nil"/>
              <w:bottom w:val="single" w:sz="4" w:space="0" w:color="auto"/>
              <w:right w:val="single" w:sz="4" w:space="0" w:color="auto"/>
            </w:tcBorders>
            <w:shd w:val="clear" w:color="000000" w:fill="FFFFFF"/>
            <w:noWrap/>
            <w:vAlign w:val="bottom"/>
            <w:hideMark/>
          </w:tcPr>
          <w:p w14:paraId="78019615" w14:textId="41D46E67" w:rsidR="005151AB" w:rsidRPr="0031733F" w:rsidRDefault="0031733F" w:rsidP="005151AB">
            <w:pPr>
              <w:ind w:firstLineChars="100" w:firstLine="221"/>
              <w:jc w:val="right"/>
              <w:rPr>
                <w:rFonts w:ascii="Calibri" w:hAnsi="Calibri"/>
                <w:b/>
                <w:color w:val="000000"/>
                <w:sz w:val="22"/>
                <w:szCs w:val="22"/>
              </w:rPr>
            </w:pPr>
            <w:r w:rsidRPr="0031733F">
              <w:rPr>
                <w:rFonts w:ascii="Calibri" w:hAnsi="Calibri"/>
                <w:b/>
                <w:color w:val="000000"/>
                <w:sz w:val="22"/>
                <w:szCs w:val="22"/>
              </w:rPr>
              <w:t>148.4</w:t>
            </w:r>
          </w:p>
        </w:tc>
      </w:tr>
    </w:tbl>
    <w:p w14:paraId="20E75DC5" w14:textId="77777777" w:rsidR="00A16BF1" w:rsidRPr="0031733F" w:rsidRDefault="00A16BF1" w:rsidP="00DF5955">
      <w:pPr>
        <w:jc w:val="both"/>
        <w:rPr>
          <w:rFonts w:ascii="Verdana" w:hAnsi="Verdana" w:cs="Arial"/>
          <w:sz w:val="22"/>
          <w:szCs w:val="22"/>
        </w:rPr>
      </w:pPr>
    </w:p>
    <w:p w14:paraId="67051F43" w14:textId="57E777CC" w:rsidR="00DF5955" w:rsidRPr="0031733F" w:rsidRDefault="00DF5955" w:rsidP="00DF5955">
      <w:pPr>
        <w:jc w:val="both"/>
        <w:rPr>
          <w:rFonts w:ascii="Verdana" w:hAnsi="Verdana" w:cs="Arial"/>
          <w:sz w:val="22"/>
          <w:szCs w:val="22"/>
        </w:rPr>
      </w:pPr>
      <w:r w:rsidRPr="0031733F">
        <w:rPr>
          <w:rFonts w:ascii="Verdana" w:hAnsi="Verdana" w:cs="Arial"/>
          <w:sz w:val="22"/>
          <w:szCs w:val="22"/>
        </w:rPr>
        <w:t>The movement between years was £1</w:t>
      </w:r>
      <w:r w:rsidR="0031733F" w:rsidRPr="0031733F">
        <w:rPr>
          <w:rFonts w:ascii="Verdana" w:hAnsi="Verdana" w:cs="Arial"/>
          <w:sz w:val="22"/>
          <w:szCs w:val="22"/>
        </w:rPr>
        <w:t>48.4</w:t>
      </w:r>
      <w:r w:rsidRPr="0031733F">
        <w:rPr>
          <w:rFonts w:ascii="Verdana" w:hAnsi="Verdana" w:cs="Arial"/>
          <w:sz w:val="22"/>
          <w:szCs w:val="22"/>
        </w:rPr>
        <w:t>m.</w:t>
      </w:r>
      <w:r w:rsidR="0031733F" w:rsidRPr="0031733F">
        <w:rPr>
          <w:rFonts w:ascii="Verdana" w:hAnsi="Verdana" w:cs="Arial"/>
          <w:sz w:val="22"/>
          <w:szCs w:val="22"/>
        </w:rPr>
        <w:t xml:space="preserve"> This is predominantly due to an in</w:t>
      </w:r>
      <w:r w:rsidRPr="0031733F">
        <w:rPr>
          <w:rFonts w:ascii="Verdana" w:hAnsi="Verdana" w:cs="Arial"/>
          <w:sz w:val="22"/>
          <w:szCs w:val="22"/>
        </w:rPr>
        <w:t>crease in the long term pension liability of £1</w:t>
      </w:r>
      <w:r w:rsidR="0031733F" w:rsidRPr="0031733F">
        <w:rPr>
          <w:rFonts w:ascii="Verdana" w:hAnsi="Verdana" w:cs="Arial"/>
          <w:sz w:val="22"/>
          <w:szCs w:val="22"/>
        </w:rPr>
        <w:t>47.5</w:t>
      </w:r>
      <w:r w:rsidRPr="0031733F">
        <w:rPr>
          <w:rFonts w:ascii="Verdana" w:hAnsi="Verdana" w:cs="Arial"/>
          <w:sz w:val="22"/>
          <w:szCs w:val="22"/>
        </w:rPr>
        <w:t>m as a result of the annual actuarial review and changes in assumptions used to estimate future pension cost (due to decreasing bond yields and higher projected pension costs). The only other minor movement relates to the Accumulated Absences accrual provision.</w:t>
      </w:r>
    </w:p>
    <w:p w14:paraId="4A8D3F3B" w14:textId="77777777" w:rsidR="00F227D9" w:rsidRPr="0031733F" w:rsidRDefault="00F227D9" w:rsidP="00F227D9">
      <w:pPr>
        <w:pStyle w:val="Normal0"/>
        <w:rPr>
          <w:rFonts w:ascii="Verdana" w:eastAsia="Times New Roman" w:hAnsi="Verdana" w:cs="Arial"/>
          <w:sz w:val="22"/>
          <w:szCs w:val="22"/>
          <w:lang w:val="en-GB" w:eastAsia="en-GB"/>
        </w:rPr>
      </w:pPr>
    </w:p>
    <w:p w14:paraId="27BF97DF" w14:textId="77777777" w:rsidR="00F227D9" w:rsidRPr="0031733F" w:rsidRDefault="00F227D9" w:rsidP="00F227D9">
      <w:pPr>
        <w:pStyle w:val="Normal0"/>
        <w:rPr>
          <w:rFonts w:ascii="Verdana" w:eastAsia="Times New Roman" w:hAnsi="Verdana" w:cs="Arial"/>
          <w:sz w:val="22"/>
          <w:szCs w:val="22"/>
          <w:lang w:val="en-GB" w:eastAsia="en-GB"/>
        </w:rPr>
      </w:pPr>
    </w:p>
    <w:p w14:paraId="7C320CE4" w14:textId="77777777" w:rsidR="00F227D9" w:rsidRPr="0031733F" w:rsidRDefault="00F227D9" w:rsidP="005E3E6F">
      <w:pPr>
        <w:pStyle w:val="Style1"/>
        <w:numPr>
          <w:ilvl w:val="0"/>
          <w:numId w:val="9"/>
        </w:numPr>
        <w:ind w:left="0" w:firstLine="360"/>
        <w:rPr>
          <w:rFonts w:ascii="Verdana" w:hAnsi="Verdana"/>
          <w:sz w:val="22"/>
          <w:szCs w:val="22"/>
          <w:lang w:val="en-GB" w:eastAsia="en-GB"/>
        </w:rPr>
      </w:pPr>
      <w:r w:rsidRPr="0031733F">
        <w:rPr>
          <w:rFonts w:ascii="Verdana" w:hAnsi="Verdana"/>
          <w:sz w:val="22"/>
          <w:szCs w:val="22"/>
          <w:lang w:val="en-GB" w:eastAsia="en-GB"/>
        </w:rPr>
        <w:t>Employee Pension Schemes</w:t>
      </w:r>
    </w:p>
    <w:p w14:paraId="27258097" w14:textId="77777777" w:rsidR="00F227D9" w:rsidRPr="0031733F" w:rsidRDefault="00F227D9" w:rsidP="00F227D9">
      <w:pPr>
        <w:pStyle w:val="Normal0"/>
        <w:jc w:val="both"/>
        <w:rPr>
          <w:rFonts w:ascii="Verdana" w:eastAsia="Times New Roman" w:hAnsi="Verdana" w:cs="Arial"/>
          <w:sz w:val="22"/>
          <w:szCs w:val="22"/>
          <w:lang w:val="en-GB" w:eastAsia="en-GB"/>
        </w:rPr>
      </w:pPr>
    </w:p>
    <w:p w14:paraId="64C2DAC6" w14:textId="77777777" w:rsidR="00A16BF1" w:rsidRPr="0031733F" w:rsidRDefault="00DF5955" w:rsidP="00DF5955">
      <w:pPr>
        <w:jc w:val="both"/>
        <w:rPr>
          <w:rFonts w:ascii="Verdana" w:hAnsi="Verdana" w:cs="Arial"/>
          <w:sz w:val="22"/>
          <w:szCs w:val="22"/>
        </w:rPr>
      </w:pPr>
      <w:r w:rsidRPr="0031733F">
        <w:rPr>
          <w:rFonts w:ascii="Verdana" w:hAnsi="Verdana" w:cs="Arial"/>
          <w:sz w:val="22"/>
          <w:szCs w:val="22"/>
        </w:rPr>
        <w:t>The Chief Constable operates separate pension schemes for Police Officers and Police Staff. Police Staff can join the</w:t>
      </w:r>
      <w:r w:rsidR="00A16BF1" w:rsidRPr="0031733F">
        <w:rPr>
          <w:rFonts w:ascii="Verdana" w:hAnsi="Verdana" w:cs="Arial"/>
          <w:sz w:val="22"/>
          <w:szCs w:val="22"/>
        </w:rPr>
        <w:t xml:space="preserve"> Local Government Pension Scheme (LGPS) and police officers can join the </w:t>
      </w:r>
      <w:r w:rsidRPr="0031733F">
        <w:rPr>
          <w:rFonts w:ascii="Verdana" w:hAnsi="Verdana" w:cs="Arial"/>
          <w:sz w:val="22"/>
          <w:szCs w:val="22"/>
        </w:rPr>
        <w:t xml:space="preserve">Police Pension Scheme. They are both defined benefit schemes but differ in their operation. A fuller explanation is provided in the Notes to the Financial Statements. </w:t>
      </w:r>
    </w:p>
    <w:p w14:paraId="224FC76E" w14:textId="77777777" w:rsidR="00A16BF1" w:rsidRPr="0031733F" w:rsidRDefault="00A16BF1" w:rsidP="00DF5955">
      <w:pPr>
        <w:jc w:val="both"/>
        <w:rPr>
          <w:rFonts w:ascii="Verdana" w:hAnsi="Verdana" w:cs="Arial"/>
          <w:sz w:val="22"/>
          <w:szCs w:val="22"/>
        </w:rPr>
      </w:pPr>
    </w:p>
    <w:p w14:paraId="69A29735" w14:textId="77777777" w:rsidR="00A16BF1" w:rsidRPr="000B6F36" w:rsidRDefault="00DF5955" w:rsidP="00DF5955">
      <w:pPr>
        <w:jc w:val="both"/>
        <w:rPr>
          <w:rFonts w:ascii="Verdana" w:hAnsi="Verdana" w:cs="Arial"/>
          <w:sz w:val="22"/>
          <w:szCs w:val="22"/>
        </w:rPr>
      </w:pPr>
      <w:r w:rsidRPr="0031733F">
        <w:rPr>
          <w:rFonts w:ascii="Verdana" w:hAnsi="Verdana" w:cs="Arial"/>
          <w:sz w:val="22"/>
          <w:szCs w:val="22"/>
        </w:rPr>
        <w:t xml:space="preserve">Although benefits from these schemes will not be payable until an officer or staff member retires, the Chief Constable and PCC Group is required to disclose this </w:t>
      </w:r>
      <w:r w:rsidR="00A16BF1" w:rsidRPr="0031733F">
        <w:rPr>
          <w:rFonts w:ascii="Verdana" w:hAnsi="Verdana" w:cs="Arial"/>
          <w:sz w:val="22"/>
          <w:szCs w:val="22"/>
        </w:rPr>
        <w:t xml:space="preserve">future </w:t>
      </w:r>
      <w:r w:rsidRPr="0031733F">
        <w:rPr>
          <w:rFonts w:ascii="Verdana" w:hAnsi="Verdana" w:cs="Arial"/>
          <w:sz w:val="22"/>
          <w:szCs w:val="22"/>
        </w:rPr>
        <w:t xml:space="preserve">commitment based on the full cost calculated based on the time employees become eligible to retire. This future net liability and </w:t>
      </w:r>
      <w:r w:rsidRPr="000B6F36">
        <w:rPr>
          <w:rFonts w:ascii="Verdana" w:hAnsi="Verdana" w:cs="Arial"/>
          <w:sz w:val="22"/>
          <w:szCs w:val="22"/>
        </w:rPr>
        <w:t xml:space="preserve">annual current cost are calculated by an independent actuary in accordance with International Standards (IAS19). </w:t>
      </w:r>
    </w:p>
    <w:p w14:paraId="1D8FBAB3" w14:textId="77777777" w:rsidR="00A16BF1" w:rsidRPr="000B6F36" w:rsidRDefault="00A16BF1" w:rsidP="00DF5955">
      <w:pPr>
        <w:jc w:val="both"/>
        <w:rPr>
          <w:rFonts w:ascii="Verdana" w:hAnsi="Verdana" w:cs="Arial"/>
          <w:sz w:val="22"/>
          <w:szCs w:val="22"/>
        </w:rPr>
      </w:pPr>
    </w:p>
    <w:p w14:paraId="2DFA34D4" w14:textId="2228FA39" w:rsidR="00DF5955" w:rsidRPr="000B6F36" w:rsidRDefault="00DF5955" w:rsidP="00DF5955">
      <w:pPr>
        <w:jc w:val="both"/>
        <w:rPr>
          <w:rFonts w:ascii="Verdana" w:hAnsi="Verdana" w:cs="Arial"/>
          <w:sz w:val="22"/>
          <w:szCs w:val="22"/>
        </w:rPr>
      </w:pPr>
      <w:r w:rsidRPr="000B6F36">
        <w:rPr>
          <w:rFonts w:ascii="Verdana" w:hAnsi="Verdana" w:cs="Arial"/>
          <w:sz w:val="22"/>
          <w:szCs w:val="22"/>
        </w:rPr>
        <w:t>Accounting for this commitment has a substantial impact on the net worth of the Balance Sheet, resulting in a negative reserves on the Balance Sheet totalling £2,</w:t>
      </w:r>
      <w:r w:rsidR="000B6F36" w:rsidRPr="000B6F36">
        <w:rPr>
          <w:rFonts w:ascii="Verdana" w:hAnsi="Verdana" w:cs="Arial"/>
          <w:sz w:val="22"/>
          <w:szCs w:val="22"/>
        </w:rPr>
        <w:t>176.0</w:t>
      </w:r>
      <w:r w:rsidRPr="000B6F36">
        <w:rPr>
          <w:rFonts w:ascii="Verdana" w:hAnsi="Verdana" w:cs="Arial"/>
          <w:sz w:val="22"/>
          <w:szCs w:val="22"/>
        </w:rPr>
        <w:t>m (201</w:t>
      </w:r>
      <w:r w:rsidR="000B6F36" w:rsidRPr="000B6F36">
        <w:rPr>
          <w:rFonts w:ascii="Verdana" w:hAnsi="Verdana" w:cs="Arial"/>
          <w:sz w:val="22"/>
          <w:szCs w:val="22"/>
        </w:rPr>
        <w:t>9</w:t>
      </w:r>
      <w:r w:rsidRPr="000B6F36">
        <w:rPr>
          <w:rFonts w:ascii="Verdana" w:hAnsi="Verdana" w:cs="Arial"/>
          <w:sz w:val="22"/>
          <w:szCs w:val="22"/>
        </w:rPr>
        <w:t>/</w:t>
      </w:r>
      <w:r w:rsidR="000B6F36" w:rsidRPr="000B6F36">
        <w:rPr>
          <w:rFonts w:ascii="Verdana" w:hAnsi="Verdana" w:cs="Arial"/>
          <w:sz w:val="22"/>
          <w:szCs w:val="22"/>
        </w:rPr>
        <w:t>20</w:t>
      </w:r>
      <w:r w:rsidRPr="000B6F36">
        <w:rPr>
          <w:rFonts w:ascii="Verdana" w:hAnsi="Verdana" w:cs="Arial"/>
          <w:sz w:val="22"/>
          <w:szCs w:val="22"/>
        </w:rPr>
        <w:t xml:space="preserve"> £2,</w:t>
      </w:r>
      <w:r w:rsidR="000B6F36" w:rsidRPr="000B6F36">
        <w:rPr>
          <w:rFonts w:ascii="Verdana" w:hAnsi="Verdana" w:cs="Arial"/>
          <w:sz w:val="22"/>
          <w:szCs w:val="22"/>
        </w:rPr>
        <w:t>027.6</w:t>
      </w:r>
      <w:r w:rsidRPr="000B6F36">
        <w:rPr>
          <w:rFonts w:ascii="Verdana" w:hAnsi="Verdana" w:cs="Arial"/>
          <w:sz w:val="22"/>
          <w:szCs w:val="22"/>
        </w:rPr>
        <w:t xml:space="preserve">m). The police </w:t>
      </w:r>
      <w:r w:rsidR="00D54BAF" w:rsidRPr="000B6F36">
        <w:rPr>
          <w:rFonts w:ascii="Verdana" w:hAnsi="Verdana" w:cs="Arial"/>
          <w:sz w:val="22"/>
          <w:szCs w:val="22"/>
        </w:rPr>
        <w:t xml:space="preserve">officer </w:t>
      </w:r>
      <w:r w:rsidRPr="000B6F36">
        <w:rPr>
          <w:rFonts w:ascii="Verdana" w:hAnsi="Verdana" w:cs="Arial"/>
          <w:sz w:val="22"/>
          <w:szCs w:val="22"/>
        </w:rPr>
        <w:t>pension scheme has the majority share of the deficit at £</w:t>
      </w:r>
      <w:r w:rsidR="000B6F36" w:rsidRPr="000B6F36">
        <w:rPr>
          <w:rFonts w:ascii="Verdana" w:hAnsi="Verdana" w:cs="Arial"/>
          <w:sz w:val="22"/>
          <w:szCs w:val="22"/>
        </w:rPr>
        <w:t>1,956.9</w:t>
      </w:r>
      <w:r w:rsidRPr="000B6F36">
        <w:rPr>
          <w:rFonts w:ascii="Verdana" w:hAnsi="Verdana" w:cs="Arial"/>
          <w:sz w:val="22"/>
          <w:szCs w:val="22"/>
        </w:rPr>
        <w:t>m (201</w:t>
      </w:r>
      <w:r w:rsidR="000B6F36" w:rsidRPr="000B6F36">
        <w:rPr>
          <w:rFonts w:ascii="Verdana" w:hAnsi="Verdana" w:cs="Arial"/>
          <w:sz w:val="22"/>
          <w:szCs w:val="22"/>
        </w:rPr>
        <w:t>9</w:t>
      </w:r>
      <w:r w:rsidRPr="000B6F36">
        <w:rPr>
          <w:rFonts w:ascii="Verdana" w:hAnsi="Verdana" w:cs="Arial"/>
          <w:sz w:val="22"/>
          <w:szCs w:val="22"/>
        </w:rPr>
        <w:t>/</w:t>
      </w:r>
      <w:r w:rsidR="000B6F36" w:rsidRPr="000B6F36">
        <w:rPr>
          <w:rFonts w:ascii="Verdana" w:hAnsi="Verdana" w:cs="Arial"/>
          <w:sz w:val="22"/>
          <w:szCs w:val="22"/>
        </w:rPr>
        <w:t>20</w:t>
      </w:r>
      <w:r w:rsidRPr="000B6F36">
        <w:rPr>
          <w:rFonts w:ascii="Verdana" w:hAnsi="Verdana" w:cs="Arial"/>
          <w:sz w:val="22"/>
          <w:szCs w:val="22"/>
        </w:rPr>
        <w:t xml:space="preserve"> £</w:t>
      </w:r>
      <w:r w:rsidR="00D54BAF" w:rsidRPr="000B6F36">
        <w:rPr>
          <w:rFonts w:ascii="Verdana" w:hAnsi="Verdana" w:cs="Arial"/>
          <w:sz w:val="22"/>
          <w:szCs w:val="22"/>
        </w:rPr>
        <w:t>1,</w:t>
      </w:r>
      <w:r w:rsidR="000B6F36" w:rsidRPr="000B6F36">
        <w:rPr>
          <w:rFonts w:ascii="Verdana" w:hAnsi="Verdana" w:cs="Arial"/>
          <w:sz w:val="22"/>
          <w:szCs w:val="22"/>
        </w:rPr>
        <w:t>896</w:t>
      </w:r>
      <w:r w:rsidR="00D54BAF" w:rsidRPr="000B6F36">
        <w:rPr>
          <w:rFonts w:ascii="Verdana" w:hAnsi="Verdana" w:cs="Arial"/>
          <w:sz w:val="22"/>
          <w:szCs w:val="22"/>
        </w:rPr>
        <w:t>.1</w:t>
      </w:r>
      <w:r w:rsidR="000438B0" w:rsidRPr="000B6F36">
        <w:rPr>
          <w:rFonts w:ascii="Verdana" w:hAnsi="Verdana" w:cs="Arial"/>
          <w:sz w:val="22"/>
          <w:szCs w:val="22"/>
        </w:rPr>
        <w:t>m</w:t>
      </w:r>
      <w:r w:rsidRPr="000B6F36">
        <w:rPr>
          <w:rFonts w:ascii="Verdana" w:hAnsi="Verdana" w:cs="Arial"/>
          <w:sz w:val="22"/>
          <w:szCs w:val="22"/>
        </w:rPr>
        <w:t>). Statutory arrangements are in place to fund this deficit which means the Chief Constable maintains a healthy financial position and can continue to operate on a going concern basis.</w:t>
      </w:r>
    </w:p>
    <w:p w14:paraId="72C96DA6" w14:textId="77777777" w:rsidR="00DF5955" w:rsidRPr="000B6F36" w:rsidRDefault="00DF5955" w:rsidP="00DF5955">
      <w:pPr>
        <w:jc w:val="both"/>
        <w:rPr>
          <w:rFonts w:ascii="Verdana" w:hAnsi="Verdana" w:cs="Arial"/>
          <w:sz w:val="22"/>
          <w:szCs w:val="22"/>
        </w:rPr>
      </w:pPr>
    </w:p>
    <w:p w14:paraId="348061D5" w14:textId="77777777" w:rsidR="00A16BF1" w:rsidRPr="000B6F36" w:rsidRDefault="00A16BF1" w:rsidP="00A16BF1">
      <w:pPr>
        <w:jc w:val="both"/>
        <w:rPr>
          <w:rFonts w:ascii="Verdana" w:hAnsi="Verdana"/>
          <w:sz w:val="22"/>
          <w:szCs w:val="22"/>
        </w:rPr>
      </w:pPr>
      <w:r w:rsidRPr="000B6F36">
        <w:rPr>
          <w:rFonts w:ascii="Verdana" w:hAnsi="Verdana"/>
          <w:sz w:val="22"/>
          <w:szCs w:val="22"/>
        </w:rPr>
        <w:t xml:space="preserve">The value of the Police Staff pension scheme is assessed triennially and the employer’s contribution is adjusted in line with the actuary’s recommendations. The latest triennial </w:t>
      </w:r>
      <w:r w:rsidRPr="000B6F36">
        <w:rPr>
          <w:rFonts w:ascii="Verdana" w:hAnsi="Verdana"/>
          <w:color w:val="000000"/>
          <w:sz w:val="22"/>
          <w:szCs w:val="22"/>
        </w:rPr>
        <w:t>valuation</w:t>
      </w:r>
      <w:r w:rsidRPr="000B6F36">
        <w:rPr>
          <w:rFonts w:ascii="Verdana" w:hAnsi="Verdana"/>
          <w:sz w:val="22"/>
          <w:szCs w:val="22"/>
        </w:rPr>
        <w:t xml:space="preserve"> completed in April 2019 resulted in employer’s contributions being increased from 14.5% with an additional payment of £2.587m in 2019/20 to 16.5% from April 2020 until March 2023 with additional payments of £1.842m, £1.902m and 1.964m for the years ended March 2021, 2022 and 2023 respectively. The additional payments to the pension fund are to repay the deficit, known as the additional monetary amount. </w:t>
      </w:r>
    </w:p>
    <w:p w14:paraId="3C35EAD7" w14:textId="77777777" w:rsidR="00A16BF1" w:rsidRPr="000B6F36" w:rsidRDefault="00A16BF1" w:rsidP="00A16BF1">
      <w:pPr>
        <w:jc w:val="both"/>
        <w:rPr>
          <w:rFonts w:ascii="Verdana" w:hAnsi="Verdana"/>
          <w:sz w:val="22"/>
          <w:szCs w:val="22"/>
        </w:rPr>
      </w:pPr>
    </w:p>
    <w:p w14:paraId="7B7F185D" w14:textId="4AB1A2AD" w:rsidR="00A16BF1" w:rsidRPr="000B6F36" w:rsidRDefault="00A16BF1" w:rsidP="00A16BF1">
      <w:pPr>
        <w:jc w:val="both"/>
        <w:rPr>
          <w:rFonts w:ascii="Verdana" w:hAnsi="Verdana"/>
          <w:sz w:val="22"/>
          <w:szCs w:val="22"/>
        </w:rPr>
      </w:pPr>
      <w:r w:rsidRPr="000B6F36">
        <w:rPr>
          <w:rFonts w:ascii="Verdana" w:hAnsi="Verdana"/>
          <w:sz w:val="22"/>
          <w:szCs w:val="22"/>
        </w:rPr>
        <w:t>For the police officers pension fund the employer’s contribution rate for the 20</w:t>
      </w:r>
      <w:r w:rsidR="000B6F36" w:rsidRPr="000B6F36">
        <w:rPr>
          <w:rFonts w:ascii="Verdana" w:hAnsi="Verdana"/>
          <w:sz w:val="22"/>
          <w:szCs w:val="22"/>
        </w:rPr>
        <w:t>20</w:t>
      </w:r>
      <w:r w:rsidRPr="000B6F36">
        <w:rPr>
          <w:rFonts w:ascii="Verdana" w:hAnsi="Verdana"/>
          <w:sz w:val="22"/>
          <w:szCs w:val="22"/>
        </w:rPr>
        <w:t>/2</w:t>
      </w:r>
      <w:r w:rsidR="000B6F36" w:rsidRPr="000B6F36">
        <w:rPr>
          <w:rFonts w:ascii="Verdana" w:hAnsi="Verdana"/>
          <w:sz w:val="22"/>
          <w:szCs w:val="22"/>
        </w:rPr>
        <w:t>1</w:t>
      </w:r>
      <w:r w:rsidRPr="000B6F36">
        <w:rPr>
          <w:rFonts w:ascii="Verdana" w:hAnsi="Verdana"/>
          <w:sz w:val="22"/>
          <w:szCs w:val="22"/>
        </w:rPr>
        <w:t xml:space="preserve"> year was set at 31.0%. In 20</w:t>
      </w:r>
      <w:r w:rsidR="000B6F36" w:rsidRPr="000B6F36">
        <w:rPr>
          <w:rFonts w:ascii="Verdana" w:hAnsi="Verdana"/>
          <w:sz w:val="22"/>
          <w:szCs w:val="22"/>
        </w:rPr>
        <w:t>20</w:t>
      </w:r>
      <w:r w:rsidRPr="000B6F36">
        <w:rPr>
          <w:rFonts w:ascii="Verdana" w:hAnsi="Verdana"/>
          <w:sz w:val="22"/>
          <w:szCs w:val="22"/>
        </w:rPr>
        <w:t>/2</w:t>
      </w:r>
      <w:r w:rsidR="000B6F36" w:rsidRPr="000B6F36">
        <w:rPr>
          <w:rFonts w:ascii="Verdana" w:hAnsi="Verdana"/>
          <w:sz w:val="22"/>
          <w:szCs w:val="22"/>
        </w:rPr>
        <w:t>1</w:t>
      </w:r>
      <w:r w:rsidRPr="000B6F36">
        <w:rPr>
          <w:rFonts w:ascii="Verdana" w:hAnsi="Verdana"/>
          <w:sz w:val="22"/>
          <w:szCs w:val="22"/>
        </w:rPr>
        <w:t xml:space="preserve"> costs in excess of the employer’s contribution were met by the Home Office by way of the Pension Top-Up Grant</w:t>
      </w:r>
      <w:r w:rsidR="000B6F36" w:rsidRPr="000B6F36">
        <w:rPr>
          <w:rFonts w:ascii="Verdana" w:hAnsi="Verdana"/>
          <w:sz w:val="22"/>
          <w:szCs w:val="22"/>
        </w:rPr>
        <w:t xml:space="preserve"> and an additional grant of £2.0</w:t>
      </w:r>
      <w:r w:rsidRPr="000B6F36">
        <w:rPr>
          <w:rFonts w:ascii="Verdana" w:hAnsi="Verdana"/>
          <w:sz w:val="22"/>
          <w:szCs w:val="22"/>
        </w:rPr>
        <w:t xml:space="preserve">m.   </w:t>
      </w:r>
    </w:p>
    <w:p w14:paraId="55D694F4" w14:textId="77777777" w:rsidR="00DF5955" w:rsidRPr="000B6F36" w:rsidRDefault="00DF5955" w:rsidP="00F227D9">
      <w:pPr>
        <w:pStyle w:val="Normal0"/>
        <w:jc w:val="both"/>
        <w:rPr>
          <w:rFonts w:ascii="Verdana" w:eastAsia="Times New Roman" w:hAnsi="Verdana" w:cs="Arial"/>
          <w:sz w:val="22"/>
          <w:szCs w:val="22"/>
          <w:lang w:val="en-GB" w:eastAsia="en-GB"/>
        </w:rPr>
      </w:pPr>
    </w:p>
    <w:p w14:paraId="241D4782" w14:textId="77777777" w:rsidR="00F227D9" w:rsidRPr="000B6F36" w:rsidRDefault="00F227D9" w:rsidP="00F227D9">
      <w:pPr>
        <w:pStyle w:val="Normal0"/>
        <w:jc w:val="both"/>
        <w:rPr>
          <w:rFonts w:ascii="Verdana" w:eastAsia="Times New Roman" w:hAnsi="Verdana" w:cs="Arial"/>
          <w:sz w:val="22"/>
          <w:szCs w:val="22"/>
          <w:lang w:val="en-GB" w:eastAsia="en-GB"/>
        </w:rPr>
      </w:pPr>
    </w:p>
    <w:p w14:paraId="124D0B2A" w14:textId="77777777" w:rsidR="00F227D9" w:rsidRPr="000B6F36" w:rsidRDefault="00F227D9" w:rsidP="005E3E6F">
      <w:pPr>
        <w:pStyle w:val="Style1"/>
        <w:numPr>
          <w:ilvl w:val="0"/>
          <w:numId w:val="9"/>
        </w:numPr>
        <w:rPr>
          <w:rFonts w:ascii="Verdana" w:hAnsi="Verdana"/>
          <w:sz w:val="22"/>
          <w:szCs w:val="22"/>
          <w:lang w:val="en-GB" w:eastAsia="en-GB"/>
        </w:rPr>
      </w:pPr>
      <w:r w:rsidRPr="000B6F36">
        <w:rPr>
          <w:rFonts w:ascii="Verdana" w:hAnsi="Verdana"/>
          <w:sz w:val="22"/>
          <w:szCs w:val="22"/>
          <w:lang w:val="en-GB" w:eastAsia="en-GB"/>
        </w:rPr>
        <w:t>Further Information</w:t>
      </w:r>
    </w:p>
    <w:p w14:paraId="30B201EE" w14:textId="77777777" w:rsidR="00F227D9" w:rsidRPr="000B6F36" w:rsidRDefault="00F227D9" w:rsidP="00F227D9">
      <w:pPr>
        <w:pStyle w:val="Style1"/>
        <w:numPr>
          <w:ilvl w:val="0"/>
          <w:numId w:val="0"/>
        </w:numPr>
        <w:ind w:left="1080" w:hanging="360"/>
        <w:rPr>
          <w:rFonts w:ascii="Verdana" w:hAnsi="Verdana"/>
          <w:sz w:val="22"/>
          <w:szCs w:val="22"/>
          <w:lang w:val="en-GB" w:eastAsia="en-GB"/>
        </w:rPr>
      </w:pPr>
    </w:p>
    <w:p w14:paraId="3800DFBA" w14:textId="551812B9" w:rsidR="00927BDD" w:rsidRPr="0080433C" w:rsidRDefault="00927BDD" w:rsidP="00927BDD">
      <w:pPr>
        <w:jc w:val="both"/>
        <w:rPr>
          <w:rFonts w:ascii="Verdana" w:hAnsi="Verdana" w:cs="Arial"/>
          <w:sz w:val="22"/>
          <w:szCs w:val="22"/>
        </w:rPr>
      </w:pPr>
      <w:r w:rsidRPr="004736D4">
        <w:rPr>
          <w:rFonts w:ascii="Verdana" w:hAnsi="Verdana" w:cs="Arial"/>
          <w:sz w:val="22"/>
          <w:szCs w:val="22"/>
        </w:rPr>
        <w:t xml:space="preserve">Surrey Police continues to undertake significant change activity through the </w:t>
      </w:r>
      <w:r w:rsidRPr="0080433C">
        <w:rPr>
          <w:rFonts w:ascii="Verdana" w:hAnsi="Verdana" w:cs="Arial"/>
          <w:sz w:val="22"/>
          <w:szCs w:val="22"/>
        </w:rPr>
        <w:t>Policing Together programme with Sussex Police, and also with other forces in the South-East region, in order to meet financial challenges, increase resilience and improve service delivery. The full savings programme and budget reductions for 20</w:t>
      </w:r>
      <w:r w:rsidR="004736D4" w:rsidRPr="0080433C">
        <w:rPr>
          <w:rFonts w:ascii="Verdana" w:hAnsi="Verdana" w:cs="Arial"/>
          <w:sz w:val="22"/>
          <w:szCs w:val="22"/>
        </w:rPr>
        <w:t>20</w:t>
      </w:r>
      <w:r w:rsidRPr="0080433C">
        <w:rPr>
          <w:rFonts w:ascii="Verdana" w:hAnsi="Verdana" w:cs="Arial"/>
          <w:sz w:val="22"/>
          <w:szCs w:val="22"/>
        </w:rPr>
        <w:t>/2</w:t>
      </w:r>
      <w:r w:rsidR="004736D4" w:rsidRPr="0080433C">
        <w:rPr>
          <w:rFonts w:ascii="Verdana" w:hAnsi="Verdana" w:cs="Arial"/>
          <w:sz w:val="22"/>
          <w:szCs w:val="22"/>
        </w:rPr>
        <w:t>1</w:t>
      </w:r>
      <w:r w:rsidRPr="0080433C">
        <w:rPr>
          <w:rFonts w:ascii="Verdana" w:hAnsi="Verdana" w:cs="Arial"/>
          <w:sz w:val="22"/>
          <w:szCs w:val="22"/>
        </w:rPr>
        <w:t xml:space="preserve"> </w:t>
      </w:r>
      <w:r w:rsidR="0080433C" w:rsidRPr="0080433C">
        <w:rPr>
          <w:rFonts w:ascii="Verdana" w:hAnsi="Verdana" w:cs="Arial"/>
          <w:sz w:val="22"/>
          <w:szCs w:val="22"/>
        </w:rPr>
        <w:t>of £1.4</w:t>
      </w:r>
      <w:r w:rsidRPr="0080433C">
        <w:rPr>
          <w:rFonts w:ascii="Verdana" w:hAnsi="Verdana" w:cs="Arial"/>
          <w:sz w:val="22"/>
          <w:szCs w:val="22"/>
        </w:rPr>
        <w:t>m</w:t>
      </w:r>
      <w:r w:rsidR="0080433C" w:rsidRPr="0080433C">
        <w:rPr>
          <w:rFonts w:ascii="Verdana" w:hAnsi="Verdana" w:cs="Arial"/>
          <w:sz w:val="22"/>
          <w:szCs w:val="22"/>
        </w:rPr>
        <w:t xml:space="preserve"> was taken at the beginning of the financial year </w:t>
      </w:r>
      <w:r w:rsidRPr="0080433C">
        <w:rPr>
          <w:rFonts w:ascii="Verdana" w:hAnsi="Verdana" w:cs="Arial"/>
          <w:sz w:val="22"/>
          <w:szCs w:val="22"/>
        </w:rPr>
        <w:t xml:space="preserve">and is shown by portfolio </w:t>
      </w:r>
      <w:r w:rsidR="0080433C" w:rsidRPr="0080433C">
        <w:rPr>
          <w:rFonts w:ascii="Verdana" w:hAnsi="Verdana" w:cs="Arial"/>
          <w:sz w:val="22"/>
          <w:szCs w:val="22"/>
        </w:rPr>
        <w:t>as follows</w:t>
      </w:r>
      <w:r w:rsidR="00E73C9B">
        <w:rPr>
          <w:rFonts w:ascii="Verdana" w:hAnsi="Verdana" w:cs="Arial"/>
          <w:sz w:val="22"/>
          <w:szCs w:val="22"/>
        </w:rPr>
        <w:t>:</w:t>
      </w:r>
    </w:p>
    <w:p w14:paraId="5B16051F" w14:textId="2341912F" w:rsidR="0080433C" w:rsidRPr="0080433C" w:rsidRDefault="0080433C" w:rsidP="0080433C">
      <w:pPr>
        <w:pStyle w:val="Normal0"/>
        <w:numPr>
          <w:ilvl w:val="0"/>
          <w:numId w:val="30"/>
        </w:numPr>
        <w:jc w:val="both"/>
        <w:rPr>
          <w:rFonts w:ascii="Verdana" w:eastAsia="Times New Roman" w:hAnsi="Verdana" w:cs="Arial"/>
          <w:sz w:val="22"/>
          <w:szCs w:val="22"/>
          <w:lang w:val="en-GB" w:eastAsia="en-GB"/>
        </w:rPr>
      </w:pPr>
      <w:r w:rsidRPr="0080433C">
        <w:rPr>
          <w:rFonts w:ascii="Verdana" w:eastAsia="Times New Roman" w:hAnsi="Verdana" w:cs="Arial"/>
          <w:sz w:val="22"/>
          <w:szCs w:val="22"/>
          <w:lang w:val="en-GB" w:eastAsia="en-GB"/>
        </w:rPr>
        <w:t>Specialist Crime £0.2m</w:t>
      </w:r>
    </w:p>
    <w:p w14:paraId="2135AD2E" w14:textId="27097AE0" w:rsidR="0080433C" w:rsidRPr="0080433C" w:rsidRDefault="0080433C" w:rsidP="0080433C">
      <w:pPr>
        <w:pStyle w:val="Normal0"/>
        <w:numPr>
          <w:ilvl w:val="0"/>
          <w:numId w:val="30"/>
        </w:numPr>
        <w:jc w:val="both"/>
        <w:rPr>
          <w:rFonts w:ascii="Verdana" w:eastAsia="Times New Roman" w:hAnsi="Verdana" w:cs="Arial"/>
          <w:sz w:val="22"/>
          <w:szCs w:val="22"/>
          <w:lang w:val="en-GB" w:eastAsia="en-GB"/>
        </w:rPr>
      </w:pPr>
      <w:r w:rsidRPr="0080433C">
        <w:rPr>
          <w:rFonts w:ascii="Verdana" w:eastAsia="Times New Roman" w:hAnsi="Verdana" w:cs="Arial"/>
          <w:sz w:val="22"/>
          <w:szCs w:val="22"/>
          <w:lang w:val="en-GB" w:eastAsia="en-GB"/>
        </w:rPr>
        <w:t>ICT £0.5m</w:t>
      </w:r>
    </w:p>
    <w:p w14:paraId="02879BA2" w14:textId="6E2B344B" w:rsidR="00F227D9" w:rsidRPr="0080433C" w:rsidRDefault="0080433C" w:rsidP="0080433C">
      <w:pPr>
        <w:pStyle w:val="Normal0"/>
        <w:numPr>
          <w:ilvl w:val="0"/>
          <w:numId w:val="30"/>
        </w:numPr>
        <w:jc w:val="both"/>
        <w:rPr>
          <w:rFonts w:ascii="Verdana" w:eastAsia="Times New Roman" w:hAnsi="Verdana" w:cs="Arial"/>
          <w:sz w:val="22"/>
          <w:szCs w:val="22"/>
          <w:lang w:val="en-GB" w:eastAsia="en-GB"/>
        </w:rPr>
      </w:pPr>
      <w:r w:rsidRPr="0080433C">
        <w:rPr>
          <w:rFonts w:ascii="Verdana" w:eastAsia="Times New Roman" w:hAnsi="Verdana" w:cs="Arial"/>
          <w:sz w:val="22"/>
          <w:szCs w:val="22"/>
          <w:lang w:val="en-GB" w:eastAsia="en-GB"/>
        </w:rPr>
        <w:t>Other £0.7m</w:t>
      </w:r>
    </w:p>
    <w:p w14:paraId="0A821085" w14:textId="77777777" w:rsidR="0080433C" w:rsidRPr="0080433C" w:rsidRDefault="0080433C" w:rsidP="0080433C">
      <w:pPr>
        <w:pStyle w:val="Normal0"/>
        <w:jc w:val="both"/>
        <w:rPr>
          <w:rFonts w:ascii="Verdana" w:eastAsia="Times New Roman" w:hAnsi="Verdana" w:cs="Arial"/>
          <w:sz w:val="22"/>
          <w:szCs w:val="22"/>
          <w:lang w:val="en-GB" w:eastAsia="en-GB"/>
        </w:rPr>
      </w:pPr>
    </w:p>
    <w:p w14:paraId="276A35D9" w14:textId="5824E50C" w:rsidR="00F227D9" w:rsidRPr="0080433C" w:rsidRDefault="0080433C" w:rsidP="0080433C">
      <w:pPr>
        <w:pStyle w:val="Normal0"/>
        <w:jc w:val="both"/>
        <w:rPr>
          <w:rFonts w:ascii="Verdana" w:eastAsia="Times New Roman" w:hAnsi="Verdana" w:cs="Arial"/>
          <w:sz w:val="22"/>
          <w:szCs w:val="22"/>
          <w:lang w:val="en-GB" w:eastAsia="en-GB"/>
        </w:rPr>
      </w:pPr>
      <w:r w:rsidRPr="0080433C">
        <w:rPr>
          <w:rFonts w:ascii="Verdana" w:hAnsi="Verdana" w:cs="Arial"/>
          <w:sz w:val="22"/>
          <w:szCs w:val="22"/>
        </w:rPr>
        <w:t xml:space="preserve">Budget holders unable to make any of the savings were required to detail reasons in an exception report for consideration and approval. Whilst the savings were incorporated into the budget setting process and effectively removed at the start of the year, ICT did not identify their savings of £0.5m which will be carried forward and will require the identification of permanent savings in 2021/22. The Strategic Change Board reviews the savings profile over the medium term on an ongoing basis.  </w:t>
      </w:r>
    </w:p>
    <w:p w14:paraId="30A08ED1" w14:textId="77777777" w:rsidR="00F227D9" w:rsidRPr="0080433C" w:rsidRDefault="00F227D9" w:rsidP="00F227D9">
      <w:pPr>
        <w:pStyle w:val="Normal0"/>
        <w:jc w:val="both"/>
        <w:rPr>
          <w:rFonts w:ascii="Verdana" w:eastAsia="Times New Roman" w:hAnsi="Verdana" w:cs="Arial"/>
          <w:sz w:val="22"/>
          <w:szCs w:val="22"/>
          <w:lang w:val="en-GB" w:eastAsia="en-GB"/>
        </w:rPr>
      </w:pPr>
    </w:p>
    <w:p w14:paraId="1A93AF43" w14:textId="41CFB378" w:rsidR="00406EFB" w:rsidRPr="0080433C" w:rsidRDefault="00406EFB" w:rsidP="00406EFB">
      <w:pPr>
        <w:jc w:val="both"/>
        <w:rPr>
          <w:rFonts w:ascii="Verdana" w:hAnsi="Verdana"/>
          <w:sz w:val="22"/>
          <w:szCs w:val="22"/>
        </w:rPr>
      </w:pPr>
      <w:r w:rsidRPr="0080433C">
        <w:rPr>
          <w:rFonts w:ascii="Verdana" w:hAnsi="Verdana"/>
          <w:sz w:val="22"/>
          <w:szCs w:val="22"/>
        </w:rPr>
        <w:t xml:space="preserve">Within the organisation we continue to develop innovative working practices to maximise our efficiency. This includes investing in better technology, managing digital evidence and sharing information more effectively. </w:t>
      </w:r>
    </w:p>
    <w:p w14:paraId="2EB74DD2" w14:textId="77777777" w:rsidR="00406EFB" w:rsidRPr="0080433C" w:rsidRDefault="00406EFB" w:rsidP="00406EFB">
      <w:pPr>
        <w:jc w:val="both"/>
        <w:rPr>
          <w:rFonts w:ascii="Verdana" w:hAnsi="Verdana"/>
          <w:sz w:val="22"/>
          <w:szCs w:val="22"/>
        </w:rPr>
      </w:pPr>
    </w:p>
    <w:p w14:paraId="493138C5" w14:textId="77777777" w:rsidR="00406EFB" w:rsidRPr="0080433C" w:rsidRDefault="00406EFB" w:rsidP="00406EFB">
      <w:pPr>
        <w:jc w:val="both"/>
        <w:rPr>
          <w:rFonts w:ascii="Verdana" w:hAnsi="Verdana"/>
          <w:sz w:val="22"/>
          <w:szCs w:val="22"/>
          <w:lang w:val="en-GB"/>
        </w:rPr>
      </w:pPr>
      <w:r w:rsidRPr="0080433C">
        <w:rPr>
          <w:rFonts w:ascii="Verdana" w:hAnsi="Verdana"/>
          <w:sz w:val="22"/>
          <w:szCs w:val="22"/>
          <w:lang w:val="en-GB"/>
        </w:rPr>
        <w:t>We are monitoring the effectiveness of our digital investments and have, for example, seen huge benefits to officers using Mobile Data Terminals (MDTs) while out in the community.  We are equipping all employees with the right skills and tools to work in a modern way, whilst they face increasingly complex policing challenges, and provide increased visibility and reassurance to the community.  </w:t>
      </w:r>
    </w:p>
    <w:p w14:paraId="005BC259" w14:textId="77777777" w:rsidR="00406EFB" w:rsidRPr="0080433C" w:rsidRDefault="00406EFB" w:rsidP="00406EFB">
      <w:pPr>
        <w:jc w:val="both"/>
        <w:rPr>
          <w:rFonts w:ascii="Verdana" w:hAnsi="Verdana"/>
          <w:sz w:val="22"/>
          <w:szCs w:val="22"/>
          <w:lang w:val="en-GB"/>
        </w:rPr>
      </w:pPr>
    </w:p>
    <w:p w14:paraId="5B3B8F92" w14:textId="77777777" w:rsidR="00406EFB" w:rsidRPr="0080433C" w:rsidRDefault="00406EFB" w:rsidP="00406EFB">
      <w:pPr>
        <w:jc w:val="both"/>
        <w:rPr>
          <w:rFonts w:ascii="Verdana" w:hAnsi="Verdana"/>
          <w:sz w:val="22"/>
          <w:szCs w:val="22"/>
          <w:lang w:val="en-GB"/>
        </w:rPr>
      </w:pPr>
      <w:r w:rsidRPr="0080433C">
        <w:rPr>
          <w:rFonts w:ascii="Verdana" w:hAnsi="Verdana"/>
          <w:sz w:val="22"/>
          <w:szCs w:val="22"/>
          <w:lang w:val="en-GB"/>
        </w:rPr>
        <w:t>With further investment we can further strengthen our position – prevent more crimes, catch more criminals, protect more victims, solve more crimes and keep Surrey even safer.</w:t>
      </w:r>
    </w:p>
    <w:p w14:paraId="16FFB992" w14:textId="77777777" w:rsidR="00406EFB" w:rsidRPr="0080433C" w:rsidRDefault="00406EFB" w:rsidP="00406EFB">
      <w:pPr>
        <w:jc w:val="both"/>
        <w:rPr>
          <w:rFonts w:ascii="Verdana" w:hAnsi="Verdana"/>
          <w:sz w:val="22"/>
          <w:szCs w:val="22"/>
          <w:lang w:val="en-GB"/>
        </w:rPr>
      </w:pPr>
    </w:p>
    <w:p w14:paraId="1CC6B3B6" w14:textId="1A73F120" w:rsidR="00406EFB" w:rsidRPr="000C2D29" w:rsidRDefault="00406EFB" w:rsidP="00406EFB">
      <w:pPr>
        <w:pStyle w:val="Normal0"/>
        <w:jc w:val="both"/>
        <w:rPr>
          <w:rFonts w:ascii="Verdana" w:eastAsia="Calibri" w:hAnsi="Verdana" w:cs="Times New Roman"/>
          <w:sz w:val="22"/>
          <w:szCs w:val="22"/>
          <w:lang w:val="en-GB"/>
        </w:rPr>
      </w:pPr>
      <w:r w:rsidRPr="0080433C">
        <w:rPr>
          <w:rFonts w:ascii="Verdana" w:eastAsia="Calibri" w:hAnsi="Verdana" w:cs="Times New Roman"/>
          <w:sz w:val="22"/>
          <w:szCs w:val="22"/>
          <w:lang w:val="en-GB"/>
        </w:rPr>
        <w:t xml:space="preserve">The majority of services within the Support </w:t>
      </w:r>
      <w:r w:rsidRPr="000C2D29">
        <w:rPr>
          <w:rFonts w:ascii="Verdana" w:eastAsia="Calibri" w:hAnsi="Verdana" w:cs="Times New Roman"/>
          <w:sz w:val="22"/>
          <w:szCs w:val="22"/>
          <w:lang w:val="en-GB"/>
        </w:rPr>
        <w:t>Services functions are collaborated including; Procurement, Insurance, Transport, People Services, Information &amp; Communication Technology, and Finance. Further work is ongoing to develop a Shared Business Service Centre.</w:t>
      </w:r>
    </w:p>
    <w:p w14:paraId="0DE90ED5" w14:textId="77777777" w:rsidR="00406EFB" w:rsidRPr="000C2D29" w:rsidRDefault="00406EFB" w:rsidP="00406EFB">
      <w:pPr>
        <w:pStyle w:val="Normal0"/>
        <w:jc w:val="both"/>
        <w:rPr>
          <w:rStyle w:val="Strong"/>
          <w:rFonts w:ascii="Verdana" w:eastAsia="Times New Roman" w:hAnsi="Verdana" w:cs="Times New Roman"/>
          <w:b w:val="0"/>
          <w:sz w:val="22"/>
          <w:szCs w:val="22"/>
          <w:lang w:val="en-GB" w:eastAsia="en-GB"/>
        </w:rPr>
      </w:pPr>
    </w:p>
    <w:p w14:paraId="341C8518" w14:textId="77777777" w:rsidR="00406EFB" w:rsidRPr="000C2D29" w:rsidRDefault="00406EFB" w:rsidP="00F227D9">
      <w:pPr>
        <w:pStyle w:val="Normal0"/>
        <w:jc w:val="both"/>
        <w:rPr>
          <w:rStyle w:val="Strong"/>
          <w:rFonts w:ascii="Verdana" w:eastAsia="Times New Roman" w:hAnsi="Verdana" w:cs="Times New Roman"/>
          <w:b w:val="0"/>
          <w:sz w:val="22"/>
          <w:szCs w:val="22"/>
          <w:lang w:val="en-GB" w:eastAsia="en-GB"/>
        </w:rPr>
      </w:pPr>
      <w:r w:rsidRPr="000C2D29">
        <w:rPr>
          <w:rStyle w:val="Strong"/>
          <w:rFonts w:ascii="Verdana" w:eastAsia="Times New Roman" w:hAnsi="Verdana" w:cs="Times New Roman"/>
          <w:b w:val="0"/>
          <w:sz w:val="22"/>
          <w:szCs w:val="22"/>
          <w:lang w:val="en-GB" w:eastAsia="en-GB"/>
        </w:rPr>
        <w:t>Surrey Police are committed to continuous improvement in their arrangements for programme, project and financial management as demonstrated through a number of key initiatives and programmes, including;</w:t>
      </w:r>
    </w:p>
    <w:p w14:paraId="452ACAE7" w14:textId="77777777" w:rsidR="00406EFB" w:rsidRPr="000C2D29" w:rsidRDefault="00406EFB" w:rsidP="00F227D9">
      <w:pPr>
        <w:pStyle w:val="Normal0"/>
        <w:jc w:val="both"/>
        <w:rPr>
          <w:rStyle w:val="Strong"/>
          <w:rFonts w:ascii="Verdana" w:eastAsia="Times New Roman" w:hAnsi="Verdana" w:cs="Times New Roman"/>
          <w:b w:val="0"/>
          <w:sz w:val="22"/>
          <w:szCs w:val="22"/>
          <w:lang w:val="en-GB" w:eastAsia="en-GB"/>
        </w:rPr>
      </w:pPr>
    </w:p>
    <w:p w14:paraId="15B6C9F3" w14:textId="77777777" w:rsidR="00406EFB" w:rsidRPr="000C2D29" w:rsidRDefault="00406EFB" w:rsidP="00406EFB">
      <w:pPr>
        <w:jc w:val="both"/>
        <w:rPr>
          <w:rFonts w:ascii="Verdana" w:hAnsi="Verdana"/>
          <w:sz w:val="22"/>
          <w:szCs w:val="22"/>
          <w:lang w:val="en-GB"/>
        </w:rPr>
      </w:pPr>
      <w:r w:rsidRPr="000C2D29">
        <w:rPr>
          <w:rFonts w:ascii="Verdana" w:hAnsi="Verdana"/>
          <w:b/>
          <w:sz w:val="22"/>
          <w:szCs w:val="22"/>
          <w:lang w:val="en-GB"/>
        </w:rPr>
        <w:t>Financial Excellence:</w:t>
      </w:r>
      <w:r w:rsidRPr="000C2D29">
        <w:rPr>
          <w:rFonts w:ascii="Verdana" w:hAnsi="Verdana"/>
          <w:sz w:val="22"/>
          <w:szCs w:val="22"/>
          <w:lang w:val="en-GB"/>
        </w:rPr>
        <w:t xml:space="preserve"> Surrey Police is one of only 3 forces nationally to have piloted the national Chartered Institute of Public Finance and Accountancy’s “Achieving Finance Excellence in Policing” programme. So far, this has included implementation of accounts closure software to enable code compliant production of statutory financial statements more promptly, development of Finance Business Partners, and an independent review of financial management arrangements.</w:t>
      </w:r>
    </w:p>
    <w:p w14:paraId="206E3470" w14:textId="77777777" w:rsidR="00F227D9" w:rsidRPr="000C2D29" w:rsidRDefault="00F227D9" w:rsidP="00F227D9">
      <w:pPr>
        <w:pStyle w:val="Normal0"/>
        <w:jc w:val="both"/>
        <w:rPr>
          <w:rStyle w:val="Strong"/>
          <w:rFonts w:ascii="Verdana" w:eastAsia="Times New Roman" w:hAnsi="Verdana" w:cs="Times New Roman"/>
          <w:b w:val="0"/>
          <w:sz w:val="22"/>
          <w:szCs w:val="22"/>
          <w:lang w:val="en-GB" w:eastAsia="en-GB"/>
        </w:rPr>
      </w:pPr>
    </w:p>
    <w:p w14:paraId="3EDE7944" w14:textId="1B2EB8D3" w:rsidR="00406EFB" w:rsidRPr="000C2D29" w:rsidRDefault="00406EFB" w:rsidP="00406EFB">
      <w:pPr>
        <w:jc w:val="both"/>
        <w:rPr>
          <w:rFonts w:ascii="Verdana" w:hAnsi="Verdana"/>
          <w:iCs/>
          <w:sz w:val="22"/>
          <w:szCs w:val="22"/>
        </w:rPr>
      </w:pPr>
      <w:r w:rsidRPr="000C2D29">
        <w:rPr>
          <w:rFonts w:ascii="Verdana" w:hAnsi="Verdana"/>
          <w:sz w:val="22"/>
          <w:szCs w:val="22"/>
          <w:lang w:val="en-GB"/>
        </w:rPr>
        <w:t xml:space="preserve">Regional collaboration continues with five police forces (Thames Valley, Hampshire, Sussex, Surrey and Kent) working together on counter terrorism and tackling serious and organised crime. This is governed by a joint regional oversight board which the five PCCs chair in rotation. During the year development </w:t>
      </w:r>
      <w:r w:rsidR="000C2D29" w:rsidRPr="000C2D29">
        <w:rPr>
          <w:rFonts w:ascii="Verdana" w:hAnsi="Verdana"/>
          <w:sz w:val="22"/>
          <w:szCs w:val="22"/>
          <w:lang w:val="en-GB"/>
        </w:rPr>
        <w:t>continued</w:t>
      </w:r>
      <w:r w:rsidRPr="000C2D29">
        <w:rPr>
          <w:rFonts w:ascii="Verdana" w:hAnsi="Verdana"/>
          <w:sz w:val="22"/>
          <w:szCs w:val="22"/>
          <w:lang w:val="en-GB"/>
        </w:rPr>
        <w:t xml:space="preserve"> on a Western Hub for the South East Regional Organised Crime Unit.</w:t>
      </w:r>
    </w:p>
    <w:p w14:paraId="77DEF19A" w14:textId="77777777" w:rsidR="00406EFB" w:rsidRPr="000C2D29" w:rsidRDefault="00406EFB" w:rsidP="00406EFB">
      <w:pPr>
        <w:jc w:val="both"/>
        <w:rPr>
          <w:rFonts w:ascii="Verdana" w:hAnsi="Verdana"/>
          <w:sz w:val="22"/>
          <w:szCs w:val="22"/>
        </w:rPr>
      </w:pPr>
    </w:p>
    <w:p w14:paraId="3EE7A139" w14:textId="5B9E64A0" w:rsidR="00406EFB" w:rsidRPr="000C2D29" w:rsidRDefault="00406EFB" w:rsidP="00406EFB">
      <w:pPr>
        <w:jc w:val="both"/>
        <w:rPr>
          <w:rFonts w:ascii="Verdana" w:hAnsi="Verdana"/>
          <w:sz w:val="22"/>
          <w:szCs w:val="22"/>
        </w:rPr>
      </w:pPr>
      <w:r w:rsidRPr="000C2D29">
        <w:rPr>
          <w:rFonts w:ascii="Verdana" w:hAnsi="Verdana"/>
          <w:sz w:val="22"/>
          <w:szCs w:val="22"/>
        </w:rPr>
        <w:t xml:space="preserve">The site for a new Force headquarters was purchased </w:t>
      </w:r>
      <w:r w:rsidR="000C2D29" w:rsidRPr="000C2D29">
        <w:rPr>
          <w:rFonts w:ascii="Verdana" w:hAnsi="Verdana"/>
          <w:sz w:val="22"/>
          <w:szCs w:val="22"/>
        </w:rPr>
        <w:t>at</w:t>
      </w:r>
      <w:r w:rsidRPr="000C2D29">
        <w:rPr>
          <w:rFonts w:ascii="Verdana" w:hAnsi="Verdana"/>
          <w:sz w:val="22"/>
          <w:szCs w:val="22"/>
        </w:rPr>
        <w:t xml:space="preserve"> Leatherhead. The project is expected to take at least four to five years to complete, including plans to dispose of current outdated and costly buildings and creating a modern and cost-effective estate that will allow the Force to meet the challenges of modern policing.  </w:t>
      </w:r>
    </w:p>
    <w:p w14:paraId="5720E059" w14:textId="77777777" w:rsidR="00406EFB" w:rsidRPr="000C2D29" w:rsidRDefault="00406EFB" w:rsidP="00406EFB">
      <w:pPr>
        <w:jc w:val="both"/>
        <w:rPr>
          <w:rFonts w:ascii="Verdana" w:hAnsi="Verdana"/>
          <w:sz w:val="22"/>
          <w:szCs w:val="22"/>
        </w:rPr>
      </w:pPr>
    </w:p>
    <w:p w14:paraId="234B8B9A" w14:textId="77777777" w:rsidR="00406EFB" w:rsidRPr="000C2D29" w:rsidRDefault="00406EFB" w:rsidP="00406EFB">
      <w:pPr>
        <w:pStyle w:val="Normal0"/>
        <w:jc w:val="both"/>
        <w:rPr>
          <w:rStyle w:val="Strong"/>
          <w:rFonts w:ascii="Verdana" w:eastAsia="Times New Roman" w:hAnsi="Verdana" w:cs="Times New Roman"/>
          <w:b w:val="0"/>
          <w:sz w:val="22"/>
          <w:szCs w:val="22"/>
          <w:lang w:val="en-GB" w:eastAsia="en-GB"/>
        </w:rPr>
      </w:pPr>
      <w:r w:rsidRPr="000C2D29">
        <w:rPr>
          <w:rFonts w:ascii="Verdana" w:hAnsi="Verdana"/>
          <w:sz w:val="22"/>
          <w:szCs w:val="22"/>
        </w:rPr>
        <w:t>All police forces are inspected by Her Majesty’s Inspectorate of Constabulary and Fire &amp; Rescue Services (HMICFRS) and Surrey Police was rated overall as good for effectiveness, efficiency and legitimacy. HMICFS noted the extent to which the force is effective at reducing crime and keeping people safe is good. The force was found to be outstanding at preventing crime and anti-social behaviour, engaging well with its communities and partner organisations to understand and solve neighbourhood problems and working effectively with partners to identify and protect vulnerable people. HMICFRS noted the extent to which the force treats the public and its workforce is also good and that room for improvement was noted in the extent to which the force operates efficiently and sustainably.</w:t>
      </w:r>
    </w:p>
    <w:p w14:paraId="2437618C" w14:textId="77777777" w:rsidR="00406EFB" w:rsidRPr="000C2D29" w:rsidRDefault="00406EFB" w:rsidP="00F227D9">
      <w:pPr>
        <w:pStyle w:val="Normal0"/>
        <w:jc w:val="both"/>
        <w:rPr>
          <w:rStyle w:val="Strong"/>
          <w:rFonts w:ascii="Verdana" w:eastAsia="Times New Roman" w:hAnsi="Verdana" w:cs="Times New Roman"/>
          <w:b w:val="0"/>
          <w:sz w:val="22"/>
          <w:szCs w:val="22"/>
          <w:lang w:val="en-GB" w:eastAsia="en-GB"/>
        </w:rPr>
      </w:pPr>
    </w:p>
    <w:p w14:paraId="7BA60016" w14:textId="77777777" w:rsidR="004A4C67" w:rsidRPr="000C2D29" w:rsidRDefault="004E5A2A" w:rsidP="004E5A2A">
      <w:pPr>
        <w:jc w:val="both"/>
        <w:rPr>
          <w:rFonts w:ascii="Verdana" w:hAnsi="Verdana"/>
          <w:sz w:val="22"/>
          <w:szCs w:val="22"/>
          <w:lang w:val="en-GB"/>
        </w:rPr>
      </w:pPr>
      <w:r w:rsidRPr="000C2D29">
        <w:rPr>
          <w:rFonts w:ascii="Verdana" w:hAnsi="Verdana"/>
          <w:b/>
          <w:sz w:val="22"/>
          <w:szCs w:val="22"/>
          <w:lang w:val="en-GB"/>
        </w:rPr>
        <w:t>New Enterprise Resource Planning Solution (Equip):</w:t>
      </w:r>
      <w:r w:rsidRPr="000C2D29">
        <w:rPr>
          <w:rFonts w:ascii="Verdana" w:hAnsi="Verdana"/>
          <w:sz w:val="22"/>
          <w:szCs w:val="22"/>
          <w:lang w:val="en-GB"/>
        </w:rPr>
        <w:t xml:space="preserve"> </w:t>
      </w:r>
    </w:p>
    <w:p w14:paraId="2A5E5018" w14:textId="77777777" w:rsidR="004E5A2A" w:rsidRPr="000C2D29" w:rsidRDefault="004E5A2A" w:rsidP="004E5A2A">
      <w:pPr>
        <w:jc w:val="both"/>
        <w:rPr>
          <w:rFonts w:ascii="Verdana" w:hAnsi="Verdana"/>
          <w:sz w:val="22"/>
          <w:szCs w:val="22"/>
          <w:lang w:val="en-GB"/>
        </w:rPr>
      </w:pPr>
    </w:p>
    <w:p w14:paraId="21EB0485" w14:textId="77777777" w:rsidR="00A01A5C" w:rsidRPr="00A01A5C" w:rsidRDefault="00A01A5C" w:rsidP="00A01A5C">
      <w:pPr>
        <w:jc w:val="both"/>
        <w:rPr>
          <w:rFonts w:ascii="Verdana" w:hAnsi="Verdana"/>
          <w:sz w:val="22"/>
          <w:szCs w:val="22"/>
          <w:shd w:val="clear" w:color="auto" w:fill="FFFFFF"/>
        </w:rPr>
      </w:pPr>
      <w:r w:rsidRPr="00A01A5C">
        <w:rPr>
          <w:rFonts w:ascii="Verdana" w:hAnsi="Verdana"/>
          <w:color w:val="000000"/>
          <w:sz w:val="22"/>
          <w:szCs w:val="22"/>
          <w:shd w:val="clear" w:color="auto" w:fill="FFFFFF"/>
        </w:rPr>
        <w:t>In 2016 the three forces (Surrey, Sussex and Thames Valley) took a decision to work collaboratively to jointly develop a new Enterprise Resource Planning (ERP) system to improve the way they do business and help improve efficiency. This programme was known as Equip. The ERP system aimed to replace back-office systems currently used across all three forces with new systems that are able to interact seamlessly with each other, reducing the need for duplication of information and thereby resulting in a more efficient way of working. This aimed to free up staff time to focus on preventing and detecting crime, protecting vulnerable people and keeping our communities safe. Following a competitive tender process, the forces have been working in partnership with KPMG on the programme since 2016.</w:t>
      </w:r>
    </w:p>
    <w:p w14:paraId="50191BF0" w14:textId="77777777" w:rsidR="00A01A5C" w:rsidRPr="00A01A5C" w:rsidRDefault="00A01A5C" w:rsidP="00A01A5C">
      <w:pPr>
        <w:jc w:val="both"/>
        <w:rPr>
          <w:rFonts w:ascii="Verdana" w:hAnsi="Verdana"/>
          <w:sz w:val="22"/>
          <w:szCs w:val="22"/>
          <w:shd w:val="clear" w:color="auto" w:fill="FFFFFF"/>
        </w:rPr>
      </w:pPr>
    </w:p>
    <w:p w14:paraId="6E5193D0" w14:textId="77777777" w:rsidR="00A01A5C" w:rsidRPr="00A01A5C" w:rsidRDefault="00A01A5C" w:rsidP="00A01A5C">
      <w:pPr>
        <w:jc w:val="both"/>
        <w:rPr>
          <w:rFonts w:ascii="Verdana" w:hAnsi="Verdana"/>
          <w:sz w:val="22"/>
          <w:szCs w:val="22"/>
        </w:rPr>
      </w:pPr>
      <w:r w:rsidRPr="00A01A5C">
        <w:rPr>
          <w:rFonts w:ascii="Verdana" w:hAnsi="Verdana"/>
          <w:sz w:val="22"/>
          <w:szCs w:val="22"/>
        </w:rPr>
        <w:t>In December 2020 the Chief Constables agreed that the ERP product developed by KPMG should be transferred to the three forces to mitigate against future financial risk. Following recommendation by the three force Chief Constables, approval was granted by the three PCCs. The forces have worked closely with KPMG to achieve the transfer of the ERP Software, Documentation and Licenced assets.</w:t>
      </w:r>
    </w:p>
    <w:p w14:paraId="4AA0734B" w14:textId="77777777" w:rsidR="00A01A5C" w:rsidRPr="00A01A5C" w:rsidRDefault="00A01A5C" w:rsidP="00A01A5C">
      <w:pPr>
        <w:jc w:val="both"/>
        <w:rPr>
          <w:rFonts w:ascii="Verdana" w:hAnsi="Verdana"/>
          <w:sz w:val="22"/>
          <w:szCs w:val="22"/>
        </w:rPr>
      </w:pPr>
    </w:p>
    <w:p w14:paraId="0873F145" w14:textId="77777777" w:rsidR="00A01A5C" w:rsidRPr="00A01A5C" w:rsidRDefault="00A01A5C" w:rsidP="00A01A5C">
      <w:pPr>
        <w:jc w:val="both"/>
        <w:rPr>
          <w:rFonts w:ascii="Verdana" w:hAnsi="Verdana"/>
          <w:sz w:val="22"/>
          <w:szCs w:val="22"/>
        </w:rPr>
      </w:pPr>
      <w:r w:rsidRPr="00A01A5C">
        <w:rPr>
          <w:rFonts w:ascii="Verdana" w:hAnsi="Verdana"/>
          <w:sz w:val="22"/>
          <w:szCs w:val="22"/>
        </w:rPr>
        <w:t xml:space="preserve">Following closure of the tri-force Equip programme, a new Surrey &amp; Sussex ERP Programme has been set up to look at future ERP work. In Sussex and Surrey Police the respective Chief Constable’s and PCC’s are considering a range of options for use, development of the Equip assets and/or additional ERP solutions for enhanced functionality. Surrey Police bears 22% of the total partnership project costs.  </w:t>
      </w:r>
    </w:p>
    <w:p w14:paraId="62FBA28E" w14:textId="77777777" w:rsidR="00A01A5C" w:rsidRPr="00A01A5C" w:rsidRDefault="00A01A5C" w:rsidP="00A01A5C">
      <w:pPr>
        <w:jc w:val="both"/>
        <w:rPr>
          <w:rFonts w:ascii="Verdana" w:hAnsi="Verdana"/>
          <w:sz w:val="22"/>
          <w:szCs w:val="22"/>
        </w:rPr>
      </w:pPr>
    </w:p>
    <w:p w14:paraId="6A980E28" w14:textId="77777777" w:rsidR="00A01A5C" w:rsidRPr="00A01A5C" w:rsidRDefault="00A01A5C" w:rsidP="00A01A5C">
      <w:pPr>
        <w:jc w:val="both"/>
        <w:rPr>
          <w:rFonts w:ascii="Verdana" w:hAnsi="Verdana"/>
          <w:sz w:val="22"/>
          <w:szCs w:val="22"/>
        </w:rPr>
      </w:pPr>
      <w:r w:rsidRPr="00A01A5C">
        <w:rPr>
          <w:rFonts w:ascii="Verdana" w:hAnsi="Verdana"/>
          <w:sz w:val="22"/>
          <w:szCs w:val="22"/>
        </w:rPr>
        <w:t>Prior to 2020/21 Sussex Police and Surrey Police had spent £7.276m and £5.723m respectively on the Equip programme and this had been fully released to revenue on the basis that the end asset platform providing the software as a service to Sussex and Surrey would not be owned by Sussex Police or Surrey Police.</w:t>
      </w:r>
    </w:p>
    <w:p w14:paraId="6663F5F0" w14:textId="77777777" w:rsidR="00A01A5C" w:rsidRPr="00A01A5C" w:rsidRDefault="00A01A5C" w:rsidP="00A01A5C">
      <w:pPr>
        <w:jc w:val="both"/>
        <w:rPr>
          <w:rFonts w:ascii="Verdana" w:hAnsi="Verdana"/>
          <w:sz w:val="22"/>
          <w:szCs w:val="22"/>
        </w:rPr>
      </w:pPr>
    </w:p>
    <w:p w14:paraId="21C3BFF0" w14:textId="043B65DC" w:rsidR="00A01A5C" w:rsidRPr="00A01A5C" w:rsidRDefault="00A01A5C" w:rsidP="00A01A5C">
      <w:pPr>
        <w:jc w:val="both"/>
        <w:rPr>
          <w:rFonts w:ascii="Verdana" w:hAnsi="Verdana"/>
          <w:sz w:val="22"/>
          <w:szCs w:val="22"/>
        </w:rPr>
      </w:pPr>
      <w:r w:rsidRPr="00A01A5C">
        <w:rPr>
          <w:rFonts w:ascii="Verdana" w:hAnsi="Verdana"/>
          <w:sz w:val="22"/>
          <w:szCs w:val="22"/>
        </w:rPr>
        <w:t>During 2020/21 Sussex Police spent a further £5.385m and Surrey Police spent a further £3.791m on the Equip programme. Sussex Police spent £2.752m of that amount on the capital asset purchase from KPMG whilst Surrey Police spent £1.918m of the total on the capital asset purchase from KPMG. All remaining amounts were revenue charges for the Equip team and related running costs during the year.</w:t>
      </w:r>
      <w:r w:rsidR="00E73C9B">
        <w:rPr>
          <w:rFonts w:ascii="Verdana" w:hAnsi="Verdana"/>
          <w:sz w:val="22"/>
          <w:szCs w:val="22"/>
        </w:rPr>
        <w:t xml:space="preserve"> </w:t>
      </w:r>
      <w:r w:rsidRPr="00A01A5C">
        <w:rPr>
          <w:rFonts w:ascii="Verdana" w:hAnsi="Verdana"/>
          <w:sz w:val="22"/>
          <w:szCs w:val="22"/>
        </w:rPr>
        <w:t xml:space="preserve">No further sums will be spent on the Equip programme in 2021/22 or later years. </w:t>
      </w:r>
    </w:p>
    <w:p w14:paraId="66D1FC23" w14:textId="77777777" w:rsidR="00F227D9" w:rsidRPr="00A01A5C" w:rsidRDefault="00F227D9" w:rsidP="00F227D9">
      <w:pPr>
        <w:pStyle w:val="Normal0"/>
        <w:jc w:val="both"/>
        <w:rPr>
          <w:rFonts w:ascii="Verdana" w:eastAsia="Times New Roman" w:hAnsi="Verdana" w:cs="Arial"/>
          <w:color w:val="282828"/>
          <w:sz w:val="22"/>
          <w:szCs w:val="22"/>
          <w:lang w:val="en-GB" w:eastAsia="en-GB"/>
        </w:rPr>
      </w:pPr>
    </w:p>
    <w:p w14:paraId="20C2C29A" w14:textId="77777777" w:rsidR="001C3F6C" w:rsidRPr="00A01A5C" w:rsidRDefault="001C3F6C">
      <w:pPr>
        <w:rPr>
          <w:rFonts w:ascii="Verdana" w:eastAsia="Times New Roman" w:hAnsi="Verdana" w:cs="Arial"/>
          <w:b/>
          <w:sz w:val="22"/>
          <w:szCs w:val="22"/>
          <w:lang w:val="en-GB" w:eastAsia="en-GB"/>
        </w:rPr>
      </w:pPr>
    </w:p>
    <w:p w14:paraId="6AB05965" w14:textId="77777777" w:rsidR="00F227D9" w:rsidRPr="00A01A5C" w:rsidRDefault="00F227D9" w:rsidP="005E3E6F">
      <w:pPr>
        <w:pStyle w:val="Style1"/>
        <w:numPr>
          <w:ilvl w:val="0"/>
          <w:numId w:val="9"/>
        </w:numPr>
        <w:rPr>
          <w:rFonts w:ascii="Verdana" w:hAnsi="Verdana"/>
          <w:sz w:val="22"/>
          <w:szCs w:val="22"/>
          <w:lang w:val="en-GB" w:eastAsia="en-GB"/>
        </w:rPr>
      </w:pPr>
      <w:r w:rsidRPr="00A01A5C">
        <w:rPr>
          <w:rFonts w:ascii="Verdana" w:hAnsi="Verdana"/>
          <w:sz w:val="22"/>
          <w:szCs w:val="22"/>
          <w:lang w:val="en-GB" w:eastAsia="en-GB"/>
        </w:rPr>
        <w:t>Financial Outlook</w:t>
      </w:r>
    </w:p>
    <w:p w14:paraId="0A627487" w14:textId="77777777" w:rsidR="00F227D9" w:rsidRPr="00A01A5C" w:rsidRDefault="00F227D9" w:rsidP="00F227D9">
      <w:pPr>
        <w:pStyle w:val="Style1"/>
        <w:numPr>
          <w:ilvl w:val="0"/>
          <w:numId w:val="0"/>
        </w:numPr>
        <w:ind w:left="720"/>
        <w:rPr>
          <w:rFonts w:ascii="Verdana" w:hAnsi="Verdana"/>
          <w:sz w:val="22"/>
          <w:szCs w:val="22"/>
          <w:lang w:val="en-GB" w:eastAsia="en-GB"/>
        </w:rPr>
      </w:pPr>
    </w:p>
    <w:p w14:paraId="7E1D03AE" w14:textId="77777777" w:rsidR="00F227D9" w:rsidRPr="00A01A5C" w:rsidRDefault="00F227D9" w:rsidP="00F227D9">
      <w:pPr>
        <w:pStyle w:val="Normal0"/>
        <w:jc w:val="both"/>
        <w:rPr>
          <w:rFonts w:ascii="Verdana" w:eastAsia="Times New Roman" w:hAnsi="Verdana" w:cs="Arial"/>
          <w:sz w:val="22"/>
          <w:szCs w:val="22"/>
          <w:lang w:val="en-GB" w:eastAsia="en-GB"/>
        </w:rPr>
      </w:pPr>
      <w:r w:rsidRPr="00A01A5C">
        <w:rPr>
          <w:rFonts w:ascii="Verdana" w:eastAsia="Times New Roman" w:hAnsi="Verdana" w:cs="Arial"/>
          <w:sz w:val="22"/>
          <w:szCs w:val="22"/>
          <w:lang w:val="en-GB" w:eastAsia="en-GB"/>
        </w:rPr>
        <w:t>The financial statements are prepared on the assumption that the legal entity of the Chief Constable of Surrey Police is a going concern, meaning that it will continue to operate for the foreseeable future and will be able to realise assets and discharge liabilities in the normal course of operations.</w:t>
      </w:r>
    </w:p>
    <w:p w14:paraId="3A232398" w14:textId="77777777" w:rsidR="00F227D9" w:rsidRPr="00A01A5C" w:rsidRDefault="00F227D9" w:rsidP="00F227D9">
      <w:pPr>
        <w:pStyle w:val="Normal0"/>
        <w:jc w:val="both"/>
        <w:rPr>
          <w:rFonts w:ascii="Verdana" w:eastAsia="Times New Roman" w:hAnsi="Verdana" w:cs="Arial"/>
          <w:sz w:val="22"/>
          <w:szCs w:val="22"/>
          <w:lang w:val="en-GB" w:eastAsia="en-GB"/>
        </w:rPr>
      </w:pPr>
    </w:p>
    <w:p w14:paraId="711961F2" w14:textId="77777777" w:rsidR="00F227D9" w:rsidRPr="00A01A5C" w:rsidRDefault="00F227D9" w:rsidP="00F227D9">
      <w:pPr>
        <w:pStyle w:val="Normal0"/>
        <w:jc w:val="both"/>
        <w:rPr>
          <w:rFonts w:ascii="Verdana" w:eastAsia="Times New Roman" w:hAnsi="Verdana" w:cs="Arial"/>
          <w:sz w:val="22"/>
          <w:szCs w:val="22"/>
          <w:lang w:val="en-GB" w:eastAsia="en-GB"/>
        </w:rPr>
      </w:pPr>
      <w:r w:rsidRPr="00A01A5C">
        <w:rPr>
          <w:rFonts w:ascii="Verdana" w:eastAsia="Times New Roman" w:hAnsi="Verdana" w:cs="Arial"/>
          <w:sz w:val="22"/>
          <w:szCs w:val="22"/>
          <w:lang w:val="en-GB" w:eastAsia="en-GB"/>
        </w:rPr>
        <w:t>The key accounting concept of a going concern assumes that an organisation, its functions and services will continue in operational existence for the foreseeable future. Where this is not the case, particular care will be needed in the valuation of assets. An ability to apply the going concern concept can have a fundamental impact on the financial statements.</w:t>
      </w:r>
    </w:p>
    <w:p w14:paraId="75CF780C" w14:textId="77777777" w:rsidR="00F227D9" w:rsidRPr="00A01A5C" w:rsidRDefault="00F227D9" w:rsidP="00F227D9">
      <w:pPr>
        <w:pStyle w:val="Normal0"/>
        <w:jc w:val="both"/>
        <w:rPr>
          <w:rFonts w:ascii="Verdana" w:eastAsia="Times New Roman" w:hAnsi="Verdana" w:cs="Arial"/>
          <w:sz w:val="22"/>
          <w:szCs w:val="22"/>
          <w:lang w:val="en-GB" w:eastAsia="en-GB"/>
        </w:rPr>
      </w:pPr>
    </w:p>
    <w:p w14:paraId="333D5D5F" w14:textId="77777777" w:rsidR="00F227D9" w:rsidRPr="00A01A5C" w:rsidRDefault="00F227D9" w:rsidP="00F227D9">
      <w:pPr>
        <w:pStyle w:val="Normal0"/>
        <w:jc w:val="both"/>
        <w:rPr>
          <w:rFonts w:ascii="Verdana" w:eastAsia="Times New Roman" w:hAnsi="Verdana" w:cs="Arial"/>
          <w:sz w:val="22"/>
          <w:szCs w:val="22"/>
          <w:lang w:val="en-GB" w:eastAsia="en-GB"/>
        </w:rPr>
      </w:pPr>
      <w:r w:rsidRPr="00A01A5C">
        <w:rPr>
          <w:rFonts w:ascii="Verdana" w:eastAsia="Times New Roman" w:hAnsi="Verdana" w:cs="Arial"/>
          <w:sz w:val="22"/>
          <w:szCs w:val="22"/>
          <w:lang w:val="en-GB" w:eastAsia="en-GB"/>
        </w:rPr>
        <w:t>The Local Government Accounting Code makes it clear that government changes should not be seen as having a detrimental impact on the Chief Constable continuing as a going concern. In addition to this a policing body cannot be created or dissolved without statutory prescription, and accordingly must prepare their financial statements on a going concern basis of accounting.</w:t>
      </w:r>
    </w:p>
    <w:p w14:paraId="5433C679" w14:textId="77777777" w:rsidR="00F227D9" w:rsidRPr="00A01A5C" w:rsidRDefault="00F227D9" w:rsidP="00F227D9">
      <w:pPr>
        <w:pStyle w:val="Normal0"/>
        <w:autoSpaceDE w:val="0"/>
        <w:autoSpaceDN w:val="0"/>
        <w:adjustRightInd w:val="0"/>
        <w:jc w:val="both"/>
        <w:rPr>
          <w:rFonts w:ascii="Verdana" w:eastAsia="Times New Roman" w:hAnsi="Verdana" w:cs="Arial"/>
          <w:sz w:val="22"/>
          <w:szCs w:val="22"/>
          <w:lang w:val="en-GB" w:eastAsia="en-GB"/>
        </w:rPr>
      </w:pPr>
    </w:p>
    <w:p w14:paraId="6151FC4D" w14:textId="77777777" w:rsidR="00F227D9" w:rsidRPr="00A01A5C" w:rsidRDefault="00F227D9" w:rsidP="00F227D9">
      <w:pPr>
        <w:pStyle w:val="Normal0"/>
        <w:autoSpaceDE w:val="0"/>
        <w:autoSpaceDN w:val="0"/>
        <w:adjustRightInd w:val="0"/>
        <w:jc w:val="both"/>
        <w:rPr>
          <w:rFonts w:ascii="Verdana" w:eastAsia="Times New Roman" w:hAnsi="Verdana" w:cs="Arial"/>
          <w:sz w:val="22"/>
          <w:szCs w:val="22"/>
          <w:lang w:val="en-GB" w:eastAsia="en-GB"/>
        </w:rPr>
      </w:pPr>
      <w:r w:rsidRPr="00A01A5C">
        <w:rPr>
          <w:rFonts w:ascii="Verdana" w:eastAsia="Times New Roman" w:hAnsi="Verdana" w:cs="Arial"/>
          <w:sz w:val="22"/>
          <w:szCs w:val="22"/>
          <w:lang w:val="en-GB" w:eastAsia="en-GB"/>
        </w:rPr>
        <w:t xml:space="preserve">Unusable reserves on the balance sheet include the large negative pension reserve which is mainly due to the police pension schemes being unfunded i.e. with no fund assets to offset future liabilities when existing police officers have all retired. The statutory arrangements for funding the liability mean that the Chief Constable’s financial position remains sound. </w:t>
      </w:r>
    </w:p>
    <w:p w14:paraId="214908D7" w14:textId="77777777" w:rsidR="00F227D9" w:rsidRPr="00A01A5C" w:rsidRDefault="00F227D9" w:rsidP="00F227D9">
      <w:pPr>
        <w:pStyle w:val="Normal0"/>
        <w:autoSpaceDE w:val="0"/>
        <w:autoSpaceDN w:val="0"/>
        <w:adjustRightInd w:val="0"/>
        <w:jc w:val="both"/>
        <w:rPr>
          <w:rFonts w:ascii="Verdana" w:eastAsia="Times New Roman" w:hAnsi="Verdana" w:cs="Arial"/>
          <w:sz w:val="22"/>
          <w:szCs w:val="22"/>
          <w:lang w:val="en-GB" w:eastAsia="en-GB"/>
        </w:rPr>
      </w:pPr>
    </w:p>
    <w:p w14:paraId="09E4E50B" w14:textId="77777777" w:rsidR="00F227D9" w:rsidRPr="00A01A5C" w:rsidRDefault="00F227D9" w:rsidP="00F227D9">
      <w:pPr>
        <w:pStyle w:val="Normal0"/>
        <w:autoSpaceDE w:val="0"/>
        <w:autoSpaceDN w:val="0"/>
        <w:adjustRightInd w:val="0"/>
        <w:jc w:val="both"/>
        <w:rPr>
          <w:rFonts w:ascii="Verdana" w:eastAsia="Times New Roman" w:hAnsi="Verdana" w:cs="Arial"/>
          <w:sz w:val="22"/>
          <w:szCs w:val="22"/>
          <w:lang w:val="en-GB" w:eastAsia="en-GB"/>
        </w:rPr>
      </w:pPr>
      <w:r w:rsidRPr="00A01A5C">
        <w:rPr>
          <w:rFonts w:ascii="Verdana" w:eastAsia="Times New Roman" w:hAnsi="Verdana" w:cs="Times New Roman"/>
          <w:sz w:val="22"/>
          <w:szCs w:val="22"/>
          <w:lang w:val="en-GB" w:eastAsia="en-GB"/>
        </w:rPr>
        <w:t>Usable reserves are a key part of budget setting and financial planning, such reserves are held by the PCC, with the general reserves strategy being to maintain a balance that does not fall below 3% of the budget. A number of earmarked revenue reserves are also held for specific purposes or activities. The use of general reserves assists in financial planning to mitigate any short term predicted funding gaps.</w:t>
      </w:r>
    </w:p>
    <w:p w14:paraId="2D338EAB" w14:textId="77777777" w:rsidR="00F227D9" w:rsidRPr="00A01A5C" w:rsidRDefault="00F227D9" w:rsidP="00F227D9">
      <w:pPr>
        <w:pStyle w:val="Normal0"/>
        <w:jc w:val="both"/>
        <w:rPr>
          <w:rFonts w:ascii="Verdana" w:eastAsia="Times New Roman" w:hAnsi="Verdana" w:cs="Arial"/>
          <w:sz w:val="22"/>
          <w:szCs w:val="22"/>
          <w:lang w:val="en-GB" w:eastAsia="en-GB"/>
        </w:rPr>
      </w:pPr>
    </w:p>
    <w:p w14:paraId="2DF50E63" w14:textId="77777777" w:rsidR="00F227D9" w:rsidRPr="00A01A5C" w:rsidRDefault="00F227D9" w:rsidP="00F227D9">
      <w:pPr>
        <w:pStyle w:val="Normal0"/>
        <w:jc w:val="both"/>
        <w:rPr>
          <w:rFonts w:ascii="Verdana" w:eastAsia="Times New Roman" w:hAnsi="Verdana" w:cs="Arial"/>
          <w:sz w:val="22"/>
          <w:szCs w:val="22"/>
          <w:lang w:val="en-GB" w:eastAsia="en-GB"/>
        </w:rPr>
      </w:pPr>
      <w:r w:rsidRPr="00A01A5C">
        <w:rPr>
          <w:rFonts w:ascii="Verdana" w:eastAsia="Times New Roman" w:hAnsi="Verdana" w:cs="Arial"/>
          <w:sz w:val="22"/>
          <w:szCs w:val="22"/>
          <w:lang w:val="en-GB" w:eastAsia="en-GB"/>
        </w:rPr>
        <w:t xml:space="preserve">The financial resilience and sustainability of the Force is monitored by the production and review of the Medium Term Financial Plan (MTFP). The MTFP supports the Force Business Plan incorporating all known financial and business assumptions along with developing a number of planning scenarios for consideration by the Chief Officer Group. </w:t>
      </w:r>
    </w:p>
    <w:p w14:paraId="2D35C4C2" w14:textId="77777777" w:rsidR="00F227D9" w:rsidRPr="00A01A5C" w:rsidRDefault="00F227D9" w:rsidP="00F227D9">
      <w:pPr>
        <w:pStyle w:val="Normal0"/>
        <w:jc w:val="both"/>
        <w:rPr>
          <w:rFonts w:ascii="Verdana" w:eastAsia="Times New Roman" w:hAnsi="Verdana" w:cs="Arial"/>
          <w:sz w:val="22"/>
          <w:szCs w:val="22"/>
          <w:lang w:val="en-GB" w:eastAsia="en-GB"/>
        </w:rPr>
      </w:pPr>
    </w:p>
    <w:p w14:paraId="02CA0353" w14:textId="31BF7251" w:rsidR="00CC67D1" w:rsidRPr="003B2596" w:rsidRDefault="00CC67D1" w:rsidP="00F227D9">
      <w:pPr>
        <w:pStyle w:val="Normal0"/>
        <w:jc w:val="both"/>
        <w:rPr>
          <w:rFonts w:ascii="Verdana" w:eastAsia="Times New Roman" w:hAnsi="Verdana" w:cs="Arial"/>
          <w:sz w:val="22"/>
          <w:szCs w:val="22"/>
          <w:lang w:val="en-GB" w:eastAsia="en-GB"/>
        </w:rPr>
      </w:pPr>
      <w:r w:rsidRPr="00A01A5C">
        <w:rPr>
          <w:rFonts w:ascii="Verdana" w:hAnsi="Verdana"/>
          <w:sz w:val="22"/>
          <w:szCs w:val="22"/>
        </w:rPr>
        <w:t>The annual revenue budget for 2020/21 was set by the PCC at £2</w:t>
      </w:r>
      <w:r w:rsidR="00A01A5C" w:rsidRPr="00A01A5C">
        <w:rPr>
          <w:rFonts w:ascii="Verdana" w:hAnsi="Verdana"/>
          <w:sz w:val="22"/>
          <w:szCs w:val="22"/>
        </w:rPr>
        <w:t>61.7</w:t>
      </w:r>
      <w:r w:rsidRPr="00A01A5C">
        <w:rPr>
          <w:rFonts w:ascii="Verdana" w:hAnsi="Verdana"/>
          <w:sz w:val="22"/>
          <w:szCs w:val="22"/>
        </w:rPr>
        <w:t>m (20</w:t>
      </w:r>
      <w:r w:rsidR="00A01A5C" w:rsidRPr="00A01A5C">
        <w:rPr>
          <w:rFonts w:ascii="Verdana" w:hAnsi="Verdana"/>
          <w:sz w:val="22"/>
          <w:szCs w:val="22"/>
        </w:rPr>
        <w:t>20</w:t>
      </w:r>
      <w:r w:rsidRPr="00A01A5C">
        <w:rPr>
          <w:rFonts w:ascii="Verdana" w:hAnsi="Verdana"/>
          <w:sz w:val="22"/>
          <w:szCs w:val="22"/>
        </w:rPr>
        <w:t>/2</w:t>
      </w:r>
      <w:r w:rsidR="00A01A5C" w:rsidRPr="00A01A5C">
        <w:rPr>
          <w:rFonts w:ascii="Verdana" w:hAnsi="Verdana"/>
          <w:sz w:val="22"/>
          <w:szCs w:val="22"/>
        </w:rPr>
        <w:t>1</w:t>
      </w:r>
      <w:r w:rsidRPr="00A01A5C">
        <w:rPr>
          <w:rFonts w:ascii="Verdana" w:hAnsi="Verdana"/>
          <w:sz w:val="22"/>
          <w:szCs w:val="22"/>
        </w:rPr>
        <w:t xml:space="preserve"> £2</w:t>
      </w:r>
      <w:r w:rsidR="00A01A5C" w:rsidRPr="00A01A5C">
        <w:rPr>
          <w:rFonts w:ascii="Verdana" w:hAnsi="Verdana"/>
          <w:sz w:val="22"/>
          <w:szCs w:val="22"/>
        </w:rPr>
        <w:t>50.0</w:t>
      </w:r>
      <w:r w:rsidRPr="00A01A5C">
        <w:rPr>
          <w:rFonts w:ascii="Verdana" w:hAnsi="Verdana"/>
          <w:sz w:val="22"/>
          <w:szCs w:val="22"/>
        </w:rPr>
        <w:t>m) of which the Chief Constable’s budget amounted to £2</w:t>
      </w:r>
      <w:r w:rsidR="00A01A5C" w:rsidRPr="00A01A5C">
        <w:rPr>
          <w:rFonts w:ascii="Verdana" w:hAnsi="Verdana"/>
          <w:sz w:val="22"/>
          <w:szCs w:val="22"/>
        </w:rPr>
        <w:t>59.0</w:t>
      </w:r>
      <w:r w:rsidRPr="00A01A5C">
        <w:rPr>
          <w:rFonts w:ascii="Verdana" w:hAnsi="Verdana"/>
          <w:sz w:val="22"/>
          <w:szCs w:val="22"/>
        </w:rPr>
        <w:t>m (201</w:t>
      </w:r>
      <w:r w:rsidR="00A01A5C" w:rsidRPr="00A01A5C">
        <w:rPr>
          <w:rFonts w:ascii="Verdana" w:hAnsi="Verdana"/>
          <w:sz w:val="22"/>
          <w:szCs w:val="22"/>
        </w:rPr>
        <w:t>9</w:t>
      </w:r>
      <w:r w:rsidRPr="00A01A5C">
        <w:rPr>
          <w:rFonts w:ascii="Verdana" w:hAnsi="Verdana"/>
          <w:sz w:val="22"/>
          <w:szCs w:val="22"/>
        </w:rPr>
        <w:t>/</w:t>
      </w:r>
      <w:r w:rsidR="00A01A5C" w:rsidRPr="00A01A5C">
        <w:rPr>
          <w:rFonts w:ascii="Verdana" w:hAnsi="Verdana"/>
          <w:sz w:val="22"/>
          <w:szCs w:val="22"/>
        </w:rPr>
        <w:t>20</w:t>
      </w:r>
      <w:r w:rsidRPr="00A01A5C">
        <w:rPr>
          <w:rFonts w:ascii="Verdana" w:hAnsi="Verdana"/>
          <w:sz w:val="22"/>
          <w:szCs w:val="22"/>
        </w:rPr>
        <w:t xml:space="preserve"> £</w:t>
      </w:r>
      <w:r w:rsidR="00A01A5C" w:rsidRPr="00A01A5C">
        <w:rPr>
          <w:rFonts w:ascii="Verdana" w:hAnsi="Verdana"/>
          <w:sz w:val="22"/>
          <w:szCs w:val="22"/>
        </w:rPr>
        <w:t>247.</w:t>
      </w:r>
      <w:r w:rsidR="00A01A5C" w:rsidRPr="003B2596">
        <w:rPr>
          <w:rFonts w:ascii="Verdana" w:hAnsi="Verdana"/>
          <w:sz w:val="22"/>
          <w:szCs w:val="22"/>
        </w:rPr>
        <w:t>9</w:t>
      </w:r>
      <w:r w:rsidRPr="003B2596">
        <w:rPr>
          <w:rFonts w:ascii="Verdana" w:hAnsi="Verdana"/>
          <w:sz w:val="22"/>
          <w:szCs w:val="22"/>
        </w:rPr>
        <w:t>m).</w:t>
      </w:r>
      <w:r w:rsidR="002829E7" w:rsidRPr="003B2596">
        <w:rPr>
          <w:rFonts w:ascii="Verdana" w:hAnsi="Verdana"/>
          <w:sz w:val="22"/>
          <w:szCs w:val="22"/>
        </w:rPr>
        <w:t xml:space="preserve"> In 202</w:t>
      </w:r>
      <w:r w:rsidR="00A01A5C" w:rsidRPr="003B2596">
        <w:rPr>
          <w:rFonts w:ascii="Verdana" w:hAnsi="Verdana"/>
          <w:sz w:val="22"/>
          <w:szCs w:val="22"/>
        </w:rPr>
        <w:t>1</w:t>
      </w:r>
      <w:r w:rsidR="002829E7" w:rsidRPr="003B2596">
        <w:rPr>
          <w:rFonts w:ascii="Verdana" w:hAnsi="Verdana"/>
          <w:sz w:val="22"/>
          <w:szCs w:val="22"/>
        </w:rPr>
        <w:t>/2</w:t>
      </w:r>
      <w:r w:rsidR="00A01A5C" w:rsidRPr="003B2596">
        <w:rPr>
          <w:rFonts w:ascii="Verdana" w:hAnsi="Verdana"/>
          <w:sz w:val="22"/>
          <w:szCs w:val="22"/>
        </w:rPr>
        <w:t>2</w:t>
      </w:r>
      <w:r w:rsidR="002829E7" w:rsidRPr="003B2596">
        <w:rPr>
          <w:rFonts w:ascii="Verdana" w:hAnsi="Verdana"/>
          <w:sz w:val="22"/>
          <w:szCs w:val="22"/>
        </w:rPr>
        <w:t>, the force will receive extra funding for an extra 7</w:t>
      </w:r>
      <w:r w:rsidR="00A01A5C" w:rsidRPr="003B2596">
        <w:rPr>
          <w:rFonts w:ascii="Verdana" w:hAnsi="Verdana"/>
          <w:sz w:val="22"/>
          <w:szCs w:val="22"/>
        </w:rPr>
        <w:t>2</w:t>
      </w:r>
      <w:r w:rsidR="002829E7" w:rsidRPr="003B2596">
        <w:rPr>
          <w:rFonts w:ascii="Verdana" w:hAnsi="Verdana"/>
          <w:sz w:val="22"/>
          <w:szCs w:val="22"/>
        </w:rPr>
        <w:t xml:space="preserve"> police officers</w:t>
      </w:r>
      <w:r w:rsidR="00A01A5C" w:rsidRPr="003B2596">
        <w:rPr>
          <w:rFonts w:ascii="Verdana" w:hAnsi="Verdana"/>
          <w:sz w:val="22"/>
          <w:szCs w:val="22"/>
        </w:rPr>
        <w:t xml:space="preserve"> (2020/21: 78 police officers)</w:t>
      </w:r>
      <w:r w:rsidR="002829E7" w:rsidRPr="003B2596">
        <w:rPr>
          <w:rFonts w:ascii="Verdana" w:hAnsi="Verdana"/>
          <w:sz w:val="22"/>
          <w:szCs w:val="22"/>
        </w:rPr>
        <w:t xml:space="preserve"> as part of the government’s programme to increase numbers nationally by 20,000 over the </w:t>
      </w:r>
      <w:r w:rsidR="00A01A5C" w:rsidRPr="003B2596">
        <w:rPr>
          <w:rFonts w:ascii="Verdana" w:hAnsi="Verdana"/>
          <w:sz w:val="22"/>
          <w:szCs w:val="22"/>
        </w:rPr>
        <w:t>three year period</w:t>
      </w:r>
      <w:r w:rsidR="002829E7" w:rsidRPr="003B2596">
        <w:rPr>
          <w:rFonts w:ascii="Verdana" w:hAnsi="Verdana"/>
          <w:sz w:val="22"/>
          <w:szCs w:val="22"/>
        </w:rPr>
        <w:t xml:space="preserve">. </w:t>
      </w:r>
    </w:p>
    <w:p w14:paraId="1AEE2726" w14:textId="77777777" w:rsidR="00CC67D1" w:rsidRPr="003B2596" w:rsidRDefault="00CC67D1" w:rsidP="00F227D9">
      <w:pPr>
        <w:pStyle w:val="Normal0"/>
        <w:jc w:val="both"/>
        <w:rPr>
          <w:rFonts w:ascii="Verdana" w:eastAsia="Times New Roman" w:hAnsi="Verdana" w:cs="Arial"/>
          <w:sz w:val="22"/>
          <w:szCs w:val="22"/>
          <w:lang w:val="en-GB" w:eastAsia="en-GB"/>
        </w:rPr>
      </w:pPr>
    </w:p>
    <w:p w14:paraId="3D60A5CA" w14:textId="65A5BD2B" w:rsidR="00CC67D1" w:rsidRPr="003B2596" w:rsidRDefault="00CC67D1" w:rsidP="00F227D9">
      <w:pPr>
        <w:pStyle w:val="Normal0"/>
        <w:jc w:val="both"/>
        <w:rPr>
          <w:rFonts w:ascii="Verdana" w:eastAsia="Times New Roman" w:hAnsi="Verdana" w:cs="Arial"/>
          <w:sz w:val="22"/>
          <w:szCs w:val="22"/>
          <w:lang w:val="en-GB" w:eastAsia="en-GB"/>
        </w:rPr>
      </w:pPr>
      <w:r w:rsidRPr="003B2596">
        <w:rPr>
          <w:rFonts w:ascii="Verdana" w:eastAsia="Times New Roman" w:hAnsi="Verdana" w:cs="Arial"/>
          <w:sz w:val="22"/>
          <w:szCs w:val="22"/>
          <w:lang w:val="en-GB" w:eastAsia="en-GB"/>
        </w:rPr>
        <w:t>Details of the PCC’s plans for revenue and capital expenditure in 202</w:t>
      </w:r>
      <w:r w:rsidR="003B2596" w:rsidRPr="003B2596">
        <w:rPr>
          <w:rFonts w:ascii="Verdana" w:eastAsia="Times New Roman" w:hAnsi="Verdana" w:cs="Arial"/>
          <w:sz w:val="22"/>
          <w:szCs w:val="22"/>
          <w:lang w:val="en-GB" w:eastAsia="en-GB"/>
        </w:rPr>
        <w:t>1</w:t>
      </w:r>
      <w:r w:rsidRPr="003B2596">
        <w:rPr>
          <w:rFonts w:ascii="Verdana" w:eastAsia="Times New Roman" w:hAnsi="Verdana" w:cs="Arial"/>
          <w:sz w:val="22"/>
          <w:szCs w:val="22"/>
          <w:lang w:val="en-GB" w:eastAsia="en-GB"/>
        </w:rPr>
        <w:t>/2</w:t>
      </w:r>
      <w:r w:rsidR="003B2596" w:rsidRPr="003B2596">
        <w:rPr>
          <w:rFonts w:ascii="Verdana" w:eastAsia="Times New Roman" w:hAnsi="Verdana" w:cs="Arial"/>
          <w:sz w:val="22"/>
          <w:szCs w:val="22"/>
          <w:lang w:val="en-GB" w:eastAsia="en-GB"/>
        </w:rPr>
        <w:t>2</w:t>
      </w:r>
      <w:r w:rsidRPr="003B2596">
        <w:rPr>
          <w:rFonts w:ascii="Verdana" w:eastAsia="Times New Roman" w:hAnsi="Verdana" w:cs="Arial"/>
          <w:sz w:val="22"/>
          <w:szCs w:val="22"/>
          <w:lang w:val="en-GB" w:eastAsia="en-GB"/>
        </w:rPr>
        <w:t xml:space="preserve"> budget can be found in the Surrey Police and Crime Commissioner’s Precept Setting proposal. Whilst the annual budget is agreed by the PCC it is scrutinised by the Police and Crime Panel before a final decision is made. Copies of the documents can be obtained from the Office of the Police and Crime Commissioner for Surrey by telephoning: 01483 630200, or from the website at www.surrey-pcc.gov.uk.</w:t>
      </w:r>
    </w:p>
    <w:p w14:paraId="3FC4FDB7" w14:textId="77777777" w:rsidR="00451C18" w:rsidRPr="003B2596" w:rsidRDefault="00451C18">
      <w:pPr>
        <w:rPr>
          <w:rFonts w:ascii="Verdana" w:hAnsi="Verdana"/>
          <w:sz w:val="22"/>
          <w:szCs w:val="22"/>
        </w:rPr>
      </w:pPr>
    </w:p>
    <w:p w14:paraId="03462C54" w14:textId="77777777" w:rsidR="00661521" w:rsidRPr="003B2596" w:rsidRDefault="00661521" w:rsidP="00661521">
      <w:pPr>
        <w:jc w:val="both"/>
        <w:rPr>
          <w:rFonts w:ascii="Verdana" w:hAnsi="Verdana"/>
          <w:sz w:val="22"/>
          <w:szCs w:val="22"/>
        </w:rPr>
      </w:pPr>
      <w:r w:rsidRPr="003B2596">
        <w:rPr>
          <w:rFonts w:ascii="Verdana" w:hAnsi="Verdana"/>
          <w:sz w:val="22"/>
          <w:szCs w:val="22"/>
        </w:rPr>
        <w:t xml:space="preserve">If you have any questions, comments or suggestions about these financial statements please contact us using the following email address: </w:t>
      </w:r>
      <w:hyperlink r:id="rId13" w:history="1">
        <w:r w:rsidRPr="003B2596">
          <w:rPr>
            <w:rStyle w:val="Hyperlink"/>
            <w:rFonts w:ascii="Verdana" w:hAnsi="Verdana"/>
            <w:sz w:val="22"/>
            <w:szCs w:val="22"/>
          </w:rPr>
          <w:t>CorporateFinance@Surrey.pnn.police.uk</w:t>
        </w:r>
      </w:hyperlink>
      <w:r w:rsidRPr="003B2596">
        <w:rPr>
          <w:rFonts w:ascii="Verdana" w:hAnsi="Verdana"/>
          <w:sz w:val="22"/>
          <w:szCs w:val="22"/>
        </w:rPr>
        <w:t>.</w:t>
      </w:r>
    </w:p>
    <w:p w14:paraId="361F33A3" w14:textId="77777777" w:rsidR="00F227D9" w:rsidRPr="003B2596" w:rsidRDefault="00F227D9" w:rsidP="00F227D9">
      <w:pPr>
        <w:pStyle w:val="Normal0"/>
        <w:jc w:val="both"/>
        <w:rPr>
          <w:rFonts w:ascii="Verdana" w:eastAsia="Times New Roman" w:hAnsi="Verdana" w:cs="Arial"/>
          <w:sz w:val="22"/>
          <w:szCs w:val="22"/>
          <w:lang w:val="en-GB" w:eastAsia="en-GB"/>
        </w:rPr>
      </w:pPr>
    </w:p>
    <w:p w14:paraId="660CB2A1" w14:textId="77777777" w:rsidR="00F227D9" w:rsidRPr="003B2596" w:rsidRDefault="00F227D9" w:rsidP="00F227D9">
      <w:pPr>
        <w:pStyle w:val="Normal0"/>
        <w:jc w:val="both"/>
        <w:rPr>
          <w:rFonts w:ascii="Verdana" w:eastAsia="Times New Roman" w:hAnsi="Verdana" w:cs="Arial"/>
          <w:b/>
          <w:sz w:val="22"/>
          <w:szCs w:val="22"/>
          <w:lang w:val="en-GB" w:eastAsia="en-GB"/>
        </w:rPr>
      </w:pPr>
    </w:p>
    <w:p w14:paraId="102DC719" w14:textId="77777777" w:rsidR="00F227D9" w:rsidRPr="003B2596" w:rsidRDefault="00F227D9" w:rsidP="00F227D9">
      <w:pPr>
        <w:pStyle w:val="Normal0"/>
        <w:jc w:val="both"/>
        <w:rPr>
          <w:rFonts w:ascii="Verdana" w:eastAsia="Times New Roman" w:hAnsi="Verdana" w:cs="Arial"/>
          <w:b/>
          <w:sz w:val="22"/>
          <w:szCs w:val="22"/>
          <w:lang w:val="en-GB" w:eastAsia="en-GB"/>
        </w:rPr>
      </w:pPr>
    </w:p>
    <w:p w14:paraId="473BC02E" w14:textId="77777777" w:rsidR="00F227D9" w:rsidRPr="003B2596" w:rsidRDefault="00F227D9" w:rsidP="00F227D9">
      <w:pPr>
        <w:pStyle w:val="Normal0"/>
        <w:jc w:val="both"/>
        <w:rPr>
          <w:rFonts w:ascii="Verdana" w:eastAsia="Times New Roman" w:hAnsi="Verdana" w:cs="Arial"/>
          <w:b/>
          <w:sz w:val="22"/>
          <w:szCs w:val="22"/>
          <w:lang w:val="en-GB" w:eastAsia="en-GB"/>
        </w:rPr>
      </w:pPr>
    </w:p>
    <w:p w14:paraId="5A488418" w14:textId="77777777" w:rsidR="00501B5D" w:rsidRPr="003B2596" w:rsidRDefault="00501B5D" w:rsidP="00F227D9">
      <w:pPr>
        <w:pStyle w:val="Normal0"/>
        <w:jc w:val="both"/>
        <w:rPr>
          <w:rFonts w:ascii="Verdana" w:eastAsia="Times New Roman" w:hAnsi="Verdana" w:cs="Arial"/>
          <w:b/>
          <w:sz w:val="22"/>
          <w:szCs w:val="22"/>
          <w:lang w:val="en-GB" w:eastAsia="en-GB"/>
        </w:rPr>
      </w:pPr>
    </w:p>
    <w:p w14:paraId="2B006F53" w14:textId="77777777" w:rsidR="00F227D9" w:rsidRPr="003B2596" w:rsidRDefault="0023575A" w:rsidP="00F227D9">
      <w:pPr>
        <w:pStyle w:val="Normal0"/>
        <w:jc w:val="both"/>
        <w:rPr>
          <w:rFonts w:ascii="Verdana" w:eastAsia="Times New Roman" w:hAnsi="Verdana" w:cs="Arial"/>
          <w:b/>
          <w:sz w:val="22"/>
          <w:szCs w:val="22"/>
          <w:lang w:val="en-GB" w:eastAsia="en-GB"/>
        </w:rPr>
      </w:pPr>
      <w:r w:rsidRPr="003B2596">
        <w:rPr>
          <w:noProof/>
          <w:lang w:val="en-GB" w:eastAsia="en-GB"/>
        </w:rPr>
        <w:drawing>
          <wp:inline distT="0" distB="0" distL="0" distR="0" wp14:anchorId="1779B3FF" wp14:editId="32FB04F8">
            <wp:extent cx="1196502" cy="701925"/>
            <wp:effectExtent l="0" t="0" r="381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9779" cy="703848"/>
                    </a:xfrm>
                    <a:prstGeom prst="rect">
                      <a:avLst/>
                    </a:prstGeom>
                    <a:noFill/>
                  </pic:spPr>
                </pic:pic>
              </a:graphicData>
            </a:graphic>
          </wp:inline>
        </w:drawing>
      </w:r>
    </w:p>
    <w:p w14:paraId="4ABB9E7D" w14:textId="77777777" w:rsidR="00F227D9" w:rsidRPr="003B2596" w:rsidRDefault="00F227D9" w:rsidP="00F227D9">
      <w:pPr>
        <w:pStyle w:val="Normal0"/>
        <w:jc w:val="both"/>
        <w:rPr>
          <w:rFonts w:ascii="Verdana" w:eastAsia="Times New Roman" w:hAnsi="Verdana" w:cs="Arial"/>
          <w:b/>
          <w:sz w:val="22"/>
          <w:szCs w:val="22"/>
          <w:lang w:val="en-GB" w:eastAsia="en-GB"/>
        </w:rPr>
      </w:pPr>
    </w:p>
    <w:p w14:paraId="1ABC0B5D" w14:textId="77777777" w:rsidR="00F227D9" w:rsidRPr="003B2596" w:rsidRDefault="00F227D9" w:rsidP="00F227D9">
      <w:pPr>
        <w:pStyle w:val="Normal0"/>
        <w:jc w:val="both"/>
        <w:rPr>
          <w:rFonts w:ascii="Verdana" w:eastAsia="Times New Roman" w:hAnsi="Verdana" w:cs="Arial"/>
          <w:b/>
          <w:sz w:val="22"/>
          <w:szCs w:val="22"/>
          <w:lang w:val="en-GB" w:eastAsia="en-GB"/>
        </w:rPr>
      </w:pPr>
    </w:p>
    <w:p w14:paraId="3B0C9C1E" w14:textId="77777777" w:rsidR="00F227D9" w:rsidRPr="003B2596" w:rsidRDefault="003F16E2" w:rsidP="00F227D9">
      <w:pPr>
        <w:pStyle w:val="Normal0"/>
        <w:jc w:val="both"/>
        <w:rPr>
          <w:rFonts w:ascii="Verdana" w:eastAsia="Times New Roman" w:hAnsi="Verdana" w:cs="Arial"/>
          <w:sz w:val="22"/>
          <w:szCs w:val="22"/>
          <w:lang w:val="en-GB" w:eastAsia="en-GB"/>
        </w:rPr>
      </w:pPr>
      <w:r w:rsidRPr="003B2596">
        <w:rPr>
          <w:rFonts w:ascii="Verdana" w:eastAsia="Times New Roman" w:hAnsi="Verdana" w:cs="Arial"/>
          <w:b/>
          <w:sz w:val="22"/>
          <w:szCs w:val="22"/>
          <w:lang w:val="en-GB" w:eastAsia="en-GB"/>
        </w:rPr>
        <w:t>Peter Gillett</w:t>
      </w:r>
      <w:r w:rsidR="00F227D9" w:rsidRPr="003B2596">
        <w:rPr>
          <w:rFonts w:ascii="Verdana" w:eastAsia="Times New Roman" w:hAnsi="Verdana" w:cs="Arial"/>
          <w:b/>
          <w:sz w:val="22"/>
          <w:szCs w:val="22"/>
          <w:lang w:val="en-GB" w:eastAsia="en-GB"/>
        </w:rPr>
        <w:t xml:space="preserve"> </w:t>
      </w:r>
      <w:r w:rsidR="00F227D9" w:rsidRPr="003B2596">
        <w:rPr>
          <w:rFonts w:ascii="Verdana" w:eastAsia="Times New Roman" w:hAnsi="Verdana" w:cs="Arial"/>
          <w:sz w:val="22"/>
          <w:szCs w:val="22"/>
          <w:lang w:val="en-GB" w:eastAsia="en-GB"/>
        </w:rPr>
        <w:t>CPFA</w:t>
      </w:r>
    </w:p>
    <w:p w14:paraId="6DCE009D" w14:textId="77777777" w:rsidR="003F16E2" w:rsidRPr="003B2596" w:rsidRDefault="003F16E2" w:rsidP="00F227D9">
      <w:pPr>
        <w:pStyle w:val="Normal0"/>
        <w:jc w:val="both"/>
        <w:rPr>
          <w:rFonts w:ascii="Verdana" w:eastAsia="Times New Roman" w:hAnsi="Verdana" w:cs="Arial"/>
          <w:sz w:val="22"/>
          <w:szCs w:val="22"/>
          <w:lang w:val="en-GB" w:eastAsia="en-GB"/>
        </w:rPr>
      </w:pPr>
    </w:p>
    <w:p w14:paraId="12FA7F73" w14:textId="77777777" w:rsidR="00D54BAF" w:rsidRPr="003B2596" w:rsidRDefault="00F227D9" w:rsidP="00F227D9">
      <w:pPr>
        <w:pStyle w:val="Normal0"/>
        <w:jc w:val="both"/>
        <w:rPr>
          <w:rFonts w:ascii="Verdana" w:eastAsia="Times New Roman" w:hAnsi="Verdana" w:cs="Arial"/>
          <w:sz w:val="22"/>
          <w:szCs w:val="22"/>
          <w:lang w:val="en-GB" w:eastAsia="en-GB"/>
        </w:rPr>
      </w:pPr>
      <w:r w:rsidRPr="003B2596">
        <w:rPr>
          <w:rFonts w:ascii="Verdana" w:eastAsia="Times New Roman" w:hAnsi="Verdana" w:cs="Arial"/>
          <w:sz w:val="22"/>
          <w:szCs w:val="22"/>
          <w:lang w:val="en-GB" w:eastAsia="en-GB"/>
        </w:rPr>
        <w:t>Executive Director of Commercial and Financ</w:t>
      </w:r>
      <w:r w:rsidR="00B60B19" w:rsidRPr="003B2596">
        <w:rPr>
          <w:rFonts w:ascii="Verdana" w:eastAsia="Times New Roman" w:hAnsi="Verdana" w:cs="Arial"/>
          <w:sz w:val="22"/>
          <w:szCs w:val="22"/>
          <w:lang w:val="en-GB" w:eastAsia="en-GB"/>
        </w:rPr>
        <w:t>e</w:t>
      </w:r>
      <w:r w:rsidRPr="003B2596">
        <w:rPr>
          <w:rFonts w:ascii="Verdana" w:eastAsia="Times New Roman" w:hAnsi="Verdana" w:cs="Arial"/>
          <w:sz w:val="22"/>
          <w:szCs w:val="22"/>
          <w:lang w:val="en-GB" w:eastAsia="en-GB"/>
        </w:rPr>
        <w:t xml:space="preserve"> Services</w:t>
      </w:r>
      <w:r w:rsidR="00D54BAF" w:rsidRPr="003B2596">
        <w:rPr>
          <w:rFonts w:ascii="Verdana" w:eastAsia="Times New Roman" w:hAnsi="Verdana" w:cs="Arial"/>
          <w:sz w:val="22"/>
          <w:szCs w:val="22"/>
          <w:lang w:val="en-GB" w:eastAsia="en-GB"/>
        </w:rPr>
        <w:t xml:space="preserve">, </w:t>
      </w:r>
    </w:p>
    <w:p w14:paraId="2EF80E5C" w14:textId="77777777" w:rsidR="00F227D9" w:rsidRPr="003B2596" w:rsidRDefault="00D54BAF" w:rsidP="00F227D9">
      <w:pPr>
        <w:pStyle w:val="Normal0"/>
        <w:jc w:val="both"/>
        <w:rPr>
          <w:rFonts w:ascii="Verdana" w:eastAsia="Times New Roman" w:hAnsi="Verdana" w:cs="Arial"/>
          <w:sz w:val="22"/>
          <w:szCs w:val="22"/>
          <w:lang w:val="en-GB" w:eastAsia="en-GB"/>
        </w:rPr>
      </w:pPr>
      <w:r w:rsidRPr="003B2596">
        <w:rPr>
          <w:rFonts w:ascii="Verdana" w:eastAsia="Times New Roman" w:hAnsi="Verdana" w:cs="Arial"/>
          <w:sz w:val="22"/>
          <w:szCs w:val="22"/>
          <w:lang w:val="en-GB" w:eastAsia="en-GB"/>
        </w:rPr>
        <w:t>Chief Finance Officer to the Chief Constable of Surrey</w:t>
      </w:r>
    </w:p>
    <w:p w14:paraId="7D4BA002" w14:textId="77777777" w:rsidR="0076589E" w:rsidRPr="00DC1077" w:rsidRDefault="0076589E" w:rsidP="00F227D9">
      <w:pPr>
        <w:pStyle w:val="Normal0"/>
        <w:jc w:val="both"/>
        <w:rPr>
          <w:rFonts w:ascii="Verdana" w:eastAsia="Times New Roman" w:hAnsi="Verdana" w:cs="Arial"/>
          <w:sz w:val="22"/>
          <w:szCs w:val="22"/>
          <w:highlight w:val="yellow"/>
          <w:lang w:val="en-GB" w:eastAsia="en-GB"/>
        </w:rPr>
      </w:pPr>
    </w:p>
    <w:p w14:paraId="59465C98" w14:textId="4DC28A04" w:rsidR="0076589E" w:rsidRPr="00DC1077" w:rsidRDefault="0076589E" w:rsidP="00F227D9">
      <w:pPr>
        <w:pStyle w:val="Normal0"/>
        <w:jc w:val="both"/>
        <w:rPr>
          <w:rFonts w:ascii="Verdana" w:eastAsia="Times New Roman" w:hAnsi="Verdana" w:cs="Arial"/>
          <w:sz w:val="22"/>
          <w:szCs w:val="22"/>
          <w:highlight w:val="yellow"/>
          <w:lang w:val="en-GB" w:eastAsia="en-GB"/>
        </w:rPr>
      </w:pPr>
      <w:r w:rsidRPr="00DC1077">
        <w:rPr>
          <w:rFonts w:ascii="Verdana" w:eastAsia="Times New Roman" w:hAnsi="Verdana" w:cs="Arial"/>
          <w:sz w:val="22"/>
          <w:szCs w:val="22"/>
          <w:highlight w:val="yellow"/>
          <w:lang w:val="en-GB" w:eastAsia="en-GB"/>
        </w:rPr>
        <w:t>Date:</w:t>
      </w:r>
      <w:r w:rsidR="001C3F6C" w:rsidRPr="00DC1077">
        <w:rPr>
          <w:rFonts w:ascii="Verdana" w:eastAsia="Times New Roman" w:hAnsi="Verdana" w:cs="Arial"/>
          <w:sz w:val="22"/>
          <w:szCs w:val="22"/>
          <w:highlight w:val="yellow"/>
          <w:lang w:val="en-GB" w:eastAsia="en-GB"/>
        </w:rPr>
        <w:t xml:space="preserve"> 202</w:t>
      </w:r>
      <w:r w:rsidR="003B2596">
        <w:rPr>
          <w:rFonts w:ascii="Verdana" w:eastAsia="Times New Roman" w:hAnsi="Verdana" w:cs="Arial"/>
          <w:sz w:val="22"/>
          <w:szCs w:val="22"/>
          <w:highlight w:val="yellow"/>
          <w:lang w:val="en-GB" w:eastAsia="en-GB"/>
        </w:rPr>
        <w:t>1</w:t>
      </w:r>
    </w:p>
    <w:p w14:paraId="7B5B1466" w14:textId="77777777" w:rsidR="0076589E" w:rsidRPr="003B2596" w:rsidRDefault="0076589E" w:rsidP="00F227D9">
      <w:pPr>
        <w:pStyle w:val="Normal0"/>
        <w:jc w:val="both"/>
        <w:rPr>
          <w:rFonts w:ascii="Verdana" w:eastAsia="Times New Roman" w:hAnsi="Verdana" w:cs="Arial"/>
          <w:sz w:val="22"/>
          <w:szCs w:val="22"/>
          <w:lang w:val="en-GB" w:eastAsia="en-GB"/>
        </w:rPr>
      </w:pPr>
    </w:p>
    <w:p w14:paraId="702A7D72" w14:textId="77777777" w:rsidR="00F227D9" w:rsidRPr="003B2596" w:rsidRDefault="00F227D9" w:rsidP="00F227D9">
      <w:pPr>
        <w:pStyle w:val="Normal0"/>
        <w:jc w:val="both"/>
        <w:rPr>
          <w:rFonts w:ascii="Verdana" w:eastAsia="Times New Roman" w:hAnsi="Verdana" w:cs="Arial"/>
          <w:b/>
          <w:sz w:val="22"/>
          <w:szCs w:val="22"/>
          <w:lang w:val="en-GB" w:eastAsia="en-GB"/>
        </w:rPr>
      </w:pPr>
      <w:r w:rsidRPr="003B2596">
        <w:rPr>
          <w:rFonts w:ascii="Verdana" w:eastAsia="Times New Roman" w:hAnsi="Verdana" w:cs="Arial"/>
          <w:b/>
          <w:sz w:val="22"/>
          <w:szCs w:val="22"/>
          <w:lang w:val="en-GB" w:eastAsia="en-GB"/>
        </w:rPr>
        <w:t xml:space="preserve">        </w:t>
      </w:r>
      <w:r w:rsidRPr="003B2596">
        <w:rPr>
          <w:rFonts w:ascii="Verdana" w:eastAsia="Times New Roman" w:hAnsi="Verdana" w:cs="Arial"/>
          <w:b/>
          <w:sz w:val="22"/>
          <w:szCs w:val="22"/>
          <w:lang w:val="en-GB" w:eastAsia="en-GB"/>
        </w:rPr>
        <w:tab/>
        <w:t xml:space="preserve">             </w:t>
      </w:r>
      <w:r w:rsidRPr="003B2596">
        <w:rPr>
          <w:rFonts w:ascii="Verdana" w:eastAsia="Times New Roman" w:hAnsi="Verdana" w:cs="Arial"/>
          <w:b/>
          <w:sz w:val="22"/>
          <w:szCs w:val="22"/>
          <w:lang w:val="en-GB" w:eastAsia="en-GB"/>
        </w:rPr>
        <w:tab/>
      </w:r>
      <w:r w:rsidRPr="003B2596">
        <w:rPr>
          <w:rFonts w:ascii="Verdana" w:eastAsia="Times New Roman" w:hAnsi="Verdana" w:cs="Arial"/>
          <w:b/>
          <w:sz w:val="22"/>
          <w:szCs w:val="22"/>
          <w:lang w:val="en-GB" w:eastAsia="en-GB"/>
        </w:rPr>
        <w:tab/>
      </w:r>
    </w:p>
    <w:p w14:paraId="291B69F0" w14:textId="77777777" w:rsidR="00F227D9" w:rsidRPr="003B2596" w:rsidRDefault="00F227D9" w:rsidP="00F227D9">
      <w:pPr>
        <w:pStyle w:val="Normal0"/>
        <w:jc w:val="both"/>
        <w:rPr>
          <w:rFonts w:ascii="Verdana" w:eastAsia="Times New Roman" w:hAnsi="Verdana" w:cs="Arial"/>
          <w:b/>
          <w:sz w:val="22"/>
          <w:szCs w:val="22"/>
          <w:lang w:val="en-GB" w:eastAsia="en-GB"/>
        </w:rPr>
        <w:sectPr w:rsidR="00F227D9" w:rsidRPr="003B2596" w:rsidSect="00B54A0C">
          <w:type w:val="continuous"/>
          <w:pgSz w:w="16840" w:h="11900" w:orient="landscape"/>
          <w:pgMar w:top="709" w:right="720" w:bottom="567" w:left="720" w:header="708" w:footer="708" w:gutter="0"/>
          <w:cols w:space="708"/>
          <w:docGrid w:linePitch="360"/>
        </w:sectPr>
      </w:pPr>
      <w:r w:rsidRPr="003B2596">
        <w:rPr>
          <w:rFonts w:ascii="Verdana" w:eastAsia="Times New Roman" w:hAnsi="Verdana" w:cs="Arial"/>
          <w:b/>
          <w:sz w:val="22"/>
          <w:szCs w:val="22"/>
          <w:lang w:val="en-GB" w:eastAsia="en-GB"/>
        </w:rPr>
        <w:t xml:space="preserve"> </w:t>
      </w:r>
    </w:p>
    <w:p w14:paraId="1BBBE8D7" w14:textId="77777777" w:rsidR="00F227D9" w:rsidRPr="00DC1077" w:rsidRDefault="00F227D9" w:rsidP="00F227D9">
      <w:pPr>
        <w:pStyle w:val="Heading1"/>
        <w:rPr>
          <w:highlight w:val="yellow"/>
        </w:rPr>
      </w:pPr>
      <w:bookmarkStart w:id="2" w:name="_Toc77095553"/>
      <w:r w:rsidRPr="00DC1077">
        <w:rPr>
          <w:highlight w:val="yellow"/>
        </w:rPr>
        <w:t>External Auditor’s Report</w:t>
      </w:r>
      <w:bookmarkEnd w:id="2"/>
    </w:p>
    <w:p w14:paraId="12E052FB" w14:textId="77777777" w:rsidR="003F16E2" w:rsidRPr="00DC1077" w:rsidRDefault="003F16E2">
      <w:pPr>
        <w:pStyle w:val="Normal0"/>
        <w:rPr>
          <w:rFonts w:ascii="Verdana" w:eastAsia="Calibri" w:hAnsi="Verdana" w:cs="Times New Roman"/>
          <w:highlight w:val="yellow"/>
        </w:rPr>
      </w:pPr>
    </w:p>
    <w:p w14:paraId="10823D5F" w14:textId="77777777" w:rsidR="003B2596" w:rsidRPr="003516A4" w:rsidRDefault="003B2596" w:rsidP="003B2596">
      <w:pPr>
        <w:pStyle w:val="Normal0"/>
        <w:rPr>
          <w:rFonts w:ascii="Verdana" w:eastAsia="Calibri" w:hAnsi="Verdana" w:cs="Times New Roman"/>
          <w:highlight w:val="yellow"/>
        </w:rPr>
      </w:pPr>
      <w:r>
        <w:rPr>
          <w:rFonts w:ascii="Verdana" w:eastAsia="Calibri" w:hAnsi="Verdana" w:cs="Times New Roman"/>
          <w:highlight w:val="yellow"/>
        </w:rPr>
        <w:t>This page is deliberately blank until the External Audit has been completed</w:t>
      </w:r>
    </w:p>
    <w:p w14:paraId="42DC169D" w14:textId="77777777" w:rsidR="000C6A1E" w:rsidRPr="00DC1077" w:rsidRDefault="000C6A1E">
      <w:pPr>
        <w:pStyle w:val="Normal0"/>
        <w:rPr>
          <w:rFonts w:ascii="Verdana" w:eastAsia="Calibri" w:hAnsi="Verdana" w:cs="Times New Roman"/>
          <w:highlight w:val="yellow"/>
        </w:rPr>
      </w:pPr>
    </w:p>
    <w:p w14:paraId="105C5E0E" w14:textId="77777777" w:rsidR="000C6A1E" w:rsidRPr="00DC1077" w:rsidRDefault="000C6A1E">
      <w:pPr>
        <w:pStyle w:val="Normal0"/>
        <w:rPr>
          <w:rFonts w:ascii="Verdana" w:eastAsia="Calibri" w:hAnsi="Verdana" w:cs="Times New Roman"/>
          <w:highlight w:val="yellow"/>
        </w:rPr>
      </w:pPr>
    </w:p>
    <w:p w14:paraId="4290EA78" w14:textId="77777777" w:rsidR="000C6A1E" w:rsidRPr="00DC1077" w:rsidRDefault="000C6A1E">
      <w:pPr>
        <w:pStyle w:val="Normal0"/>
        <w:rPr>
          <w:rFonts w:ascii="Verdana" w:eastAsia="Calibri" w:hAnsi="Verdana" w:cs="Times New Roman"/>
          <w:highlight w:val="yellow"/>
        </w:rPr>
      </w:pPr>
    </w:p>
    <w:p w14:paraId="4C7FDDF3" w14:textId="77777777" w:rsidR="000C6A1E" w:rsidRPr="00DC1077" w:rsidRDefault="000C6A1E">
      <w:pPr>
        <w:pStyle w:val="Normal0"/>
        <w:rPr>
          <w:rFonts w:ascii="Verdana" w:eastAsia="Calibri" w:hAnsi="Verdana" w:cs="Times New Roman"/>
          <w:highlight w:val="yellow"/>
        </w:rPr>
      </w:pPr>
    </w:p>
    <w:p w14:paraId="6072A3BE" w14:textId="77777777" w:rsidR="000C6A1E" w:rsidRPr="00DC1077" w:rsidRDefault="000C6A1E">
      <w:pPr>
        <w:pStyle w:val="Normal0"/>
        <w:rPr>
          <w:rFonts w:ascii="Verdana" w:eastAsia="Calibri" w:hAnsi="Verdana" w:cs="Times New Roman"/>
          <w:highlight w:val="yellow"/>
        </w:rPr>
      </w:pPr>
    </w:p>
    <w:p w14:paraId="2900A284" w14:textId="77777777" w:rsidR="000C6A1E" w:rsidRPr="00DC1077" w:rsidRDefault="000C6A1E">
      <w:pPr>
        <w:pStyle w:val="Normal0"/>
        <w:rPr>
          <w:rFonts w:ascii="Verdana" w:eastAsia="Calibri" w:hAnsi="Verdana" w:cs="Times New Roman"/>
          <w:highlight w:val="yellow"/>
        </w:rPr>
      </w:pPr>
    </w:p>
    <w:p w14:paraId="18676A69" w14:textId="77777777" w:rsidR="000C6A1E" w:rsidRPr="00DC1077" w:rsidRDefault="000C6A1E">
      <w:pPr>
        <w:pStyle w:val="Normal0"/>
        <w:rPr>
          <w:rFonts w:ascii="Verdana" w:eastAsia="Calibri" w:hAnsi="Verdana" w:cs="Times New Roman"/>
          <w:highlight w:val="yellow"/>
        </w:rPr>
      </w:pPr>
    </w:p>
    <w:p w14:paraId="526A0A6C" w14:textId="77777777" w:rsidR="000C6A1E" w:rsidRPr="00DC1077" w:rsidRDefault="000C6A1E">
      <w:pPr>
        <w:pStyle w:val="Normal0"/>
        <w:rPr>
          <w:rFonts w:ascii="Verdana" w:eastAsia="Calibri" w:hAnsi="Verdana" w:cs="Times New Roman"/>
          <w:highlight w:val="yellow"/>
        </w:rPr>
      </w:pPr>
    </w:p>
    <w:p w14:paraId="491EA7A0" w14:textId="77777777" w:rsidR="000C6A1E" w:rsidRPr="00DC1077" w:rsidRDefault="000C6A1E">
      <w:pPr>
        <w:pStyle w:val="Normal0"/>
        <w:rPr>
          <w:rFonts w:ascii="Verdana" w:eastAsia="Calibri" w:hAnsi="Verdana" w:cs="Times New Roman"/>
          <w:highlight w:val="yellow"/>
        </w:rPr>
      </w:pPr>
    </w:p>
    <w:p w14:paraId="38118F86" w14:textId="77777777" w:rsidR="000C6A1E" w:rsidRPr="00DC1077" w:rsidRDefault="000C6A1E">
      <w:pPr>
        <w:pStyle w:val="Normal0"/>
        <w:rPr>
          <w:rFonts w:ascii="Verdana" w:eastAsia="Calibri" w:hAnsi="Verdana" w:cs="Times New Roman"/>
          <w:highlight w:val="yellow"/>
        </w:rPr>
      </w:pPr>
    </w:p>
    <w:p w14:paraId="14BBDED3" w14:textId="77777777" w:rsidR="000C6A1E" w:rsidRPr="00DC1077" w:rsidRDefault="000C6A1E">
      <w:pPr>
        <w:pStyle w:val="Normal0"/>
        <w:rPr>
          <w:rFonts w:ascii="Verdana" w:eastAsia="Calibri" w:hAnsi="Verdana" w:cs="Times New Roman"/>
          <w:highlight w:val="yellow"/>
        </w:rPr>
      </w:pPr>
    </w:p>
    <w:p w14:paraId="066001A6" w14:textId="77777777" w:rsidR="000C6A1E" w:rsidRPr="00DC1077" w:rsidRDefault="000C6A1E">
      <w:pPr>
        <w:pStyle w:val="Normal0"/>
        <w:rPr>
          <w:rFonts w:ascii="Verdana" w:eastAsia="Calibri" w:hAnsi="Verdana" w:cs="Times New Roman"/>
          <w:highlight w:val="yellow"/>
        </w:rPr>
      </w:pPr>
    </w:p>
    <w:p w14:paraId="2C2BEB3D" w14:textId="77777777" w:rsidR="000C6A1E" w:rsidRPr="00DC1077" w:rsidRDefault="000C6A1E">
      <w:pPr>
        <w:pStyle w:val="Normal0"/>
        <w:rPr>
          <w:rFonts w:ascii="Verdana" w:eastAsia="Calibri" w:hAnsi="Verdana" w:cs="Times New Roman"/>
          <w:highlight w:val="yellow"/>
        </w:rPr>
      </w:pPr>
    </w:p>
    <w:p w14:paraId="2BEC43E6" w14:textId="77777777" w:rsidR="000C6A1E" w:rsidRPr="00DC1077" w:rsidRDefault="000C6A1E">
      <w:pPr>
        <w:pStyle w:val="Normal0"/>
        <w:rPr>
          <w:rFonts w:ascii="Verdana" w:eastAsia="Calibri" w:hAnsi="Verdana" w:cs="Times New Roman"/>
          <w:highlight w:val="yellow"/>
        </w:rPr>
      </w:pPr>
    </w:p>
    <w:p w14:paraId="21F5A600" w14:textId="77777777" w:rsidR="000C6A1E" w:rsidRPr="00DC1077" w:rsidRDefault="000C6A1E">
      <w:pPr>
        <w:pStyle w:val="Normal0"/>
        <w:rPr>
          <w:rFonts w:ascii="Verdana" w:eastAsia="Calibri" w:hAnsi="Verdana" w:cs="Times New Roman"/>
          <w:highlight w:val="yellow"/>
        </w:rPr>
      </w:pPr>
    </w:p>
    <w:p w14:paraId="67EE0080" w14:textId="77777777" w:rsidR="000C6A1E" w:rsidRPr="00DC1077" w:rsidRDefault="000C6A1E">
      <w:pPr>
        <w:pStyle w:val="Normal0"/>
        <w:rPr>
          <w:rFonts w:ascii="Verdana" w:eastAsia="Calibri" w:hAnsi="Verdana" w:cs="Times New Roman"/>
          <w:highlight w:val="yellow"/>
        </w:rPr>
      </w:pPr>
    </w:p>
    <w:p w14:paraId="309618AD" w14:textId="77777777" w:rsidR="000C6A1E" w:rsidRPr="00DC1077" w:rsidRDefault="000C6A1E">
      <w:pPr>
        <w:pStyle w:val="Normal0"/>
        <w:rPr>
          <w:rFonts w:ascii="Verdana" w:eastAsia="Calibri" w:hAnsi="Verdana" w:cs="Times New Roman"/>
          <w:highlight w:val="yellow"/>
        </w:rPr>
      </w:pPr>
    </w:p>
    <w:p w14:paraId="093D6717" w14:textId="77777777" w:rsidR="000C6A1E" w:rsidRPr="00DC1077" w:rsidRDefault="000C6A1E">
      <w:pPr>
        <w:pStyle w:val="Normal0"/>
        <w:rPr>
          <w:rFonts w:ascii="Verdana" w:eastAsia="Calibri" w:hAnsi="Verdana" w:cs="Times New Roman"/>
          <w:highlight w:val="yellow"/>
        </w:rPr>
      </w:pPr>
    </w:p>
    <w:p w14:paraId="13A8805A" w14:textId="77777777" w:rsidR="000C6A1E" w:rsidRPr="00DC1077" w:rsidRDefault="000C6A1E">
      <w:pPr>
        <w:pStyle w:val="Normal0"/>
        <w:rPr>
          <w:rFonts w:ascii="Verdana" w:eastAsia="Calibri" w:hAnsi="Verdana" w:cs="Times New Roman"/>
          <w:highlight w:val="yellow"/>
        </w:rPr>
      </w:pPr>
    </w:p>
    <w:p w14:paraId="4250A981" w14:textId="77777777" w:rsidR="000C6A1E" w:rsidRPr="00DC1077" w:rsidRDefault="000C6A1E">
      <w:pPr>
        <w:pStyle w:val="Normal0"/>
        <w:rPr>
          <w:rFonts w:ascii="Verdana" w:eastAsia="Calibri" w:hAnsi="Verdana" w:cs="Times New Roman"/>
          <w:highlight w:val="yellow"/>
        </w:rPr>
      </w:pPr>
    </w:p>
    <w:p w14:paraId="2B83852B" w14:textId="77777777" w:rsidR="000C6A1E" w:rsidRPr="00DC1077" w:rsidRDefault="000C6A1E">
      <w:pPr>
        <w:pStyle w:val="Normal0"/>
        <w:rPr>
          <w:rFonts w:ascii="Verdana" w:eastAsia="Calibri" w:hAnsi="Verdana" w:cs="Times New Roman"/>
          <w:highlight w:val="yellow"/>
        </w:rPr>
      </w:pPr>
    </w:p>
    <w:p w14:paraId="6F988B26" w14:textId="77777777" w:rsidR="000C6A1E" w:rsidRPr="00DC1077" w:rsidRDefault="000C6A1E">
      <w:pPr>
        <w:pStyle w:val="Normal0"/>
        <w:rPr>
          <w:rFonts w:ascii="Verdana" w:eastAsia="Calibri" w:hAnsi="Verdana" w:cs="Times New Roman"/>
          <w:highlight w:val="yellow"/>
        </w:rPr>
      </w:pPr>
    </w:p>
    <w:p w14:paraId="4A1F2A6A" w14:textId="77777777" w:rsidR="000C6A1E" w:rsidRPr="00DC1077" w:rsidRDefault="000C6A1E">
      <w:pPr>
        <w:pStyle w:val="Normal0"/>
        <w:rPr>
          <w:rFonts w:ascii="Verdana" w:eastAsia="Calibri" w:hAnsi="Verdana" w:cs="Times New Roman"/>
          <w:highlight w:val="yellow"/>
        </w:rPr>
      </w:pPr>
    </w:p>
    <w:p w14:paraId="28AAF6DB" w14:textId="77777777" w:rsidR="000C6A1E" w:rsidRPr="00DC1077" w:rsidRDefault="000C6A1E">
      <w:pPr>
        <w:pStyle w:val="Normal0"/>
        <w:rPr>
          <w:rFonts w:ascii="Verdana" w:eastAsia="Calibri" w:hAnsi="Verdana" w:cs="Times New Roman"/>
          <w:highlight w:val="yellow"/>
        </w:rPr>
      </w:pPr>
    </w:p>
    <w:p w14:paraId="41CCFAF0" w14:textId="77777777" w:rsidR="000C6A1E" w:rsidRPr="00DC1077" w:rsidRDefault="000C6A1E">
      <w:pPr>
        <w:pStyle w:val="Normal0"/>
        <w:rPr>
          <w:rFonts w:ascii="Verdana" w:eastAsia="Calibri" w:hAnsi="Verdana" w:cs="Times New Roman"/>
          <w:highlight w:val="yellow"/>
        </w:rPr>
      </w:pPr>
    </w:p>
    <w:p w14:paraId="6FC398AF" w14:textId="77777777" w:rsidR="000C6A1E" w:rsidRPr="00DC1077" w:rsidRDefault="000C6A1E">
      <w:pPr>
        <w:pStyle w:val="Normal0"/>
        <w:rPr>
          <w:rFonts w:ascii="Verdana" w:eastAsia="Calibri" w:hAnsi="Verdana" w:cs="Times New Roman"/>
          <w:highlight w:val="yellow"/>
        </w:rPr>
      </w:pPr>
    </w:p>
    <w:p w14:paraId="3DC56710" w14:textId="77777777" w:rsidR="000C6A1E" w:rsidRPr="00DC1077" w:rsidRDefault="000C6A1E">
      <w:pPr>
        <w:pStyle w:val="Normal0"/>
        <w:rPr>
          <w:rFonts w:ascii="Verdana" w:eastAsia="Calibri" w:hAnsi="Verdana" w:cs="Times New Roman"/>
          <w:highlight w:val="yellow"/>
        </w:rPr>
      </w:pPr>
    </w:p>
    <w:p w14:paraId="590FA375" w14:textId="77777777" w:rsidR="000C6A1E" w:rsidRPr="00DC1077" w:rsidRDefault="000C6A1E">
      <w:pPr>
        <w:pStyle w:val="Normal0"/>
        <w:rPr>
          <w:rFonts w:ascii="Verdana" w:eastAsia="Calibri" w:hAnsi="Verdana" w:cs="Times New Roman"/>
          <w:highlight w:val="yellow"/>
        </w:rPr>
      </w:pPr>
    </w:p>
    <w:p w14:paraId="47FEA6C1" w14:textId="77777777" w:rsidR="000C6A1E" w:rsidRPr="00DC1077" w:rsidRDefault="000C6A1E">
      <w:pPr>
        <w:pStyle w:val="Normal0"/>
        <w:rPr>
          <w:rFonts w:ascii="Verdana" w:eastAsia="Calibri" w:hAnsi="Verdana" w:cs="Times New Roman"/>
          <w:highlight w:val="yellow"/>
        </w:rPr>
      </w:pPr>
    </w:p>
    <w:p w14:paraId="0F501F7F" w14:textId="77777777" w:rsidR="000C6A1E" w:rsidRPr="00DC1077" w:rsidRDefault="000C6A1E">
      <w:pPr>
        <w:pStyle w:val="Normal0"/>
        <w:rPr>
          <w:rFonts w:ascii="Verdana" w:eastAsia="Calibri" w:hAnsi="Verdana" w:cs="Times New Roman"/>
          <w:highlight w:val="yellow"/>
        </w:rPr>
      </w:pPr>
    </w:p>
    <w:p w14:paraId="0FD4F566" w14:textId="77777777" w:rsidR="000C6A1E" w:rsidRPr="00DC1077" w:rsidRDefault="000C6A1E">
      <w:pPr>
        <w:pStyle w:val="Normal0"/>
        <w:rPr>
          <w:rFonts w:ascii="Verdana" w:eastAsia="Calibri" w:hAnsi="Verdana" w:cs="Times New Roman"/>
          <w:highlight w:val="yellow"/>
        </w:rPr>
      </w:pPr>
    </w:p>
    <w:p w14:paraId="77D70E9C" w14:textId="77777777" w:rsidR="000C6A1E" w:rsidRPr="00DC1077" w:rsidRDefault="000C6A1E">
      <w:pPr>
        <w:pStyle w:val="Normal0"/>
        <w:rPr>
          <w:rFonts w:ascii="Verdana" w:eastAsia="Calibri" w:hAnsi="Verdana" w:cs="Times New Roman"/>
          <w:highlight w:val="yellow"/>
        </w:rPr>
        <w:sectPr w:rsidR="000C6A1E" w:rsidRPr="00DC1077" w:rsidSect="00B54A0C">
          <w:type w:val="nextColumn"/>
          <w:pgSz w:w="16840" w:h="11900" w:orient="landscape"/>
          <w:pgMar w:top="709" w:right="720" w:bottom="567" w:left="720" w:header="708" w:footer="708" w:gutter="0"/>
          <w:cols w:space="708"/>
          <w:docGrid w:linePitch="360"/>
        </w:sectPr>
      </w:pPr>
    </w:p>
    <w:p w14:paraId="10587E98" w14:textId="77777777" w:rsidR="00D636AF" w:rsidRPr="00E843CF" w:rsidRDefault="00D636AF" w:rsidP="00D636AF">
      <w:pPr>
        <w:pStyle w:val="Heading1"/>
        <w:rPr>
          <w:lang w:val="en-GB" w:eastAsia="en-GB"/>
        </w:rPr>
      </w:pPr>
      <w:bookmarkStart w:id="3" w:name="_Toc77095554"/>
      <w:r w:rsidRPr="00E843CF">
        <w:rPr>
          <w:lang w:val="en-GB" w:eastAsia="en-GB"/>
        </w:rPr>
        <w:t>Statement of Responsibilities</w:t>
      </w:r>
      <w:bookmarkEnd w:id="3"/>
    </w:p>
    <w:p w14:paraId="2DFD53E1" w14:textId="77777777" w:rsidR="00D636AF" w:rsidRDefault="00D636AF" w:rsidP="003F4F65">
      <w:pPr>
        <w:pStyle w:val="Normal00"/>
        <w:rPr>
          <w:rFonts w:ascii="Verdana" w:hAnsi="Verdana" w:cs="Arial"/>
          <w:color w:val="2E74B5" w:themeColor="accent1" w:themeShade="BF"/>
          <w:sz w:val="22"/>
          <w:szCs w:val="22"/>
          <w:highlight w:val="yellow"/>
        </w:rPr>
      </w:pPr>
    </w:p>
    <w:p w14:paraId="6A879D3A" w14:textId="77777777" w:rsidR="003F4F65" w:rsidRPr="004D57BE" w:rsidRDefault="003F4F65" w:rsidP="003F4F65">
      <w:pPr>
        <w:pStyle w:val="Normal00"/>
        <w:rPr>
          <w:rFonts w:ascii="Verdana" w:hAnsi="Verdana"/>
          <w:color w:val="2E74B5" w:themeColor="accent1" w:themeShade="BF"/>
          <w:sz w:val="22"/>
          <w:szCs w:val="22"/>
        </w:rPr>
      </w:pPr>
      <w:r w:rsidRPr="004D57BE">
        <w:rPr>
          <w:rFonts w:ascii="Verdana" w:hAnsi="Verdana" w:cs="Arial"/>
          <w:color w:val="2E74B5" w:themeColor="accent1" w:themeShade="BF"/>
          <w:sz w:val="22"/>
          <w:szCs w:val="22"/>
        </w:rPr>
        <w:t xml:space="preserve">This section explains the responsibilities for managing the financial affairs of the Chief Constable of </w:t>
      </w:r>
      <w:r w:rsidR="00826A1F" w:rsidRPr="004D57BE">
        <w:rPr>
          <w:rFonts w:ascii="Verdana" w:hAnsi="Verdana" w:cs="Arial"/>
          <w:color w:val="2E74B5" w:themeColor="accent1" w:themeShade="BF"/>
          <w:sz w:val="22"/>
          <w:szCs w:val="22"/>
        </w:rPr>
        <w:t>Surrey</w:t>
      </w:r>
      <w:r w:rsidRPr="004D57BE">
        <w:rPr>
          <w:rFonts w:ascii="Verdana" w:hAnsi="Verdana" w:cs="Arial"/>
          <w:color w:val="2E74B5" w:themeColor="accent1" w:themeShade="BF"/>
          <w:sz w:val="22"/>
          <w:szCs w:val="22"/>
        </w:rPr>
        <w:t xml:space="preserve">. </w:t>
      </w:r>
    </w:p>
    <w:p w14:paraId="6FA7A6A4" w14:textId="77777777" w:rsidR="003F4F65" w:rsidRPr="004D57BE" w:rsidRDefault="003F4F65" w:rsidP="003F4F65">
      <w:pPr>
        <w:pStyle w:val="Normal000"/>
        <w:rPr>
          <w:rFonts w:eastAsia="Times New Roman" w:cs="Arial"/>
          <w:b/>
          <w:color w:val="0060F0"/>
          <w:sz w:val="22"/>
          <w:szCs w:val="22"/>
        </w:rPr>
      </w:pPr>
    </w:p>
    <w:p w14:paraId="0DB0C2FD" w14:textId="77777777" w:rsidR="003F4F65" w:rsidRPr="003F4F65" w:rsidRDefault="003F4F65" w:rsidP="003F4F65">
      <w:pPr>
        <w:pStyle w:val="Normal000"/>
        <w:spacing w:after="120"/>
        <w:rPr>
          <w:rFonts w:eastAsia="Times New Roman" w:cs="Arial"/>
          <w:b/>
          <w:color w:val="0060F0"/>
          <w:sz w:val="22"/>
          <w:szCs w:val="22"/>
          <w:highlight w:val="yellow"/>
        </w:rPr>
      </w:pPr>
      <w:r w:rsidRPr="004D57BE">
        <w:rPr>
          <w:rFonts w:cs="Arial"/>
          <w:noProof/>
          <w:color w:val="2E74B5" w:themeColor="accent1" w:themeShade="BF"/>
          <w:sz w:val="22"/>
          <w:szCs w:val="22"/>
          <w:lang w:val="en-GB" w:eastAsia="en-GB"/>
        </w:rPr>
        <mc:AlternateContent>
          <mc:Choice Requires="wps">
            <w:drawing>
              <wp:anchor distT="0" distB="0" distL="114300" distR="114300" simplePos="0" relativeHeight="251660288" behindDoc="0" locked="0" layoutInCell="1" allowOverlap="1" wp14:anchorId="62FA74EF" wp14:editId="3D64E2AB">
                <wp:simplePos x="0" y="0"/>
                <wp:positionH relativeFrom="column">
                  <wp:posOffset>6886575</wp:posOffset>
                </wp:positionH>
                <wp:positionV relativeFrom="paragraph">
                  <wp:posOffset>17780</wp:posOffset>
                </wp:positionV>
                <wp:extent cx="2337435" cy="1731645"/>
                <wp:effectExtent l="9525" t="6985" r="5715" b="1397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435" cy="1731645"/>
                        </a:xfrm>
                        <a:prstGeom prst="rect">
                          <a:avLst/>
                        </a:prstGeom>
                        <a:solidFill>
                          <a:srgbClr val="FFFFFF"/>
                        </a:solidFill>
                        <a:ln w="9525">
                          <a:solidFill>
                            <a:srgbClr val="000000"/>
                          </a:solidFill>
                          <a:miter lim="800000"/>
                          <a:headEnd/>
                          <a:tailEnd/>
                        </a:ln>
                      </wps:spPr>
                      <wps:txbx>
                        <w:txbxContent>
                          <w:p w14:paraId="6FF32BC3" w14:textId="0CF420B5" w:rsidR="00D50C5D" w:rsidRPr="00E843CF" w:rsidRDefault="00D50C5D" w:rsidP="003F4F65">
                            <w:pPr>
                              <w:pStyle w:val="Normal000"/>
                              <w:rPr>
                                <w:rFonts w:eastAsia="Times New Roman" w:cs="Arial"/>
                                <w:sz w:val="18"/>
                                <w:szCs w:val="18"/>
                              </w:rPr>
                            </w:pPr>
                            <w:r w:rsidRPr="00E843CF">
                              <w:rPr>
                                <w:rFonts w:eastAsia="Times New Roman" w:cs="Arial"/>
                                <w:sz w:val="18"/>
                                <w:szCs w:val="18"/>
                              </w:rPr>
                              <w:t>I approve the Statement of Accounts for the year ended 31 March 2021.</w:t>
                            </w:r>
                          </w:p>
                          <w:p w14:paraId="5EE2BE7D" w14:textId="77777777" w:rsidR="00D50C5D" w:rsidRPr="00E843CF" w:rsidRDefault="00D50C5D" w:rsidP="003F4F65">
                            <w:pPr>
                              <w:pStyle w:val="Normal000"/>
                              <w:rPr>
                                <w:noProof/>
                                <w:lang w:val="en-GB" w:eastAsia="en-GB"/>
                              </w:rPr>
                            </w:pPr>
                          </w:p>
                          <w:p w14:paraId="3BB2BBEB" w14:textId="77777777" w:rsidR="00D50C5D" w:rsidRPr="00E843CF" w:rsidRDefault="00D50C5D" w:rsidP="003F4F65">
                            <w:pPr>
                              <w:pStyle w:val="Normal00"/>
                              <w:rPr>
                                <w:rFonts w:ascii="Verdana" w:hAnsi="Verdana"/>
                                <w:noProof/>
                                <w:lang w:val="en-GB" w:eastAsia="en-GB"/>
                              </w:rPr>
                            </w:pPr>
                          </w:p>
                          <w:p w14:paraId="52DFFF89" w14:textId="77777777" w:rsidR="00D50C5D" w:rsidRPr="00E843CF" w:rsidRDefault="00D50C5D" w:rsidP="003F4F65">
                            <w:pPr>
                              <w:pStyle w:val="Normal00"/>
                              <w:rPr>
                                <w:rFonts w:ascii="Verdana" w:hAnsi="Verdana"/>
                                <w:noProof/>
                                <w:lang w:val="en-GB" w:eastAsia="en-GB"/>
                              </w:rPr>
                            </w:pPr>
                          </w:p>
                          <w:p w14:paraId="765B0A73" w14:textId="77777777" w:rsidR="00D50C5D" w:rsidRPr="00E843CF" w:rsidRDefault="00D50C5D" w:rsidP="003F4F65">
                            <w:pPr>
                              <w:pStyle w:val="Normal00"/>
                              <w:rPr>
                                <w:lang w:val="en-GB" w:eastAsia="en-GB"/>
                              </w:rPr>
                            </w:pPr>
                          </w:p>
                          <w:p w14:paraId="1DACDC42" w14:textId="77777777" w:rsidR="00D50C5D" w:rsidRPr="00E843CF" w:rsidRDefault="00D50C5D" w:rsidP="003F4F65">
                            <w:pPr>
                              <w:pStyle w:val="Normal000"/>
                              <w:rPr>
                                <w:rFonts w:eastAsia="Times New Roman" w:cs="Arial"/>
                                <w:sz w:val="18"/>
                                <w:szCs w:val="18"/>
                              </w:rPr>
                            </w:pPr>
                            <w:r w:rsidRPr="00E843CF">
                              <w:rPr>
                                <w:rFonts w:eastAsia="Times New Roman" w:cs="Arial"/>
                                <w:sz w:val="18"/>
                                <w:szCs w:val="18"/>
                              </w:rPr>
                              <w:t>Gavin Stephens</w:t>
                            </w:r>
                          </w:p>
                          <w:p w14:paraId="0B8A9AD5" w14:textId="77777777" w:rsidR="00D50C5D" w:rsidRPr="00E843CF" w:rsidRDefault="00D50C5D" w:rsidP="003F4F65">
                            <w:pPr>
                              <w:pStyle w:val="Normal000"/>
                              <w:rPr>
                                <w:rFonts w:eastAsia="Times New Roman" w:cs="Arial"/>
                                <w:sz w:val="18"/>
                                <w:szCs w:val="18"/>
                              </w:rPr>
                            </w:pPr>
                            <w:r w:rsidRPr="00E843CF">
                              <w:rPr>
                                <w:rFonts w:eastAsia="Times New Roman" w:cs="Arial"/>
                                <w:sz w:val="18"/>
                                <w:szCs w:val="18"/>
                              </w:rPr>
                              <w:t>Chief Constable</w:t>
                            </w:r>
                          </w:p>
                          <w:p w14:paraId="5F62A276" w14:textId="77777777" w:rsidR="00D50C5D" w:rsidRPr="00773980" w:rsidRDefault="00D50C5D" w:rsidP="003F4F65">
                            <w:pPr>
                              <w:pStyle w:val="Normal000"/>
                              <w:rPr>
                                <w:rFonts w:eastAsia="Times New Roman" w:cs="Arial"/>
                                <w:sz w:val="18"/>
                                <w:szCs w:val="18"/>
                              </w:rPr>
                            </w:pPr>
                            <w:r w:rsidRPr="00E843CF">
                              <w:rPr>
                                <w:rFonts w:eastAsia="Times New Roman" w:cs="Arial"/>
                                <w:sz w:val="18"/>
                                <w:szCs w:val="18"/>
                              </w:rPr>
                              <w:t>Dated:</w:t>
                            </w:r>
                            <w:r w:rsidRPr="00F02A39">
                              <w:rPr>
                                <w:rFonts w:eastAsia="Times New Roman" w:cs="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FA74EF" id="_x0000_t202" coordsize="21600,21600" o:spt="202" path="m,l,21600r21600,l21600,xe">
                <v:stroke joinstyle="miter"/>
                <v:path gradientshapeok="t" o:connecttype="rect"/>
              </v:shapetype>
              <v:shape id="Text Box 28" o:spid="_x0000_s1026" type="#_x0000_t202" style="position:absolute;left:0;text-align:left;margin-left:542.25pt;margin-top:1.4pt;width:184.05pt;height:13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">
                <v:textbox>
                  <w:txbxContent>
                    <w:p w14:paraId="6FF32BC3" w14:textId="0CF420B5" w:rsidR="00D50C5D" w:rsidRPr="00E843CF" w:rsidRDefault="00D50C5D" w:rsidP="003F4F65">
                      <w:pPr>
                        <w:pStyle w:val="Normal000"/>
                        <w:rPr>
                          <w:rFonts w:eastAsia="Times New Roman" w:cs="Arial"/>
                          <w:sz w:val="18"/>
                          <w:szCs w:val="18"/>
                        </w:rPr>
                      </w:pPr>
                      <w:r w:rsidRPr="00E843CF">
                        <w:rPr>
                          <w:rFonts w:eastAsia="Times New Roman" w:cs="Arial"/>
                          <w:sz w:val="18"/>
                          <w:szCs w:val="18"/>
                        </w:rPr>
                        <w:t>I approve the Statement of Accounts for the year ended 31 March 2021.</w:t>
                      </w:r>
                    </w:p>
                    <w:p w14:paraId="5EE2BE7D" w14:textId="77777777" w:rsidR="00D50C5D" w:rsidRPr="00E843CF" w:rsidRDefault="00D50C5D" w:rsidP="003F4F65">
                      <w:pPr>
                        <w:pStyle w:val="Normal000"/>
                        <w:rPr>
                          <w:noProof/>
                          <w:lang w:val="en-GB" w:eastAsia="en-GB"/>
                        </w:rPr>
                      </w:pPr>
                    </w:p>
                    <w:p w14:paraId="3BB2BBEB" w14:textId="77777777" w:rsidR="00D50C5D" w:rsidRPr="00E843CF" w:rsidRDefault="00D50C5D" w:rsidP="003F4F65">
                      <w:pPr>
                        <w:pStyle w:val="Normal00"/>
                        <w:rPr>
                          <w:rFonts w:ascii="Verdana" w:hAnsi="Verdana"/>
                          <w:noProof/>
                          <w:lang w:val="en-GB" w:eastAsia="en-GB"/>
                        </w:rPr>
                      </w:pPr>
                    </w:p>
                    <w:p w14:paraId="52DFFF89" w14:textId="77777777" w:rsidR="00D50C5D" w:rsidRPr="00E843CF" w:rsidRDefault="00D50C5D" w:rsidP="003F4F65">
                      <w:pPr>
                        <w:pStyle w:val="Normal00"/>
                        <w:rPr>
                          <w:rFonts w:ascii="Verdana" w:hAnsi="Verdana"/>
                          <w:noProof/>
                          <w:lang w:val="en-GB" w:eastAsia="en-GB"/>
                        </w:rPr>
                      </w:pPr>
                    </w:p>
                    <w:p w14:paraId="765B0A73" w14:textId="77777777" w:rsidR="00D50C5D" w:rsidRPr="00E843CF" w:rsidRDefault="00D50C5D" w:rsidP="003F4F65">
                      <w:pPr>
                        <w:pStyle w:val="Normal00"/>
                        <w:rPr>
                          <w:lang w:val="en-GB" w:eastAsia="en-GB"/>
                        </w:rPr>
                      </w:pPr>
                    </w:p>
                    <w:p w14:paraId="1DACDC42" w14:textId="77777777" w:rsidR="00D50C5D" w:rsidRPr="00E843CF" w:rsidRDefault="00D50C5D" w:rsidP="003F4F65">
                      <w:pPr>
                        <w:pStyle w:val="Normal000"/>
                        <w:rPr>
                          <w:rFonts w:eastAsia="Times New Roman" w:cs="Arial"/>
                          <w:sz w:val="18"/>
                          <w:szCs w:val="18"/>
                        </w:rPr>
                      </w:pPr>
                      <w:r w:rsidRPr="00E843CF">
                        <w:rPr>
                          <w:rFonts w:eastAsia="Times New Roman" w:cs="Arial"/>
                          <w:sz w:val="18"/>
                          <w:szCs w:val="18"/>
                        </w:rPr>
                        <w:t>Gavin Stephens</w:t>
                      </w:r>
                    </w:p>
                    <w:p w14:paraId="0B8A9AD5" w14:textId="77777777" w:rsidR="00D50C5D" w:rsidRPr="00E843CF" w:rsidRDefault="00D50C5D" w:rsidP="003F4F65">
                      <w:pPr>
                        <w:pStyle w:val="Normal000"/>
                        <w:rPr>
                          <w:rFonts w:eastAsia="Times New Roman" w:cs="Arial"/>
                          <w:sz w:val="18"/>
                          <w:szCs w:val="18"/>
                        </w:rPr>
                      </w:pPr>
                      <w:r w:rsidRPr="00E843CF">
                        <w:rPr>
                          <w:rFonts w:eastAsia="Times New Roman" w:cs="Arial"/>
                          <w:sz w:val="18"/>
                          <w:szCs w:val="18"/>
                        </w:rPr>
                        <w:t>Chief Constable</w:t>
                      </w:r>
                    </w:p>
                    <w:p w14:paraId="5F62A276" w14:textId="77777777" w:rsidR="00D50C5D" w:rsidRPr="00773980" w:rsidRDefault="00D50C5D" w:rsidP="003F4F65">
                      <w:pPr>
                        <w:pStyle w:val="Normal000"/>
                        <w:rPr>
                          <w:rFonts w:eastAsia="Times New Roman" w:cs="Arial"/>
                          <w:sz w:val="18"/>
                          <w:szCs w:val="18"/>
                        </w:rPr>
                      </w:pPr>
                      <w:r w:rsidRPr="00E843CF">
                        <w:rPr>
                          <w:rFonts w:eastAsia="Times New Roman" w:cs="Arial"/>
                          <w:sz w:val="18"/>
                          <w:szCs w:val="18"/>
                        </w:rPr>
                        <w:t>Dated:</w:t>
                      </w:r>
                      <w:r w:rsidRPr="00F02A39">
                        <w:rPr>
                          <w:rFonts w:eastAsia="Times New Roman" w:cs="Arial"/>
                          <w:sz w:val="18"/>
                          <w:szCs w:val="18"/>
                        </w:rPr>
                        <w:t xml:space="preserve"> </w:t>
                      </w:r>
                    </w:p>
                  </w:txbxContent>
                </v:textbox>
              </v:shape>
            </w:pict>
          </mc:Fallback>
        </mc:AlternateContent>
      </w:r>
      <w:r w:rsidRPr="004D57BE">
        <w:rPr>
          <w:rFonts w:eastAsia="Times New Roman" w:cs="Arial"/>
          <w:b/>
          <w:color w:val="2E74B5" w:themeColor="accent1" w:themeShade="BF"/>
          <w:sz w:val="22"/>
          <w:szCs w:val="22"/>
        </w:rPr>
        <w:t>Responsibilities of the Chief Constable:</w:t>
      </w:r>
    </w:p>
    <w:p w14:paraId="51351C7B" w14:textId="77777777" w:rsidR="003F4F65" w:rsidRPr="004D57BE" w:rsidRDefault="003F4F65" w:rsidP="003F4F65">
      <w:pPr>
        <w:pStyle w:val="Normal000"/>
        <w:spacing w:after="120"/>
        <w:rPr>
          <w:rFonts w:eastAsia="Times New Roman" w:cs="Arial"/>
          <w:b/>
          <w:color w:val="0060F0"/>
          <w:sz w:val="22"/>
          <w:szCs w:val="22"/>
        </w:rPr>
      </w:pPr>
      <w:r w:rsidRPr="004D57BE">
        <w:rPr>
          <w:rFonts w:eastAsia="Times New Roman" w:cs="Arial"/>
          <w:b/>
          <w:sz w:val="22"/>
          <w:szCs w:val="22"/>
        </w:rPr>
        <w:t>The Chief Constable is required:</w:t>
      </w:r>
    </w:p>
    <w:p w14:paraId="7D9279D7" w14:textId="77777777" w:rsidR="003F4F65" w:rsidRPr="004D57BE" w:rsidRDefault="003F4F65" w:rsidP="005E3E6F">
      <w:pPr>
        <w:pStyle w:val="ListParagraph"/>
        <w:numPr>
          <w:ilvl w:val="0"/>
          <w:numId w:val="21"/>
        </w:numPr>
        <w:ind w:left="360" w:right="4820"/>
        <w:jc w:val="both"/>
        <w:rPr>
          <w:rFonts w:ascii="Verdana" w:hAnsi="Verdana"/>
          <w:sz w:val="22"/>
          <w:szCs w:val="22"/>
        </w:rPr>
      </w:pPr>
      <w:r w:rsidRPr="004D57BE">
        <w:rPr>
          <w:rFonts w:ascii="Verdana" w:hAnsi="Verdana"/>
          <w:sz w:val="22"/>
          <w:szCs w:val="22"/>
        </w:rPr>
        <w:t xml:space="preserve">To make arrangements for the proper administration </w:t>
      </w:r>
      <w:r w:rsidR="003916CE" w:rsidRPr="004D57BE">
        <w:rPr>
          <w:rFonts w:ascii="Verdana" w:hAnsi="Verdana"/>
          <w:sz w:val="22"/>
          <w:szCs w:val="22"/>
        </w:rPr>
        <w:t>of the Chief Constable of Surrey</w:t>
      </w:r>
      <w:r w:rsidRPr="004D57BE">
        <w:rPr>
          <w:rFonts w:ascii="Verdana" w:hAnsi="Verdana"/>
          <w:sz w:val="22"/>
          <w:szCs w:val="22"/>
        </w:rPr>
        <w:t>’s financial affairs and to ensure that one of its officers (the Chief Finance Officer) has the responsibility for the administration of those affairs. That officer is the Executive Director of Commercial and Finance Services;</w:t>
      </w:r>
    </w:p>
    <w:p w14:paraId="7759212B" w14:textId="77777777" w:rsidR="003F4F65" w:rsidRPr="004D57BE" w:rsidRDefault="003F4F65" w:rsidP="005E3E6F">
      <w:pPr>
        <w:pStyle w:val="ListParagraph"/>
        <w:numPr>
          <w:ilvl w:val="0"/>
          <w:numId w:val="21"/>
        </w:numPr>
        <w:ind w:left="360" w:right="4820"/>
        <w:jc w:val="both"/>
        <w:rPr>
          <w:rFonts w:ascii="Verdana" w:hAnsi="Verdana"/>
          <w:b/>
          <w:sz w:val="22"/>
          <w:szCs w:val="22"/>
        </w:rPr>
      </w:pPr>
      <w:r w:rsidRPr="004D57BE">
        <w:rPr>
          <w:rFonts w:ascii="Verdana" w:hAnsi="Verdana"/>
          <w:sz w:val="22"/>
          <w:szCs w:val="22"/>
        </w:rPr>
        <w:t>To manage its affairs to secure economic, efficient and effective use of resources and safeguard its assets; and</w:t>
      </w:r>
    </w:p>
    <w:p w14:paraId="315A5666" w14:textId="77777777" w:rsidR="003F4F65" w:rsidRPr="004D57BE" w:rsidRDefault="003F4F65" w:rsidP="005E3E6F">
      <w:pPr>
        <w:pStyle w:val="ListParagraph"/>
        <w:numPr>
          <w:ilvl w:val="0"/>
          <w:numId w:val="21"/>
        </w:numPr>
        <w:ind w:left="360" w:right="4820"/>
        <w:jc w:val="both"/>
        <w:rPr>
          <w:rFonts w:ascii="Verdana" w:hAnsi="Verdana"/>
          <w:sz w:val="22"/>
          <w:szCs w:val="22"/>
        </w:rPr>
      </w:pPr>
      <w:r w:rsidRPr="004D57BE">
        <w:rPr>
          <w:rFonts w:ascii="Verdana" w:hAnsi="Verdana"/>
          <w:sz w:val="22"/>
          <w:szCs w:val="22"/>
        </w:rPr>
        <w:t>To approve the Statement of Accounts.</w:t>
      </w:r>
    </w:p>
    <w:p w14:paraId="71B1508E" w14:textId="77777777" w:rsidR="003F4F65" w:rsidRPr="004D57BE" w:rsidRDefault="003F4F65" w:rsidP="003F4F65">
      <w:pPr>
        <w:pStyle w:val="ListParagraph"/>
        <w:ind w:left="0" w:right="5103"/>
        <w:jc w:val="both"/>
        <w:rPr>
          <w:rFonts w:ascii="Verdana" w:hAnsi="Verdana"/>
        </w:rPr>
      </w:pPr>
    </w:p>
    <w:p w14:paraId="3A6C5F0F" w14:textId="77777777" w:rsidR="003F4F65" w:rsidRPr="004D57BE" w:rsidRDefault="003F4F65" w:rsidP="003F4F65">
      <w:pPr>
        <w:pStyle w:val="Normal000"/>
        <w:spacing w:after="120"/>
        <w:ind w:left="-160" w:firstLine="160"/>
        <w:rPr>
          <w:rFonts w:eastAsia="Times New Roman" w:cs="Arial"/>
          <w:b/>
          <w:color w:val="2E74B5" w:themeColor="accent1" w:themeShade="BF"/>
          <w:sz w:val="22"/>
          <w:szCs w:val="22"/>
        </w:rPr>
      </w:pPr>
      <w:r w:rsidRPr="004D57BE">
        <w:rPr>
          <w:rFonts w:eastAsia="Times New Roman" w:cs="Arial"/>
          <w:b/>
          <w:color w:val="2E74B5" w:themeColor="accent1" w:themeShade="BF"/>
          <w:sz w:val="22"/>
          <w:szCs w:val="22"/>
        </w:rPr>
        <w:t>Responsibilities of the Executive Director of Commercial &amp; Finance Services</w:t>
      </w:r>
    </w:p>
    <w:p w14:paraId="6A878582" w14:textId="77777777" w:rsidR="003F4F65" w:rsidRPr="004D57BE" w:rsidRDefault="003F4F65" w:rsidP="003F4F65">
      <w:pPr>
        <w:pStyle w:val="Normal000"/>
        <w:spacing w:after="120"/>
        <w:ind w:left="-160" w:firstLine="160"/>
        <w:rPr>
          <w:rFonts w:eastAsia="Times New Roman" w:cs="Arial"/>
          <w:b/>
          <w:color w:val="0060F0"/>
          <w:sz w:val="22"/>
          <w:szCs w:val="22"/>
        </w:rPr>
      </w:pPr>
      <w:r w:rsidRPr="004D57BE">
        <w:rPr>
          <w:rFonts w:cs="Arial"/>
          <w:noProof/>
          <w:sz w:val="22"/>
          <w:szCs w:val="22"/>
          <w:lang w:val="en-GB" w:eastAsia="en-GB"/>
        </w:rPr>
        <mc:AlternateContent>
          <mc:Choice Requires="wps">
            <w:drawing>
              <wp:anchor distT="0" distB="0" distL="114300" distR="114300" simplePos="0" relativeHeight="251659264" behindDoc="0" locked="0" layoutInCell="1" allowOverlap="1" wp14:anchorId="62589EE6" wp14:editId="7CD4C327">
                <wp:simplePos x="0" y="0"/>
                <wp:positionH relativeFrom="column">
                  <wp:posOffset>6905625</wp:posOffset>
                </wp:positionH>
                <wp:positionV relativeFrom="paragraph">
                  <wp:posOffset>76200</wp:posOffset>
                </wp:positionV>
                <wp:extent cx="2337435" cy="2795905"/>
                <wp:effectExtent l="9525" t="9525" r="5715" b="1397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435" cy="2795905"/>
                        </a:xfrm>
                        <a:prstGeom prst="rect">
                          <a:avLst/>
                        </a:prstGeom>
                        <a:solidFill>
                          <a:srgbClr val="FFFFFF"/>
                        </a:solidFill>
                        <a:ln w="9525">
                          <a:solidFill>
                            <a:srgbClr val="000000"/>
                          </a:solidFill>
                          <a:miter lim="800000"/>
                          <a:headEnd/>
                          <a:tailEnd/>
                        </a:ln>
                      </wps:spPr>
                      <wps:txbx>
                        <w:txbxContent>
                          <w:p w14:paraId="14322C22" w14:textId="77777777" w:rsidR="00D50C5D" w:rsidRPr="00E843CF" w:rsidRDefault="00D50C5D" w:rsidP="003F4F65">
                            <w:pPr>
                              <w:pStyle w:val="Normal000"/>
                              <w:rPr>
                                <w:rFonts w:eastAsia="Times New Roman" w:cs="Arial"/>
                                <w:sz w:val="18"/>
                                <w:szCs w:val="18"/>
                              </w:rPr>
                            </w:pPr>
                            <w:r w:rsidRPr="00E843CF">
                              <w:rPr>
                                <w:rFonts w:eastAsia="Times New Roman" w:cs="Arial"/>
                                <w:sz w:val="18"/>
                                <w:szCs w:val="18"/>
                              </w:rPr>
                              <w:t xml:space="preserve">I certify that the Statement of Accounts gives a true and fair view of the financial position of the Chief Constable of Surrey at the accounting date and of the income and expenditure for the year ended </w:t>
                            </w:r>
                          </w:p>
                          <w:p w14:paraId="63D3C787" w14:textId="28325B5C" w:rsidR="00D50C5D" w:rsidRPr="00E843CF" w:rsidRDefault="00D50C5D" w:rsidP="003F4F65">
                            <w:pPr>
                              <w:pStyle w:val="Normal000"/>
                              <w:rPr>
                                <w:lang w:val="en-GB" w:eastAsia="en-GB"/>
                              </w:rPr>
                            </w:pPr>
                            <w:r w:rsidRPr="00E843CF">
                              <w:rPr>
                                <w:rFonts w:eastAsia="Times New Roman" w:cs="Arial"/>
                                <w:sz w:val="18"/>
                                <w:szCs w:val="18"/>
                              </w:rPr>
                              <w:t xml:space="preserve">31 March 2021.  </w:t>
                            </w:r>
                            <w:r w:rsidRPr="00E843CF">
                              <w:rPr>
                                <w:lang w:val="en-GB" w:eastAsia="en-GB"/>
                              </w:rPr>
                              <w:t xml:space="preserve">      </w:t>
                            </w:r>
                          </w:p>
                          <w:p w14:paraId="4E9A6234" w14:textId="77777777" w:rsidR="00D50C5D" w:rsidRPr="00E843CF" w:rsidRDefault="00D50C5D" w:rsidP="003F4F65">
                            <w:pPr>
                              <w:pStyle w:val="Normal000"/>
                              <w:rPr>
                                <w:rFonts w:eastAsia="Times New Roman" w:cs="Times New Roman"/>
                                <w:sz w:val="18"/>
                                <w:szCs w:val="18"/>
                              </w:rPr>
                            </w:pPr>
                          </w:p>
                          <w:p w14:paraId="13B64EC4" w14:textId="708A39C3" w:rsidR="00D50C5D" w:rsidRDefault="00D50C5D" w:rsidP="003F4F65">
                            <w:pPr>
                              <w:pStyle w:val="Normal000"/>
                              <w:rPr>
                                <w:noProof/>
                                <w:lang w:val="en-GB" w:eastAsia="en-GB"/>
                              </w:rPr>
                            </w:pPr>
                          </w:p>
                          <w:p w14:paraId="01D6EB93" w14:textId="77777777" w:rsidR="00D50C5D" w:rsidRPr="00E843CF" w:rsidRDefault="00D50C5D" w:rsidP="00E843CF">
                            <w:pPr>
                              <w:pStyle w:val="Normal00"/>
                              <w:rPr>
                                <w:lang w:val="en-GB" w:eastAsia="en-GB"/>
                              </w:rPr>
                            </w:pPr>
                          </w:p>
                          <w:p w14:paraId="53F881EE" w14:textId="77777777" w:rsidR="00D50C5D" w:rsidRPr="00E843CF" w:rsidRDefault="00D50C5D" w:rsidP="003F4F65">
                            <w:pPr>
                              <w:pStyle w:val="Normal000"/>
                              <w:rPr>
                                <w:rFonts w:eastAsia="Times New Roman" w:cs="Times New Roman"/>
                                <w:sz w:val="18"/>
                                <w:szCs w:val="18"/>
                              </w:rPr>
                            </w:pPr>
                          </w:p>
                          <w:p w14:paraId="7F9D614C" w14:textId="77777777" w:rsidR="00D50C5D" w:rsidRPr="00E843CF" w:rsidRDefault="00D50C5D" w:rsidP="003F4F65">
                            <w:pPr>
                              <w:pStyle w:val="Normal000"/>
                              <w:rPr>
                                <w:rFonts w:eastAsia="Times New Roman" w:cs="Times New Roman"/>
                                <w:sz w:val="18"/>
                                <w:szCs w:val="18"/>
                              </w:rPr>
                            </w:pPr>
                          </w:p>
                          <w:p w14:paraId="53AA98A5" w14:textId="77777777" w:rsidR="00D50C5D" w:rsidRPr="00E843CF" w:rsidRDefault="00D50C5D" w:rsidP="003F4F65">
                            <w:pPr>
                              <w:pStyle w:val="Normal000"/>
                              <w:rPr>
                                <w:rFonts w:eastAsia="Times New Roman" w:cs="Times New Roman"/>
                                <w:sz w:val="18"/>
                                <w:szCs w:val="18"/>
                              </w:rPr>
                            </w:pPr>
                          </w:p>
                          <w:p w14:paraId="52AECB7B" w14:textId="77777777" w:rsidR="00D50C5D" w:rsidRPr="00E843CF" w:rsidRDefault="00D50C5D" w:rsidP="003F4F65">
                            <w:pPr>
                              <w:pStyle w:val="Normal000"/>
                              <w:rPr>
                                <w:rFonts w:eastAsia="Times New Roman" w:cs="Times New Roman"/>
                                <w:sz w:val="18"/>
                                <w:szCs w:val="18"/>
                              </w:rPr>
                            </w:pPr>
                            <w:r w:rsidRPr="00E843CF">
                              <w:rPr>
                                <w:rFonts w:eastAsia="Times New Roman" w:cs="Times New Roman"/>
                                <w:sz w:val="18"/>
                                <w:szCs w:val="18"/>
                              </w:rPr>
                              <w:t>Peter Gillett CPFA</w:t>
                            </w:r>
                          </w:p>
                          <w:p w14:paraId="16C109D9" w14:textId="77777777" w:rsidR="00D50C5D" w:rsidRPr="00E843CF" w:rsidRDefault="00D50C5D" w:rsidP="003F4F65">
                            <w:pPr>
                              <w:pStyle w:val="Normal000"/>
                              <w:rPr>
                                <w:rFonts w:eastAsia="Times New Roman" w:cs="Times New Roman"/>
                                <w:sz w:val="18"/>
                                <w:szCs w:val="18"/>
                              </w:rPr>
                            </w:pPr>
                            <w:r w:rsidRPr="00E843CF">
                              <w:rPr>
                                <w:rFonts w:eastAsia="Times New Roman" w:cs="Times New Roman"/>
                                <w:sz w:val="18"/>
                                <w:szCs w:val="18"/>
                              </w:rPr>
                              <w:t>Executive Director of Commercial and Finance Services</w:t>
                            </w:r>
                          </w:p>
                          <w:p w14:paraId="06A38D59" w14:textId="77777777" w:rsidR="00D50C5D" w:rsidRDefault="00D50C5D" w:rsidP="003F4F65">
                            <w:pPr>
                              <w:pStyle w:val="Normal000"/>
                              <w:rPr>
                                <w:rFonts w:eastAsia="Times New Roman" w:cs="Times New Roman"/>
                                <w:sz w:val="18"/>
                                <w:szCs w:val="18"/>
                              </w:rPr>
                            </w:pPr>
                            <w:r w:rsidRPr="00E843CF">
                              <w:rPr>
                                <w:rFonts w:eastAsia="Times New Roman" w:cs="Times New Roman"/>
                                <w:sz w:val="18"/>
                                <w:szCs w:val="18"/>
                              </w:rPr>
                              <w:t>Dated:</w:t>
                            </w:r>
                            <w:r w:rsidRPr="00F02A39">
                              <w:rPr>
                                <w:rFonts w:eastAsia="Times New Roman" w:cs="Times New Roman"/>
                                <w:sz w:val="18"/>
                                <w:szCs w:val="18"/>
                              </w:rPr>
                              <w:t xml:space="preserve"> </w:t>
                            </w:r>
                          </w:p>
                          <w:p w14:paraId="4B7235B2" w14:textId="77777777" w:rsidR="00D50C5D" w:rsidRPr="00597AB3" w:rsidRDefault="00D50C5D" w:rsidP="003F4F65">
                            <w:pPr>
                              <w:pStyle w:val="Normal000"/>
                              <w:rPr>
                                <w:rFonts w:eastAsia="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89EE6" id="Text Box 27" o:spid="_x0000_s1027" type="#_x0000_t202" style="position:absolute;left:0;text-align:left;margin-left:543.75pt;margin-top:6pt;width:184.05pt;height:22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">
                <v:textbox>
                  <w:txbxContent>
                    <w:p w14:paraId="14322C22" w14:textId="77777777" w:rsidR="00D50C5D" w:rsidRPr="00E843CF" w:rsidRDefault="00D50C5D" w:rsidP="003F4F65">
                      <w:pPr>
                        <w:pStyle w:val="Normal000"/>
                        <w:rPr>
                          <w:rFonts w:eastAsia="Times New Roman" w:cs="Arial"/>
                          <w:sz w:val="18"/>
                          <w:szCs w:val="18"/>
                        </w:rPr>
                      </w:pPr>
                      <w:r w:rsidRPr="00E843CF">
                        <w:rPr>
                          <w:rFonts w:eastAsia="Times New Roman" w:cs="Arial"/>
                          <w:sz w:val="18"/>
                          <w:szCs w:val="18"/>
                        </w:rPr>
                        <w:t xml:space="preserve">I certify that the Statement of Accounts gives a true and fair view of the financial position of the Chief Constable of Surrey at the accounting date and of the income and expenditure for the year ended </w:t>
                      </w:r>
                    </w:p>
                    <w:p w14:paraId="63D3C787" w14:textId="28325B5C" w:rsidR="00D50C5D" w:rsidRPr="00E843CF" w:rsidRDefault="00D50C5D" w:rsidP="003F4F65">
                      <w:pPr>
                        <w:pStyle w:val="Normal000"/>
                        <w:rPr>
                          <w:lang w:val="en-GB" w:eastAsia="en-GB"/>
                        </w:rPr>
                      </w:pPr>
                      <w:r w:rsidRPr="00E843CF">
                        <w:rPr>
                          <w:rFonts w:eastAsia="Times New Roman" w:cs="Arial"/>
                          <w:sz w:val="18"/>
                          <w:szCs w:val="18"/>
                        </w:rPr>
                        <w:t xml:space="preserve">31 March 2021.  </w:t>
                      </w:r>
                      <w:r w:rsidRPr="00E843CF">
                        <w:rPr>
                          <w:lang w:val="en-GB" w:eastAsia="en-GB"/>
                        </w:rPr>
                        <w:t xml:space="preserve">      </w:t>
                      </w:r>
                    </w:p>
                    <w:p w14:paraId="4E9A6234" w14:textId="77777777" w:rsidR="00D50C5D" w:rsidRPr="00E843CF" w:rsidRDefault="00D50C5D" w:rsidP="003F4F65">
                      <w:pPr>
                        <w:pStyle w:val="Normal000"/>
                        <w:rPr>
                          <w:rFonts w:eastAsia="Times New Roman" w:cs="Times New Roman"/>
                          <w:sz w:val="18"/>
                          <w:szCs w:val="18"/>
                        </w:rPr>
                      </w:pPr>
                    </w:p>
                    <w:p w14:paraId="13B64EC4" w14:textId="708A39C3" w:rsidR="00D50C5D" w:rsidRDefault="00D50C5D" w:rsidP="003F4F65">
                      <w:pPr>
                        <w:pStyle w:val="Normal000"/>
                        <w:rPr>
                          <w:noProof/>
                          <w:lang w:val="en-GB" w:eastAsia="en-GB"/>
                        </w:rPr>
                      </w:pPr>
                    </w:p>
                    <w:p w14:paraId="01D6EB93" w14:textId="77777777" w:rsidR="00D50C5D" w:rsidRPr="00E843CF" w:rsidRDefault="00D50C5D" w:rsidP="00E843CF">
                      <w:pPr>
                        <w:pStyle w:val="Normal00"/>
                        <w:rPr>
                          <w:lang w:val="en-GB" w:eastAsia="en-GB"/>
                        </w:rPr>
                      </w:pPr>
                    </w:p>
                    <w:p w14:paraId="53F881EE" w14:textId="77777777" w:rsidR="00D50C5D" w:rsidRPr="00E843CF" w:rsidRDefault="00D50C5D" w:rsidP="003F4F65">
                      <w:pPr>
                        <w:pStyle w:val="Normal000"/>
                        <w:rPr>
                          <w:rFonts w:eastAsia="Times New Roman" w:cs="Times New Roman"/>
                          <w:sz w:val="18"/>
                          <w:szCs w:val="18"/>
                        </w:rPr>
                      </w:pPr>
                    </w:p>
                    <w:p w14:paraId="7F9D614C" w14:textId="77777777" w:rsidR="00D50C5D" w:rsidRPr="00E843CF" w:rsidRDefault="00D50C5D" w:rsidP="003F4F65">
                      <w:pPr>
                        <w:pStyle w:val="Normal000"/>
                        <w:rPr>
                          <w:rFonts w:eastAsia="Times New Roman" w:cs="Times New Roman"/>
                          <w:sz w:val="18"/>
                          <w:szCs w:val="18"/>
                        </w:rPr>
                      </w:pPr>
                    </w:p>
                    <w:p w14:paraId="53AA98A5" w14:textId="77777777" w:rsidR="00D50C5D" w:rsidRPr="00E843CF" w:rsidRDefault="00D50C5D" w:rsidP="003F4F65">
                      <w:pPr>
                        <w:pStyle w:val="Normal000"/>
                        <w:rPr>
                          <w:rFonts w:eastAsia="Times New Roman" w:cs="Times New Roman"/>
                          <w:sz w:val="18"/>
                          <w:szCs w:val="18"/>
                        </w:rPr>
                      </w:pPr>
                    </w:p>
                    <w:p w14:paraId="52AECB7B" w14:textId="77777777" w:rsidR="00D50C5D" w:rsidRPr="00E843CF" w:rsidRDefault="00D50C5D" w:rsidP="003F4F65">
                      <w:pPr>
                        <w:pStyle w:val="Normal000"/>
                        <w:rPr>
                          <w:rFonts w:eastAsia="Times New Roman" w:cs="Times New Roman"/>
                          <w:sz w:val="18"/>
                          <w:szCs w:val="18"/>
                        </w:rPr>
                      </w:pPr>
                      <w:r w:rsidRPr="00E843CF">
                        <w:rPr>
                          <w:rFonts w:eastAsia="Times New Roman" w:cs="Times New Roman"/>
                          <w:sz w:val="18"/>
                          <w:szCs w:val="18"/>
                        </w:rPr>
                        <w:t>Peter Gillett CPFA</w:t>
                      </w:r>
                    </w:p>
                    <w:p w14:paraId="16C109D9" w14:textId="77777777" w:rsidR="00D50C5D" w:rsidRPr="00E843CF" w:rsidRDefault="00D50C5D" w:rsidP="003F4F65">
                      <w:pPr>
                        <w:pStyle w:val="Normal000"/>
                        <w:rPr>
                          <w:rFonts w:eastAsia="Times New Roman" w:cs="Times New Roman"/>
                          <w:sz w:val="18"/>
                          <w:szCs w:val="18"/>
                        </w:rPr>
                      </w:pPr>
                      <w:r w:rsidRPr="00E843CF">
                        <w:rPr>
                          <w:rFonts w:eastAsia="Times New Roman" w:cs="Times New Roman"/>
                          <w:sz w:val="18"/>
                          <w:szCs w:val="18"/>
                        </w:rPr>
                        <w:t>Executive Director of Commercial and Finance Services</w:t>
                      </w:r>
                    </w:p>
                    <w:p w14:paraId="06A38D59" w14:textId="77777777" w:rsidR="00D50C5D" w:rsidRDefault="00D50C5D" w:rsidP="003F4F65">
                      <w:pPr>
                        <w:pStyle w:val="Normal000"/>
                        <w:rPr>
                          <w:rFonts w:eastAsia="Times New Roman" w:cs="Times New Roman"/>
                          <w:sz w:val="18"/>
                          <w:szCs w:val="18"/>
                        </w:rPr>
                      </w:pPr>
                      <w:r w:rsidRPr="00E843CF">
                        <w:rPr>
                          <w:rFonts w:eastAsia="Times New Roman" w:cs="Times New Roman"/>
                          <w:sz w:val="18"/>
                          <w:szCs w:val="18"/>
                        </w:rPr>
                        <w:t>Dated:</w:t>
                      </w:r>
                      <w:r w:rsidRPr="00F02A39">
                        <w:rPr>
                          <w:rFonts w:eastAsia="Times New Roman" w:cs="Times New Roman"/>
                          <w:sz w:val="18"/>
                          <w:szCs w:val="18"/>
                        </w:rPr>
                        <w:t xml:space="preserve"> </w:t>
                      </w:r>
                    </w:p>
                    <w:p w14:paraId="4B7235B2" w14:textId="77777777" w:rsidR="00D50C5D" w:rsidRPr="00597AB3" w:rsidRDefault="00D50C5D" w:rsidP="003F4F65">
                      <w:pPr>
                        <w:pStyle w:val="Normal000"/>
                        <w:rPr>
                          <w:rFonts w:eastAsia="Times New Roman" w:cs="Times New Roman"/>
                          <w:sz w:val="18"/>
                          <w:szCs w:val="18"/>
                        </w:rPr>
                      </w:pPr>
                    </w:p>
                  </w:txbxContent>
                </v:textbox>
              </v:shape>
            </w:pict>
          </mc:Fallback>
        </mc:AlternateContent>
      </w:r>
      <w:r w:rsidRPr="004D57BE">
        <w:rPr>
          <w:rFonts w:eastAsia="Times New Roman" w:cs="Arial"/>
          <w:b/>
          <w:color w:val="2E74B5" w:themeColor="accent1" w:themeShade="BF"/>
          <w:sz w:val="22"/>
          <w:szCs w:val="22"/>
        </w:rPr>
        <w:t xml:space="preserve">as Chief Finance Officer </w:t>
      </w:r>
      <w:r w:rsidR="003916CE" w:rsidRPr="004D57BE">
        <w:rPr>
          <w:rFonts w:eastAsia="Times New Roman" w:cs="Arial"/>
          <w:b/>
          <w:color w:val="2E74B5" w:themeColor="accent1" w:themeShade="BF"/>
          <w:sz w:val="22"/>
          <w:szCs w:val="22"/>
        </w:rPr>
        <w:t>to the Chief Constable of Surrey</w:t>
      </w:r>
      <w:r w:rsidRPr="004D57BE">
        <w:rPr>
          <w:rFonts w:eastAsia="Times New Roman" w:cs="Arial"/>
          <w:b/>
          <w:color w:val="2E74B5" w:themeColor="accent1" w:themeShade="BF"/>
          <w:sz w:val="22"/>
          <w:szCs w:val="22"/>
        </w:rPr>
        <w:t>:</w:t>
      </w:r>
    </w:p>
    <w:p w14:paraId="6C19BBDE" w14:textId="77777777" w:rsidR="003F4F65" w:rsidRPr="004D57BE" w:rsidRDefault="003F4F65" w:rsidP="003F4F65">
      <w:pPr>
        <w:pStyle w:val="Normal000"/>
        <w:spacing w:after="120"/>
        <w:ind w:right="5160"/>
        <w:rPr>
          <w:rFonts w:eastAsia="Times New Roman" w:cs="Arial"/>
          <w:b/>
          <w:sz w:val="22"/>
          <w:szCs w:val="22"/>
        </w:rPr>
      </w:pPr>
      <w:r w:rsidRPr="004D57BE">
        <w:rPr>
          <w:rFonts w:eastAsia="Times New Roman" w:cs="Arial"/>
          <w:b/>
          <w:sz w:val="22"/>
          <w:szCs w:val="22"/>
        </w:rPr>
        <w:t xml:space="preserve">The Chief Finance Officer is responsible for: </w:t>
      </w:r>
    </w:p>
    <w:p w14:paraId="32492637" w14:textId="77777777" w:rsidR="003F4F65" w:rsidRPr="004D57BE" w:rsidRDefault="003F4F65" w:rsidP="005E3E6F">
      <w:pPr>
        <w:pStyle w:val="ListParagraph"/>
        <w:numPr>
          <w:ilvl w:val="0"/>
          <w:numId w:val="22"/>
        </w:numPr>
        <w:ind w:left="360" w:right="4820"/>
        <w:jc w:val="both"/>
        <w:rPr>
          <w:rFonts w:ascii="Verdana" w:hAnsi="Verdana"/>
          <w:sz w:val="22"/>
          <w:szCs w:val="22"/>
        </w:rPr>
      </w:pPr>
      <w:r w:rsidRPr="004D57BE">
        <w:rPr>
          <w:rFonts w:ascii="Verdana" w:hAnsi="Verdana"/>
          <w:sz w:val="22"/>
          <w:szCs w:val="22"/>
        </w:rPr>
        <w:t>Preparation of the Statement of Accounts f</w:t>
      </w:r>
      <w:r w:rsidR="00826A1F" w:rsidRPr="004D57BE">
        <w:rPr>
          <w:rFonts w:ascii="Verdana" w:hAnsi="Verdana"/>
          <w:sz w:val="22"/>
          <w:szCs w:val="22"/>
        </w:rPr>
        <w:t>or the Chief Constable of Surrey</w:t>
      </w:r>
      <w:r w:rsidRPr="004D57BE">
        <w:rPr>
          <w:rFonts w:ascii="Verdana" w:hAnsi="Verdana"/>
          <w:sz w:val="22"/>
          <w:szCs w:val="22"/>
        </w:rPr>
        <w:t xml:space="preserve"> in accordance with proper practices as set out in the CIPFA/LASAAC Code of Practice on Local Authority Accounting in the United Kingdom (‘the Code’).</w:t>
      </w:r>
    </w:p>
    <w:p w14:paraId="3B4BDB7B" w14:textId="77777777" w:rsidR="003F4F65" w:rsidRPr="004D57BE" w:rsidRDefault="003F4F65" w:rsidP="003F4F65">
      <w:pPr>
        <w:pStyle w:val="ListParagraph"/>
        <w:ind w:left="0" w:right="4820"/>
        <w:jc w:val="both"/>
        <w:rPr>
          <w:rFonts w:ascii="Verdana" w:hAnsi="Verdana"/>
          <w:sz w:val="22"/>
          <w:szCs w:val="22"/>
        </w:rPr>
      </w:pPr>
    </w:p>
    <w:p w14:paraId="682FCCCE" w14:textId="77777777" w:rsidR="003F4F65" w:rsidRPr="004D57BE" w:rsidRDefault="003F4F65" w:rsidP="003F4F65">
      <w:pPr>
        <w:pStyle w:val="Normal000"/>
        <w:spacing w:after="120"/>
        <w:ind w:right="5160"/>
        <w:rPr>
          <w:rFonts w:eastAsia="Times New Roman" w:cs="Arial"/>
          <w:b/>
          <w:sz w:val="22"/>
          <w:szCs w:val="22"/>
        </w:rPr>
      </w:pPr>
      <w:r w:rsidRPr="004D57BE">
        <w:rPr>
          <w:rFonts w:eastAsia="Times New Roman" w:cs="Times New Roman"/>
          <w:b/>
          <w:sz w:val="22"/>
          <w:szCs w:val="22"/>
        </w:rPr>
        <w:t>In preparing the Statement of Accounts, the Chief Finance Officer</w:t>
      </w:r>
      <w:r w:rsidRPr="004D57BE">
        <w:rPr>
          <w:rFonts w:eastAsia="Times New Roman" w:cs="Times New Roman"/>
          <w:sz w:val="22"/>
          <w:szCs w:val="22"/>
        </w:rPr>
        <w:t xml:space="preserve"> </w:t>
      </w:r>
      <w:r w:rsidRPr="004D57BE">
        <w:rPr>
          <w:rFonts w:eastAsia="Times New Roman" w:cs="Arial"/>
          <w:b/>
          <w:sz w:val="22"/>
          <w:szCs w:val="22"/>
        </w:rPr>
        <w:t>has:</w:t>
      </w:r>
    </w:p>
    <w:p w14:paraId="0CD0F3D9" w14:textId="77777777" w:rsidR="003F4F65" w:rsidRPr="004D57BE" w:rsidRDefault="003F4F65" w:rsidP="005E3E6F">
      <w:pPr>
        <w:pStyle w:val="ListParagraph"/>
        <w:numPr>
          <w:ilvl w:val="0"/>
          <w:numId w:val="23"/>
        </w:numPr>
        <w:ind w:left="360" w:right="4820"/>
        <w:jc w:val="both"/>
        <w:rPr>
          <w:rFonts w:ascii="Verdana" w:hAnsi="Verdana"/>
          <w:sz w:val="22"/>
          <w:szCs w:val="22"/>
        </w:rPr>
      </w:pPr>
      <w:r w:rsidRPr="004D57BE">
        <w:rPr>
          <w:rFonts w:ascii="Verdana" w:hAnsi="Verdana"/>
          <w:sz w:val="22"/>
          <w:szCs w:val="22"/>
        </w:rPr>
        <w:t>Selected suitable accounting policies and applied them consistently;</w:t>
      </w:r>
    </w:p>
    <w:p w14:paraId="47278CB8" w14:textId="77777777" w:rsidR="003F4F65" w:rsidRPr="004D57BE" w:rsidRDefault="003F4F65" w:rsidP="005E3E6F">
      <w:pPr>
        <w:pStyle w:val="ListParagraph"/>
        <w:numPr>
          <w:ilvl w:val="0"/>
          <w:numId w:val="23"/>
        </w:numPr>
        <w:ind w:left="360" w:right="4820"/>
        <w:jc w:val="both"/>
        <w:rPr>
          <w:rFonts w:ascii="Verdana" w:hAnsi="Verdana"/>
          <w:sz w:val="22"/>
          <w:szCs w:val="22"/>
        </w:rPr>
      </w:pPr>
      <w:r w:rsidRPr="004D57BE">
        <w:rPr>
          <w:rFonts w:ascii="Verdana" w:hAnsi="Verdana"/>
          <w:sz w:val="22"/>
          <w:szCs w:val="22"/>
        </w:rPr>
        <w:t>Made judgements and estimates that were reasonable and prudent; and</w:t>
      </w:r>
    </w:p>
    <w:p w14:paraId="534E5439" w14:textId="77777777" w:rsidR="003F4F65" w:rsidRPr="004D57BE" w:rsidRDefault="003F4F65" w:rsidP="005E3E6F">
      <w:pPr>
        <w:pStyle w:val="ListParagraph"/>
        <w:numPr>
          <w:ilvl w:val="0"/>
          <w:numId w:val="23"/>
        </w:numPr>
        <w:ind w:left="360" w:right="4820"/>
        <w:jc w:val="both"/>
        <w:rPr>
          <w:rFonts w:ascii="Verdana" w:hAnsi="Verdana"/>
          <w:sz w:val="22"/>
          <w:szCs w:val="22"/>
        </w:rPr>
      </w:pPr>
      <w:r w:rsidRPr="004D57BE">
        <w:rPr>
          <w:rFonts w:ascii="Verdana" w:hAnsi="Verdana"/>
          <w:sz w:val="22"/>
          <w:szCs w:val="22"/>
        </w:rPr>
        <w:t xml:space="preserve">Complied with the code and its application to the Accounts </w:t>
      </w:r>
      <w:r w:rsidR="00826A1F" w:rsidRPr="004D57BE">
        <w:rPr>
          <w:rFonts w:ascii="Verdana" w:hAnsi="Verdana"/>
          <w:sz w:val="22"/>
          <w:szCs w:val="22"/>
        </w:rPr>
        <w:t>of the Chief Constable of Surrey</w:t>
      </w:r>
      <w:r w:rsidRPr="004D57BE">
        <w:rPr>
          <w:rFonts w:ascii="Verdana" w:hAnsi="Verdana"/>
          <w:sz w:val="22"/>
          <w:szCs w:val="22"/>
        </w:rPr>
        <w:t>.</w:t>
      </w:r>
    </w:p>
    <w:p w14:paraId="7F01DF54" w14:textId="77777777" w:rsidR="003F4F65" w:rsidRPr="004D57BE" w:rsidRDefault="003F4F65" w:rsidP="005E3E6F">
      <w:pPr>
        <w:pStyle w:val="ListParagraph"/>
        <w:numPr>
          <w:ilvl w:val="0"/>
          <w:numId w:val="23"/>
        </w:numPr>
        <w:ind w:left="360" w:right="4820"/>
        <w:jc w:val="both"/>
        <w:rPr>
          <w:rFonts w:ascii="Verdana" w:hAnsi="Verdana"/>
          <w:sz w:val="22"/>
          <w:szCs w:val="22"/>
        </w:rPr>
      </w:pPr>
      <w:r w:rsidRPr="004D57BE">
        <w:rPr>
          <w:rFonts w:ascii="Verdana" w:hAnsi="Verdana"/>
          <w:sz w:val="22"/>
          <w:szCs w:val="22"/>
        </w:rPr>
        <w:t>Kept proper accounting records which are up to date; and</w:t>
      </w:r>
    </w:p>
    <w:p w14:paraId="05E18471" w14:textId="77777777" w:rsidR="003F4F65" w:rsidRPr="004D57BE" w:rsidRDefault="003F4F65" w:rsidP="005E3E6F">
      <w:pPr>
        <w:pStyle w:val="ListParagraph"/>
        <w:numPr>
          <w:ilvl w:val="0"/>
          <w:numId w:val="23"/>
        </w:numPr>
        <w:ind w:left="360" w:right="4820"/>
        <w:jc w:val="both"/>
        <w:rPr>
          <w:rFonts w:ascii="Verdana" w:hAnsi="Verdana"/>
          <w:sz w:val="22"/>
          <w:szCs w:val="22"/>
        </w:rPr>
      </w:pPr>
      <w:r w:rsidRPr="004D57BE">
        <w:rPr>
          <w:rFonts w:ascii="Verdana" w:hAnsi="Verdana"/>
          <w:sz w:val="22"/>
          <w:szCs w:val="22"/>
        </w:rPr>
        <w:t>Taken reasonable steps for the prevention and detection of fraud and other irregularities.</w:t>
      </w:r>
    </w:p>
    <w:p w14:paraId="37A29E52" w14:textId="77777777" w:rsidR="00F227D9" w:rsidRPr="00DC1077" w:rsidRDefault="00F227D9">
      <w:pPr>
        <w:rPr>
          <w:rFonts w:ascii="Verdana" w:hAnsi="Verdana"/>
          <w:sz w:val="22"/>
          <w:szCs w:val="22"/>
          <w:highlight w:val="yellow"/>
          <w:lang w:val="en-AU"/>
        </w:rPr>
        <w:sectPr w:rsidR="00F227D9" w:rsidRPr="00DC1077" w:rsidSect="00B54A0C">
          <w:type w:val="nextColumn"/>
          <w:pgSz w:w="16840" w:h="11900" w:orient="landscape"/>
          <w:pgMar w:top="709" w:right="720" w:bottom="567" w:left="720" w:header="708" w:footer="708" w:gutter="0"/>
          <w:cols w:space="708"/>
          <w:docGrid w:linePitch="360"/>
        </w:sectPr>
      </w:pPr>
    </w:p>
    <w:p w14:paraId="74A07D43" w14:textId="77777777" w:rsidR="00DA4E8D" w:rsidRPr="0093622A" w:rsidRDefault="00DA4E8D" w:rsidP="00DA4E8D">
      <w:pPr>
        <w:pStyle w:val="Heading1"/>
      </w:pPr>
      <w:bookmarkStart w:id="4" w:name="_Toc77095555"/>
      <w:r w:rsidRPr="0093622A">
        <w:t>Annual Governance Statement</w:t>
      </w:r>
      <w:bookmarkEnd w:id="4"/>
    </w:p>
    <w:p w14:paraId="4BF26C80" w14:textId="77777777" w:rsidR="00F227D9" w:rsidRPr="0093622A" w:rsidRDefault="00F227D9">
      <w:pPr>
        <w:rPr>
          <w:rFonts w:ascii="Verdana" w:hAnsi="Verdana"/>
          <w:sz w:val="22"/>
          <w:szCs w:val="22"/>
          <w:lang w:val="en-AU"/>
        </w:rPr>
      </w:pPr>
    </w:p>
    <w:p w14:paraId="2E393967" w14:textId="77777777" w:rsidR="00F227D9" w:rsidRPr="0093622A" w:rsidRDefault="00F227D9">
      <w:pPr>
        <w:rPr>
          <w:rFonts w:ascii="Verdana" w:hAnsi="Verdana"/>
          <w:sz w:val="22"/>
          <w:szCs w:val="22"/>
          <w:lang w:val="en-AU"/>
        </w:rPr>
      </w:pPr>
    </w:p>
    <w:p w14:paraId="645BE228" w14:textId="77777777" w:rsidR="00F227D9" w:rsidRPr="0093622A" w:rsidRDefault="00F227D9">
      <w:pPr>
        <w:rPr>
          <w:rFonts w:ascii="Verdana" w:hAnsi="Verdana"/>
          <w:sz w:val="22"/>
          <w:szCs w:val="22"/>
          <w:lang w:val="en-AU"/>
        </w:rPr>
      </w:pPr>
    </w:p>
    <w:p w14:paraId="34000C26" w14:textId="77777777" w:rsidR="00F227D9" w:rsidRPr="0093622A" w:rsidRDefault="00F227D9">
      <w:pPr>
        <w:rPr>
          <w:rFonts w:ascii="Verdana" w:hAnsi="Verdana"/>
          <w:sz w:val="22"/>
          <w:szCs w:val="22"/>
          <w:lang w:val="en-AU"/>
        </w:rPr>
      </w:pPr>
    </w:p>
    <w:p w14:paraId="00DECBB3" w14:textId="77777777" w:rsidR="00D835CC" w:rsidRPr="0093622A" w:rsidRDefault="00D835CC" w:rsidP="00D835CC"/>
    <w:p w14:paraId="7E3946D9" w14:textId="77777777" w:rsidR="00D835CC" w:rsidRPr="0093622A" w:rsidRDefault="00D835CC" w:rsidP="00D835CC"/>
    <w:p w14:paraId="765FF535" w14:textId="77777777" w:rsidR="00D835CC" w:rsidRPr="0093622A" w:rsidRDefault="00D835CC" w:rsidP="00D835CC">
      <w:pPr>
        <w:jc w:val="right"/>
      </w:pPr>
      <w:r w:rsidRPr="0093622A">
        <w:rPr>
          <w:noProof/>
          <w:lang w:val="en-GB" w:eastAsia="en-GB"/>
        </w:rPr>
        <w:drawing>
          <wp:inline distT="0" distB="0" distL="0" distR="0" wp14:anchorId="094FBB10" wp14:editId="52C80D15">
            <wp:extent cx="1783080" cy="1935480"/>
            <wp:effectExtent l="0" t="0" r="7620" b="7620"/>
            <wp:docPr id="11" name="Picture 11" descr="SurreyCrest_Colour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rreyCrest_Colour (00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83080" cy="1935480"/>
                    </a:xfrm>
                    <a:prstGeom prst="rect">
                      <a:avLst/>
                    </a:prstGeom>
                    <a:noFill/>
                    <a:ln>
                      <a:noFill/>
                    </a:ln>
                  </pic:spPr>
                </pic:pic>
              </a:graphicData>
            </a:graphic>
          </wp:inline>
        </w:drawing>
      </w:r>
    </w:p>
    <w:p w14:paraId="5A4ED9BB" w14:textId="77777777" w:rsidR="00D835CC" w:rsidRPr="0093622A" w:rsidRDefault="00D835CC" w:rsidP="00D835CC"/>
    <w:p w14:paraId="1E03AEEE" w14:textId="77777777" w:rsidR="00D835CC" w:rsidRPr="0093622A" w:rsidRDefault="00D835CC" w:rsidP="00D835CC"/>
    <w:p w14:paraId="0E5AABB1" w14:textId="77777777" w:rsidR="00D835CC" w:rsidRPr="0093622A" w:rsidRDefault="00D835CC" w:rsidP="00D835CC"/>
    <w:p w14:paraId="477966DD" w14:textId="77777777" w:rsidR="00D835CC" w:rsidRPr="0093622A" w:rsidRDefault="00D835CC" w:rsidP="00D835CC">
      <w:pPr>
        <w:rPr>
          <w:rFonts w:ascii="Calibri" w:hAnsi="Calibri"/>
        </w:rPr>
      </w:pPr>
    </w:p>
    <w:p w14:paraId="176C03A8" w14:textId="77777777" w:rsidR="00D835CC" w:rsidRPr="0093622A" w:rsidRDefault="00D835CC" w:rsidP="00D835CC">
      <w:pPr>
        <w:rPr>
          <w:rFonts w:ascii="Calibri" w:hAnsi="Calibri"/>
        </w:rPr>
      </w:pPr>
    </w:p>
    <w:p w14:paraId="25D4EF91" w14:textId="77777777" w:rsidR="00D835CC" w:rsidRPr="0093622A" w:rsidRDefault="00D835CC" w:rsidP="00D835CC">
      <w:pPr>
        <w:pBdr>
          <w:top w:val="single" w:sz="4" w:space="1" w:color="auto"/>
        </w:pBdr>
        <w:rPr>
          <w:rFonts w:ascii="Calibri" w:hAnsi="Calibri"/>
          <w:color w:val="4472C4"/>
          <w:sz w:val="48"/>
          <w:szCs w:val="48"/>
        </w:rPr>
      </w:pPr>
      <w:r w:rsidRPr="0093622A">
        <w:rPr>
          <w:rFonts w:ascii="Calibri" w:hAnsi="Calibri"/>
          <w:color w:val="4472C4"/>
          <w:sz w:val="48"/>
          <w:szCs w:val="48"/>
        </w:rPr>
        <w:t xml:space="preserve">Surrey Police </w:t>
      </w:r>
    </w:p>
    <w:p w14:paraId="74F7559B" w14:textId="3349FC6B" w:rsidR="00D835CC" w:rsidRPr="0093622A" w:rsidRDefault="00D835CC" w:rsidP="00D835CC">
      <w:pPr>
        <w:pBdr>
          <w:top w:val="single" w:sz="4" w:space="1" w:color="auto"/>
        </w:pBdr>
        <w:rPr>
          <w:rFonts w:ascii="Calibri" w:hAnsi="Calibri"/>
          <w:b/>
          <w:sz w:val="44"/>
          <w:szCs w:val="44"/>
        </w:rPr>
      </w:pPr>
      <w:r w:rsidRPr="0093622A">
        <w:rPr>
          <w:rFonts w:ascii="Calibri" w:hAnsi="Calibri"/>
          <w:b/>
          <w:color w:val="4472C4"/>
          <w:sz w:val="44"/>
          <w:szCs w:val="44"/>
        </w:rPr>
        <w:t>Chief Constable’s Annual Governance Statement</w:t>
      </w:r>
      <w:r w:rsidRPr="0093622A">
        <w:rPr>
          <w:rFonts w:ascii="Calibri" w:hAnsi="Calibri"/>
          <w:color w:val="4472C4"/>
          <w:sz w:val="44"/>
          <w:szCs w:val="44"/>
        </w:rPr>
        <w:t xml:space="preserve"> 20</w:t>
      </w:r>
      <w:r w:rsidR="0093622A">
        <w:rPr>
          <w:rFonts w:ascii="Calibri" w:hAnsi="Calibri"/>
          <w:color w:val="4472C4"/>
          <w:sz w:val="44"/>
          <w:szCs w:val="44"/>
        </w:rPr>
        <w:t>20-21</w:t>
      </w:r>
    </w:p>
    <w:p w14:paraId="4F9C0389" w14:textId="77777777" w:rsidR="00D835CC" w:rsidRPr="00DC1077" w:rsidRDefault="00D835CC" w:rsidP="00D835CC">
      <w:pPr>
        <w:pBdr>
          <w:bottom w:val="single" w:sz="4" w:space="1" w:color="auto"/>
        </w:pBdr>
        <w:jc w:val="both"/>
        <w:outlineLvl w:val="0"/>
        <w:rPr>
          <w:rFonts w:ascii="Calibri" w:hAnsi="Calibri"/>
          <w:b/>
          <w:highlight w:val="yellow"/>
          <w:u w:val="single"/>
        </w:rPr>
      </w:pPr>
    </w:p>
    <w:p w14:paraId="2F406BB9" w14:textId="77777777" w:rsidR="00D835CC" w:rsidRPr="003B2596" w:rsidRDefault="00D835CC" w:rsidP="00D835CC">
      <w:pPr>
        <w:jc w:val="both"/>
        <w:rPr>
          <w:b/>
          <w:sz w:val="22"/>
          <w:szCs w:val="22"/>
        </w:rPr>
      </w:pPr>
      <w:r w:rsidRPr="00DC1077">
        <w:rPr>
          <w:b/>
          <w:sz w:val="22"/>
          <w:szCs w:val="22"/>
          <w:highlight w:val="yellow"/>
        </w:rPr>
        <w:br w:type="page"/>
      </w:r>
    </w:p>
    <w:p w14:paraId="55716096" w14:textId="77777777" w:rsidR="008A6FEA" w:rsidRPr="003B2596" w:rsidRDefault="008A6FEA" w:rsidP="008A6FEA">
      <w:pPr>
        <w:shd w:val="clear" w:color="auto" w:fill="4472C4"/>
        <w:autoSpaceDE w:val="0"/>
        <w:jc w:val="both"/>
        <w:rPr>
          <w:rFonts w:ascii="Calibri" w:hAnsi="Calibri"/>
          <w:b/>
          <w:color w:val="FFFFFF"/>
          <w:sz w:val="22"/>
          <w:szCs w:val="22"/>
        </w:rPr>
      </w:pPr>
      <w:r w:rsidRPr="003B2596">
        <w:rPr>
          <w:rFonts w:ascii="Calibri" w:hAnsi="Calibri"/>
          <w:b/>
          <w:color w:val="FFFFFF"/>
          <w:sz w:val="22"/>
          <w:szCs w:val="22"/>
        </w:rPr>
        <w:t>1</w:t>
      </w:r>
      <w:r w:rsidRPr="003B2596">
        <w:rPr>
          <w:rFonts w:ascii="Calibri" w:hAnsi="Calibri"/>
          <w:b/>
          <w:color w:val="FFFFFF"/>
          <w:sz w:val="22"/>
          <w:szCs w:val="22"/>
        </w:rPr>
        <w:tab/>
        <w:t>Introduction</w:t>
      </w:r>
    </w:p>
    <w:p w14:paraId="79934629" w14:textId="77777777" w:rsidR="00D835CC" w:rsidRPr="003B2596" w:rsidRDefault="00D835CC" w:rsidP="00D835CC">
      <w:pPr>
        <w:autoSpaceDE w:val="0"/>
        <w:jc w:val="both"/>
        <w:rPr>
          <w:rFonts w:ascii="Calibri" w:hAnsi="Calibri"/>
          <w:b/>
          <w:sz w:val="22"/>
          <w:szCs w:val="22"/>
        </w:rPr>
      </w:pPr>
    </w:p>
    <w:p w14:paraId="21F793C6" w14:textId="1026A35E" w:rsidR="00D835CC" w:rsidRPr="003B2596" w:rsidRDefault="008A6FEA" w:rsidP="008A6FEA">
      <w:pPr>
        <w:suppressAutoHyphens/>
        <w:autoSpaceDE w:val="0"/>
        <w:ind w:left="720" w:hanging="720"/>
        <w:jc w:val="both"/>
        <w:rPr>
          <w:rFonts w:ascii="Calibri" w:hAnsi="Calibri"/>
          <w:sz w:val="22"/>
          <w:szCs w:val="22"/>
        </w:rPr>
      </w:pPr>
      <w:r w:rsidRPr="003B2596">
        <w:rPr>
          <w:rFonts w:ascii="Calibri" w:hAnsi="Calibri"/>
          <w:sz w:val="22"/>
          <w:szCs w:val="22"/>
        </w:rPr>
        <w:t>1.1</w:t>
      </w:r>
      <w:r w:rsidRPr="003B2596">
        <w:rPr>
          <w:rFonts w:ascii="Calibri" w:hAnsi="Calibri"/>
          <w:sz w:val="22"/>
          <w:szCs w:val="22"/>
        </w:rPr>
        <w:tab/>
      </w:r>
      <w:r w:rsidR="00D835CC" w:rsidRPr="003B2596">
        <w:rPr>
          <w:rFonts w:ascii="Calibri" w:hAnsi="Calibri"/>
          <w:sz w:val="22"/>
          <w:szCs w:val="22"/>
        </w:rPr>
        <w:t>This annual governance statement sets out how Surrey Police has complied with the corporate governance framework set out in the Code of Corporate Governance for the Surrey Police and Crime Commissioner (PCC) and the Chief Constable</w:t>
      </w:r>
      <w:r w:rsidR="00D835CC" w:rsidRPr="003B2596">
        <w:rPr>
          <w:rStyle w:val="FootnoteReference"/>
          <w:rFonts w:ascii="Calibri" w:hAnsi="Calibri"/>
          <w:sz w:val="22"/>
          <w:szCs w:val="22"/>
        </w:rPr>
        <w:footnoteReference w:id="1"/>
      </w:r>
      <w:r w:rsidR="00D835CC" w:rsidRPr="003B2596">
        <w:rPr>
          <w:rFonts w:ascii="Calibri" w:hAnsi="Calibri"/>
          <w:sz w:val="22"/>
          <w:szCs w:val="22"/>
        </w:rPr>
        <w:t xml:space="preserve"> in place for the year ended 31 March 202</w:t>
      </w:r>
      <w:r w:rsidR="003B2596">
        <w:rPr>
          <w:rFonts w:ascii="Calibri" w:hAnsi="Calibri"/>
          <w:sz w:val="22"/>
          <w:szCs w:val="22"/>
        </w:rPr>
        <w:t>1</w:t>
      </w:r>
      <w:r w:rsidR="00D835CC" w:rsidRPr="003B2596">
        <w:rPr>
          <w:rFonts w:ascii="Calibri" w:hAnsi="Calibri"/>
          <w:sz w:val="22"/>
          <w:szCs w:val="22"/>
        </w:rPr>
        <w:t>. It also details areas of improvement to further enhance governance arrangements that the force plans to progress during 202</w:t>
      </w:r>
      <w:r w:rsidR="003B2596" w:rsidRPr="003B2596">
        <w:rPr>
          <w:rFonts w:ascii="Calibri" w:hAnsi="Calibri"/>
          <w:sz w:val="22"/>
          <w:szCs w:val="22"/>
        </w:rPr>
        <w:t>1</w:t>
      </w:r>
      <w:r w:rsidR="00D835CC" w:rsidRPr="003B2596">
        <w:rPr>
          <w:rFonts w:ascii="Calibri" w:hAnsi="Calibri"/>
          <w:sz w:val="22"/>
          <w:szCs w:val="22"/>
        </w:rPr>
        <w:t>-2</w:t>
      </w:r>
      <w:r w:rsidR="003B2596" w:rsidRPr="003B2596">
        <w:rPr>
          <w:rFonts w:ascii="Calibri" w:hAnsi="Calibri"/>
          <w:sz w:val="22"/>
          <w:szCs w:val="22"/>
        </w:rPr>
        <w:t>2</w:t>
      </w:r>
      <w:r w:rsidR="00D835CC" w:rsidRPr="003B2596">
        <w:rPr>
          <w:rFonts w:ascii="Calibri" w:hAnsi="Calibri"/>
          <w:sz w:val="22"/>
          <w:szCs w:val="22"/>
        </w:rPr>
        <w:t>.</w:t>
      </w:r>
    </w:p>
    <w:p w14:paraId="31ECD697" w14:textId="77777777" w:rsidR="00D835CC" w:rsidRPr="003B2596" w:rsidRDefault="00D835CC" w:rsidP="00D835CC">
      <w:pPr>
        <w:autoSpaceDE w:val="0"/>
        <w:ind w:left="720"/>
        <w:jc w:val="both"/>
        <w:rPr>
          <w:rFonts w:ascii="Calibri" w:hAnsi="Calibri"/>
          <w:sz w:val="22"/>
          <w:szCs w:val="22"/>
        </w:rPr>
      </w:pPr>
      <w:r w:rsidRPr="003B2596">
        <w:rPr>
          <w:rFonts w:ascii="Calibri" w:hAnsi="Calibri"/>
          <w:sz w:val="22"/>
          <w:szCs w:val="22"/>
        </w:rPr>
        <w:t xml:space="preserve"> </w:t>
      </w:r>
    </w:p>
    <w:p w14:paraId="65F13984" w14:textId="77777777" w:rsidR="00D835CC" w:rsidRPr="003B2596" w:rsidRDefault="008A6FEA" w:rsidP="008A6FEA">
      <w:pPr>
        <w:suppressAutoHyphens/>
        <w:autoSpaceDE w:val="0"/>
        <w:ind w:left="720" w:hanging="720"/>
        <w:jc w:val="both"/>
        <w:rPr>
          <w:rFonts w:ascii="Calibri" w:hAnsi="Calibri"/>
          <w:sz w:val="22"/>
          <w:szCs w:val="22"/>
        </w:rPr>
      </w:pPr>
      <w:r w:rsidRPr="003B2596">
        <w:rPr>
          <w:rFonts w:ascii="Calibri" w:hAnsi="Calibri"/>
          <w:sz w:val="22"/>
          <w:szCs w:val="22"/>
        </w:rPr>
        <w:t>1.2</w:t>
      </w:r>
      <w:r w:rsidRPr="003B2596">
        <w:rPr>
          <w:rFonts w:ascii="Calibri" w:hAnsi="Calibri"/>
          <w:sz w:val="22"/>
          <w:szCs w:val="22"/>
        </w:rPr>
        <w:tab/>
      </w:r>
      <w:r w:rsidR="00D835CC" w:rsidRPr="003B2596">
        <w:rPr>
          <w:rFonts w:ascii="Calibri" w:hAnsi="Calibri"/>
          <w:sz w:val="22"/>
          <w:szCs w:val="22"/>
        </w:rPr>
        <w:t>It is designed to complement the annual governance statement of the Surrey PCC, to give the full picture of governance within Surrey Police and the Office of the PCC.</w:t>
      </w:r>
    </w:p>
    <w:p w14:paraId="723874E9" w14:textId="77777777" w:rsidR="00D835CC" w:rsidRPr="003B2596" w:rsidRDefault="00D835CC" w:rsidP="00D835CC">
      <w:pPr>
        <w:autoSpaceDE w:val="0"/>
        <w:jc w:val="both"/>
        <w:rPr>
          <w:rFonts w:ascii="Calibri" w:hAnsi="Calibri"/>
          <w:sz w:val="22"/>
          <w:szCs w:val="22"/>
        </w:rPr>
      </w:pPr>
    </w:p>
    <w:p w14:paraId="7AEA076D" w14:textId="77777777" w:rsidR="00D835CC" w:rsidRPr="003B2596" w:rsidRDefault="008A6FEA" w:rsidP="008A6FEA">
      <w:pPr>
        <w:suppressAutoHyphens/>
        <w:autoSpaceDE w:val="0"/>
        <w:ind w:left="720" w:hanging="720"/>
        <w:jc w:val="both"/>
        <w:rPr>
          <w:rFonts w:ascii="Calibri" w:hAnsi="Calibri"/>
          <w:sz w:val="22"/>
          <w:szCs w:val="22"/>
        </w:rPr>
      </w:pPr>
      <w:r w:rsidRPr="003B2596">
        <w:rPr>
          <w:rFonts w:ascii="Calibri" w:hAnsi="Calibri"/>
          <w:sz w:val="22"/>
          <w:szCs w:val="22"/>
        </w:rPr>
        <w:t>1.3</w:t>
      </w:r>
      <w:r w:rsidRPr="003B2596">
        <w:rPr>
          <w:rFonts w:ascii="Calibri" w:hAnsi="Calibri"/>
          <w:sz w:val="22"/>
          <w:szCs w:val="22"/>
        </w:rPr>
        <w:tab/>
      </w:r>
      <w:r w:rsidR="00D835CC" w:rsidRPr="003B2596">
        <w:rPr>
          <w:rFonts w:ascii="Calibri" w:hAnsi="Calibri"/>
          <w:sz w:val="22"/>
          <w:szCs w:val="22"/>
        </w:rPr>
        <w:t>This statement is informed by an annual review of governance arrangements with assurance on compliance with the seven principles of the Code of Corporate Governance, by on-going audit inspection and external review.</w:t>
      </w:r>
    </w:p>
    <w:p w14:paraId="7F2BD94E" w14:textId="77777777" w:rsidR="00D835CC" w:rsidRPr="003B2596" w:rsidRDefault="00D835CC" w:rsidP="00D835CC">
      <w:pPr>
        <w:autoSpaceDE w:val="0"/>
        <w:ind w:left="720"/>
        <w:jc w:val="both"/>
        <w:rPr>
          <w:rFonts w:ascii="Calibri" w:hAnsi="Calibri"/>
          <w:sz w:val="22"/>
          <w:szCs w:val="22"/>
        </w:rPr>
      </w:pPr>
    </w:p>
    <w:p w14:paraId="503C7727" w14:textId="16DCCED2" w:rsidR="00D835CC" w:rsidRPr="003B2596" w:rsidRDefault="008A6FEA" w:rsidP="008A6FEA">
      <w:pPr>
        <w:suppressAutoHyphens/>
        <w:autoSpaceDE w:val="0"/>
        <w:ind w:left="720" w:hanging="720"/>
        <w:jc w:val="both"/>
        <w:rPr>
          <w:rFonts w:ascii="Calibri" w:hAnsi="Calibri"/>
          <w:sz w:val="22"/>
          <w:szCs w:val="22"/>
        </w:rPr>
      </w:pPr>
      <w:r w:rsidRPr="003B2596">
        <w:rPr>
          <w:rFonts w:ascii="Calibri" w:hAnsi="Calibri"/>
          <w:sz w:val="22"/>
          <w:szCs w:val="22"/>
        </w:rPr>
        <w:t>1.4</w:t>
      </w:r>
      <w:r w:rsidRPr="003B2596">
        <w:rPr>
          <w:rFonts w:ascii="Calibri" w:hAnsi="Calibri"/>
          <w:sz w:val="22"/>
          <w:szCs w:val="22"/>
        </w:rPr>
        <w:tab/>
      </w:r>
      <w:r w:rsidR="00D835CC" w:rsidRPr="003B2596">
        <w:rPr>
          <w:rFonts w:ascii="Calibri" w:hAnsi="Calibri"/>
          <w:sz w:val="22"/>
          <w:szCs w:val="22"/>
        </w:rPr>
        <w:t>Regulation 6(1)(a) of the Accounts and Audit Regulations 2015 requires an authority to conduct a review at least once in a year of the effectiveness of its system of internal control and include a statement reporting on the review with any published Statement of Accounts (England).  This term ‘authority’ includes the Chief Constable and the Police and Crime Commissioner legal entities.  This requirement is reflected in the Code of Practice on Local Authority Accounting in the United Kingdom 20</w:t>
      </w:r>
      <w:r w:rsidR="003B2596" w:rsidRPr="003B2596">
        <w:rPr>
          <w:rFonts w:ascii="Calibri" w:hAnsi="Calibri"/>
          <w:sz w:val="22"/>
          <w:szCs w:val="22"/>
        </w:rPr>
        <w:t>20</w:t>
      </w:r>
      <w:r w:rsidR="00D835CC" w:rsidRPr="003B2596">
        <w:rPr>
          <w:rFonts w:ascii="Calibri" w:hAnsi="Calibri"/>
          <w:sz w:val="22"/>
          <w:szCs w:val="22"/>
        </w:rPr>
        <w:t>/2</w:t>
      </w:r>
      <w:r w:rsidR="003B2596" w:rsidRPr="003B2596">
        <w:rPr>
          <w:rFonts w:ascii="Calibri" w:hAnsi="Calibri"/>
          <w:sz w:val="22"/>
          <w:szCs w:val="22"/>
        </w:rPr>
        <w:t>1</w:t>
      </w:r>
      <w:r w:rsidR="00D835CC" w:rsidRPr="003B2596">
        <w:rPr>
          <w:rFonts w:ascii="Calibri" w:hAnsi="Calibri"/>
          <w:sz w:val="22"/>
          <w:szCs w:val="22"/>
        </w:rPr>
        <w:t xml:space="preserve"> published by the Chartered Institute of Public Finance &amp; Accountancy (CIPFA).</w:t>
      </w:r>
    </w:p>
    <w:p w14:paraId="3AB3E9B6" w14:textId="77777777" w:rsidR="00D835CC" w:rsidRPr="003B2596" w:rsidRDefault="00D835CC" w:rsidP="00D835CC">
      <w:pPr>
        <w:jc w:val="both"/>
        <w:rPr>
          <w:b/>
          <w:sz w:val="22"/>
          <w:szCs w:val="22"/>
        </w:rPr>
      </w:pPr>
    </w:p>
    <w:p w14:paraId="2319BD17" w14:textId="77777777" w:rsidR="008A6FEA" w:rsidRPr="003B2596" w:rsidRDefault="008A6FEA" w:rsidP="008A6FEA">
      <w:pPr>
        <w:shd w:val="clear" w:color="auto" w:fill="0070C0"/>
        <w:jc w:val="both"/>
        <w:rPr>
          <w:rFonts w:ascii="Calibri" w:hAnsi="Calibri"/>
          <w:b/>
          <w:color w:val="FFFFFF"/>
        </w:rPr>
      </w:pPr>
      <w:r w:rsidRPr="003B2596">
        <w:rPr>
          <w:rFonts w:ascii="Calibri" w:hAnsi="Calibri"/>
          <w:b/>
          <w:color w:val="FFFFFF"/>
        </w:rPr>
        <w:t>2</w:t>
      </w:r>
      <w:r w:rsidRPr="003B2596">
        <w:rPr>
          <w:rFonts w:ascii="Calibri" w:hAnsi="Calibri"/>
          <w:b/>
          <w:color w:val="FFFFFF"/>
        </w:rPr>
        <w:tab/>
        <w:t>In response to Covid-19</w:t>
      </w:r>
    </w:p>
    <w:p w14:paraId="2D77EA42" w14:textId="5F5E151D" w:rsidR="00D835CC" w:rsidRPr="008624EF" w:rsidRDefault="003B2596" w:rsidP="00D835CC">
      <w:pPr>
        <w:autoSpaceDE w:val="0"/>
        <w:jc w:val="both"/>
        <w:rPr>
          <w:rFonts w:ascii="Calibri" w:hAnsi="Calibri"/>
          <w:color w:val="FF0000"/>
          <w:sz w:val="22"/>
          <w:szCs w:val="22"/>
        </w:rPr>
      </w:pPr>
      <w:r w:rsidRPr="003B2596">
        <w:rPr>
          <w:rFonts w:ascii="Calibri" w:hAnsi="Calibri"/>
          <w:bCs/>
          <w:i/>
          <w:iCs/>
          <w:color w:val="FF0000"/>
        </w:rPr>
        <w:t xml:space="preserve">NB: THIS SECTION IS AN </w:t>
      </w:r>
      <w:r w:rsidRPr="008624EF">
        <w:rPr>
          <w:rFonts w:ascii="Calibri" w:hAnsi="Calibri"/>
          <w:bCs/>
          <w:i/>
          <w:iCs/>
          <w:color w:val="FF0000"/>
        </w:rPr>
        <w:t>INITIAL DRAFT WHICH WILL BE UPDATED IN SEPTEMBER 2021 TO PROVIDE THE POSITION AS AT THE SIGNING OF THE AGS</w:t>
      </w:r>
    </w:p>
    <w:p w14:paraId="2FF71ADE" w14:textId="77777777" w:rsidR="003B2596" w:rsidRPr="008624EF" w:rsidRDefault="003B2596" w:rsidP="00D835CC">
      <w:pPr>
        <w:autoSpaceDE w:val="0"/>
        <w:jc w:val="both"/>
        <w:rPr>
          <w:rFonts w:ascii="Calibri" w:hAnsi="Calibri"/>
          <w:b/>
          <w:sz w:val="22"/>
          <w:szCs w:val="22"/>
        </w:rPr>
      </w:pPr>
    </w:p>
    <w:p w14:paraId="6C62A3B7" w14:textId="77777777" w:rsidR="00D835CC" w:rsidRPr="008624EF" w:rsidRDefault="00D835CC" w:rsidP="005E3E6F">
      <w:pPr>
        <w:pStyle w:val="ListParagraph"/>
        <w:numPr>
          <w:ilvl w:val="0"/>
          <w:numId w:val="16"/>
        </w:numPr>
        <w:suppressAutoHyphens/>
        <w:autoSpaceDE w:val="0"/>
        <w:contextualSpacing w:val="0"/>
        <w:jc w:val="both"/>
        <w:rPr>
          <w:rFonts w:ascii="Calibri" w:hAnsi="Calibri"/>
          <w:vanish/>
          <w:sz w:val="22"/>
          <w:szCs w:val="22"/>
        </w:rPr>
      </w:pPr>
    </w:p>
    <w:p w14:paraId="1F2F9719" w14:textId="77777777" w:rsidR="00D835CC" w:rsidRPr="008624EF" w:rsidRDefault="00D835CC" w:rsidP="005E3E6F">
      <w:pPr>
        <w:pStyle w:val="ListParagraph"/>
        <w:numPr>
          <w:ilvl w:val="0"/>
          <w:numId w:val="16"/>
        </w:numPr>
        <w:suppressAutoHyphens/>
        <w:autoSpaceDE w:val="0"/>
        <w:contextualSpacing w:val="0"/>
        <w:jc w:val="both"/>
        <w:rPr>
          <w:rFonts w:ascii="Calibri" w:hAnsi="Calibri"/>
          <w:vanish/>
          <w:sz w:val="22"/>
          <w:szCs w:val="22"/>
        </w:rPr>
      </w:pPr>
    </w:p>
    <w:p w14:paraId="7FC4580B" w14:textId="5DC1C0D4" w:rsidR="00D835CC" w:rsidRPr="008624EF" w:rsidRDefault="00D835CC" w:rsidP="005E3E6F">
      <w:pPr>
        <w:numPr>
          <w:ilvl w:val="1"/>
          <w:numId w:val="16"/>
        </w:numPr>
        <w:suppressAutoHyphens/>
        <w:autoSpaceDE w:val="0"/>
        <w:jc w:val="both"/>
        <w:rPr>
          <w:rFonts w:ascii="Calibri" w:hAnsi="Calibri"/>
          <w:sz w:val="22"/>
          <w:szCs w:val="22"/>
        </w:rPr>
      </w:pPr>
      <w:r w:rsidRPr="008624EF">
        <w:rPr>
          <w:rFonts w:ascii="Calibri" w:hAnsi="Calibri"/>
          <w:sz w:val="22"/>
          <w:szCs w:val="22"/>
        </w:rPr>
        <w:t>The annual governance statement (AGS) needs to be current at the final date of publication which may be later than previous years due to the extended deadlines for statutory reporting for 20</w:t>
      </w:r>
      <w:r w:rsidR="00177720" w:rsidRPr="008624EF">
        <w:rPr>
          <w:rFonts w:ascii="Calibri" w:hAnsi="Calibri"/>
          <w:sz w:val="22"/>
          <w:szCs w:val="22"/>
        </w:rPr>
        <w:t>20</w:t>
      </w:r>
      <w:r w:rsidRPr="008624EF">
        <w:rPr>
          <w:rFonts w:ascii="Calibri" w:hAnsi="Calibri"/>
          <w:sz w:val="22"/>
          <w:szCs w:val="22"/>
        </w:rPr>
        <w:t>-2</w:t>
      </w:r>
      <w:r w:rsidR="00177720" w:rsidRPr="008624EF">
        <w:rPr>
          <w:rFonts w:ascii="Calibri" w:hAnsi="Calibri"/>
          <w:sz w:val="22"/>
          <w:szCs w:val="22"/>
        </w:rPr>
        <w:t>1</w:t>
      </w:r>
      <w:r w:rsidRPr="008624EF">
        <w:rPr>
          <w:rFonts w:ascii="Calibri" w:hAnsi="Calibri"/>
          <w:sz w:val="22"/>
          <w:szCs w:val="22"/>
        </w:rPr>
        <w:t xml:space="preserve">. </w:t>
      </w:r>
      <w:r w:rsidR="00177720" w:rsidRPr="008624EF">
        <w:rPr>
          <w:rFonts w:ascii="Calibri" w:hAnsi="Calibri"/>
          <w:sz w:val="22"/>
          <w:szCs w:val="22"/>
        </w:rPr>
        <w:t>As a result of Covid-19, statutory deadlines have been set for the next two years as 31 July for publication of the draft AGS with the final AGS (ideally post-audit) deadline as 30 September.</w:t>
      </w:r>
    </w:p>
    <w:p w14:paraId="2A72A684" w14:textId="77777777" w:rsidR="00D835CC" w:rsidRPr="008624EF" w:rsidRDefault="00D835CC" w:rsidP="00D835CC">
      <w:pPr>
        <w:autoSpaceDE w:val="0"/>
        <w:ind w:left="720"/>
        <w:jc w:val="both"/>
        <w:rPr>
          <w:rFonts w:ascii="Calibri" w:hAnsi="Calibri"/>
          <w:sz w:val="22"/>
          <w:szCs w:val="22"/>
        </w:rPr>
      </w:pPr>
    </w:p>
    <w:p w14:paraId="0B6AEDFF" w14:textId="3E846721" w:rsidR="00D835CC" w:rsidRPr="008624EF" w:rsidRDefault="00177720" w:rsidP="00177720">
      <w:pPr>
        <w:numPr>
          <w:ilvl w:val="1"/>
          <w:numId w:val="16"/>
        </w:numPr>
        <w:suppressAutoHyphens/>
        <w:autoSpaceDE w:val="0"/>
        <w:jc w:val="both"/>
        <w:rPr>
          <w:rFonts w:ascii="Calibri" w:hAnsi="Calibri"/>
          <w:sz w:val="22"/>
          <w:szCs w:val="22"/>
        </w:rPr>
      </w:pPr>
      <w:r w:rsidRPr="008624EF">
        <w:rPr>
          <w:rFonts w:ascii="Calibri" w:hAnsi="Calibri"/>
          <w:sz w:val="22"/>
          <w:szCs w:val="22"/>
        </w:rPr>
        <w:t>The AGS assesses governance in place during the 2020/21, during which time the Covid-19 coronavirus pandemic had considerable impact on governance arrangements and has continued to do so beyond 31 March 2021. The impact of Covid-19 on existing governance arrangements is under constant review through established risk monitoring processes. The Police and Crime Commissioner is keeping under continuous review the impact of Covid-19 on the operation of the Office of the PCC, the force and partner organisations.</w:t>
      </w:r>
    </w:p>
    <w:p w14:paraId="20391386" w14:textId="77777777" w:rsidR="00D835CC" w:rsidRPr="008624EF" w:rsidRDefault="00D835CC" w:rsidP="00D835CC">
      <w:pPr>
        <w:autoSpaceDE w:val="0"/>
        <w:ind w:left="720"/>
        <w:jc w:val="both"/>
        <w:rPr>
          <w:rFonts w:ascii="Calibri" w:hAnsi="Calibri"/>
          <w:sz w:val="22"/>
          <w:szCs w:val="22"/>
        </w:rPr>
      </w:pPr>
    </w:p>
    <w:p w14:paraId="48AEC4E2" w14:textId="77777777" w:rsidR="00D835CC" w:rsidRPr="008624EF" w:rsidRDefault="00D835CC" w:rsidP="005E3E6F">
      <w:pPr>
        <w:numPr>
          <w:ilvl w:val="1"/>
          <w:numId w:val="16"/>
        </w:numPr>
        <w:suppressAutoHyphens/>
        <w:autoSpaceDE w:val="0"/>
        <w:jc w:val="both"/>
        <w:rPr>
          <w:rFonts w:ascii="Calibri" w:hAnsi="Calibri"/>
          <w:sz w:val="22"/>
          <w:szCs w:val="22"/>
        </w:rPr>
      </w:pPr>
      <w:r w:rsidRPr="008624EF">
        <w:rPr>
          <w:rFonts w:ascii="Calibri" w:hAnsi="Calibri"/>
          <w:sz w:val="22"/>
          <w:szCs w:val="22"/>
        </w:rPr>
        <w:t>As part of the Coronavirus Bill 2020 two new powers were given to the police:</w:t>
      </w:r>
    </w:p>
    <w:p w14:paraId="73C3FDB2" w14:textId="77777777" w:rsidR="00D835CC" w:rsidRPr="008624EF" w:rsidRDefault="00D835CC" w:rsidP="00D835CC">
      <w:pPr>
        <w:numPr>
          <w:ilvl w:val="0"/>
          <w:numId w:val="2"/>
        </w:numPr>
        <w:tabs>
          <w:tab w:val="num" w:pos="1080"/>
        </w:tabs>
        <w:suppressAutoHyphens/>
        <w:ind w:left="1080"/>
        <w:jc w:val="both"/>
        <w:rPr>
          <w:rFonts w:ascii="Calibri" w:hAnsi="Calibri"/>
          <w:sz w:val="22"/>
          <w:szCs w:val="22"/>
        </w:rPr>
      </w:pPr>
      <w:r w:rsidRPr="008624EF">
        <w:rPr>
          <w:rFonts w:ascii="Calibri" w:hAnsi="Calibri"/>
          <w:sz w:val="22"/>
          <w:szCs w:val="22"/>
        </w:rPr>
        <w:t>Powers Relating to Potentially Infectious Persons – Schedule 20;</w:t>
      </w:r>
    </w:p>
    <w:p w14:paraId="40E88F93" w14:textId="77777777" w:rsidR="00D835CC" w:rsidRPr="008624EF" w:rsidRDefault="00D835CC" w:rsidP="00D835CC">
      <w:pPr>
        <w:numPr>
          <w:ilvl w:val="0"/>
          <w:numId w:val="2"/>
        </w:numPr>
        <w:tabs>
          <w:tab w:val="num" w:pos="1080"/>
        </w:tabs>
        <w:suppressAutoHyphens/>
        <w:ind w:left="1080"/>
        <w:jc w:val="both"/>
        <w:rPr>
          <w:rFonts w:ascii="Calibri" w:hAnsi="Calibri"/>
          <w:sz w:val="22"/>
          <w:szCs w:val="22"/>
        </w:rPr>
      </w:pPr>
      <w:r w:rsidRPr="008624EF">
        <w:rPr>
          <w:rFonts w:ascii="Calibri" w:hAnsi="Calibri"/>
          <w:sz w:val="22"/>
          <w:szCs w:val="22"/>
        </w:rPr>
        <w:t>Powers to Issue Directions Relating to Events, Gathering and Premises – Schedule 21</w:t>
      </w:r>
    </w:p>
    <w:p w14:paraId="34D8C242" w14:textId="77777777" w:rsidR="00D835CC" w:rsidRPr="008624EF" w:rsidRDefault="00D835CC" w:rsidP="00D835CC">
      <w:pPr>
        <w:ind w:left="720"/>
        <w:jc w:val="both"/>
        <w:rPr>
          <w:rFonts w:ascii="Calibri" w:hAnsi="Calibri"/>
          <w:sz w:val="22"/>
          <w:szCs w:val="22"/>
        </w:rPr>
      </w:pPr>
      <w:r w:rsidRPr="008624EF">
        <w:rPr>
          <w:rFonts w:ascii="Calibri" w:hAnsi="Calibri"/>
          <w:sz w:val="22"/>
          <w:szCs w:val="22"/>
        </w:rPr>
        <w:t>In Surrey Police these powers are used only on the express direction of specific individuals.</w:t>
      </w:r>
    </w:p>
    <w:p w14:paraId="7AA13F3B" w14:textId="77777777" w:rsidR="00D835CC" w:rsidRPr="008624EF" w:rsidRDefault="00D835CC" w:rsidP="00D835CC">
      <w:pPr>
        <w:autoSpaceDE w:val="0"/>
        <w:jc w:val="both"/>
        <w:rPr>
          <w:rFonts w:ascii="Calibri" w:hAnsi="Calibri"/>
          <w:sz w:val="22"/>
          <w:szCs w:val="22"/>
        </w:rPr>
      </w:pPr>
    </w:p>
    <w:p w14:paraId="1703B1CC" w14:textId="3CADE325" w:rsidR="00D835CC" w:rsidRPr="008624EF" w:rsidRDefault="008624EF" w:rsidP="005E3E6F">
      <w:pPr>
        <w:numPr>
          <w:ilvl w:val="1"/>
          <w:numId w:val="16"/>
        </w:numPr>
        <w:suppressAutoHyphens/>
        <w:autoSpaceDE w:val="0"/>
        <w:jc w:val="both"/>
        <w:rPr>
          <w:rFonts w:ascii="Calibri" w:hAnsi="Calibri"/>
          <w:sz w:val="22"/>
          <w:szCs w:val="22"/>
        </w:rPr>
      </w:pPr>
      <w:r w:rsidRPr="008624EF">
        <w:rPr>
          <w:rFonts w:ascii="Calibri" w:hAnsi="Calibri"/>
          <w:sz w:val="22"/>
          <w:szCs w:val="22"/>
        </w:rPr>
        <w:t>Operation Titan</w:t>
      </w:r>
      <w:r w:rsidR="00D835CC" w:rsidRPr="008624EF">
        <w:rPr>
          <w:rFonts w:ascii="Calibri" w:hAnsi="Calibri"/>
          <w:sz w:val="22"/>
          <w:szCs w:val="22"/>
        </w:rPr>
        <w:t>, a ‘gold command’ governance group</w:t>
      </w:r>
      <w:r w:rsidRPr="008624EF">
        <w:rPr>
          <w:rFonts w:ascii="Calibri" w:hAnsi="Calibri"/>
          <w:sz w:val="22"/>
          <w:szCs w:val="22"/>
        </w:rPr>
        <w:t xml:space="preserve"> (formerly known as Op Apollo, but combined during 2021 with the response to the EU Exit and potential issues from severe winter weather)</w:t>
      </w:r>
      <w:r w:rsidR="00D835CC" w:rsidRPr="008624EF">
        <w:rPr>
          <w:rFonts w:ascii="Calibri" w:hAnsi="Calibri"/>
          <w:sz w:val="22"/>
          <w:szCs w:val="22"/>
        </w:rPr>
        <w:t xml:space="preserve"> set up to respond to</w:t>
      </w:r>
      <w:r w:rsidRPr="008624EF">
        <w:rPr>
          <w:rFonts w:ascii="Calibri" w:hAnsi="Calibri"/>
          <w:sz w:val="22"/>
          <w:szCs w:val="22"/>
        </w:rPr>
        <w:t xml:space="preserve"> the challenges of Covid-19 as they were publicly announced,</w:t>
      </w:r>
      <w:r w:rsidR="00D835CC" w:rsidRPr="008624EF">
        <w:rPr>
          <w:rFonts w:ascii="Calibri" w:hAnsi="Calibri"/>
          <w:sz w:val="22"/>
          <w:szCs w:val="22"/>
        </w:rPr>
        <w:t xml:space="preserve"> maintained a robust control environment to capture issues, assess capacity and capability, manage stakeholder engagement, make decisions and coordinate the Surrey Police response to Covid-19. </w:t>
      </w:r>
    </w:p>
    <w:p w14:paraId="03C8A03A" w14:textId="77777777" w:rsidR="00D835CC" w:rsidRPr="008624EF" w:rsidRDefault="00D835CC" w:rsidP="00D835CC">
      <w:pPr>
        <w:pStyle w:val="ListParagraph"/>
        <w:rPr>
          <w:rFonts w:ascii="Calibri" w:hAnsi="Calibri"/>
          <w:sz w:val="22"/>
          <w:szCs w:val="22"/>
        </w:rPr>
      </w:pPr>
    </w:p>
    <w:p w14:paraId="42B77EA0" w14:textId="4AACC8EE" w:rsidR="00D835CC" w:rsidRPr="008624EF" w:rsidRDefault="00D835CC" w:rsidP="005E3E6F">
      <w:pPr>
        <w:numPr>
          <w:ilvl w:val="1"/>
          <w:numId w:val="16"/>
        </w:numPr>
        <w:suppressAutoHyphens/>
        <w:autoSpaceDE w:val="0"/>
        <w:jc w:val="both"/>
        <w:rPr>
          <w:rFonts w:ascii="Calibri" w:hAnsi="Calibri"/>
          <w:sz w:val="22"/>
          <w:szCs w:val="22"/>
        </w:rPr>
      </w:pPr>
      <w:r w:rsidRPr="008624EF">
        <w:rPr>
          <w:rFonts w:ascii="Calibri" w:hAnsi="Calibri"/>
          <w:sz w:val="22"/>
          <w:szCs w:val="22"/>
        </w:rPr>
        <w:t xml:space="preserve">Extensive internal and external communications, managed via Operation </w:t>
      </w:r>
      <w:r w:rsidR="008624EF" w:rsidRPr="008624EF">
        <w:rPr>
          <w:rFonts w:ascii="Calibri" w:hAnsi="Calibri"/>
          <w:sz w:val="22"/>
          <w:szCs w:val="22"/>
        </w:rPr>
        <w:t>Titan</w:t>
      </w:r>
      <w:r w:rsidRPr="008624EF">
        <w:rPr>
          <w:rFonts w:ascii="Calibri" w:hAnsi="Calibri"/>
          <w:sz w:val="22"/>
          <w:szCs w:val="22"/>
        </w:rPr>
        <w:t xml:space="preserve"> issued the latest information and guidance to staff and officers daily to include; briefings, operational guidance, intelligence updates, personal guidance, line manager advice, staff impact and wellbeing resources. </w:t>
      </w:r>
    </w:p>
    <w:p w14:paraId="1481AAC0" w14:textId="77777777" w:rsidR="00D835CC" w:rsidRPr="008624EF" w:rsidRDefault="00D835CC" w:rsidP="00D835CC">
      <w:pPr>
        <w:pStyle w:val="ListParagraph"/>
        <w:rPr>
          <w:rFonts w:ascii="Calibri" w:hAnsi="Calibri"/>
          <w:sz w:val="22"/>
          <w:szCs w:val="22"/>
        </w:rPr>
      </w:pPr>
    </w:p>
    <w:p w14:paraId="4D804D6F" w14:textId="77777777" w:rsidR="00D835CC" w:rsidRPr="008624EF" w:rsidRDefault="00D835CC" w:rsidP="005E3E6F">
      <w:pPr>
        <w:numPr>
          <w:ilvl w:val="1"/>
          <w:numId w:val="16"/>
        </w:numPr>
        <w:suppressAutoHyphens/>
        <w:autoSpaceDE w:val="0"/>
        <w:jc w:val="both"/>
        <w:rPr>
          <w:rFonts w:ascii="Calibri" w:hAnsi="Calibri"/>
          <w:sz w:val="22"/>
          <w:szCs w:val="22"/>
        </w:rPr>
      </w:pPr>
      <w:r w:rsidRPr="008624EF">
        <w:rPr>
          <w:rFonts w:ascii="Calibri" w:hAnsi="Calibri"/>
          <w:sz w:val="22"/>
          <w:szCs w:val="22"/>
        </w:rPr>
        <w:t>Activation of ‘social distancing’ policies and business continuity plans were invoked early on:</w:t>
      </w:r>
    </w:p>
    <w:p w14:paraId="4E277251" w14:textId="77777777" w:rsidR="00D835CC" w:rsidRPr="008624EF" w:rsidRDefault="00D835CC" w:rsidP="00D835CC">
      <w:pPr>
        <w:numPr>
          <w:ilvl w:val="0"/>
          <w:numId w:val="2"/>
        </w:numPr>
        <w:tabs>
          <w:tab w:val="num" w:pos="1080"/>
        </w:tabs>
        <w:suppressAutoHyphens/>
        <w:ind w:left="1080"/>
        <w:jc w:val="both"/>
        <w:rPr>
          <w:rFonts w:ascii="Calibri" w:hAnsi="Calibri"/>
          <w:sz w:val="22"/>
          <w:szCs w:val="22"/>
        </w:rPr>
      </w:pPr>
      <w:r w:rsidRPr="008624EF">
        <w:rPr>
          <w:rFonts w:ascii="Calibri" w:hAnsi="Calibri"/>
          <w:sz w:val="22"/>
          <w:szCs w:val="22"/>
        </w:rPr>
        <w:t xml:space="preserve">Employees were instructed to avoid unnecessary travel and non-essential physical contact; </w:t>
      </w:r>
    </w:p>
    <w:p w14:paraId="5A5962D8" w14:textId="77777777" w:rsidR="00D835CC" w:rsidRPr="008624EF" w:rsidRDefault="00D835CC" w:rsidP="00D835CC">
      <w:pPr>
        <w:numPr>
          <w:ilvl w:val="0"/>
          <w:numId w:val="2"/>
        </w:numPr>
        <w:tabs>
          <w:tab w:val="num" w:pos="1080"/>
        </w:tabs>
        <w:suppressAutoHyphens/>
        <w:ind w:left="1080"/>
        <w:jc w:val="both"/>
        <w:rPr>
          <w:rFonts w:ascii="Calibri" w:hAnsi="Calibri"/>
          <w:sz w:val="22"/>
          <w:szCs w:val="22"/>
        </w:rPr>
      </w:pPr>
      <w:r w:rsidRPr="008624EF">
        <w:rPr>
          <w:rFonts w:ascii="Calibri" w:hAnsi="Calibri"/>
          <w:sz w:val="22"/>
          <w:szCs w:val="22"/>
        </w:rPr>
        <w:t>Familiarity with PPE guidance promoted in recognition of inevitable physical contact in policing</w:t>
      </w:r>
    </w:p>
    <w:p w14:paraId="3231D502" w14:textId="77777777" w:rsidR="00D835CC" w:rsidRPr="008624EF" w:rsidRDefault="00D835CC" w:rsidP="00D835CC">
      <w:pPr>
        <w:numPr>
          <w:ilvl w:val="0"/>
          <w:numId w:val="2"/>
        </w:numPr>
        <w:tabs>
          <w:tab w:val="num" w:pos="1080"/>
        </w:tabs>
        <w:suppressAutoHyphens/>
        <w:ind w:left="1080"/>
        <w:jc w:val="both"/>
        <w:rPr>
          <w:rFonts w:ascii="Calibri" w:hAnsi="Calibri"/>
          <w:sz w:val="22"/>
          <w:szCs w:val="22"/>
        </w:rPr>
      </w:pPr>
      <w:r w:rsidRPr="008624EF">
        <w:rPr>
          <w:rFonts w:ascii="Calibri" w:hAnsi="Calibri"/>
          <w:sz w:val="22"/>
          <w:szCs w:val="22"/>
        </w:rPr>
        <w:t>NHS hygiene advice made available to all staff and officers;</w:t>
      </w:r>
    </w:p>
    <w:p w14:paraId="3CC56DB7" w14:textId="77777777" w:rsidR="00D835CC" w:rsidRPr="008624EF" w:rsidRDefault="00D835CC" w:rsidP="00D835CC">
      <w:pPr>
        <w:numPr>
          <w:ilvl w:val="0"/>
          <w:numId w:val="2"/>
        </w:numPr>
        <w:tabs>
          <w:tab w:val="num" w:pos="1080"/>
        </w:tabs>
        <w:suppressAutoHyphens/>
        <w:ind w:left="1080"/>
        <w:jc w:val="both"/>
        <w:rPr>
          <w:rFonts w:ascii="Calibri" w:hAnsi="Calibri"/>
          <w:sz w:val="22"/>
          <w:szCs w:val="22"/>
        </w:rPr>
      </w:pPr>
      <w:r w:rsidRPr="008624EF">
        <w:rPr>
          <w:rFonts w:ascii="Calibri" w:hAnsi="Calibri"/>
          <w:sz w:val="22"/>
          <w:szCs w:val="22"/>
        </w:rPr>
        <w:t>Managers encouraged to support remote/home working for non-operational staff;</w:t>
      </w:r>
    </w:p>
    <w:p w14:paraId="7D0EE3F6" w14:textId="77777777" w:rsidR="00D835CC" w:rsidRPr="008624EF" w:rsidRDefault="00D835CC" w:rsidP="00D835CC">
      <w:pPr>
        <w:numPr>
          <w:ilvl w:val="0"/>
          <w:numId w:val="2"/>
        </w:numPr>
        <w:tabs>
          <w:tab w:val="num" w:pos="1080"/>
        </w:tabs>
        <w:suppressAutoHyphens/>
        <w:ind w:left="1080"/>
        <w:jc w:val="both"/>
        <w:rPr>
          <w:rFonts w:ascii="Calibri" w:hAnsi="Calibri"/>
          <w:sz w:val="22"/>
          <w:szCs w:val="22"/>
        </w:rPr>
      </w:pPr>
      <w:r w:rsidRPr="008624EF">
        <w:rPr>
          <w:rFonts w:ascii="Calibri" w:hAnsi="Calibri"/>
          <w:sz w:val="22"/>
          <w:szCs w:val="22"/>
        </w:rPr>
        <w:t>Face to face meetings, wherever possible were moved to teleconference or alternative virtual meeting space e.g. Skype;</w:t>
      </w:r>
    </w:p>
    <w:p w14:paraId="3F4C5671" w14:textId="77777777" w:rsidR="00D835CC" w:rsidRPr="008624EF" w:rsidRDefault="00D835CC" w:rsidP="00D835CC">
      <w:pPr>
        <w:numPr>
          <w:ilvl w:val="0"/>
          <w:numId w:val="2"/>
        </w:numPr>
        <w:tabs>
          <w:tab w:val="num" w:pos="1080"/>
        </w:tabs>
        <w:suppressAutoHyphens/>
        <w:ind w:left="1080"/>
        <w:jc w:val="both"/>
        <w:rPr>
          <w:rFonts w:ascii="Calibri" w:hAnsi="Calibri"/>
          <w:sz w:val="22"/>
          <w:szCs w:val="22"/>
        </w:rPr>
      </w:pPr>
      <w:r w:rsidRPr="008624EF">
        <w:rPr>
          <w:rFonts w:ascii="Calibri" w:hAnsi="Calibri"/>
          <w:sz w:val="22"/>
          <w:szCs w:val="22"/>
        </w:rPr>
        <w:t>Non-urgent meetings, events and conferences cancelled or postponed in consultation with stakeholders.</w:t>
      </w:r>
    </w:p>
    <w:p w14:paraId="6E9D137A" w14:textId="77777777" w:rsidR="00D835CC" w:rsidRPr="008624EF" w:rsidRDefault="00D835CC" w:rsidP="00D835CC">
      <w:pPr>
        <w:autoSpaceDE w:val="0"/>
        <w:ind w:left="720"/>
        <w:jc w:val="both"/>
        <w:rPr>
          <w:rFonts w:ascii="Calibri" w:hAnsi="Calibri"/>
          <w:sz w:val="22"/>
          <w:szCs w:val="22"/>
        </w:rPr>
      </w:pPr>
    </w:p>
    <w:p w14:paraId="1B0114C7" w14:textId="4F687E2B" w:rsidR="00D835CC" w:rsidRPr="008624EF" w:rsidRDefault="00D835CC" w:rsidP="005E3E6F">
      <w:pPr>
        <w:numPr>
          <w:ilvl w:val="1"/>
          <w:numId w:val="16"/>
        </w:numPr>
        <w:suppressAutoHyphens/>
        <w:autoSpaceDE w:val="0"/>
        <w:jc w:val="both"/>
        <w:rPr>
          <w:rFonts w:ascii="Calibri" w:hAnsi="Calibri"/>
          <w:sz w:val="22"/>
          <w:szCs w:val="22"/>
        </w:rPr>
      </w:pPr>
      <w:r w:rsidRPr="008624EF">
        <w:rPr>
          <w:rFonts w:ascii="Calibri" w:hAnsi="Calibri"/>
          <w:sz w:val="22"/>
          <w:szCs w:val="22"/>
        </w:rPr>
        <w:t>Instruction was given mid-March</w:t>
      </w:r>
      <w:r w:rsidR="008624EF" w:rsidRPr="008624EF">
        <w:rPr>
          <w:rFonts w:ascii="Calibri" w:hAnsi="Calibri"/>
          <w:sz w:val="22"/>
          <w:szCs w:val="22"/>
        </w:rPr>
        <w:t xml:space="preserve"> 2020</w:t>
      </w:r>
      <w:r w:rsidRPr="008624EF">
        <w:rPr>
          <w:rFonts w:ascii="Calibri" w:hAnsi="Calibri"/>
          <w:sz w:val="22"/>
          <w:szCs w:val="22"/>
        </w:rPr>
        <w:t xml:space="preserve"> for all staff to work from home where possible in line with restrictions on public life made by the UK Government to slow the effects of Coronavirus and protect NHS resources.</w:t>
      </w:r>
      <w:r w:rsidR="008624EF" w:rsidRPr="008624EF">
        <w:rPr>
          <w:rFonts w:ascii="Calibri" w:hAnsi="Calibri"/>
          <w:sz w:val="22"/>
          <w:szCs w:val="22"/>
        </w:rPr>
        <w:t xml:space="preserve"> Regular updates were issued throughout the year to reflect changes in restrictions.</w:t>
      </w:r>
    </w:p>
    <w:p w14:paraId="1386C7AC" w14:textId="77777777" w:rsidR="00D835CC" w:rsidRPr="008624EF" w:rsidRDefault="00D835CC" w:rsidP="00D835CC">
      <w:pPr>
        <w:autoSpaceDE w:val="0"/>
        <w:ind w:left="720"/>
        <w:jc w:val="both"/>
        <w:rPr>
          <w:rFonts w:ascii="Calibri" w:hAnsi="Calibri"/>
          <w:sz w:val="22"/>
          <w:szCs w:val="22"/>
        </w:rPr>
      </w:pPr>
    </w:p>
    <w:p w14:paraId="34A6DFDC" w14:textId="77777777" w:rsidR="00D835CC" w:rsidRPr="008624EF" w:rsidRDefault="00D835CC" w:rsidP="005E3E6F">
      <w:pPr>
        <w:numPr>
          <w:ilvl w:val="1"/>
          <w:numId w:val="16"/>
        </w:numPr>
        <w:suppressAutoHyphens/>
        <w:autoSpaceDE w:val="0"/>
        <w:jc w:val="both"/>
        <w:rPr>
          <w:rFonts w:ascii="Calibri" w:hAnsi="Calibri"/>
          <w:sz w:val="22"/>
          <w:szCs w:val="22"/>
        </w:rPr>
      </w:pPr>
      <w:r w:rsidRPr="008624EF">
        <w:rPr>
          <w:rFonts w:ascii="Calibri" w:hAnsi="Calibri"/>
          <w:sz w:val="22"/>
          <w:szCs w:val="22"/>
        </w:rPr>
        <w:t>Other changes to governance arrangements as a result of Covid-19 include:</w:t>
      </w:r>
    </w:p>
    <w:p w14:paraId="00E6D49D" w14:textId="77777777" w:rsidR="00D835CC" w:rsidRPr="008624EF" w:rsidRDefault="00D835CC" w:rsidP="00D835CC">
      <w:pPr>
        <w:numPr>
          <w:ilvl w:val="0"/>
          <w:numId w:val="2"/>
        </w:numPr>
        <w:tabs>
          <w:tab w:val="num" w:pos="1080"/>
        </w:tabs>
        <w:suppressAutoHyphens/>
        <w:ind w:left="1080"/>
        <w:jc w:val="both"/>
        <w:rPr>
          <w:rFonts w:ascii="Calibri" w:hAnsi="Calibri"/>
          <w:sz w:val="22"/>
          <w:szCs w:val="22"/>
        </w:rPr>
      </w:pPr>
      <w:r w:rsidRPr="008624EF">
        <w:rPr>
          <w:rFonts w:ascii="Calibri" w:hAnsi="Calibri"/>
          <w:sz w:val="22"/>
          <w:szCs w:val="22"/>
        </w:rPr>
        <w:t>Force command structure across Surrey Police and Sussex Police changes to increase resilience around the policing response;</w:t>
      </w:r>
    </w:p>
    <w:p w14:paraId="32774EC6" w14:textId="26D55E9D" w:rsidR="00D835CC" w:rsidRPr="008624EF" w:rsidRDefault="00D835CC" w:rsidP="00D835CC">
      <w:pPr>
        <w:numPr>
          <w:ilvl w:val="0"/>
          <w:numId w:val="2"/>
        </w:numPr>
        <w:tabs>
          <w:tab w:val="num" w:pos="1080"/>
        </w:tabs>
        <w:suppressAutoHyphens/>
        <w:ind w:left="1080"/>
        <w:jc w:val="both"/>
        <w:rPr>
          <w:rFonts w:ascii="Calibri" w:hAnsi="Calibri"/>
          <w:sz w:val="22"/>
          <w:szCs w:val="22"/>
        </w:rPr>
      </w:pPr>
      <w:r w:rsidRPr="008624EF">
        <w:rPr>
          <w:rFonts w:ascii="Calibri" w:hAnsi="Calibri"/>
          <w:sz w:val="22"/>
          <w:szCs w:val="22"/>
        </w:rPr>
        <w:t>Redeployment of staff to support the front-lin</w:t>
      </w:r>
      <w:r w:rsidR="008624EF" w:rsidRPr="008624EF">
        <w:rPr>
          <w:rFonts w:ascii="Calibri" w:hAnsi="Calibri"/>
          <w:sz w:val="22"/>
          <w:szCs w:val="22"/>
        </w:rPr>
        <w:t>e workforce and Operation Titan</w:t>
      </w:r>
      <w:r w:rsidRPr="008624EF">
        <w:rPr>
          <w:rFonts w:ascii="Calibri" w:hAnsi="Calibri"/>
          <w:sz w:val="22"/>
          <w:szCs w:val="22"/>
        </w:rPr>
        <w:t>;</w:t>
      </w:r>
    </w:p>
    <w:p w14:paraId="2615BD33" w14:textId="77777777" w:rsidR="00D835CC" w:rsidRPr="008624EF" w:rsidRDefault="00D835CC" w:rsidP="00D835CC">
      <w:pPr>
        <w:numPr>
          <w:ilvl w:val="0"/>
          <w:numId w:val="2"/>
        </w:numPr>
        <w:tabs>
          <w:tab w:val="num" w:pos="1080"/>
        </w:tabs>
        <w:suppressAutoHyphens/>
        <w:ind w:left="1080"/>
        <w:jc w:val="both"/>
        <w:rPr>
          <w:rFonts w:ascii="Calibri" w:hAnsi="Calibri"/>
          <w:sz w:val="22"/>
          <w:szCs w:val="22"/>
        </w:rPr>
      </w:pPr>
      <w:r w:rsidRPr="008624EF">
        <w:rPr>
          <w:rFonts w:ascii="Calibri" w:hAnsi="Calibri"/>
          <w:sz w:val="22"/>
          <w:szCs w:val="22"/>
        </w:rPr>
        <w:t>Redeployment of officers to changes in priorities and crime demands arising from Covid-19;</w:t>
      </w:r>
    </w:p>
    <w:p w14:paraId="2B082682" w14:textId="77777777" w:rsidR="00D835CC" w:rsidRPr="008624EF" w:rsidRDefault="00D835CC" w:rsidP="00D835CC">
      <w:pPr>
        <w:numPr>
          <w:ilvl w:val="0"/>
          <w:numId w:val="2"/>
        </w:numPr>
        <w:tabs>
          <w:tab w:val="num" w:pos="1080"/>
        </w:tabs>
        <w:suppressAutoHyphens/>
        <w:ind w:left="1080"/>
        <w:jc w:val="both"/>
        <w:rPr>
          <w:rFonts w:ascii="Calibri" w:hAnsi="Calibri"/>
          <w:sz w:val="22"/>
          <w:szCs w:val="22"/>
        </w:rPr>
      </w:pPr>
      <w:r w:rsidRPr="008624EF">
        <w:rPr>
          <w:rFonts w:ascii="Calibri" w:hAnsi="Calibri"/>
          <w:sz w:val="22"/>
          <w:szCs w:val="22"/>
        </w:rPr>
        <w:t>Frequent dialogue maintained with government officials and key stakeholders on the financial impact on policing resulting from Covid-19;</w:t>
      </w:r>
    </w:p>
    <w:p w14:paraId="72BA044E" w14:textId="77777777" w:rsidR="00D835CC" w:rsidRPr="008624EF" w:rsidRDefault="00D835CC" w:rsidP="00D835CC">
      <w:pPr>
        <w:numPr>
          <w:ilvl w:val="0"/>
          <w:numId w:val="2"/>
        </w:numPr>
        <w:tabs>
          <w:tab w:val="num" w:pos="1080"/>
        </w:tabs>
        <w:suppressAutoHyphens/>
        <w:ind w:left="1080"/>
        <w:jc w:val="both"/>
        <w:rPr>
          <w:rFonts w:ascii="Calibri" w:hAnsi="Calibri"/>
          <w:sz w:val="22"/>
          <w:szCs w:val="22"/>
        </w:rPr>
      </w:pPr>
      <w:r w:rsidRPr="008624EF">
        <w:rPr>
          <w:rFonts w:ascii="Calibri" w:hAnsi="Calibri"/>
          <w:sz w:val="22"/>
          <w:szCs w:val="22"/>
        </w:rPr>
        <w:t>Monitoring and approval process through Operation Apollo to deal with additional costs e.g. pay related costs, personal protective equipment (PPE) for frontline staff, IT investment to allow people to work from home and income losses;</w:t>
      </w:r>
    </w:p>
    <w:p w14:paraId="654419EF" w14:textId="77777777" w:rsidR="00D835CC" w:rsidRPr="008624EF" w:rsidRDefault="00D835CC" w:rsidP="00D835CC">
      <w:pPr>
        <w:numPr>
          <w:ilvl w:val="0"/>
          <w:numId w:val="2"/>
        </w:numPr>
        <w:tabs>
          <w:tab w:val="num" w:pos="1080"/>
        </w:tabs>
        <w:suppressAutoHyphens/>
        <w:ind w:left="1080"/>
        <w:jc w:val="both"/>
        <w:rPr>
          <w:rFonts w:ascii="Calibri" w:hAnsi="Calibri"/>
          <w:sz w:val="22"/>
          <w:szCs w:val="22"/>
        </w:rPr>
      </w:pPr>
      <w:r w:rsidRPr="008624EF">
        <w:rPr>
          <w:rFonts w:ascii="Calibri" w:hAnsi="Calibri"/>
          <w:sz w:val="22"/>
          <w:szCs w:val="22"/>
        </w:rPr>
        <w:t xml:space="preserve">More flexible use of Government Procurement Cards and increased local floats to facilitate urgent purchases. </w:t>
      </w:r>
    </w:p>
    <w:p w14:paraId="00A3D625" w14:textId="77777777" w:rsidR="00D835CC" w:rsidRPr="008624EF" w:rsidRDefault="00D835CC" w:rsidP="00D835CC">
      <w:pPr>
        <w:pStyle w:val="ListParagraph"/>
        <w:rPr>
          <w:rFonts w:ascii="Calibri" w:hAnsi="Calibri"/>
          <w:sz w:val="22"/>
          <w:szCs w:val="22"/>
        </w:rPr>
      </w:pPr>
    </w:p>
    <w:p w14:paraId="285B07A2" w14:textId="77777777" w:rsidR="00D835CC" w:rsidRPr="008624EF" w:rsidRDefault="00D835CC" w:rsidP="005E3E6F">
      <w:pPr>
        <w:numPr>
          <w:ilvl w:val="1"/>
          <w:numId w:val="16"/>
        </w:numPr>
        <w:suppressAutoHyphens/>
        <w:autoSpaceDE w:val="0"/>
        <w:jc w:val="both"/>
        <w:rPr>
          <w:rFonts w:ascii="Calibri" w:hAnsi="Calibri"/>
          <w:sz w:val="22"/>
          <w:szCs w:val="22"/>
        </w:rPr>
      </w:pPr>
      <w:r w:rsidRPr="008624EF">
        <w:rPr>
          <w:rFonts w:ascii="Calibri" w:hAnsi="Calibri"/>
          <w:sz w:val="22"/>
          <w:szCs w:val="22"/>
        </w:rPr>
        <w:t>Since 31 March 2020 the following governance issues arose relating to Covid-19:</w:t>
      </w:r>
    </w:p>
    <w:p w14:paraId="4740A28D" w14:textId="77777777" w:rsidR="00D835CC" w:rsidRPr="008624EF" w:rsidRDefault="00D835CC" w:rsidP="005E3E6F">
      <w:pPr>
        <w:numPr>
          <w:ilvl w:val="0"/>
          <w:numId w:val="17"/>
        </w:numPr>
        <w:suppressAutoHyphens/>
        <w:autoSpaceDE w:val="0"/>
        <w:jc w:val="both"/>
        <w:rPr>
          <w:rFonts w:ascii="Calibri" w:hAnsi="Calibri"/>
          <w:sz w:val="22"/>
          <w:szCs w:val="22"/>
        </w:rPr>
      </w:pPr>
      <w:r w:rsidRPr="008624EF">
        <w:rPr>
          <w:rFonts w:ascii="Calibri" w:hAnsi="Calibri"/>
          <w:sz w:val="22"/>
          <w:szCs w:val="22"/>
        </w:rPr>
        <w:t>National procurement contribution towards personal protective equipment (£5m Surrey Police &amp; Sussex Police) requiring legal and procurement expertise and cash flow management;</w:t>
      </w:r>
    </w:p>
    <w:p w14:paraId="15A8D241" w14:textId="77777777" w:rsidR="00D835CC" w:rsidRPr="008624EF" w:rsidRDefault="00D835CC" w:rsidP="005E3E6F">
      <w:pPr>
        <w:numPr>
          <w:ilvl w:val="0"/>
          <w:numId w:val="17"/>
        </w:numPr>
        <w:suppressAutoHyphens/>
        <w:autoSpaceDE w:val="0"/>
        <w:jc w:val="both"/>
        <w:rPr>
          <w:rFonts w:ascii="Calibri" w:hAnsi="Calibri"/>
          <w:sz w:val="22"/>
          <w:szCs w:val="22"/>
        </w:rPr>
      </w:pPr>
      <w:r w:rsidRPr="008624EF">
        <w:rPr>
          <w:rFonts w:ascii="Calibri" w:hAnsi="Calibri"/>
          <w:sz w:val="22"/>
          <w:szCs w:val="22"/>
        </w:rPr>
        <w:t>Strategic review of budgets, existing projects and capital programmes with a view to mitigate costs arising from Covid-19 and support financial sustainability;</w:t>
      </w:r>
    </w:p>
    <w:p w14:paraId="0896CD4D" w14:textId="77777777" w:rsidR="00D835CC" w:rsidRPr="008624EF" w:rsidRDefault="00D835CC" w:rsidP="005E3E6F">
      <w:pPr>
        <w:numPr>
          <w:ilvl w:val="0"/>
          <w:numId w:val="17"/>
        </w:numPr>
        <w:suppressAutoHyphens/>
        <w:autoSpaceDE w:val="0"/>
        <w:jc w:val="both"/>
        <w:rPr>
          <w:rFonts w:ascii="Calibri" w:hAnsi="Calibri"/>
          <w:sz w:val="22"/>
          <w:szCs w:val="22"/>
        </w:rPr>
      </w:pPr>
      <w:r w:rsidRPr="008624EF">
        <w:rPr>
          <w:rFonts w:ascii="Calibri" w:hAnsi="Calibri"/>
          <w:sz w:val="22"/>
          <w:szCs w:val="22"/>
        </w:rPr>
        <w:t>Supply chain management including immediate payment of suppliers and/or exceptional payments in advance to mitigate risk of failure by essential suppliers;</w:t>
      </w:r>
    </w:p>
    <w:p w14:paraId="1C4EB39B" w14:textId="2DF264CB" w:rsidR="00D835CC" w:rsidRPr="008624EF" w:rsidRDefault="00D835CC" w:rsidP="005E3E6F">
      <w:pPr>
        <w:numPr>
          <w:ilvl w:val="0"/>
          <w:numId w:val="17"/>
        </w:numPr>
        <w:suppressAutoHyphens/>
        <w:autoSpaceDE w:val="0"/>
        <w:jc w:val="both"/>
        <w:rPr>
          <w:rFonts w:ascii="Calibri" w:hAnsi="Calibri"/>
          <w:sz w:val="22"/>
          <w:szCs w:val="22"/>
        </w:rPr>
      </w:pPr>
      <w:r w:rsidRPr="008624EF">
        <w:rPr>
          <w:rFonts w:ascii="Calibri" w:hAnsi="Calibri"/>
          <w:sz w:val="22"/>
          <w:szCs w:val="22"/>
        </w:rPr>
        <w:t>Greater likelihood of borrowing requirement due to additional costs and potential reductions in income</w:t>
      </w:r>
      <w:r w:rsidR="008624EF" w:rsidRPr="008624EF">
        <w:rPr>
          <w:rFonts w:ascii="Calibri" w:hAnsi="Calibri"/>
          <w:sz w:val="22"/>
          <w:szCs w:val="22"/>
        </w:rPr>
        <w:t xml:space="preserve"> during the year were largely mitigated by government grants covering costs in relation to Covid-19. However the longer term impacts on the economy will </w:t>
      </w:r>
      <w:r w:rsidRPr="008624EF">
        <w:rPr>
          <w:rFonts w:ascii="Calibri" w:hAnsi="Calibri"/>
          <w:sz w:val="22"/>
          <w:szCs w:val="22"/>
        </w:rPr>
        <w:t>impact on medium term financial planning.</w:t>
      </w:r>
    </w:p>
    <w:p w14:paraId="124CF05E" w14:textId="77777777" w:rsidR="00D835CC" w:rsidRPr="008624EF" w:rsidRDefault="00D835CC" w:rsidP="00D835CC">
      <w:pPr>
        <w:autoSpaceDE w:val="0"/>
        <w:ind w:left="720"/>
        <w:jc w:val="both"/>
        <w:rPr>
          <w:rFonts w:ascii="Calibri" w:hAnsi="Calibri"/>
          <w:sz w:val="22"/>
          <w:szCs w:val="22"/>
        </w:rPr>
      </w:pPr>
    </w:p>
    <w:p w14:paraId="2CADFC53" w14:textId="77777777" w:rsidR="00D835CC" w:rsidRPr="003B2596" w:rsidRDefault="00D835CC" w:rsidP="00D835CC">
      <w:pPr>
        <w:shd w:val="clear" w:color="auto" w:fill="4472C4"/>
        <w:autoSpaceDE w:val="0"/>
        <w:jc w:val="both"/>
        <w:rPr>
          <w:rFonts w:ascii="Calibri" w:hAnsi="Calibri"/>
          <w:b/>
          <w:color w:val="FFFFFF"/>
          <w:sz w:val="22"/>
          <w:szCs w:val="22"/>
        </w:rPr>
      </w:pPr>
      <w:r w:rsidRPr="008624EF">
        <w:rPr>
          <w:rFonts w:ascii="Calibri" w:hAnsi="Calibri"/>
          <w:b/>
          <w:color w:val="FFFFFF"/>
          <w:sz w:val="22"/>
          <w:szCs w:val="22"/>
        </w:rPr>
        <w:t>3</w:t>
      </w:r>
      <w:r w:rsidRPr="008624EF">
        <w:rPr>
          <w:rFonts w:ascii="Calibri" w:hAnsi="Calibri"/>
          <w:b/>
          <w:color w:val="FFFFFF"/>
          <w:sz w:val="22"/>
          <w:szCs w:val="22"/>
        </w:rPr>
        <w:tab/>
        <w:t>Scope of Responsibilities</w:t>
      </w:r>
    </w:p>
    <w:p w14:paraId="29B5BC25" w14:textId="77777777" w:rsidR="00D835CC" w:rsidRPr="003B2596" w:rsidRDefault="00D835CC" w:rsidP="00D835CC">
      <w:pPr>
        <w:jc w:val="both"/>
        <w:rPr>
          <w:b/>
          <w:sz w:val="22"/>
          <w:szCs w:val="22"/>
        </w:rPr>
      </w:pPr>
    </w:p>
    <w:p w14:paraId="3BFF8F90" w14:textId="77777777" w:rsidR="00D835CC" w:rsidRPr="008624EF" w:rsidRDefault="00D835CC" w:rsidP="00D835CC">
      <w:pPr>
        <w:ind w:left="709" w:hanging="709"/>
        <w:jc w:val="both"/>
        <w:rPr>
          <w:rFonts w:ascii="Calibri" w:hAnsi="Calibri"/>
          <w:sz w:val="22"/>
          <w:szCs w:val="22"/>
        </w:rPr>
      </w:pPr>
      <w:r w:rsidRPr="008624EF">
        <w:rPr>
          <w:rFonts w:ascii="Calibri" w:hAnsi="Calibri"/>
          <w:sz w:val="22"/>
          <w:szCs w:val="22"/>
        </w:rPr>
        <w:t>3.1</w:t>
      </w:r>
      <w:r w:rsidRPr="008624EF">
        <w:rPr>
          <w:rFonts w:ascii="Calibri" w:hAnsi="Calibri"/>
          <w:sz w:val="22"/>
          <w:szCs w:val="22"/>
        </w:rPr>
        <w:tab/>
      </w:r>
      <w:r w:rsidRPr="008624EF">
        <w:rPr>
          <w:rFonts w:ascii="Calibri" w:hAnsi="Calibri"/>
          <w:sz w:val="22"/>
          <w:szCs w:val="22"/>
        </w:rPr>
        <w:tab/>
        <w:t xml:space="preserve">The Chief Constable and the PCC are responsible for ensuring business is conducted in accordance with the law and proper standards, and that public money is safeguarded and is properly accounted for. </w:t>
      </w:r>
    </w:p>
    <w:p w14:paraId="56336306" w14:textId="77777777" w:rsidR="00D835CC" w:rsidRPr="008624EF" w:rsidRDefault="00D835CC" w:rsidP="00D835CC">
      <w:pPr>
        <w:ind w:left="709" w:hanging="709"/>
        <w:jc w:val="both"/>
        <w:rPr>
          <w:rFonts w:ascii="Calibri" w:hAnsi="Calibri"/>
          <w:sz w:val="22"/>
          <w:szCs w:val="22"/>
        </w:rPr>
      </w:pPr>
    </w:p>
    <w:p w14:paraId="0C6AC39C" w14:textId="77777777" w:rsidR="00D835CC" w:rsidRPr="008624EF" w:rsidRDefault="00D835CC" w:rsidP="00D835CC">
      <w:pPr>
        <w:ind w:left="709" w:hanging="709"/>
        <w:jc w:val="both"/>
        <w:rPr>
          <w:rFonts w:ascii="Calibri" w:hAnsi="Calibri"/>
          <w:sz w:val="22"/>
          <w:szCs w:val="22"/>
        </w:rPr>
      </w:pPr>
      <w:r w:rsidRPr="008624EF">
        <w:rPr>
          <w:rFonts w:ascii="Calibri" w:hAnsi="Calibri"/>
          <w:sz w:val="22"/>
          <w:szCs w:val="22"/>
        </w:rPr>
        <w:t>3.2</w:t>
      </w:r>
      <w:r w:rsidRPr="008624EF">
        <w:rPr>
          <w:rFonts w:ascii="Calibri" w:hAnsi="Calibri"/>
          <w:sz w:val="22"/>
          <w:szCs w:val="22"/>
        </w:rPr>
        <w:tab/>
        <w:t>Under the Policing Protocol 2011 the PCC has responsibility for the delivery of efficient and effective policing, management of resources and expenditure by the police force. The PCC has a statutory responsibility to obtain views from the community and victims of crime about the policing of the Force area and must take into account the views of responsible authorities. These views inform the PCC’s Police and Crime Plan which sets the strategic direction and priorities for the Force.</w:t>
      </w:r>
    </w:p>
    <w:p w14:paraId="76DEF6C2" w14:textId="77777777" w:rsidR="00D835CC" w:rsidRPr="008624EF" w:rsidRDefault="00D835CC" w:rsidP="00D835CC">
      <w:pPr>
        <w:ind w:left="709" w:hanging="709"/>
        <w:jc w:val="both"/>
        <w:rPr>
          <w:rFonts w:ascii="Calibri" w:hAnsi="Calibri"/>
          <w:sz w:val="22"/>
          <w:szCs w:val="22"/>
        </w:rPr>
      </w:pPr>
    </w:p>
    <w:p w14:paraId="62AD6E6E" w14:textId="77777777" w:rsidR="00D835CC" w:rsidRPr="008624EF" w:rsidRDefault="00D835CC" w:rsidP="00D835CC">
      <w:pPr>
        <w:ind w:left="709" w:hanging="709"/>
        <w:jc w:val="both"/>
        <w:rPr>
          <w:rFonts w:ascii="Calibri" w:hAnsi="Calibri"/>
          <w:sz w:val="22"/>
          <w:szCs w:val="22"/>
        </w:rPr>
      </w:pPr>
      <w:r w:rsidRPr="008624EF">
        <w:rPr>
          <w:rFonts w:ascii="Calibri" w:hAnsi="Calibri"/>
          <w:sz w:val="22"/>
          <w:szCs w:val="22"/>
        </w:rPr>
        <w:t>3.3</w:t>
      </w:r>
      <w:r w:rsidRPr="008624EF">
        <w:rPr>
          <w:rFonts w:ascii="Calibri" w:hAnsi="Calibri"/>
          <w:sz w:val="22"/>
          <w:szCs w:val="22"/>
        </w:rPr>
        <w:tab/>
      </w:r>
      <w:r w:rsidRPr="008624EF">
        <w:rPr>
          <w:rFonts w:ascii="Calibri" w:hAnsi="Calibri" w:cs="Verdana"/>
          <w:sz w:val="22"/>
          <w:szCs w:val="22"/>
        </w:rPr>
        <w:t xml:space="preserve">The Chief Constable has a statutory responsibility for the control, direction and delivery of operational policing services provided by Surrey Police </w:t>
      </w:r>
      <w:r w:rsidRPr="008624EF">
        <w:rPr>
          <w:rFonts w:ascii="Calibri" w:hAnsi="Calibri"/>
          <w:sz w:val="22"/>
          <w:szCs w:val="22"/>
        </w:rPr>
        <w:t>(the Force),</w:t>
      </w:r>
      <w:r w:rsidRPr="008624EF">
        <w:rPr>
          <w:rFonts w:ascii="Calibri" w:hAnsi="Calibri" w:cs="Verdana"/>
          <w:sz w:val="22"/>
          <w:szCs w:val="22"/>
        </w:rPr>
        <w:t xml:space="preserve"> having regard to the strategic direction and priorities set by the PCC in the Police and Crime Plan.</w:t>
      </w:r>
      <w:r w:rsidRPr="008624EF">
        <w:rPr>
          <w:rFonts w:ascii="Calibri" w:hAnsi="Calibri"/>
          <w:sz w:val="22"/>
          <w:szCs w:val="22"/>
        </w:rPr>
        <w:t xml:space="preserve">  In discharging this overall responsibility, the Chief Constable is responsible for establishing and maintaining appropriate risk management processes, governance arrangements and ensuring that there is a sound system of internal control, which facilitates the effective exercise of these functions.  </w:t>
      </w:r>
    </w:p>
    <w:p w14:paraId="327258D7" w14:textId="77777777" w:rsidR="00D835CC" w:rsidRPr="008624EF" w:rsidRDefault="00D835CC" w:rsidP="00D835CC">
      <w:pPr>
        <w:ind w:left="709" w:hanging="709"/>
        <w:jc w:val="both"/>
        <w:rPr>
          <w:rFonts w:ascii="Calibri" w:hAnsi="Calibri"/>
          <w:sz w:val="22"/>
          <w:szCs w:val="22"/>
        </w:rPr>
      </w:pPr>
    </w:p>
    <w:p w14:paraId="67C6F2A4" w14:textId="77777777" w:rsidR="00D835CC" w:rsidRPr="008624EF" w:rsidRDefault="00D835CC" w:rsidP="00D835CC">
      <w:pPr>
        <w:ind w:left="709" w:hanging="709"/>
        <w:jc w:val="both"/>
        <w:rPr>
          <w:rFonts w:ascii="Calibri" w:hAnsi="Calibri"/>
          <w:sz w:val="22"/>
          <w:szCs w:val="22"/>
        </w:rPr>
      </w:pPr>
      <w:r w:rsidRPr="008624EF">
        <w:rPr>
          <w:rFonts w:ascii="Calibri" w:hAnsi="Calibri"/>
          <w:sz w:val="22"/>
          <w:szCs w:val="22"/>
        </w:rPr>
        <w:t>3.4</w:t>
      </w:r>
      <w:r w:rsidRPr="008624EF">
        <w:rPr>
          <w:rFonts w:ascii="Calibri" w:hAnsi="Calibri"/>
          <w:sz w:val="22"/>
          <w:szCs w:val="22"/>
        </w:rPr>
        <w:tab/>
        <w:t>Surrey Police continues to follow the principles of the CIPFA Framework: ‘</w:t>
      </w:r>
      <w:r w:rsidRPr="008624EF">
        <w:rPr>
          <w:rFonts w:ascii="Calibri" w:hAnsi="Calibri"/>
          <w:iCs/>
          <w:sz w:val="22"/>
          <w:szCs w:val="22"/>
        </w:rPr>
        <w:t>Delivering Good</w:t>
      </w:r>
      <w:r w:rsidRPr="008624EF">
        <w:rPr>
          <w:rFonts w:ascii="Calibri" w:hAnsi="Calibri"/>
          <w:sz w:val="22"/>
          <w:szCs w:val="22"/>
        </w:rPr>
        <w:t xml:space="preserve"> Go</w:t>
      </w:r>
      <w:r w:rsidRPr="008624EF">
        <w:rPr>
          <w:rFonts w:ascii="Calibri" w:hAnsi="Calibri"/>
          <w:iCs/>
          <w:sz w:val="22"/>
          <w:szCs w:val="22"/>
        </w:rPr>
        <w:t>vernance in Local Government’</w:t>
      </w:r>
      <w:r w:rsidRPr="008624EF">
        <w:rPr>
          <w:rStyle w:val="FootnoteReference"/>
          <w:rFonts w:ascii="Calibri" w:hAnsi="Calibri"/>
          <w:iCs/>
          <w:sz w:val="22"/>
          <w:szCs w:val="22"/>
        </w:rPr>
        <w:footnoteReference w:id="2"/>
      </w:r>
      <w:r w:rsidRPr="008624EF">
        <w:rPr>
          <w:rFonts w:ascii="Calibri" w:hAnsi="Calibri"/>
          <w:sz w:val="22"/>
          <w:szCs w:val="22"/>
        </w:rPr>
        <w:t xml:space="preserve"> and the guidance notes for policing bodies (revised 2016)</w:t>
      </w:r>
      <w:r w:rsidRPr="008624EF">
        <w:rPr>
          <w:rStyle w:val="FootnoteReference"/>
          <w:rFonts w:ascii="Calibri" w:hAnsi="Calibri"/>
          <w:sz w:val="22"/>
          <w:szCs w:val="22"/>
        </w:rPr>
        <w:footnoteReference w:id="3"/>
      </w:r>
      <w:r w:rsidRPr="008624EF">
        <w:rPr>
          <w:rFonts w:ascii="Calibri" w:hAnsi="Calibri"/>
          <w:sz w:val="22"/>
          <w:szCs w:val="22"/>
        </w:rPr>
        <w:t>.</w:t>
      </w:r>
    </w:p>
    <w:p w14:paraId="565762CE" w14:textId="77777777" w:rsidR="00D835CC" w:rsidRPr="008624EF" w:rsidRDefault="00D835CC" w:rsidP="00D835CC">
      <w:pPr>
        <w:ind w:left="709" w:hanging="709"/>
        <w:jc w:val="both"/>
        <w:rPr>
          <w:rFonts w:ascii="Calibri" w:hAnsi="Calibri"/>
          <w:sz w:val="22"/>
          <w:szCs w:val="22"/>
        </w:rPr>
      </w:pPr>
      <w:r w:rsidRPr="008624EF">
        <w:rPr>
          <w:rFonts w:ascii="Calibri" w:hAnsi="Calibri"/>
          <w:i/>
          <w:sz w:val="22"/>
          <w:szCs w:val="22"/>
        </w:rPr>
        <w:t xml:space="preserve">  </w:t>
      </w:r>
    </w:p>
    <w:p w14:paraId="717661E2" w14:textId="77777777" w:rsidR="00D835CC" w:rsidRPr="008624EF" w:rsidRDefault="00D835CC" w:rsidP="00D835CC">
      <w:pPr>
        <w:ind w:left="709" w:hanging="709"/>
        <w:jc w:val="both"/>
        <w:rPr>
          <w:rFonts w:ascii="Calibri" w:hAnsi="Calibri"/>
          <w:sz w:val="22"/>
          <w:szCs w:val="22"/>
        </w:rPr>
      </w:pPr>
      <w:r w:rsidRPr="008624EF">
        <w:rPr>
          <w:rFonts w:ascii="Calibri" w:hAnsi="Calibri"/>
          <w:sz w:val="22"/>
          <w:szCs w:val="22"/>
        </w:rPr>
        <w:t>3.5</w:t>
      </w:r>
      <w:r w:rsidRPr="008624EF">
        <w:rPr>
          <w:rFonts w:ascii="Calibri" w:hAnsi="Calibri"/>
          <w:sz w:val="22"/>
          <w:szCs w:val="22"/>
        </w:rPr>
        <w:tab/>
        <w:t xml:space="preserve">This statement explains how the Force has complied with the principles and also meets the requirements of regulation 6 of the Accounts and Audit Regulations 2015 in relation to the publication of a statement on internal control. </w:t>
      </w:r>
    </w:p>
    <w:p w14:paraId="65960E44" w14:textId="77777777" w:rsidR="00D835CC" w:rsidRPr="008624EF" w:rsidRDefault="00D835CC" w:rsidP="00D835CC">
      <w:pPr>
        <w:ind w:left="709" w:hanging="709"/>
        <w:jc w:val="both"/>
        <w:rPr>
          <w:rFonts w:ascii="Calibri" w:hAnsi="Calibri"/>
          <w:sz w:val="22"/>
          <w:szCs w:val="22"/>
        </w:rPr>
      </w:pPr>
    </w:p>
    <w:p w14:paraId="48AE2796" w14:textId="3EF20E46" w:rsidR="00D835CC" w:rsidRPr="003B2596" w:rsidRDefault="00D835CC" w:rsidP="00C5423F">
      <w:pPr>
        <w:ind w:left="709" w:hanging="709"/>
        <w:jc w:val="both"/>
        <w:rPr>
          <w:rFonts w:ascii="Calibri" w:hAnsi="Calibri"/>
          <w:sz w:val="22"/>
          <w:szCs w:val="22"/>
        </w:rPr>
      </w:pPr>
      <w:r w:rsidRPr="00C10852">
        <w:rPr>
          <w:rFonts w:ascii="Calibri" w:hAnsi="Calibri"/>
          <w:sz w:val="22"/>
          <w:szCs w:val="22"/>
        </w:rPr>
        <w:t>3.6</w:t>
      </w:r>
      <w:r w:rsidRPr="00C10852">
        <w:rPr>
          <w:rFonts w:ascii="Calibri" w:hAnsi="Calibri"/>
          <w:sz w:val="22"/>
          <w:szCs w:val="22"/>
        </w:rPr>
        <w:tab/>
        <w:t>The Force’s financial management arrangements conform to the governance requirements of CIPFA's Statement on ‘The role of the Chief Finance Officer of the Police and Crime Commissioner and the Chief Finance Officer of the Chief Constable (July 2012)’</w:t>
      </w:r>
      <w:r w:rsidRPr="00C10852">
        <w:rPr>
          <w:rStyle w:val="FootnoteReference"/>
          <w:rFonts w:ascii="Calibri" w:hAnsi="Calibri"/>
          <w:sz w:val="22"/>
          <w:szCs w:val="22"/>
        </w:rPr>
        <w:footnoteReference w:id="4"/>
      </w:r>
      <w:r w:rsidRPr="00C10852">
        <w:rPr>
          <w:rFonts w:ascii="Calibri" w:hAnsi="Calibri"/>
          <w:sz w:val="22"/>
          <w:szCs w:val="22"/>
        </w:rPr>
        <w:t xml:space="preserve">. </w:t>
      </w:r>
      <w:r w:rsidR="00C10852" w:rsidRPr="00C10852">
        <w:rPr>
          <w:rFonts w:ascii="Calibri" w:hAnsi="Calibri"/>
          <w:sz w:val="22"/>
          <w:szCs w:val="22"/>
        </w:rPr>
        <w:t>CIPFA’s new document for ‘The Role of CFO’s in Policing’ was published in March 2021 and will be used as a reference going forward.</w:t>
      </w:r>
      <w:r w:rsidR="00C10852">
        <w:rPr>
          <w:rFonts w:ascii="Calibri" w:hAnsi="Calibri"/>
          <w:sz w:val="22"/>
          <w:szCs w:val="22"/>
        </w:rPr>
        <w:t xml:space="preserve"> </w:t>
      </w:r>
    </w:p>
    <w:p w14:paraId="5C317A03" w14:textId="77777777" w:rsidR="00D835CC" w:rsidRPr="003B2596" w:rsidRDefault="00D835CC" w:rsidP="00D835CC">
      <w:pPr>
        <w:autoSpaceDE w:val="0"/>
        <w:ind w:left="720"/>
        <w:jc w:val="both"/>
        <w:rPr>
          <w:rFonts w:ascii="Calibri" w:hAnsi="Calibri"/>
          <w:sz w:val="22"/>
          <w:szCs w:val="22"/>
        </w:rPr>
      </w:pPr>
    </w:p>
    <w:p w14:paraId="71229ABB" w14:textId="77777777" w:rsidR="00D835CC" w:rsidRPr="003B2596" w:rsidRDefault="00D835CC" w:rsidP="00D835CC">
      <w:pPr>
        <w:shd w:val="clear" w:color="auto" w:fill="4472C4"/>
        <w:autoSpaceDE w:val="0"/>
        <w:jc w:val="both"/>
        <w:rPr>
          <w:rFonts w:ascii="Calibri" w:hAnsi="Calibri"/>
          <w:b/>
          <w:color w:val="FFFFFF"/>
          <w:sz w:val="22"/>
          <w:szCs w:val="22"/>
        </w:rPr>
      </w:pPr>
      <w:r w:rsidRPr="003B2596">
        <w:rPr>
          <w:rFonts w:ascii="Calibri" w:hAnsi="Calibri"/>
          <w:b/>
          <w:color w:val="FFFFFF"/>
          <w:sz w:val="22"/>
          <w:szCs w:val="22"/>
        </w:rPr>
        <w:t>4</w:t>
      </w:r>
      <w:r w:rsidRPr="003B2596">
        <w:rPr>
          <w:rFonts w:ascii="Calibri" w:hAnsi="Calibri"/>
          <w:b/>
          <w:color w:val="FFFFFF"/>
          <w:sz w:val="22"/>
          <w:szCs w:val="22"/>
        </w:rPr>
        <w:tab/>
        <w:t>The Purpose of the Governance Framework</w:t>
      </w:r>
    </w:p>
    <w:p w14:paraId="5796E960" w14:textId="77777777" w:rsidR="00D835CC" w:rsidRPr="003B2596" w:rsidRDefault="00D835CC" w:rsidP="00D835CC">
      <w:pPr>
        <w:jc w:val="both"/>
        <w:rPr>
          <w:rFonts w:ascii="Calibri" w:hAnsi="Calibri"/>
          <w:sz w:val="22"/>
          <w:szCs w:val="22"/>
        </w:rPr>
      </w:pPr>
    </w:p>
    <w:p w14:paraId="5383E203" w14:textId="77777777" w:rsidR="00D835CC" w:rsidRPr="00C10852" w:rsidRDefault="00D835CC" w:rsidP="00D835CC">
      <w:pPr>
        <w:pStyle w:val="ListParagraph"/>
        <w:numPr>
          <w:ilvl w:val="0"/>
          <w:numId w:val="4"/>
        </w:numPr>
        <w:tabs>
          <w:tab w:val="num" w:pos="720"/>
        </w:tabs>
        <w:suppressAutoHyphens/>
        <w:ind w:left="720" w:hanging="360"/>
        <w:contextualSpacing w:val="0"/>
        <w:jc w:val="both"/>
        <w:rPr>
          <w:rFonts w:ascii="Calibri" w:hAnsi="Calibri"/>
          <w:vanish/>
          <w:sz w:val="22"/>
          <w:szCs w:val="22"/>
        </w:rPr>
      </w:pPr>
    </w:p>
    <w:p w14:paraId="05827AA4" w14:textId="77777777" w:rsidR="00D835CC" w:rsidRPr="00C10852" w:rsidRDefault="00D835CC" w:rsidP="00D835CC">
      <w:pPr>
        <w:pStyle w:val="ListParagraph"/>
        <w:numPr>
          <w:ilvl w:val="0"/>
          <w:numId w:val="4"/>
        </w:numPr>
        <w:tabs>
          <w:tab w:val="num" w:pos="720"/>
        </w:tabs>
        <w:suppressAutoHyphens/>
        <w:ind w:left="720" w:hanging="360"/>
        <w:contextualSpacing w:val="0"/>
        <w:jc w:val="both"/>
        <w:rPr>
          <w:rFonts w:ascii="Calibri" w:hAnsi="Calibri"/>
          <w:vanish/>
          <w:sz w:val="22"/>
          <w:szCs w:val="22"/>
        </w:rPr>
      </w:pPr>
    </w:p>
    <w:p w14:paraId="79A7881E" w14:textId="77777777" w:rsidR="00D835CC" w:rsidRPr="00C10852" w:rsidRDefault="00DA4E8D" w:rsidP="00DA4E8D">
      <w:pPr>
        <w:suppressAutoHyphens/>
        <w:ind w:left="720" w:hanging="720"/>
        <w:jc w:val="both"/>
        <w:rPr>
          <w:rFonts w:ascii="Calibri" w:hAnsi="Calibri"/>
          <w:sz w:val="22"/>
          <w:szCs w:val="22"/>
        </w:rPr>
      </w:pPr>
      <w:r w:rsidRPr="00C10852">
        <w:rPr>
          <w:rFonts w:ascii="Calibri" w:hAnsi="Calibri"/>
          <w:sz w:val="22"/>
          <w:szCs w:val="22"/>
        </w:rPr>
        <w:t>4.1</w:t>
      </w:r>
      <w:r w:rsidRPr="00C10852">
        <w:rPr>
          <w:rFonts w:ascii="Calibri" w:hAnsi="Calibri"/>
          <w:sz w:val="22"/>
          <w:szCs w:val="22"/>
        </w:rPr>
        <w:tab/>
      </w:r>
      <w:r w:rsidR="00D835CC" w:rsidRPr="00C10852">
        <w:rPr>
          <w:rFonts w:ascii="Calibri" w:hAnsi="Calibri"/>
          <w:sz w:val="22"/>
          <w:szCs w:val="22"/>
        </w:rPr>
        <w:t xml:space="preserve">The governance framework comprises the systems, processes, culture and values by which the Force is directed and controlled, together with its activities through which it accounts to and engages with the community.  </w:t>
      </w:r>
    </w:p>
    <w:p w14:paraId="2B1DDCFD" w14:textId="77777777" w:rsidR="00D835CC" w:rsidRPr="00C10852" w:rsidRDefault="00D835CC" w:rsidP="00D835CC">
      <w:pPr>
        <w:ind w:left="720"/>
        <w:jc w:val="both"/>
        <w:rPr>
          <w:rFonts w:ascii="Calibri" w:hAnsi="Calibri"/>
          <w:sz w:val="22"/>
          <w:szCs w:val="22"/>
        </w:rPr>
      </w:pPr>
    </w:p>
    <w:p w14:paraId="33B39394" w14:textId="77777777" w:rsidR="00D835CC" w:rsidRPr="00C10852" w:rsidRDefault="00DA4E8D" w:rsidP="00DA4E8D">
      <w:pPr>
        <w:suppressAutoHyphens/>
        <w:ind w:left="720" w:hanging="720"/>
        <w:jc w:val="both"/>
        <w:rPr>
          <w:rFonts w:ascii="Calibri" w:hAnsi="Calibri"/>
          <w:sz w:val="22"/>
          <w:szCs w:val="22"/>
        </w:rPr>
      </w:pPr>
      <w:r w:rsidRPr="00C10852">
        <w:rPr>
          <w:rFonts w:ascii="Calibri" w:hAnsi="Calibri"/>
          <w:sz w:val="22"/>
          <w:szCs w:val="22"/>
        </w:rPr>
        <w:t>4.2</w:t>
      </w:r>
      <w:r w:rsidRPr="00C10852">
        <w:rPr>
          <w:rFonts w:ascii="Calibri" w:hAnsi="Calibri"/>
          <w:sz w:val="22"/>
          <w:szCs w:val="22"/>
        </w:rPr>
        <w:tab/>
      </w:r>
      <w:r w:rsidR="00D835CC" w:rsidRPr="00C10852">
        <w:rPr>
          <w:rFonts w:ascii="Calibri" w:hAnsi="Calibri"/>
          <w:sz w:val="22"/>
          <w:szCs w:val="22"/>
        </w:rPr>
        <w:t>It enables the Force to monitor the achievement of its strategic objectives, as set out by the PCC in the Police and Crime Plan</w:t>
      </w:r>
      <w:r w:rsidR="00D835CC" w:rsidRPr="00C10852">
        <w:rPr>
          <w:rStyle w:val="FootnoteReference"/>
          <w:rFonts w:ascii="Calibri" w:hAnsi="Calibri"/>
          <w:sz w:val="22"/>
          <w:szCs w:val="22"/>
        </w:rPr>
        <w:footnoteReference w:id="5"/>
      </w:r>
      <w:r w:rsidR="00D835CC" w:rsidRPr="00C10852">
        <w:rPr>
          <w:rFonts w:ascii="Calibri" w:hAnsi="Calibri"/>
          <w:sz w:val="22"/>
          <w:szCs w:val="22"/>
        </w:rPr>
        <w:t xml:space="preserve"> and the Strategic Policing Requirement</w:t>
      </w:r>
      <w:r w:rsidR="00D835CC" w:rsidRPr="00C10852">
        <w:rPr>
          <w:rStyle w:val="FootnoteReference"/>
          <w:rFonts w:ascii="Calibri" w:hAnsi="Calibri"/>
          <w:sz w:val="22"/>
          <w:szCs w:val="22"/>
        </w:rPr>
        <w:footnoteReference w:id="6"/>
      </w:r>
      <w:r w:rsidR="00D835CC" w:rsidRPr="00C10852">
        <w:rPr>
          <w:rFonts w:ascii="Calibri" w:hAnsi="Calibri"/>
          <w:sz w:val="22"/>
          <w:szCs w:val="22"/>
        </w:rPr>
        <w:t>, and to consider whether those objectives have led to the delivery of appropriate, cost-effective services, including achieving value for money.</w:t>
      </w:r>
    </w:p>
    <w:p w14:paraId="0B315B0D" w14:textId="77777777" w:rsidR="00D835CC" w:rsidRPr="00C10852" w:rsidRDefault="00D835CC" w:rsidP="00D835CC">
      <w:pPr>
        <w:ind w:left="720"/>
        <w:jc w:val="both"/>
        <w:rPr>
          <w:rFonts w:ascii="Calibri" w:hAnsi="Calibri"/>
          <w:sz w:val="22"/>
          <w:szCs w:val="22"/>
        </w:rPr>
      </w:pPr>
    </w:p>
    <w:p w14:paraId="7F7EC3BB" w14:textId="77777777" w:rsidR="00D835CC" w:rsidRPr="003B2596" w:rsidRDefault="00DA4E8D" w:rsidP="00DA4E8D">
      <w:pPr>
        <w:suppressAutoHyphens/>
        <w:ind w:left="720" w:hanging="720"/>
        <w:jc w:val="both"/>
        <w:rPr>
          <w:rFonts w:ascii="Calibri" w:hAnsi="Calibri"/>
          <w:sz w:val="22"/>
          <w:szCs w:val="22"/>
        </w:rPr>
      </w:pPr>
      <w:r w:rsidRPr="00C10852">
        <w:rPr>
          <w:rFonts w:ascii="Calibri" w:hAnsi="Calibri"/>
          <w:sz w:val="22"/>
          <w:szCs w:val="22"/>
        </w:rPr>
        <w:t>4.3</w:t>
      </w:r>
      <w:r w:rsidRPr="00C10852">
        <w:rPr>
          <w:rFonts w:ascii="Calibri" w:hAnsi="Calibri"/>
          <w:sz w:val="22"/>
          <w:szCs w:val="22"/>
        </w:rPr>
        <w:tab/>
      </w:r>
      <w:r w:rsidR="00D835CC" w:rsidRPr="00C10852">
        <w:rPr>
          <w:rFonts w:ascii="Calibri" w:hAnsi="Calibri"/>
          <w:sz w:val="22"/>
          <w:szCs w:val="22"/>
        </w:rPr>
        <w:t>The fundamental function of good governance in the public sector is to ensure that intended outcomes are achieved whilst acting in the public interest at all times.</w:t>
      </w:r>
    </w:p>
    <w:p w14:paraId="3D27DE1C" w14:textId="77777777" w:rsidR="00D835CC" w:rsidRPr="003B2596" w:rsidRDefault="00D835CC" w:rsidP="00D835CC">
      <w:pPr>
        <w:ind w:left="720"/>
        <w:jc w:val="both"/>
        <w:rPr>
          <w:rFonts w:ascii="Calibri" w:hAnsi="Calibri"/>
          <w:sz w:val="22"/>
          <w:szCs w:val="22"/>
        </w:rPr>
      </w:pPr>
    </w:p>
    <w:p w14:paraId="3D80B7B5" w14:textId="77777777" w:rsidR="00D835CC" w:rsidRPr="003B2596" w:rsidRDefault="00D835CC" w:rsidP="00D835CC">
      <w:pPr>
        <w:shd w:val="clear" w:color="auto" w:fill="4472C4"/>
        <w:jc w:val="both"/>
        <w:rPr>
          <w:rFonts w:ascii="Calibri" w:hAnsi="Calibri"/>
          <w:b/>
          <w:color w:val="FFFFFF"/>
          <w:sz w:val="22"/>
          <w:szCs w:val="22"/>
        </w:rPr>
      </w:pPr>
      <w:r w:rsidRPr="003B2596">
        <w:rPr>
          <w:rFonts w:ascii="Calibri" w:hAnsi="Calibri"/>
          <w:b/>
          <w:color w:val="FFFFFF"/>
          <w:sz w:val="22"/>
          <w:szCs w:val="22"/>
        </w:rPr>
        <w:t>5</w:t>
      </w:r>
      <w:r w:rsidRPr="003B2596">
        <w:rPr>
          <w:rFonts w:ascii="Calibri" w:hAnsi="Calibri"/>
          <w:b/>
          <w:color w:val="FFFFFF"/>
          <w:sz w:val="22"/>
          <w:szCs w:val="22"/>
        </w:rPr>
        <w:tab/>
        <w:t>The Governance Framework</w:t>
      </w:r>
    </w:p>
    <w:p w14:paraId="0E1464F0" w14:textId="77777777" w:rsidR="00D835CC" w:rsidRPr="003B2596" w:rsidRDefault="00D835CC" w:rsidP="00D835CC">
      <w:pPr>
        <w:autoSpaceDE w:val="0"/>
        <w:ind w:left="720" w:hanging="720"/>
        <w:jc w:val="both"/>
        <w:rPr>
          <w:rFonts w:ascii="Calibri" w:hAnsi="Calibri"/>
          <w:sz w:val="22"/>
          <w:szCs w:val="22"/>
        </w:rPr>
      </w:pPr>
      <w:r w:rsidRPr="003B2596">
        <w:rPr>
          <w:rFonts w:ascii="Calibri" w:hAnsi="Calibri"/>
          <w:sz w:val="22"/>
          <w:szCs w:val="22"/>
        </w:rPr>
        <w:tab/>
      </w:r>
    </w:p>
    <w:p w14:paraId="3F70F7EC" w14:textId="77777777" w:rsidR="00D835CC" w:rsidRPr="00C10852" w:rsidRDefault="00D835CC" w:rsidP="00D835CC">
      <w:pPr>
        <w:autoSpaceDE w:val="0"/>
        <w:ind w:left="720" w:hanging="720"/>
        <w:jc w:val="both"/>
        <w:rPr>
          <w:rFonts w:ascii="Calibri" w:hAnsi="Calibri"/>
          <w:sz w:val="22"/>
          <w:szCs w:val="22"/>
        </w:rPr>
      </w:pPr>
      <w:r w:rsidRPr="00C10852">
        <w:rPr>
          <w:rFonts w:ascii="Calibri" w:hAnsi="Calibri"/>
          <w:sz w:val="22"/>
          <w:szCs w:val="22"/>
        </w:rPr>
        <w:t>5.1</w:t>
      </w:r>
      <w:r w:rsidRPr="00C10852">
        <w:rPr>
          <w:rFonts w:ascii="Calibri" w:hAnsi="Calibri"/>
          <w:sz w:val="22"/>
          <w:szCs w:val="22"/>
        </w:rPr>
        <w:tab/>
        <w:t>The Chief Constable of Surrey Police is responsible for operational policing matters, direction and control of police personnel, and for putting in place proper arrangements for the governance of the Force. The PCC is required to hold him/her to account for the exercise of those functions and those of the persons under his/her direction and control. It therefore follows that the PCC must be assured that the Force has appropriate mechanisms in place for the maintenance of good governance and that these operate in practice.</w:t>
      </w:r>
    </w:p>
    <w:p w14:paraId="6BE3DD11" w14:textId="77777777" w:rsidR="00D835CC" w:rsidRPr="00C10852" w:rsidRDefault="00D835CC" w:rsidP="00D835CC">
      <w:pPr>
        <w:autoSpaceDE w:val="0"/>
        <w:jc w:val="both"/>
        <w:rPr>
          <w:sz w:val="22"/>
          <w:szCs w:val="22"/>
        </w:rPr>
      </w:pPr>
    </w:p>
    <w:p w14:paraId="1FA4C831" w14:textId="77777777" w:rsidR="00D835CC" w:rsidRPr="00C10852" w:rsidRDefault="00D835CC" w:rsidP="005E3E6F">
      <w:pPr>
        <w:pStyle w:val="ListParagraph"/>
        <w:numPr>
          <w:ilvl w:val="0"/>
          <w:numId w:val="14"/>
        </w:numPr>
        <w:suppressAutoHyphens/>
        <w:contextualSpacing w:val="0"/>
        <w:jc w:val="both"/>
        <w:rPr>
          <w:rFonts w:ascii="Calibri" w:hAnsi="Calibri"/>
          <w:vanish/>
          <w:sz w:val="22"/>
          <w:szCs w:val="22"/>
        </w:rPr>
      </w:pPr>
    </w:p>
    <w:p w14:paraId="0FA0D2C0" w14:textId="77777777" w:rsidR="00D835CC" w:rsidRPr="00C10852" w:rsidRDefault="00D835CC" w:rsidP="005E3E6F">
      <w:pPr>
        <w:pStyle w:val="ListParagraph"/>
        <w:numPr>
          <w:ilvl w:val="0"/>
          <w:numId w:val="14"/>
        </w:numPr>
        <w:suppressAutoHyphens/>
        <w:contextualSpacing w:val="0"/>
        <w:jc w:val="both"/>
        <w:rPr>
          <w:rFonts w:ascii="Calibri" w:hAnsi="Calibri"/>
          <w:vanish/>
          <w:sz w:val="22"/>
          <w:szCs w:val="22"/>
        </w:rPr>
      </w:pPr>
    </w:p>
    <w:p w14:paraId="27C1C626" w14:textId="78B14656" w:rsidR="00D835CC" w:rsidRPr="00C10852" w:rsidRDefault="00D835CC" w:rsidP="005E3E6F">
      <w:pPr>
        <w:numPr>
          <w:ilvl w:val="1"/>
          <w:numId w:val="14"/>
        </w:numPr>
        <w:suppressAutoHyphens/>
        <w:jc w:val="both"/>
        <w:rPr>
          <w:rFonts w:ascii="Calibri" w:hAnsi="Calibri"/>
          <w:sz w:val="22"/>
          <w:szCs w:val="22"/>
        </w:rPr>
      </w:pPr>
      <w:r w:rsidRPr="00C10852">
        <w:rPr>
          <w:rFonts w:ascii="Calibri" w:hAnsi="Calibri"/>
          <w:sz w:val="22"/>
          <w:szCs w:val="22"/>
        </w:rPr>
        <w:t>A governance framework, collectively known as the Scheme of Corporate Governance, has been in place for the year ended 31 March 202</w:t>
      </w:r>
      <w:r w:rsidR="00C10852" w:rsidRPr="00C10852">
        <w:rPr>
          <w:rFonts w:ascii="Calibri" w:hAnsi="Calibri"/>
          <w:sz w:val="22"/>
          <w:szCs w:val="22"/>
        </w:rPr>
        <w:t>1</w:t>
      </w:r>
      <w:r w:rsidRPr="00C10852">
        <w:rPr>
          <w:rFonts w:ascii="Calibri" w:hAnsi="Calibri"/>
          <w:sz w:val="22"/>
          <w:szCs w:val="22"/>
        </w:rPr>
        <w:t xml:space="preserve"> and includes the Code of Corporate Governance, Memorandum of Understanding, Decision–making Framework, Scheme of Delegation, Financial Regulations and Contract Standing Orders. The Force system of internal control, based on a framework of policies and procedures, is a significant part of the Force governance framework and is designed to manage risk to a reasonable and foreseeable level. The Force cannot eliminate all risk of failure to achieve policies, aims and objectives; it can only provide reasonable but not absolute assurance of effectiveness.   </w:t>
      </w:r>
    </w:p>
    <w:p w14:paraId="4FDB74B3" w14:textId="77777777" w:rsidR="00D835CC" w:rsidRPr="00C10852" w:rsidRDefault="00D835CC" w:rsidP="00D835CC">
      <w:pPr>
        <w:ind w:left="720"/>
        <w:jc w:val="both"/>
        <w:rPr>
          <w:rFonts w:ascii="Calibri" w:hAnsi="Calibri"/>
          <w:sz w:val="22"/>
          <w:szCs w:val="22"/>
        </w:rPr>
      </w:pPr>
    </w:p>
    <w:p w14:paraId="3118C926" w14:textId="3D839537" w:rsidR="00D835CC" w:rsidRPr="00C10852" w:rsidRDefault="00D835CC" w:rsidP="005E3E6F">
      <w:pPr>
        <w:numPr>
          <w:ilvl w:val="1"/>
          <w:numId w:val="14"/>
        </w:numPr>
        <w:suppressAutoHyphens/>
        <w:jc w:val="both"/>
        <w:rPr>
          <w:rFonts w:ascii="Calibri" w:hAnsi="Calibri"/>
          <w:sz w:val="22"/>
          <w:szCs w:val="22"/>
        </w:rPr>
      </w:pPr>
      <w:r w:rsidRPr="00C10852">
        <w:rPr>
          <w:rFonts w:ascii="Calibri" w:hAnsi="Calibri"/>
          <w:sz w:val="22"/>
          <w:szCs w:val="22"/>
        </w:rPr>
        <w:t>The Code of Corporate Governance for the Surrey Police and Crime Commissioner and Chief Constable for Surrey Police and all strategic governance documents that comprise the Scheme of Corporate Governance were reviewed in 20</w:t>
      </w:r>
      <w:r w:rsidR="00C10852" w:rsidRPr="00C10852">
        <w:rPr>
          <w:rFonts w:ascii="Calibri" w:hAnsi="Calibri"/>
          <w:sz w:val="22"/>
          <w:szCs w:val="22"/>
        </w:rPr>
        <w:t>20</w:t>
      </w:r>
      <w:r w:rsidRPr="00C10852">
        <w:rPr>
          <w:rFonts w:ascii="Calibri" w:hAnsi="Calibri"/>
          <w:sz w:val="22"/>
          <w:szCs w:val="22"/>
        </w:rPr>
        <w:t>-2</w:t>
      </w:r>
      <w:r w:rsidR="00C10852" w:rsidRPr="00C10852">
        <w:rPr>
          <w:rFonts w:ascii="Calibri" w:hAnsi="Calibri"/>
          <w:sz w:val="22"/>
          <w:szCs w:val="22"/>
        </w:rPr>
        <w:t>1</w:t>
      </w:r>
      <w:r w:rsidRPr="00C10852">
        <w:rPr>
          <w:rFonts w:ascii="Calibri" w:hAnsi="Calibri"/>
          <w:sz w:val="22"/>
          <w:szCs w:val="22"/>
        </w:rPr>
        <w:t xml:space="preserve"> </w:t>
      </w:r>
      <w:r w:rsidR="00C10852" w:rsidRPr="00C10852">
        <w:rPr>
          <w:rFonts w:ascii="Calibri" w:hAnsi="Calibri"/>
          <w:sz w:val="22"/>
          <w:szCs w:val="22"/>
        </w:rPr>
        <w:t xml:space="preserve">(except the Contract Standing Orders due to anticipated legislative changes later in the year) </w:t>
      </w:r>
      <w:r w:rsidRPr="00C10852">
        <w:rPr>
          <w:rFonts w:ascii="Calibri" w:hAnsi="Calibri"/>
          <w:sz w:val="22"/>
          <w:szCs w:val="22"/>
        </w:rPr>
        <w:t>as part of the annual review of governance documentation and are available on the PCC’s website</w:t>
      </w:r>
      <w:r w:rsidRPr="00C10852">
        <w:rPr>
          <w:rStyle w:val="FootnoteReference"/>
          <w:rFonts w:ascii="Calibri" w:hAnsi="Calibri"/>
          <w:sz w:val="22"/>
          <w:szCs w:val="22"/>
        </w:rPr>
        <w:footnoteReference w:id="7"/>
      </w:r>
      <w:r w:rsidRPr="00C10852">
        <w:rPr>
          <w:rFonts w:ascii="Calibri" w:hAnsi="Calibri"/>
          <w:sz w:val="22"/>
          <w:szCs w:val="22"/>
        </w:rPr>
        <w:t>.  The joint Code provides a summary of governance arrangements setting out responsibilities. The Code also details a diarised programme for the regular review of policies.  A key element of this is the identification and management of risk.</w:t>
      </w:r>
    </w:p>
    <w:p w14:paraId="1EE993A5" w14:textId="77777777" w:rsidR="00D835CC" w:rsidRPr="00C10852" w:rsidRDefault="00D835CC" w:rsidP="00D835CC">
      <w:pPr>
        <w:jc w:val="both"/>
        <w:rPr>
          <w:rFonts w:ascii="Calibri" w:hAnsi="Calibri"/>
          <w:sz w:val="22"/>
          <w:szCs w:val="22"/>
        </w:rPr>
      </w:pPr>
    </w:p>
    <w:p w14:paraId="01D1D672" w14:textId="77777777" w:rsidR="00D835CC" w:rsidRPr="00C10852" w:rsidRDefault="00D835CC" w:rsidP="005E3E6F">
      <w:pPr>
        <w:numPr>
          <w:ilvl w:val="1"/>
          <w:numId w:val="14"/>
        </w:numPr>
        <w:suppressAutoHyphens/>
        <w:jc w:val="both"/>
        <w:rPr>
          <w:rFonts w:ascii="Calibri" w:hAnsi="Calibri"/>
          <w:sz w:val="22"/>
          <w:szCs w:val="22"/>
        </w:rPr>
      </w:pPr>
      <w:r w:rsidRPr="00C10852">
        <w:rPr>
          <w:rFonts w:ascii="Calibri" w:hAnsi="Calibri"/>
          <w:sz w:val="22"/>
          <w:szCs w:val="22"/>
        </w:rPr>
        <w:t>Governance arrangements for both the Force and the PCC follow the seven principles as set out in the revised Delivering Good Governance: Guidance Notes for Policing Bodies in England and Wales (2016 Edition).  The diagram below illustrates the various principles of good governance in the public sector and how they relate to each other. A summary of how the force complies with these principles is detailed below.</w:t>
      </w:r>
    </w:p>
    <w:p w14:paraId="6A1C7B0D" w14:textId="77777777" w:rsidR="00D835CC" w:rsidRPr="00C10852" w:rsidRDefault="00D835CC" w:rsidP="00D835CC">
      <w:pPr>
        <w:ind w:left="720"/>
        <w:jc w:val="center"/>
        <w:rPr>
          <w:rFonts w:ascii="Calibri" w:hAnsi="Calibri"/>
          <w:sz w:val="22"/>
          <w:szCs w:val="22"/>
        </w:rPr>
      </w:pPr>
      <w:r w:rsidRPr="00C10852">
        <w:rPr>
          <w:rFonts w:ascii="Calibri" w:hAnsi="Calibri"/>
          <w:color w:val="002060"/>
          <w:sz w:val="22"/>
          <w:szCs w:val="22"/>
        </w:rPr>
        <w:t xml:space="preserve"> </w:t>
      </w:r>
      <w:r w:rsidRPr="00C10852">
        <w:rPr>
          <w:rFonts w:ascii="Calibri" w:hAnsi="Calibri"/>
          <w:noProof/>
          <w:color w:val="002060"/>
          <w:sz w:val="22"/>
          <w:szCs w:val="22"/>
          <w:lang w:val="en-GB" w:eastAsia="en-GB"/>
        </w:rPr>
        <w:drawing>
          <wp:inline distT="0" distB="0" distL="0" distR="0" wp14:anchorId="5FAAC847" wp14:editId="35D229FB">
            <wp:extent cx="4046220" cy="3451860"/>
            <wp:effectExtent l="0" t="0" r="0" b="0"/>
            <wp:docPr id="10" name="Picture 10" descr="AGS_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S_graphic"/>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46220" cy="3451860"/>
                    </a:xfrm>
                    <a:prstGeom prst="rect">
                      <a:avLst/>
                    </a:prstGeom>
                    <a:noFill/>
                    <a:ln>
                      <a:noFill/>
                    </a:ln>
                  </pic:spPr>
                </pic:pic>
              </a:graphicData>
            </a:graphic>
          </wp:inline>
        </w:drawing>
      </w:r>
    </w:p>
    <w:p w14:paraId="61A97EEF" w14:textId="77777777" w:rsidR="00D835CC" w:rsidRPr="00C10852" w:rsidRDefault="00D835CC" w:rsidP="00D835CC">
      <w:pPr>
        <w:ind w:left="720"/>
        <w:jc w:val="both"/>
        <w:rPr>
          <w:rFonts w:ascii="Calibri" w:hAnsi="Calibri"/>
          <w:sz w:val="22"/>
          <w:szCs w:val="22"/>
        </w:rPr>
      </w:pPr>
    </w:p>
    <w:p w14:paraId="3E77862B" w14:textId="77777777" w:rsidR="00D835CC" w:rsidRPr="00C10852" w:rsidRDefault="00D835CC" w:rsidP="005E3E6F">
      <w:pPr>
        <w:numPr>
          <w:ilvl w:val="1"/>
          <w:numId w:val="14"/>
        </w:numPr>
        <w:suppressAutoHyphens/>
        <w:jc w:val="both"/>
        <w:rPr>
          <w:rFonts w:ascii="Calibri" w:hAnsi="Calibri"/>
          <w:b/>
          <w:sz w:val="22"/>
          <w:szCs w:val="22"/>
        </w:rPr>
      </w:pPr>
      <w:r w:rsidRPr="00C10852">
        <w:rPr>
          <w:rFonts w:ascii="Calibri" w:hAnsi="Calibri"/>
          <w:b/>
          <w:i/>
          <w:sz w:val="22"/>
          <w:szCs w:val="22"/>
        </w:rPr>
        <w:t>Principle of Good Governance: A</w:t>
      </w:r>
      <w:r w:rsidRPr="00C10852">
        <w:rPr>
          <w:rFonts w:ascii="Calibri" w:hAnsi="Calibri" w:cs="FS Lola"/>
          <w:color w:val="000000"/>
          <w:sz w:val="22"/>
          <w:szCs w:val="22"/>
        </w:rPr>
        <w:t xml:space="preserve">   </w:t>
      </w:r>
      <w:r w:rsidRPr="00C10852">
        <w:rPr>
          <w:rFonts w:ascii="Calibri" w:hAnsi="Calibri" w:cs="FS Lola"/>
          <w:b/>
          <w:color w:val="000000"/>
          <w:sz w:val="22"/>
          <w:szCs w:val="22"/>
        </w:rPr>
        <w:t>Behaving with integrity, demonstrating strong commitment to ethical values, and respecting the rule of law.</w:t>
      </w:r>
    </w:p>
    <w:p w14:paraId="0A62F651" w14:textId="77777777" w:rsidR="00D835CC" w:rsidRPr="00C10852" w:rsidRDefault="00D835CC" w:rsidP="00D835CC">
      <w:pPr>
        <w:ind w:left="720"/>
        <w:jc w:val="both"/>
        <w:rPr>
          <w:rFonts w:ascii="Calibri" w:hAnsi="Calibri"/>
          <w:sz w:val="10"/>
          <w:szCs w:val="10"/>
        </w:rPr>
      </w:pPr>
    </w:p>
    <w:p w14:paraId="11903AF9" w14:textId="77777777" w:rsidR="00D835CC" w:rsidRPr="00C10852" w:rsidRDefault="00D835CC" w:rsidP="00D835CC">
      <w:pPr>
        <w:ind w:firstLine="720"/>
        <w:jc w:val="both"/>
        <w:rPr>
          <w:rFonts w:ascii="Calibri" w:hAnsi="Calibri"/>
          <w:sz w:val="22"/>
          <w:szCs w:val="22"/>
        </w:rPr>
      </w:pPr>
      <w:r w:rsidRPr="00C10852">
        <w:rPr>
          <w:rFonts w:ascii="Calibri" w:hAnsi="Calibri"/>
          <w:sz w:val="22"/>
          <w:szCs w:val="22"/>
        </w:rPr>
        <w:t>To achieve this, the Chief Constable has:</w:t>
      </w:r>
    </w:p>
    <w:p w14:paraId="6533291D" w14:textId="77777777" w:rsidR="00D835CC" w:rsidRPr="00C10852" w:rsidRDefault="00D835CC" w:rsidP="00D835CC">
      <w:pPr>
        <w:numPr>
          <w:ilvl w:val="0"/>
          <w:numId w:val="2"/>
        </w:numPr>
        <w:tabs>
          <w:tab w:val="num" w:pos="1080"/>
        </w:tabs>
        <w:suppressAutoHyphens/>
        <w:ind w:left="1080"/>
        <w:jc w:val="both"/>
        <w:rPr>
          <w:rFonts w:ascii="Calibri" w:hAnsi="Calibri"/>
          <w:sz w:val="22"/>
          <w:szCs w:val="22"/>
        </w:rPr>
      </w:pPr>
      <w:r w:rsidRPr="00C10852">
        <w:rPr>
          <w:rFonts w:ascii="Calibri" w:hAnsi="Calibri"/>
          <w:sz w:val="22"/>
          <w:szCs w:val="22"/>
        </w:rPr>
        <w:t>ensured that officers and staff carry out their respective roles in a climate of openness, support and respect;</w:t>
      </w:r>
    </w:p>
    <w:p w14:paraId="76BD2263" w14:textId="77777777" w:rsidR="00D835CC" w:rsidRPr="00C10852" w:rsidRDefault="00D835CC" w:rsidP="00D835CC">
      <w:pPr>
        <w:numPr>
          <w:ilvl w:val="0"/>
          <w:numId w:val="2"/>
        </w:numPr>
        <w:tabs>
          <w:tab w:val="num" w:pos="1080"/>
        </w:tabs>
        <w:suppressAutoHyphens/>
        <w:ind w:left="1080"/>
        <w:jc w:val="both"/>
        <w:rPr>
          <w:rFonts w:ascii="Calibri" w:hAnsi="Calibri"/>
          <w:sz w:val="22"/>
          <w:szCs w:val="22"/>
        </w:rPr>
      </w:pPr>
      <w:r w:rsidRPr="00C10852">
        <w:rPr>
          <w:rFonts w:ascii="Calibri" w:hAnsi="Calibri"/>
          <w:sz w:val="22"/>
          <w:szCs w:val="22"/>
        </w:rPr>
        <w:t>developed standards of conduct and personal behaviour which are defined and communicated through appropriate codes of conduct and protocols and the policing</w:t>
      </w:r>
      <w:r w:rsidRPr="00C10852">
        <w:rPr>
          <w:rFonts w:ascii="Calibri" w:hAnsi="Calibri"/>
          <w:color w:val="FF0000"/>
          <w:sz w:val="22"/>
          <w:szCs w:val="22"/>
        </w:rPr>
        <w:t xml:space="preserve"> </w:t>
      </w:r>
      <w:r w:rsidRPr="00C10852">
        <w:rPr>
          <w:rFonts w:ascii="Calibri" w:hAnsi="Calibri"/>
          <w:sz w:val="22"/>
          <w:szCs w:val="22"/>
        </w:rPr>
        <w:t>Code of Ethics;</w:t>
      </w:r>
    </w:p>
    <w:p w14:paraId="50DD1C89" w14:textId="77777777" w:rsidR="00D835CC" w:rsidRPr="00C10852" w:rsidRDefault="00D835CC" w:rsidP="00D835CC">
      <w:pPr>
        <w:numPr>
          <w:ilvl w:val="0"/>
          <w:numId w:val="2"/>
        </w:numPr>
        <w:tabs>
          <w:tab w:val="num" w:pos="1080"/>
        </w:tabs>
        <w:suppressAutoHyphens/>
        <w:ind w:left="1080"/>
        <w:jc w:val="both"/>
        <w:rPr>
          <w:rFonts w:ascii="Calibri" w:hAnsi="Calibri"/>
          <w:sz w:val="22"/>
          <w:szCs w:val="22"/>
        </w:rPr>
      </w:pPr>
      <w:r w:rsidRPr="00C10852">
        <w:rPr>
          <w:rFonts w:ascii="Calibri" w:hAnsi="Calibri"/>
          <w:sz w:val="22"/>
          <w:szCs w:val="22"/>
        </w:rPr>
        <w:t>communicated that all managers and supervisors at all levels of the Force should set a good example and challenge any behaviour that does not meet the Code of Ethics and to clearly communicate the Force’s values, standards, expectations and priorities;</w:t>
      </w:r>
    </w:p>
    <w:p w14:paraId="4D9C9540" w14:textId="77777777" w:rsidR="00D835CC" w:rsidRPr="00C10852" w:rsidRDefault="00D835CC" w:rsidP="00D835CC">
      <w:pPr>
        <w:numPr>
          <w:ilvl w:val="0"/>
          <w:numId w:val="2"/>
        </w:numPr>
        <w:tabs>
          <w:tab w:val="num" w:pos="1080"/>
        </w:tabs>
        <w:suppressAutoHyphens/>
        <w:ind w:left="1080"/>
        <w:jc w:val="both"/>
        <w:rPr>
          <w:rFonts w:ascii="Calibri" w:hAnsi="Calibri"/>
          <w:sz w:val="22"/>
          <w:szCs w:val="22"/>
        </w:rPr>
      </w:pPr>
      <w:r w:rsidRPr="00C10852">
        <w:rPr>
          <w:rFonts w:ascii="Calibri" w:hAnsi="Calibri"/>
          <w:sz w:val="22"/>
          <w:szCs w:val="22"/>
        </w:rPr>
        <w:t>continued the Ethics Committee with an Independent Chair and Vice-chair to provide advice to the Force on ethical dilemmas raised by individuals or departments, with Information Management process in place to ensure policies and procedures are consistent and developed in consultation with subject matter experts including diversity and staff associations;</w:t>
      </w:r>
    </w:p>
    <w:p w14:paraId="0B169E28" w14:textId="77777777" w:rsidR="00D835CC" w:rsidRPr="00C10852" w:rsidRDefault="00D835CC" w:rsidP="00D835CC">
      <w:pPr>
        <w:numPr>
          <w:ilvl w:val="0"/>
          <w:numId w:val="2"/>
        </w:numPr>
        <w:tabs>
          <w:tab w:val="num" w:pos="1080"/>
        </w:tabs>
        <w:suppressAutoHyphens/>
        <w:ind w:left="1080"/>
        <w:jc w:val="both"/>
        <w:rPr>
          <w:rFonts w:ascii="Calibri" w:hAnsi="Calibri"/>
          <w:sz w:val="22"/>
          <w:szCs w:val="22"/>
        </w:rPr>
      </w:pPr>
      <w:r w:rsidRPr="00C10852">
        <w:rPr>
          <w:rFonts w:ascii="Calibri" w:hAnsi="Calibri"/>
          <w:sz w:val="22"/>
          <w:szCs w:val="22"/>
        </w:rPr>
        <w:t>in place arrangements for the reporting of all financial irregularities to senior managers and Section 151 officers via the Financial Regulations;</w:t>
      </w:r>
    </w:p>
    <w:p w14:paraId="7DBE1934" w14:textId="77777777" w:rsidR="00D835CC" w:rsidRPr="00C10852" w:rsidRDefault="00D835CC" w:rsidP="00D835CC">
      <w:pPr>
        <w:numPr>
          <w:ilvl w:val="0"/>
          <w:numId w:val="2"/>
        </w:numPr>
        <w:tabs>
          <w:tab w:val="num" w:pos="1080"/>
        </w:tabs>
        <w:suppressAutoHyphens/>
        <w:ind w:left="1080"/>
        <w:jc w:val="both"/>
        <w:rPr>
          <w:rFonts w:ascii="Calibri" w:hAnsi="Calibri"/>
          <w:sz w:val="22"/>
          <w:szCs w:val="22"/>
        </w:rPr>
      </w:pPr>
      <w:r w:rsidRPr="00C10852">
        <w:rPr>
          <w:rFonts w:ascii="Calibri" w:hAnsi="Calibri"/>
          <w:sz w:val="22"/>
          <w:szCs w:val="22"/>
        </w:rPr>
        <w:t>ensured that an Equality, Diver</w:t>
      </w:r>
      <w:r w:rsidR="001C3F6C" w:rsidRPr="00C10852">
        <w:rPr>
          <w:rFonts w:ascii="Calibri" w:hAnsi="Calibri"/>
          <w:sz w:val="22"/>
          <w:szCs w:val="22"/>
        </w:rPr>
        <w:t>s</w:t>
      </w:r>
      <w:r w:rsidRPr="00C10852">
        <w:rPr>
          <w:rFonts w:ascii="Calibri" w:hAnsi="Calibri"/>
          <w:sz w:val="22"/>
          <w:szCs w:val="22"/>
        </w:rPr>
        <w:t xml:space="preserve">ity and Human Rights (EDHR) strategy is in place, overseen by the EDHR Board to link EDHR aims, objectives and outcomes with Force vision and priorities; </w:t>
      </w:r>
    </w:p>
    <w:p w14:paraId="00D9D455" w14:textId="77777777" w:rsidR="00D835CC" w:rsidRPr="00C10852" w:rsidRDefault="00D835CC" w:rsidP="00D835CC">
      <w:pPr>
        <w:numPr>
          <w:ilvl w:val="0"/>
          <w:numId w:val="2"/>
        </w:numPr>
        <w:tabs>
          <w:tab w:val="num" w:pos="1080"/>
        </w:tabs>
        <w:suppressAutoHyphens/>
        <w:ind w:left="1080"/>
        <w:jc w:val="both"/>
        <w:rPr>
          <w:rFonts w:ascii="Calibri" w:hAnsi="Calibri"/>
          <w:sz w:val="22"/>
          <w:szCs w:val="22"/>
        </w:rPr>
      </w:pPr>
      <w:r w:rsidRPr="00C10852">
        <w:rPr>
          <w:rFonts w:ascii="Calibri" w:hAnsi="Calibri"/>
          <w:sz w:val="22"/>
          <w:szCs w:val="22"/>
        </w:rPr>
        <w:t>continued to emphasise to staff the importance of crime data integrity, compliant with the national standards for crime recording, to ensure effective crime investigation and prevention (Her Majesty’s Inspectorate of Constabulary and Fire &amp; Rescue Services (HMICFRS) undertook an inspection of crime data integrity in Surrey Police</w:t>
      </w:r>
      <w:r w:rsidRPr="00C10852">
        <w:rPr>
          <w:rStyle w:val="FootnoteReference"/>
          <w:rFonts w:ascii="Calibri" w:hAnsi="Calibri"/>
          <w:sz w:val="22"/>
          <w:szCs w:val="22"/>
        </w:rPr>
        <w:footnoteReference w:id="8"/>
      </w:r>
      <w:r w:rsidRPr="00C10852">
        <w:rPr>
          <w:rFonts w:ascii="Calibri" w:hAnsi="Calibri"/>
          <w:sz w:val="22"/>
          <w:szCs w:val="22"/>
        </w:rPr>
        <w:t xml:space="preserve"> and assessed the Force as “Good”);</w:t>
      </w:r>
    </w:p>
    <w:p w14:paraId="3FB37ED8" w14:textId="77777777" w:rsidR="00D835CC" w:rsidRPr="00C10852" w:rsidRDefault="00D835CC" w:rsidP="00D835CC">
      <w:pPr>
        <w:numPr>
          <w:ilvl w:val="0"/>
          <w:numId w:val="2"/>
        </w:numPr>
        <w:tabs>
          <w:tab w:val="num" w:pos="1080"/>
        </w:tabs>
        <w:suppressAutoHyphens/>
        <w:ind w:left="1080"/>
        <w:jc w:val="both"/>
        <w:rPr>
          <w:rFonts w:ascii="Calibri" w:hAnsi="Calibri"/>
          <w:sz w:val="22"/>
          <w:szCs w:val="22"/>
        </w:rPr>
      </w:pPr>
      <w:r w:rsidRPr="00C10852">
        <w:rPr>
          <w:rFonts w:ascii="Calibri" w:hAnsi="Calibri"/>
          <w:sz w:val="22"/>
          <w:szCs w:val="22"/>
        </w:rPr>
        <w:t>ensured ethical application of Home Office Counting rules via the Strategic Crime and Incident Recording Group monitoring via the Data Quality Action Plan:</w:t>
      </w:r>
    </w:p>
    <w:p w14:paraId="641606A0" w14:textId="1583A25B" w:rsidR="00D835CC" w:rsidRPr="00C10852" w:rsidRDefault="00D835CC" w:rsidP="00D835CC">
      <w:pPr>
        <w:numPr>
          <w:ilvl w:val="0"/>
          <w:numId w:val="2"/>
        </w:numPr>
        <w:tabs>
          <w:tab w:val="num" w:pos="1080"/>
        </w:tabs>
        <w:suppressAutoHyphens/>
        <w:ind w:left="1080"/>
        <w:jc w:val="both"/>
        <w:rPr>
          <w:rFonts w:ascii="Calibri" w:hAnsi="Calibri"/>
          <w:sz w:val="22"/>
          <w:szCs w:val="22"/>
        </w:rPr>
      </w:pPr>
      <w:r w:rsidRPr="00C10852">
        <w:rPr>
          <w:rFonts w:ascii="Calibri" w:hAnsi="Calibri"/>
          <w:sz w:val="22"/>
          <w:szCs w:val="22"/>
        </w:rPr>
        <w:t xml:space="preserve">ensured a policy on anti-fraud, bribery and corruption is in place (updated </w:t>
      </w:r>
      <w:r w:rsidR="00C10852" w:rsidRPr="00C10852">
        <w:rPr>
          <w:rFonts w:ascii="Calibri" w:hAnsi="Calibri"/>
          <w:sz w:val="22"/>
          <w:szCs w:val="22"/>
        </w:rPr>
        <w:t>Jan 2021</w:t>
      </w:r>
      <w:r w:rsidRPr="00C10852">
        <w:rPr>
          <w:rFonts w:ascii="Calibri" w:hAnsi="Calibri"/>
          <w:sz w:val="22"/>
          <w:szCs w:val="22"/>
        </w:rPr>
        <w:t>)</w:t>
      </w:r>
      <w:r w:rsidRPr="00C10852">
        <w:rPr>
          <w:rStyle w:val="FootnoteReference"/>
          <w:rFonts w:ascii="Calibri" w:hAnsi="Calibri"/>
          <w:sz w:val="22"/>
          <w:szCs w:val="22"/>
        </w:rPr>
        <w:footnoteReference w:id="9"/>
      </w:r>
      <w:r w:rsidRPr="00C10852">
        <w:rPr>
          <w:rFonts w:ascii="Calibri" w:hAnsi="Calibri"/>
          <w:sz w:val="22"/>
          <w:szCs w:val="22"/>
        </w:rPr>
        <w:t xml:space="preserve"> which clearly sets out the procedures to be operated and which is designed to encourage prevention, promote detection and identify a clear pathway for the investigation of fraudulent and/or corrupt practices or behaviour;</w:t>
      </w:r>
    </w:p>
    <w:p w14:paraId="3C090B7B" w14:textId="77777777" w:rsidR="00D835CC" w:rsidRPr="00C10852" w:rsidRDefault="00D835CC" w:rsidP="00D835CC">
      <w:pPr>
        <w:numPr>
          <w:ilvl w:val="0"/>
          <w:numId w:val="2"/>
        </w:numPr>
        <w:tabs>
          <w:tab w:val="num" w:pos="1080"/>
        </w:tabs>
        <w:suppressAutoHyphens/>
        <w:ind w:left="1080"/>
        <w:jc w:val="both"/>
        <w:rPr>
          <w:rFonts w:ascii="Calibri" w:hAnsi="Calibri"/>
          <w:sz w:val="22"/>
          <w:szCs w:val="22"/>
        </w:rPr>
      </w:pPr>
      <w:r w:rsidRPr="00C10852">
        <w:rPr>
          <w:rFonts w:ascii="Calibri" w:hAnsi="Calibri"/>
          <w:sz w:val="22"/>
          <w:szCs w:val="22"/>
        </w:rPr>
        <w:t>ensured that the Force is compliant with all relevant anti money laundering legislation;</w:t>
      </w:r>
    </w:p>
    <w:p w14:paraId="420A41FA" w14:textId="77777777" w:rsidR="00D835CC" w:rsidRPr="00C10852" w:rsidRDefault="00D835CC" w:rsidP="00D835CC">
      <w:pPr>
        <w:numPr>
          <w:ilvl w:val="0"/>
          <w:numId w:val="2"/>
        </w:numPr>
        <w:tabs>
          <w:tab w:val="num" w:pos="1080"/>
        </w:tabs>
        <w:suppressAutoHyphens/>
        <w:ind w:left="1080"/>
        <w:jc w:val="both"/>
        <w:rPr>
          <w:rFonts w:ascii="Calibri" w:hAnsi="Calibri"/>
          <w:sz w:val="22"/>
          <w:szCs w:val="22"/>
        </w:rPr>
      </w:pPr>
      <w:r w:rsidRPr="00C10852">
        <w:rPr>
          <w:rFonts w:ascii="Calibri" w:hAnsi="Calibri"/>
          <w:sz w:val="22"/>
          <w:szCs w:val="22"/>
        </w:rPr>
        <w:t>ensured accessible,</w:t>
      </w:r>
      <w:r w:rsidRPr="00C10852">
        <w:rPr>
          <w:rFonts w:ascii="Calibri" w:hAnsi="Calibri"/>
          <w:color w:val="FF0000"/>
          <w:sz w:val="22"/>
          <w:szCs w:val="22"/>
        </w:rPr>
        <w:t xml:space="preserve"> </w:t>
      </w:r>
      <w:r w:rsidRPr="00C10852">
        <w:rPr>
          <w:rFonts w:ascii="Calibri" w:hAnsi="Calibri"/>
          <w:sz w:val="22"/>
          <w:szCs w:val="22"/>
        </w:rPr>
        <w:t>appropriate and long established whistle-blowing arrangements and processes in place and that these are regularly reviewed e.g. “Anonymous Contact” confidential and independent web based reporting system;</w:t>
      </w:r>
    </w:p>
    <w:p w14:paraId="1E91FAED" w14:textId="77777777" w:rsidR="00D835CC" w:rsidRPr="00C10852" w:rsidRDefault="00D835CC" w:rsidP="00D835CC">
      <w:pPr>
        <w:numPr>
          <w:ilvl w:val="0"/>
          <w:numId w:val="2"/>
        </w:numPr>
        <w:tabs>
          <w:tab w:val="num" w:pos="1080"/>
        </w:tabs>
        <w:suppressAutoHyphens/>
        <w:ind w:left="1080"/>
        <w:jc w:val="both"/>
        <w:rPr>
          <w:rFonts w:ascii="Calibri" w:hAnsi="Calibri"/>
          <w:sz w:val="22"/>
          <w:szCs w:val="22"/>
          <w:lang w:eastAsia="en-GB"/>
        </w:rPr>
      </w:pPr>
      <w:r w:rsidRPr="00C10852">
        <w:rPr>
          <w:rFonts w:ascii="Calibri" w:hAnsi="Calibri"/>
          <w:sz w:val="22"/>
          <w:szCs w:val="22"/>
          <w:lang w:eastAsia="en-GB"/>
        </w:rPr>
        <w:t>ensured that the requirements of the Policing and Crime Act 2017 relating to police conduct reforms  were implemented</w:t>
      </w:r>
      <w:r w:rsidRPr="00C10852">
        <w:rPr>
          <w:rFonts w:ascii="Calibri" w:hAnsi="Calibri"/>
          <w:sz w:val="22"/>
          <w:szCs w:val="22"/>
        </w:rPr>
        <w:t xml:space="preserve"> (effective from February 1st 2020), establishing procedures for dealing with and investigating complaints which are in line with legal requirements and national guidelines;</w:t>
      </w:r>
    </w:p>
    <w:p w14:paraId="6154072D" w14:textId="794488DF" w:rsidR="00D835CC" w:rsidRPr="00C10852" w:rsidRDefault="00D835CC" w:rsidP="00D835CC">
      <w:pPr>
        <w:numPr>
          <w:ilvl w:val="0"/>
          <w:numId w:val="2"/>
        </w:numPr>
        <w:tabs>
          <w:tab w:val="num" w:pos="1080"/>
        </w:tabs>
        <w:suppressAutoHyphens/>
        <w:ind w:left="1080"/>
        <w:jc w:val="both"/>
        <w:rPr>
          <w:rFonts w:ascii="Calibri" w:hAnsi="Calibri"/>
          <w:sz w:val="22"/>
          <w:szCs w:val="22"/>
        </w:rPr>
      </w:pPr>
      <w:r w:rsidRPr="00C10852">
        <w:rPr>
          <w:rFonts w:ascii="Calibri" w:hAnsi="Calibri"/>
          <w:sz w:val="22"/>
          <w:szCs w:val="22"/>
        </w:rPr>
        <w:t xml:space="preserve">ensured that Surrey Police remains proactive in preventing and responding to cases involving “Abuse of Authority”, which includes raising awareness for staff, two new joint Surrey and Sussex policies are being developed in 2020 to give clear guidance on standards of sexual integrity expected entitled “Abuse of Authority for Sexual and Emotional Gain” and “Professional Boundaries and Appropriate Personal Relationships and Behaviours in the Workplace” </w:t>
      </w:r>
      <w:r w:rsidR="00C10852" w:rsidRPr="00C10852">
        <w:rPr>
          <w:rFonts w:ascii="Calibri" w:hAnsi="Calibri"/>
          <w:sz w:val="22"/>
          <w:szCs w:val="22"/>
        </w:rPr>
        <w:t>via</w:t>
      </w:r>
      <w:r w:rsidRPr="00C10852">
        <w:rPr>
          <w:rFonts w:ascii="Calibri" w:hAnsi="Calibri"/>
          <w:sz w:val="22"/>
          <w:szCs w:val="22"/>
        </w:rPr>
        <w:t xml:space="preserve"> bespoke NCALT training package;</w:t>
      </w:r>
    </w:p>
    <w:p w14:paraId="6FA42236" w14:textId="77777777" w:rsidR="00D835CC" w:rsidRPr="00C10852" w:rsidRDefault="00D835CC" w:rsidP="00D835CC">
      <w:pPr>
        <w:numPr>
          <w:ilvl w:val="0"/>
          <w:numId w:val="2"/>
        </w:numPr>
        <w:tabs>
          <w:tab w:val="num" w:pos="1080"/>
        </w:tabs>
        <w:suppressAutoHyphens/>
        <w:ind w:left="1080"/>
        <w:jc w:val="both"/>
        <w:rPr>
          <w:rFonts w:ascii="Calibri" w:hAnsi="Calibri"/>
          <w:sz w:val="22"/>
          <w:szCs w:val="22"/>
        </w:rPr>
      </w:pPr>
      <w:r w:rsidRPr="00C10852">
        <w:rPr>
          <w:rFonts w:ascii="Calibri" w:hAnsi="Calibri"/>
          <w:sz w:val="22"/>
          <w:szCs w:val="22"/>
        </w:rPr>
        <w:t>ensured that officers and staff have easy reference to key information that relates to integrity accessible through the Force intranet;</w:t>
      </w:r>
    </w:p>
    <w:p w14:paraId="06C15BCB" w14:textId="77777777" w:rsidR="00D835CC" w:rsidRPr="00C10852" w:rsidRDefault="00D835CC" w:rsidP="00D835CC">
      <w:pPr>
        <w:numPr>
          <w:ilvl w:val="0"/>
          <w:numId w:val="2"/>
        </w:numPr>
        <w:tabs>
          <w:tab w:val="num" w:pos="1080"/>
        </w:tabs>
        <w:suppressAutoHyphens/>
        <w:ind w:left="1080"/>
        <w:jc w:val="both"/>
        <w:rPr>
          <w:rFonts w:ascii="Calibri" w:hAnsi="Calibri"/>
          <w:sz w:val="22"/>
          <w:szCs w:val="22"/>
        </w:rPr>
      </w:pPr>
      <w:r w:rsidRPr="00C10852">
        <w:rPr>
          <w:rFonts w:ascii="Calibri" w:hAnsi="Calibri"/>
          <w:sz w:val="22"/>
          <w:szCs w:val="22"/>
        </w:rPr>
        <w:t>ensured that media engagement policy is in place relating to media relations, integrity and use of social media;</w:t>
      </w:r>
    </w:p>
    <w:p w14:paraId="42EB3D0F" w14:textId="77777777" w:rsidR="00D835CC" w:rsidRPr="00C10852" w:rsidRDefault="00D835CC" w:rsidP="00D835CC">
      <w:pPr>
        <w:numPr>
          <w:ilvl w:val="0"/>
          <w:numId w:val="2"/>
        </w:numPr>
        <w:tabs>
          <w:tab w:val="num" w:pos="1080"/>
        </w:tabs>
        <w:suppressAutoHyphens/>
        <w:ind w:left="1080"/>
        <w:jc w:val="both"/>
        <w:rPr>
          <w:rFonts w:ascii="Calibri" w:hAnsi="Calibri"/>
          <w:sz w:val="22"/>
          <w:szCs w:val="22"/>
        </w:rPr>
      </w:pPr>
      <w:r w:rsidRPr="00C10852">
        <w:rPr>
          <w:rFonts w:ascii="Calibri" w:hAnsi="Calibri"/>
          <w:sz w:val="22"/>
          <w:szCs w:val="22"/>
        </w:rPr>
        <w:t>ensured that staff and officers have been provided with and understand training in unconscious bias;</w:t>
      </w:r>
    </w:p>
    <w:p w14:paraId="559238C5" w14:textId="77777777" w:rsidR="00D835CC" w:rsidRPr="00C10852" w:rsidRDefault="00D835CC" w:rsidP="00D835CC">
      <w:pPr>
        <w:numPr>
          <w:ilvl w:val="0"/>
          <w:numId w:val="2"/>
        </w:numPr>
        <w:tabs>
          <w:tab w:val="num" w:pos="1080"/>
        </w:tabs>
        <w:suppressAutoHyphens/>
        <w:ind w:left="1080"/>
        <w:jc w:val="both"/>
        <w:rPr>
          <w:rFonts w:ascii="Calibri" w:hAnsi="Calibri"/>
          <w:sz w:val="22"/>
          <w:szCs w:val="22"/>
        </w:rPr>
      </w:pPr>
      <w:r w:rsidRPr="00C10852">
        <w:rPr>
          <w:rFonts w:ascii="Calibri" w:hAnsi="Calibri"/>
          <w:sz w:val="22"/>
          <w:szCs w:val="22"/>
        </w:rPr>
        <w:t>regularly published chief officer expenses, gifts and hospitality (received and declined) and outside business interests of senior officers and staff with quarterly reports subject to oversight by Joint Audit Committee, Head of Professional Standards Department and the PCC;</w:t>
      </w:r>
    </w:p>
    <w:p w14:paraId="6598D2FA" w14:textId="77777777" w:rsidR="00D835CC" w:rsidRPr="00C10852" w:rsidRDefault="00D835CC" w:rsidP="00D835CC">
      <w:pPr>
        <w:numPr>
          <w:ilvl w:val="0"/>
          <w:numId w:val="2"/>
        </w:numPr>
        <w:tabs>
          <w:tab w:val="num" w:pos="1080"/>
        </w:tabs>
        <w:suppressAutoHyphens/>
        <w:ind w:left="1080"/>
        <w:jc w:val="both"/>
        <w:rPr>
          <w:rFonts w:ascii="Calibri" w:hAnsi="Calibri"/>
          <w:sz w:val="22"/>
          <w:szCs w:val="22"/>
        </w:rPr>
      </w:pPr>
      <w:r w:rsidRPr="00C10852">
        <w:rPr>
          <w:rFonts w:ascii="Calibri" w:hAnsi="Calibri"/>
          <w:sz w:val="22"/>
          <w:szCs w:val="22"/>
        </w:rPr>
        <w:t>ensured there is a Force policy regarding use of force, and that it is compliant with Independent Office of Police Conduct (IOPC), (formerly the Independent Police Complaints Commission), report recommendations</w:t>
      </w:r>
      <w:r w:rsidRPr="00C10852">
        <w:rPr>
          <w:rStyle w:val="FootnoteReference"/>
          <w:rFonts w:ascii="Calibri" w:hAnsi="Calibri"/>
          <w:sz w:val="22"/>
          <w:szCs w:val="22"/>
        </w:rPr>
        <w:footnoteReference w:id="10"/>
      </w:r>
      <w:r w:rsidRPr="00C10852">
        <w:rPr>
          <w:rFonts w:ascii="Calibri" w:hAnsi="Calibri"/>
          <w:sz w:val="22"/>
          <w:szCs w:val="22"/>
        </w:rPr>
        <w:t xml:space="preserve">, which </w:t>
      </w:r>
      <w:r w:rsidRPr="00C10852">
        <w:rPr>
          <w:rFonts w:ascii="Calibri" w:hAnsi="Calibri" w:cs="Calibri"/>
          <w:sz w:val="22"/>
          <w:szCs w:val="22"/>
          <w:lang w:eastAsia="en-GB"/>
        </w:rPr>
        <w:t>includes the responsibility to fully document at the earliest opportunity the extent and method of force used, and the rationale for that force;</w:t>
      </w:r>
    </w:p>
    <w:p w14:paraId="32E2B2DD" w14:textId="77777777" w:rsidR="00D835CC" w:rsidRPr="00C10852" w:rsidRDefault="00D835CC" w:rsidP="00D835CC">
      <w:pPr>
        <w:numPr>
          <w:ilvl w:val="0"/>
          <w:numId w:val="2"/>
        </w:numPr>
        <w:tabs>
          <w:tab w:val="num" w:pos="1080"/>
        </w:tabs>
        <w:suppressAutoHyphens/>
        <w:ind w:left="1080"/>
        <w:jc w:val="both"/>
        <w:rPr>
          <w:rFonts w:ascii="Calibri" w:hAnsi="Calibri"/>
          <w:sz w:val="22"/>
          <w:szCs w:val="22"/>
        </w:rPr>
      </w:pPr>
      <w:r w:rsidRPr="00C10852">
        <w:rPr>
          <w:rFonts w:ascii="Calibri" w:hAnsi="Calibri"/>
          <w:sz w:val="22"/>
          <w:szCs w:val="22"/>
        </w:rPr>
        <w:t xml:space="preserve">considers divisional and IOPC reports published by the Professional Standards Department detailing results and lessons learnt from complaints and investigations to provide further guidance to all employees; </w:t>
      </w:r>
    </w:p>
    <w:p w14:paraId="3DF48D4B" w14:textId="77777777" w:rsidR="00D835CC" w:rsidRPr="00C10852" w:rsidRDefault="00D835CC" w:rsidP="00D835CC">
      <w:pPr>
        <w:numPr>
          <w:ilvl w:val="0"/>
          <w:numId w:val="2"/>
        </w:numPr>
        <w:tabs>
          <w:tab w:val="num" w:pos="1080"/>
        </w:tabs>
        <w:suppressAutoHyphens/>
        <w:ind w:left="1080"/>
        <w:jc w:val="both"/>
        <w:rPr>
          <w:rFonts w:ascii="Calibri" w:hAnsi="Calibri"/>
          <w:sz w:val="22"/>
          <w:szCs w:val="22"/>
        </w:rPr>
      </w:pPr>
      <w:r w:rsidRPr="00C10852">
        <w:rPr>
          <w:rFonts w:ascii="Calibri" w:hAnsi="Calibri"/>
          <w:sz w:val="22"/>
          <w:szCs w:val="22"/>
        </w:rPr>
        <w:t>ensured that the Force has met its equality and diversity obligations as set out in the Equality Act 2010 and the Public Sector Equality Duty 2011;</w:t>
      </w:r>
    </w:p>
    <w:p w14:paraId="69DD5B3F" w14:textId="77777777" w:rsidR="00D835CC" w:rsidRPr="00C10852" w:rsidRDefault="00D835CC" w:rsidP="00D835CC">
      <w:pPr>
        <w:numPr>
          <w:ilvl w:val="0"/>
          <w:numId w:val="2"/>
        </w:numPr>
        <w:tabs>
          <w:tab w:val="num" w:pos="1080"/>
        </w:tabs>
        <w:suppressAutoHyphens/>
        <w:ind w:left="1080"/>
        <w:jc w:val="both"/>
        <w:rPr>
          <w:rFonts w:ascii="Calibri" w:hAnsi="Calibri"/>
          <w:sz w:val="22"/>
          <w:szCs w:val="22"/>
        </w:rPr>
      </w:pPr>
      <w:r w:rsidRPr="00C10852">
        <w:rPr>
          <w:rFonts w:ascii="Calibri" w:hAnsi="Calibri"/>
          <w:sz w:val="22"/>
          <w:szCs w:val="22"/>
        </w:rPr>
        <w:t>a force Criminal Justice team responsible for keeping the Force up to date with changes in national criminal justice and legislation, with the Force Policy and Procedure team overseeing appropriate policies.</w:t>
      </w:r>
    </w:p>
    <w:p w14:paraId="6C027A64" w14:textId="77777777" w:rsidR="00D835CC" w:rsidRPr="00C10852" w:rsidRDefault="00D835CC" w:rsidP="00D835CC">
      <w:pPr>
        <w:numPr>
          <w:ilvl w:val="0"/>
          <w:numId w:val="2"/>
        </w:numPr>
        <w:tabs>
          <w:tab w:val="num" w:pos="1080"/>
        </w:tabs>
        <w:suppressAutoHyphens/>
        <w:ind w:left="1080"/>
        <w:jc w:val="both"/>
        <w:rPr>
          <w:rFonts w:ascii="Calibri" w:hAnsi="Calibri"/>
          <w:sz w:val="22"/>
          <w:szCs w:val="22"/>
        </w:rPr>
      </w:pPr>
      <w:r w:rsidRPr="00C10852">
        <w:rPr>
          <w:rFonts w:ascii="Calibri" w:hAnsi="Calibri"/>
          <w:sz w:val="22"/>
          <w:szCs w:val="22"/>
        </w:rPr>
        <w:t>continued to develop the work of the Legitimacy and Ethics Board (formed jointly with Sussex Police in 2017), to ensure that both forces are compliant with relevant Authorised Professional Practice and forces’ policies and to improve the scrutiny and governance arrangements in relation to key aspects of policing in Surrey and Sussex, including Stop and Search, Use of Force and the use of body worn video.</w:t>
      </w:r>
    </w:p>
    <w:p w14:paraId="361E4DDB" w14:textId="77777777" w:rsidR="00D835CC" w:rsidRPr="00C10852" w:rsidRDefault="00D835CC" w:rsidP="00D835CC">
      <w:pPr>
        <w:ind w:left="1080"/>
        <w:jc w:val="both"/>
        <w:rPr>
          <w:rFonts w:ascii="Calibri" w:hAnsi="Calibri"/>
          <w:sz w:val="22"/>
          <w:szCs w:val="22"/>
        </w:rPr>
      </w:pPr>
    </w:p>
    <w:p w14:paraId="439DAA64" w14:textId="77777777" w:rsidR="00D835CC" w:rsidRPr="00C10852" w:rsidRDefault="00D835CC" w:rsidP="00C10852">
      <w:pPr>
        <w:ind w:left="1080"/>
        <w:jc w:val="both"/>
        <w:rPr>
          <w:rFonts w:ascii="Calibri" w:hAnsi="Calibri"/>
          <w:sz w:val="22"/>
          <w:szCs w:val="22"/>
        </w:rPr>
      </w:pPr>
      <w:r w:rsidRPr="00C10852">
        <w:rPr>
          <w:rFonts w:ascii="Calibri" w:hAnsi="Calibri"/>
          <w:sz w:val="22"/>
          <w:szCs w:val="22"/>
        </w:rPr>
        <w:t xml:space="preserve">In 2018-19 HMICFRS assessed Surrey Police through the PEEL (police effectiveness, efficiency and legitimacy) programme of inspections and assessed Surrey as “Good” for Legitimacy, confirming that </w:t>
      </w:r>
      <w:r w:rsidRPr="00C10852">
        <w:rPr>
          <w:rFonts w:ascii="Calibri" w:hAnsi="Calibri"/>
          <w:color w:val="282828"/>
          <w:sz w:val="22"/>
          <w:szCs w:val="22"/>
        </w:rPr>
        <w:t>Surrey Police works hard to promote a no-blame, ethical, learning culture</w:t>
      </w:r>
      <w:r w:rsidRPr="00C10852">
        <w:rPr>
          <w:rStyle w:val="FootnoteReference"/>
          <w:rFonts w:ascii="Calibri" w:hAnsi="Calibri"/>
          <w:sz w:val="22"/>
          <w:szCs w:val="22"/>
        </w:rPr>
        <w:footnoteReference w:id="11"/>
      </w:r>
      <w:r w:rsidRPr="00C10852">
        <w:rPr>
          <w:rFonts w:ascii="Calibri" w:hAnsi="Calibri"/>
          <w:sz w:val="22"/>
          <w:szCs w:val="22"/>
        </w:rPr>
        <w:t>.</w:t>
      </w:r>
    </w:p>
    <w:p w14:paraId="129EA462" w14:textId="77777777" w:rsidR="00D835CC" w:rsidRPr="00C10852" w:rsidRDefault="00D835CC" w:rsidP="00D835CC">
      <w:pPr>
        <w:ind w:left="720"/>
        <w:jc w:val="both"/>
        <w:rPr>
          <w:rFonts w:ascii="Calibri" w:hAnsi="Calibri"/>
          <w:sz w:val="22"/>
          <w:szCs w:val="22"/>
        </w:rPr>
      </w:pPr>
    </w:p>
    <w:p w14:paraId="6B150636" w14:textId="77777777" w:rsidR="00D835CC" w:rsidRPr="00C10852" w:rsidRDefault="00D835CC" w:rsidP="005E3E6F">
      <w:pPr>
        <w:numPr>
          <w:ilvl w:val="1"/>
          <w:numId w:val="14"/>
        </w:numPr>
        <w:suppressAutoHyphens/>
        <w:jc w:val="both"/>
        <w:rPr>
          <w:rFonts w:ascii="Calibri" w:hAnsi="Calibri"/>
          <w:b/>
          <w:sz w:val="22"/>
          <w:szCs w:val="22"/>
        </w:rPr>
      </w:pPr>
      <w:r w:rsidRPr="00C10852">
        <w:rPr>
          <w:rFonts w:ascii="Calibri" w:hAnsi="Calibri"/>
          <w:b/>
          <w:i/>
          <w:sz w:val="22"/>
          <w:szCs w:val="22"/>
        </w:rPr>
        <w:t>Principle of Good Governance: B</w:t>
      </w:r>
      <w:r w:rsidRPr="00C10852">
        <w:rPr>
          <w:rFonts w:ascii="Calibri" w:hAnsi="Calibri"/>
          <w:i/>
          <w:sz w:val="22"/>
          <w:szCs w:val="22"/>
        </w:rPr>
        <w:t xml:space="preserve"> </w:t>
      </w:r>
      <w:r w:rsidRPr="00C10852">
        <w:rPr>
          <w:rFonts w:ascii="Calibri" w:hAnsi="Calibri" w:cs="FS Lola"/>
          <w:b/>
          <w:color w:val="000000"/>
          <w:sz w:val="22"/>
          <w:szCs w:val="22"/>
        </w:rPr>
        <w:t>Ensuring openness and comprehensive stakeholder engagement.</w:t>
      </w:r>
    </w:p>
    <w:p w14:paraId="209C31D1" w14:textId="77777777" w:rsidR="00D835CC" w:rsidRPr="00C10852" w:rsidRDefault="00D835CC" w:rsidP="00D835CC">
      <w:pPr>
        <w:ind w:left="720"/>
        <w:jc w:val="both"/>
        <w:rPr>
          <w:rFonts w:ascii="Calibri" w:hAnsi="Calibri"/>
          <w:b/>
          <w:i/>
          <w:sz w:val="10"/>
          <w:szCs w:val="10"/>
        </w:rPr>
      </w:pPr>
    </w:p>
    <w:p w14:paraId="232FDD7E" w14:textId="77777777" w:rsidR="00D835CC" w:rsidRPr="00A050AB" w:rsidRDefault="00D835CC" w:rsidP="00D835CC">
      <w:pPr>
        <w:ind w:firstLine="720"/>
        <w:jc w:val="both"/>
        <w:rPr>
          <w:rFonts w:ascii="Calibri" w:hAnsi="Calibri"/>
          <w:sz w:val="22"/>
          <w:szCs w:val="22"/>
        </w:rPr>
      </w:pPr>
      <w:r w:rsidRPr="00C10852">
        <w:rPr>
          <w:rFonts w:ascii="Calibri" w:hAnsi="Calibri"/>
          <w:sz w:val="22"/>
          <w:szCs w:val="22"/>
        </w:rPr>
        <w:t xml:space="preserve">To achieve this, the Chief Constable </w:t>
      </w:r>
      <w:r w:rsidRPr="00A050AB">
        <w:rPr>
          <w:rFonts w:ascii="Calibri" w:hAnsi="Calibri"/>
          <w:sz w:val="22"/>
          <w:szCs w:val="22"/>
        </w:rPr>
        <w:t>has:</w:t>
      </w:r>
    </w:p>
    <w:p w14:paraId="7E50F7F2" w14:textId="77777777" w:rsidR="00D835CC" w:rsidRPr="00A050AB" w:rsidRDefault="00D835CC" w:rsidP="005E3E6F">
      <w:pPr>
        <w:numPr>
          <w:ilvl w:val="0"/>
          <w:numId w:val="18"/>
        </w:numPr>
        <w:suppressAutoHyphens/>
        <w:jc w:val="both"/>
        <w:rPr>
          <w:rFonts w:ascii="Calibri" w:hAnsi="Calibri"/>
          <w:sz w:val="22"/>
          <w:szCs w:val="22"/>
        </w:rPr>
      </w:pPr>
      <w:r w:rsidRPr="00A050AB">
        <w:rPr>
          <w:rFonts w:ascii="Calibri" w:hAnsi="Calibri"/>
          <w:sz w:val="22"/>
          <w:szCs w:val="22"/>
        </w:rPr>
        <w:t>meetings with the PCC every 6 weeks for alternate public webcast, and private scrutiny, meetings to report on progress against the PCC’s Police and Crime Plan;</w:t>
      </w:r>
    </w:p>
    <w:p w14:paraId="03450291" w14:textId="77777777" w:rsidR="00D835CC" w:rsidRPr="00A050AB" w:rsidRDefault="00D835CC" w:rsidP="005E3E6F">
      <w:pPr>
        <w:numPr>
          <w:ilvl w:val="0"/>
          <w:numId w:val="18"/>
        </w:numPr>
        <w:suppressAutoHyphens/>
        <w:jc w:val="both"/>
        <w:rPr>
          <w:rFonts w:ascii="Calibri" w:hAnsi="Calibri"/>
          <w:sz w:val="22"/>
          <w:szCs w:val="22"/>
        </w:rPr>
      </w:pPr>
      <w:r w:rsidRPr="00A050AB">
        <w:rPr>
          <w:rFonts w:ascii="Calibri" w:hAnsi="Calibri"/>
          <w:sz w:val="22"/>
          <w:szCs w:val="22"/>
        </w:rPr>
        <w:t>ensured that Force engagement with the public takes place on many levels, from daily street contact and phone calls through to contact via social media (Facebook, Twitter etc.), on line interaction via the force website and formal surveys in relation to service priorities;</w:t>
      </w:r>
    </w:p>
    <w:p w14:paraId="09802DB3" w14:textId="6E066482" w:rsidR="00D835CC" w:rsidRPr="00A050AB" w:rsidRDefault="00D835CC" w:rsidP="005E3E6F">
      <w:pPr>
        <w:numPr>
          <w:ilvl w:val="0"/>
          <w:numId w:val="19"/>
        </w:numPr>
        <w:suppressAutoHyphens/>
        <w:jc w:val="both"/>
        <w:rPr>
          <w:rFonts w:ascii="Calibri" w:hAnsi="Calibri"/>
          <w:sz w:val="22"/>
          <w:szCs w:val="22"/>
        </w:rPr>
      </w:pPr>
      <w:r w:rsidRPr="00A050AB">
        <w:rPr>
          <w:rFonts w:ascii="Calibri" w:hAnsi="Calibri"/>
          <w:sz w:val="22"/>
          <w:szCs w:val="22"/>
        </w:rPr>
        <w:t>encouraged the public to sign up to ‘In the Know’ receipt of regular updates from Surrey Police;</w:t>
      </w:r>
    </w:p>
    <w:p w14:paraId="1565E846" w14:textId="77777777" w:rsidR="00D835CC" w:rsidRPr="00A050AB" w:rsidRDefault="00D835CC" w:rsidP="005E3E6F">
      <w:pPr>
        <w:numPr>
          <w:ilvl w:val="0"/>
          <w:numId w:val="19"/>
        </w:numPr>
        <w:suppressAutoHyphens/>
        <w:jc w:val="both"/>
        <w:rPr>
          <w:rFonts w:ascii="Calibri" w:hAnsi="Calibri"/>
          <w:sz w:val="22"/>
          <w:szCs w:val="22"/>
        </w:rPr>
      </w:pPr>
      <w:r w:rsidRPr="00A050AB">
        <w:rPr>
          <w:rFonts w:ascii="Calibri" w:hAnsi="Calibri"/>
          <w:sz w:val="22"/>
          <w:szCs w:val="22"/>
        </w:rPr>
        <w:t>ensured use of social media accounts at a corporate and local neighbourhood level to provide updates, crime prevention advice and opportunities for engagement with all key news stories, including proactive transparency on negative issues involving the force such as officer misconduct, with monthly review of public information effectiveness to promote improvement, and social media training delivered in year to frontline staff including the Contact Centre;</w:t>
      </w:r>
    </w:p>
    <w:p w14:paraId="018C9167" w14:textId="77777777" w:rsidR="00D835CC" w:rsidRPr="00A050AB" w:rsidRDefault="00D835CC" w:rsidP="005E3E6F">
      <w:pPr>
        <w:numPr>
          <w:ilvl w:val="0"/>
          <w:numId w:val="19"/>
        </w:numPr>
        <w:suppressAutoHyphens/>
        <w:jc w:val="both"/>
        <w:rPr>
          <w:rFonts w:ascii="Calibri" w:hAnsi="Calibri"/>
          <w:sz w:val="22"/>
          <w:szCs w:val="22"/>
        </w:rPr>
      </w:pPr>
      <w:r w:rsidRPr="00A050AB">
        <w:rPr>
          <w:rFonts w:ascii="Calibri" w:hAnsi="Calibri"/>
          <w:sz w:val="22"/>
          <w:szCs w:val="22"/>
        </w:rPr>
        <w:t>held regular meetings with local communities offering local people a chance to be heard, to discuss issues that affect them, to agree local action to tackle these issues and agree priorities;</w:t>
      </w:r>
    </w:p>
    <w:p w14:paraId="08B2C7B1" w14:textId="77777777" w:rsidR="00D835CC" w:rsidRPr="00A050AB" w:rsidRDefault="00D835CC" w:rsidP="005E3E6F">
      <w:pPr>
        <w:numPr>
          <w:ilvl w:val="0"/>
          <w:numId w:val="19"/>
        </w:numPr>
        <w:suppressAutoHyphens/>
        <w:jc w:val="both"/>
        <w:rPr>
          <w:rFonts w:ascii="Calibri" w:hAnsi="Calibri"/>
          <w:sz w:val="22"/>
          <w:szCs w:val="22"/>
        </w:rPr>
      </w:pPr>
      <w:r w:rsidRPr="00A050AB">
        <w:rPr>
          <w:rFonts w:ascii="Calibri" w:hAnsi="Calibri"/>
          <w:sz w:val="22"/>
          <w:szCs w:val="22"/>
        </w:rPr>
        <w:t>worked with partner organisations - through community safety partnerships and a range of others to tackle crime, disorder, anti-social behaviour and to reduce re-offending;</w:t>
      </w:r>
    </w:p>
    <w:p w14:paraId="4DA39406" w14:textId="77777777" w:rsidR="00D835CC" w:rsidRPr="00A050AB" w:rsidRDefault="00D835CC" w:rsidP="005E3E6F">
      <w:pPr>
        <w:numPr>
          <w:ilvl w:val="0"/>
          <w:numId w:val="19"/>
        </w:numPr>
        <w:suppressAutoHyphens/>
        <w:jc w:val="both"/>
        <w:rPr>
          <w:rFonts w:ascii="Calibri" w:hAnsi="Calibri"/>
          <w:sz w:val="22"/>
          <w:szCs w:val="22"/>
        </w:rPr>
      </w:pPr>
      <w:r w:rsidRPr="00A050AB">
        <w:rPr>
          <w:rFonts w:ascii="Calibri" w:hAnsi="Calibri"/>
          <w:sz w:val="22"/>
          <w:szCs w:val="22"/>
        </w:rPr>
        <w:t>engaged with Independent Advisory Groups, whose membership reflect different sections of the community, to encourage the active involvement of people from diverse groups;</w:t>
      </w:r>
    </w:p>
    <w:p w14:paraId="17729927" w14:textId="77777777" w:rsidR="00D835CC" w:rsidRPr="00A050AB" w:rsidRDefault="00D835CC" w:rsidP="005E3E6F">
      <w:pPr>
        <w:numPr>
          <w:ilvl w:val="0"/>
          <w:numId w:val="19"/>
        </w:numPr>
        <w:suppressAutoHyphens/>
        <w:jc w:val="both"/>
        <w:rPr>
          <w:rFonts w:ascii="Calibri" w:hAnsi="Calibri"/>
          <w:sz w:val="22"/>
          <w:szCs w:val="22"/>
        </w:rPr>
      </w:pPr>
      <w:r w:rsidRPr="00A050AB">
        <w:rPr>
          <w:rFonts w:ascii="Calibri" w:hAnsi="Calibri"/>
          <w:sz w:val="22"/>
          <w:szCs w:val="22"/>
        </w:rPr>
        <w:t>maintained Surrey Police information sharing agreements with partners and other organisations to manage information, working closely with County, Borough and District Councils via a centralised communications group which meets quarterly to share key messages.</w:t>
      </w:r>
    </w:p>
    <w:p w14:paraId="226A2105" w14:textId="77777777" w:rsidR="00D835CC" w:rsidRPr="00A050AB" w:rsidRDefault="00D835CC" w:rsidP="005E3E6F">
      <w:pPr>
        <w:numPr>
          <w:ilvl w:val="0"/>
          <w:numId w:val="19"/>
        </w:numPr>
        <w:suppressAutoHyphens/>
        <w:jc w:val="both"/>
        <w:rPr>
          <w:rFonts w:ascii="Calibri" w:hAnsi="Calibri"/>
          <w:sz w:val="22"/>
          <w:szCs w:val="22"/>
        </w:rPr>
      </w:pPr>
      <w:r w:rsidRPr="00A050AB">
        <w:rPr>
          <w:rFonts w:ascii="Calibri" w:hAnsi="Calibri"/>
          <w:sz w:val="22"/>
          <w:szCs w:val="22"/>
        </w:rPr>
        <w:t>ensured that user satisfaction surveys across a range of victim groups (beyond the statutory requirement) are conducted to a high standard, providing the Force with information about the quality of service these groups have received from the police service e.g. quarterly neighbourhood survey, monthly Victim Satisfaction surveys for Anti-Social Behaviour and Crime, and ad hoc public surveys via social media;</w:t>
      </w:r>
    </w:p>
    <w:p w14:paraId="5C818AF7" w14:textId="77777777" w:rsidR="00D835CC" w:rsidRPr="00A050AB" w:rsidRDefault="00D835CC" w:rsidP="005E3E6F">
      <w:pPr>
        <w:numPr>
          <w:ilvl w:val="0"/>
          <w:numId w:val="19"/>
        </w:numPr>
        <w:suppressAutoHyphens/>
        <w:jc w:val="both"/>
        <w:rPr>
          <w:rFonts w:ascii="Calibri" w:hAnsi="Calibri"/>
          <w:sz w:val="22"/>
          <w:szCs w:val="22"/>
        </w:rPr>
      </w:pPr>
      <w:r w:rsidRPr="00A050AB">
        <w:rPr>
          <w:rFonts w:ascii="Calibri" w:hAnsi="Calibri"/>
          <w:sz w:val="22"/>
          <w:szCs w:val="22"/>
        </w:rPr>
        <w:t>in place an engagement guide explaining to stakeholders and interested members of the public what they can expect from the force, supported by local engagement plans, policies and procedures;</w:t>
      </w:r>
    </w:p>
    <w:p w14:paraId="70BD10E0" w14:textId="77777777" w:rsidR="00D835CC" w:rsidRPr="00A050AB" w:rsidRDefault="00D835CC" w:rsidP="005E3E6F">
      <w:pPr>
        <w:numPr>
          <w:ilvl w:val="0"/>
          <w:numId w:val="19"/>
        </w:numPr>
        <w:suppressAutoHyphens/>
        <w:jc w:val="both"/>
        <w:rPr>
          <w:rFonts w:ascii="Calibri" w:hAnsi="Calibri"/>
          <w:sz w:val="22"/>
          <w:szCs w:val="22"/>
        </w:rPr>
      </w:pPr>
      <w:r w:rsidRPr="00A050AB">
        <w:rPr>
          <w:rFonts w:ascii="Calibri" w:hAnsi="Calibri"/>
          <w:sz w:val="22"/>
          <w:szCs w:val="22"/>
        </w:rPr>
        <w:t>ensured that the Surrey Police website was further developed having joined the national initiative “Single On-line Home”,  which offers an enhanced self-service feature for the public, greater consistency of advice and guidance and an improved user experience;</w:t>
      </w:r>
    </w:p>
    <w:p w14:paraId="203D57D7" w14:textId="77777777" w:rsidR="00D835CC" w:rsidRPr="00A050AB" w:rsidRDefault="00D835CC" w:rsidP="005E3E6F">
      <w:pPr>
        <w:numPr>
          <w:ilvl w:val="0"/>
          <w:numId w:val="19"/>
        </w:numPr>
        <w:suppressAutoHyphens/>
        <w:jc w:val="both"/>
        <w:rPr>
          <w:rFonts w:ascii="Calibri" w:hAnsi="Calibri"/>
          <w:sz w:val="22"/>
          <w:szCs w:val="22"/>
        </w:rPr>
      </w:pPr>
      <w:r w:rsidRPr="00A050AB">
        <w:rPr>
          <w:rFonts w:ascii="Calibri" w:hAnsi="Calibri"/>
          <w:sz w:val="22"/>
          <w:szCs w:val="22"/>
        </w:rPr>
        <w:t>ensured there is an up to date Freedom of information Act 2000 publication scheme;</w:t>
      </w:r>
    </w:p>
    <w:p w14:paraId="6C5F8D53" w14:textId="77777777" w:rsidR="00D835CC" w:rsidRPr="00A050AB" w:rsidRDefault="00D835CC" w:rsidP="00D835CC">
      <w:pPr>
        <w:ind w:left="1080"/>
        <w:jc w:val="both"/>
        <w:rPr>
          <w:rFonts w:ascii="Calibri" w:hAnsi="Calibri"/>
          <w:sz w:val="22"/>
          <w:szCs w:val="22"/>
        </w:rPr>
      </w:pPr>
    </w:p>
    <w:p w14:paraId="28BD882A" w14:textId="77777777" w:rsidR="00D835CC" w:rsidRPr="00A050AB" w:rsidRDefault="00D835CC" w:rsidP="005E3E6F">
      <w:pPr>
        <w:numPr>
          <w:ilvl w:val="1"/>
          <w:numId w:val="14"/>
        </w:numPr>
        <w:suppressAutoHyphens/>
        <w:jc w:val="both"/>
        <w:rPr>
          <w:rFonts w:ascii="Calibri" w:hAnsi="Calibri"/>
          <w:b/>
          <w:sz w:val="22"/>
          <w:szCs w:val="22"/>
        </w:rPr>
      </w:pPr>
      <w:r w:rsidRPr="00A050AB">
        <w:rPr>
          <w:rFonts w:ascii="Calibri" w:hAnsi="Calibri"/>
          <w:b/>
          <w:i/>
          <w:sz w:val="22"/>
          <w:szCs w:val="22"/>
        </w:rPr>
        <w:t xml:space="preserve">Principle of Good Governance: C </w:t>
      </w:r>
      <w:r w:rsidRPr="00A050AB">
        <w:rPr>
          <w:rFonts w:ascii="Calibri" w:hAnsi="Calibri" w:cs="FS Lola"/>
          <w:b/>
          <w:color w:val="000000"/>
          <w:sz w:val="22"/>
          <w:szCs w:val="22"/>
        </w:rPr>
        <w:t>Defining outcomes in terms of sustainable economic, social and environmental benefits.</w:t>
      </w:r>
    </w:p>
    <w:p w14:paraId="0A1D7307" w14:textId="77777777" w:rsidR="00D835CC" w:rsidRPr="00A050AB" w:rsidRDefault="00D835CC" w:rsidP="00D835CC">
      <w:pPr>
        <w:ind w:left="720"/>
        <w:jc w:val="both"/>
        <w:rPr>
          <w:rFonts w:ascii="Calibri" w:hAnsi="Calibri"/>
          <w:b/>
          <w:i/>
          <w:sz w:val="10"/>
          <w:szCs w:val="10"/>
        </w:rPr>
      </w:pPr>
    </w:p>
    <w:p w14:paraId="26D276C3" w14:textId="77777777" w:rsidR="00D835CC" w:rsidRPr="00872F75" w:rsidRDefault="00D835CC" w:rsidP="00D835CC">
      <w:pPr>
        <w:ind w:firstLine="720"/>
        <w:jc w:val="both"/>
        <w:rPr>
          <w:rFonts w:ascii="Calibri" w:hAnsi="Calibri"/>
          <w:sz w:val="22"/>
          <w:szCs w:val="22"/>
        </w:rPr>
      </w:pPr>
      <w:r w:rsidRPr="00A050AB">
        <w:rPr>
          <w:rFonts w:ascii="Calibri" w:hAnsi="Calibri"/>
          <w:sz w:val="22"/>
          <w:szCs w:val="22"/>
        </w:rPr>
        <w:t xml:space="preserve">To achieve this, the </w:t>
      </w:r>
      <w:r w:rsidRPr="00872F75">
        <w:rPr>
          <w:rFonts w:ascii="Calibri" w:hAnsi="Calibri"/>
          <w:sz w:val="22"/>
          <w:szCs w:val="22"/>
        </w:rPr>
        <w:t>Chief Constable has:</w:t>
      </w:r>
    </w:p>
    <w:p w14:paraId="7322D88D" w14:textId="297B4C79" w:rsidR="00D835CC" w:rsidRPr="00CA7D42" w:rsidRDefault="00D835CC" w:rsidP="005E3E6F">
      <w:pPr>
        <w:numPr>
          <w:ilvl w:val="0"/>
          <w:numId w:val="13"/>
        </w:numPr>
        <w:suppressAutoHyphens/>
        <w:jc w:val="both"/>
        <w:rPr>
          <w:rFonts w:ascii="Calibri" w:hAnsi="Calibri"/>
          <w:sz w:val="22"/>
          <w:szCs w:val="22"/>
        </w:rPr>
      </w:pPr>
      <w:r w:rsidRPr="00872F75">
        <w:rPr>
          <w:rFonts w:ascii="Calibri" w:hAnsi="Calibri"/>
          <w:sz w:val="22"/>
          <w:szCs w:val="22"/>
        </w:rPr>
        <w:t>A Chief Constable’s ‘Plan on a Page’ set out the force vision and purpose in accordance with the PCC’s Police and Crime Plan and the Surrey Police Business Plan 2017-2025</w:t>
      </w:r>
      <w:r w:rsidRPr="00872F75">
        <w:rPr>
          <w:rStyle w:val="FootnoteReference"/>
          <w:rFonts w:ascii="Calibri" w:hAnsi="Calibri"/>
          <w:sz w:val="22"/>
          <w:szCs w:val="22"/>
        </w:rPr>
        <w:footnoteReference w:id="12"/>
      </w:r>
      <w:r w:rsidR="00A050AB" w:rsidRPr="00872F75">
        <w:rPr>
          <w:rFonts w:ascii="Calibri" w:hAnsi="Calibri"/>
          <w:sz w:val="22"/>
          <w:szCs w:val="22"/>
        </w:rPr>
        <w:t xml:space="preserve">. Recognising the need for staff and public to see and understand a </w:t>
      </w:r>
      <w:r w:rsidR="00A050AB" w:rsidRPr="00CA7D42">
        <w:rPr>
          <w:rFonts w:ascii="Calibri" w:hAnsi="Calibri"/>
          <w:sz w:val="22"/>
          <w:szCs w:val="22"/>
        </w:rPr>
        <w:t>clear vision and strategy for the Force, in September 2020 Surrey Police set out its strategy as “Our Commitments” to our Communities, our Force and our People. The Force will use this framework to focus activity over the next five years</w:t>
      </w:r>
      <w:r w:rsidR="00A050AB" w:rsidRPr="00CA7D42">
        <w:rPr>
          <w:rStyle w:val="FootnoteReference"/>
          <w:rFonts w:ascii="Calibri" w:hAnsi="Calibri"/>
          <w:sz w:val="22"/>
          <w:szCs w:val="22"/>
        </w:rPr>
        <w:footnoteReference w:id="13"/>
      </w:r>
      <w:r w:rsidRPr="00CA7D42">
        <w:rPr>
          <w:rFonts w:ascii="Calibri" w:hAnsi="Calibri"/>
          <w:sz w:val="22"/>
          <w:szCs w:val="22"/>
        </w:rPr>
        <w:t>;</w:t>
      </w:r>
    </w:p>
    <w:p w14:paraId="1ADA7E87" w14:textId="77777777" w:rsidR="00D835CC" w:rsidRPr="00CA7D42" w:rsidRDefault="00D835CC" w:rsidP="005E3E6F">
      <w:pPr>
        <w:numPr>
          <w:ilvl w:val="0"/>
          <w:numId w:val="13"/>
        </w:numPr>
        <w:suppressAutoHyphens/>
        <w:jc w:val="both"/>
        <w:rPr>
          <w:rFonts w:ascii="Calibri" w:hAnsi="Calibri"/>
          <w:sz w:val="22"/>
          <w:szCs w:val="22"/>
        </w:rPr>
      </w:pPr>
      <w:r w:rsidRPr="00CA7D42">
        <w:rPr>
          <w:rFonts w:ascii="Calibri" w:hAnsi="Calibri"/>
          <w:sz w:val="22"/>
          <w:szCs w:val="22"/>
        </w:rPr>
        <w:t>published a Force Management Statement</w:t>
      </w:r>
      <w:r w:rsidRPr="00CA7D42">
        <w:rPr>
          <w:rStyle w:val="FootnoteReference"/>
          <w:rFonts w:ascii="Calibri" w:hAnsi="Calibri"/>
          <w:sz w:val="22"/>
          <w:szCs w:val="22"/>
        </w:rPr>
        <w:footnoteReference w:id="14"/>
      </w:r>
      <w:r w:rsidRPr="00CA7D42">
        <w:rPr>
          <w:rFonts w:ascii="Calibri" w:hAnsi="Calibri"/>
          <w:sz w:val="22"/>
          <w:szCs w:val="22"/>
        </w:rPr>
        <w:t xml:space="preserve"> detailing demand for police services and Surrey Police resourcing to meet these demands, together with details of identified areas to be addressed through investment;</w:t>
      </w:r>
    </w:p>
    <w:p w14:paraId="4B34CAB2" w14:textId="77777777" w:rsidR="00D835CC" w:rsidRPr="00CA7D42" w:rsidRDefault="00D835CC" w:rsidP="005E3E6F">
      <w:pPr>
        <w:numPr>
          <w:ilvl w:val="0"/>
          <w:numId w:val="13"/>
        </w:numPr>
        <w:suppressAutoHyphens/>
        <w:jc w:val="both"/>
        <w:rPr>
          <w:rFonts w:ascii="Calibri" w:hAnsi="Calibri"/>
          <w:sz w:val="22"/>
          <w:szCs w:val="22"/>
        </w:rPr>
      </w:pPr>
      <w:r w:rsidRPr="00CA7D42">
        <w:rPr>
          <w:rFonts w:ascii="Calibri" w:hAnsi="Calibri"/>
          <w:sz w:val="22"/>
          <w:szCs w:val="22"/>
        </w:rPr>
        <w:t>a five year Medium Term Financial Plan which is regularly reviewed and supported by robust, sustainable multi-year budgets to deliver the Force Business Plan and consider external factors such as inflation, borrowing and funding;</w:t>
      </w:r>
    </w:p>
    <w:p w14:paraId="4350FDB5" w14:textId="77777777" w:rsidR="00D835CC" w:rsidRPr="00CA7D42" w:rsidRDefault="00D835CC" w:rsidP="005E3E6F">
      <w:pPr>
        <w:numPr>
          <w:ilvl w:val="0"/>
          <w:numId w:val="13"/>
        </w:numPr>
        <w:suppressAutoHyphens/>
        <w:jc w:val="both"/>
        <w:rPr>
          <w:rFonts w:ascii="Calibri" w:hAnsi="Calibri"/>
          <w:sz w:val="22"/>
          <w:szCs w:val="22"/>
        </w:rPr>
      </w:pPr>
      <w:r w:rsidRPr="00CA7D42">
        <w:rPr>
          <w:rFonts w:ascii="Calibri" w:hAnsi="Calibri"/>
          <w:sz w:val="22"/>
          <w:szCs w:val="22"/>
        </w:rPr>
        <w:t xml:space="preserve">decided how the quality of service for users is to be measured and ensured that the information needed to regularly and effectively review service quality is available; </w:t>
      </w:r>
    </w:p>
    <w:p w14:paraId="1521E9F0" w14:textId="77777777" w:rsidR="00D835CC" w:rsidRPr="00CA7D42" w:rsidRDefault="00D835CC" w:rsidP="005E3E6F">
      <w:pPr>
        <w:numPr>
          <w:ilvl w:val="0"/>
          <w:numId w:val="13"/>
        </w:numPr>
        <w:suppressAutoHyphens/>
        <w:jc w:val="both"/>
        <w:rPr>
          <w:rFonts w:ascii="Calibri" w:hAnsi="Calibri"/>
          <w:sz w:val="22"/>
          <w:szCs w:val="22"/>
        </w:rPr>
      </w:pPr>
      <w:r w:rsidRPr="00CA7D42">
        <w:rPr>
          <w:rFonts w:ascii="Calibri" w:hAnsi="Calibri"/>
          <w:sz w:val="22"/>
          <w:szCs w:val="22"/>
        </w:rPr>
        <w:t>established a robust performance framework that ensures that the Chief Constable is informed of progress against key indicators;</w:t>
      </w:r>
    </w:p>
    <w:p w14:paraId="51186637" w14:textId="77777777" w:rsidR="00D835CC" w:rsidRPr="00CA7D42" w:rsidRDefault="00D835CC" w:rsidP="005E3E6F">
      <w:pPr>
        <w:numPr>
          <w:ilvl w:val="0"/>
          <w:numId w:val="13"/>
        </w:numPr>
        <w:suppressAutoHyphens/>
        <w:jc w:val="both"/>
        <w:rPr>
          <w:rFonts w:ascii="Calibri" w:hAnsi="Calibri"/>
          <w:sz w:val="22"/>
          <w:szCs w:val="22"/>
        </w:rPr>
      </w:pPr>
      <w:r w:rsidRPr="00CA7D42">
        <w:rPr>
          <w:rFonts w:ascii="Calibri" w:hAnsi="Calibri"/>
          <w:sz w:val="22"/>
          <w:szCs w:val="22"/>
        </w:rPr>
        <w:t xml:space="preserve">has continued to review the key functions, departments and activities, to ensure that the delivery of all elements of policing are effective and efficient; </w:t>
      </w:r>
    </w:p>
    <w:p w14:paraId="30163781" w14:textId="77777777" w:rsidR="00D835CC" w:rsidRPr="00CA7D42" w:rsidRDefault="00D835CC" w:rsidP="005E3E6F">
      <w:pPr>
        <w:numPr>
          <w:ilvl w:val="0"/>
          <w:numId w:val="13"/>
        </w:numPr>
        <w:suppressAutoHyphens/>
        <w:jc w:val="both"/>
        <w:rPr>
          <w:rFonts w:ascii="Calibri" w:hAnsi="Calibri"/>
          <w:sz w:val="22"/>
          <w:szCs w:val="22"/>
        </w:rPr>
      </w:pPr>
      <w:r w:rsidRPr="00CA7D42">
        <w:rPr>
          <w:rFonts w:ascii="Calibri" w:hAnsi="Calibri"/>
          <w:sz w:val="22"/>
          <w:szCs w:val="22"/>
        </w:rPr>
        <w:t>actively pursued joint working opportunities at a local, regional and national level, which has resulted in a number of policing services being delivered in collaboration with other organisations and bodies, particularly with the Sussex PCC and Sussex Police;</w:t>
      </w:r>
    </w:p>
    <w:p w14:paraId="5F5C1C70" w14:textId="59CEFE51" w:rsidR="00D835CC" w:rsidRPr="00CA7D42" w:rsidRDefault="00D835CC" w:rsidP="005E3E6F">
      <w:pPr>
        <w:numPr>
          <w:ilvl w:val="0"/>
          <w:numId w:val="13"/>
        </w:numPr>
        <w:suppressAutoHyphens/>
        <w:jc w:val="both"/>
        <w:rPr>
          <w:rFonts w:ascii="Calibri" w:hAnsi="Calibri"/>
          <w:sz w:val="22"/>
          <w:szCs w:val="22"/>
        </w:rPr>
      </w:pPr>
      <w:r w:rsidRPr="00CA7D42">
        <w:rPr>
          <w:rFonts w:ascii="Calibri" w:hAnsi="Calibri"/>
          <w:sz w:val="22"/>
          <w:szCs w:val="22"/>
        </w:rPr>
        <w:t xml:space="preserve">established with Sussex Police a Change </w:t>
      </w:r>
      <w:r w:rsidR="00CA7D42" w:rsidRPr="00CA7D42">
        <w:rPr>
          <w:rFonts w:ascii="Calibri" w:hAnsi="Calibri"/>
          <w:sz w:val="22"/>
          <w:szCs w:val="22"/>
        </w:rPr>
        <w:t xml:space="preserve">Delivery </w:t>
      </w:r>
      <w:r w:rsidRPr="00CA7D42">
        <w:rPr>
          <w:rFonts w:ascii="Calibri" w:hAnsi="Calibri"/>
          <w:sz w:val="22"/>
          <w:szCs w:val="22"/>
        </w:rPr>
        <w:t>function which recognises the importance of strategic planning and integration to incorporate national, regional and local change, business change/adoption and change assurance;</w:t>
      </w:r>
    </w:p>
    <w:p w14:paraId="6BBBE6F3" w14:textId="62281F8C" w:rsidR="00D835CC" w:rsidRPr="00CA7D42" w:rsidRDefault="00D835CC" w:rsidP="005E3E6F">
      <w:pPr>
        <w:numPr>
          <w:ilvl w:val="0"/>
          <w:numId w:val="13"/>
        </w:numPr>
        <w:suppressAutoHyphens/>
        <w:jc w:val="both"/>
        <w:rPr>
          <w:rFonts w:ascii="Calibri" w:hAnsi="Calibri"/>
          <w:sz w:val="22"/>
          <w:szCs w:val="22"/>
        </w:rPr>
      </w:pPr>
      <w:r w:rsidRPr="00CA7D42">
        <w:rPr>
          <w:rFonts w:ascii="Calibri" w:hAnsi="Calibri"/>
          <w:sz w:val="22"/>
          <w:szCs w:val="22"/>
        </w:rPr>
        <w:t xml:space="preserve">a robust mechanism to record and respond to recommendations and findings from external review, including HMICFRS and the IOPC, which is overseen by the Organisational Reassurance Board (ORB), chaired by the Deputy Chief Constable. </w:t>
      </w:r>
    </w:p>
    <w:p w14:paraId="1D89FC6A" w14:textId="77777777" w:rsidR="00D835CC" w:rsidRPr="00CA7D42" w:rsidRDefault="00D835CC" w:rsidP="00D835CC">
      <w:pPr>
        <w:jc w:val="both"/>
        <w:rPr>
          <w:rFonts w:ascii="Calibri" w:hAnsi="Calibri"/>
          <w:sz w:val="22"/>
          <w:szCs w:val="22"/>
        </w:rPr>
      </w:pPr>
    </w:p>
    <w:p w14:paraId="51A5316B" w14:textId="77777777" w:rsidR="00D835CC" w:rsidRPr="00CA7D42" w:rsidRDefault="00D835CC" w:rsidP="005E3E6F">
      <w:pPr>
        <w:numPr>
          <w:ilvl w:val="1"/>
          <w:numId w:val="14"/>
        </w:numPr>
        <w:suppressAutoHyphens/>
        <w:jc w:val="both"/>
        <w:rPr>
          <w:rFonts w:ascii="Calibri" w:hAnsi="Calibri"/>
          <w:b/>
          <w:sz w:val="22"/>
          <w:szCs w:val="22"/>
        </w:rPr>
      </w:pPr>
      <w:r w:rsidRPr="00CA7D42">
        <w:rPr>
          <w:rFonts w:ascii="Calibri" w:hAnsi="Calibri"/>
          <w:b/>
          <w:i/>
          <w:sz w:val="22"/>
          <w:szCs w:val="22"/>
        </w:rPr>
        <w:t xml:space="preserve">Principle of Good Governance D:  </w:t>
      </w:r>
      <w:r w:rsidRPr="00CA7D42">
        <w:rPr>
          <w:rFonts w:ascii="Calibri" w:hAnsi="Calibri" w:cs="FS Lola"/>
          <w:b/>
          <w:color w:val="000000"/>
          <w:sz w:val="22"/>
          <w:szCs w:val="22"/>
        </w:rPr>
        <w:t>Determining the interventions necessary to optimise the achievement of the intended outcomes.</w:t>
      </w:r>
    </w:p>
    <w:p w14:paraId="4965B794" w14:textId="77777777" w:rsidR="00D835CC" w:rsidRPr="00CA7D42" w:rsidRDefault="00D835CC" w:rsidP="00D835CC">
      <w:pPr>
        <w:ind w:left="720"/>
        <w:jc w:val="both"/>
        <w:rPr>
          <w:rFonts w:ascii="Calibri" w:hAnsi="Calibri"/>
          <w:b/>
          <w:i/>
          <w:sz w:val="10"/>
          <w:szCs w:val="10"/>
        </w:rPr>
      </w:pPr>
    </w:p>
    <w:p w14:paraId="5E407D35" w14:textId="77777777" w:rsidR="00D835CC" w:rsidRPr="00CA7D42" w:rsidRDefault="00D835CC" w:rsidP="00D835CC">
      <w:pPr>
        <w:ind w:firstLine="720"/>
        <w:jc w:val="both"/>
        <w:rPr>
          <w:rFonts w:ascii="Calibri" w:hAnsi="Calibri"/>
          <w:sz w:val="22"/>
          <w:szCs w:val="22"/>
        </w:rPr>
      </w:pPr>
      <w:r w:rsidRPr="00CA7D42">
        <w:rPr>
          <w:rFonts w:ascii="Calibri" w:hAnsi="Calibri"/>
          <w:sz w:val="22"/>
          <w:szCs w:val="22"/>
        </w:rPr>
        <w:t>To achieve this, the Chief Constable has:</w:t>
      </w:r>
    </w:p>
    <w:p w14:paraId="6B104F4A" w14:textId="77777777" w:rsidR="00D835CC" w:rsidRPr="00CA7D42" w:rsidRDefault="00D835CC" w:rsidP="005E3E6F">
      <w:pPr>
        <w:numPr>
          <w:ilvl w:val="0"/>
          <w:numId w:val="15"/>
        </w:numPr>
        <w:suppressAutoHyphens/>
        <w:jc w:val="both"/>
        <w:rPr>
          <w:rFonts w:ascii="Calibri" w:hAnsi="Calibri"/>
          <w:sz w:val="22"/>
          <w:szCs w:val="22"/>
        </w:rPr>
      </w:pPr>
      <w:r w:rsidRPr="00CA7D42">
        <w:rPr>
          <w:rFonts w:ascii="Calibri" w:hAnsi="Calibri"/>
          <w:sz w:val="22"/>
          <w:szCs w:val="22"/>
        </w:rPr>
        <w:t>undertaken an annual review of the corporate governance framework and key high level governance documents, including the Code of Corporate Governance ensuring the Code is aligned with the CIPFA guidance published in 2016;</w:t>
      </w:r>
    </w:p>
    <w:p w14:paraId="6BBEBF71" w14:textId="77777777" w:rsidR="00D835CC" w:rsidRPr="00CA7D42" w:rsidRDefault="00D835CC" w:rsidP="005E3E6F">
      <w:pPr>
        <w:numPr>
          <w:ilvl w:val="0"/>
          <w:numId w:val="15"/>
        </w:numPr>
        <w:suppressAutoHyphens/>
        <w:jc w:val="both"/>
        <w:rPr>
          <w:rFonts w:ascii="Calibri" w:hAnsi="Calibri"/>
          <w:sz w:val="22"/>
          <w:szCs w:val="22"/>
        </w:rPr>
      </w:pPr>
      <w:r w:rsidRPr="00CA7D42">
        <w:rPr>
          <w:rFonts w:ascii="Calibri" w:hAnsi="Calibri"/>
          <w:sz w:val="22"/>
          <w:szCs w:val="22"/>
        </w:rPr>
        <w:t>ensured that there is a risk management strategy and policy in place to ensure that threats to the achievement of the Force’s organisational objectives and regional and national responsibilities are identified and managed effectively via the Organisational Reassurance Board (ORB), with regular risk updates reviewed by the Joint Audit Committee and at the PCC’s Performance meeting;</w:t>
      </w:r>
    </w:p>
    <w:p w14:paraId="0FC3521B" w14:textId="77777777" w:rsidR="00D835CC" w:rsidRPr="00CA7D42" w:rsidRDefault="00D835CC" w:rsidP="005E3E6F">
      <w:pPr>
        <w:numPr>
          <w:ilvl w:val="0"/>
          <w:numId w:val="15"/>
        </w:numPr>
        <w:suppressAutoHyphens/>
        <w:jc w:val="both"/>
        <w:rPr>
          <w:rFonts w:ascii="Calibri" w:hAnsi="Calibri"/>
          <w:sz w:val="22"/>
          <w:szCs w:val="22"/>
        </w:rPr>
      </w:pPr>
      <w:r w:rsidRPr="00CA7D42">
        <w:rPr>
          <w:rFonts w:ascii="Calibri" w:hAnsi="Calibri"/>
          <w:sz w:val="22"/>
          <w:szCs w:val="22"/>
        </w:rPr>
        <w:t>established a performance framework based on force priorities/strategic objectives, with an increased focus on qualitative assessment of behaviours and performance and root-cause analysis of issues - these changes have been aligned with the findings from the Irene Curtis review into the use of targets in policing</w:t>
      </w:r>
      <w:r w:rsidRPr="00CA7D42">
        <w:rPr>
          <w:rStyle w:val="FootnoteReference"/>
          <w:rFonts w:ascii="Calibri" w:hAnsi="Calibri"/>
          <w:sz w:val="22"/>
          <w:szCs w:val="22"/>
        </w:rPr>
        <w:footnoteReference w:id="15"/>
      </w:r>
      <w:r w:rsidRPr="00CA7D42">
        <w:rPr>
          <w:rFonts w:ascii="Calibri" w:hAnsi="Calibri"/>
          <w:sz w:val="22"/>
          <w:szCs w:val="22"/>
        </w:rPr>
        <w:t>;</w:t>
      </w:r>
    </w:p>
    <w:p w14:paraId="5331999E" w14:textId="384F23C3" w:rsidR="00D835CC" w:rsidRPr="00CA7D42" w:rsidRDefault="00D835CC" w:rsidP="005E3E6F">
      <w:pPr>
        <w:numPr>
          <w:ilvl w:val="0"/>
          <w:numId w:val="15"/>
        </w:numPr>
        <w:suppressAutoHyphens/>
        <w:jc w:val="both"/>
        <w:rPr>
          <w:rFonts w:ascii="Calibri" w:hAnsi="Calibri"/>
          <w:sz w:val="22"/>
          <w:szCs w:val="22"/>
        </w:rPr>
      </w:pPr>
      <w:r w:rsidRPr="00CA7D42">
        <w:rPr>
          <w:rFonts w:ascii="Calibri" w:hAnsi="Calibri"/>
          <w:sz w:val="22"/>
          <w:szCs w:val="22"/>
        </w:rPr>
        <w:t>subjected key strategic projects to specific oversight arrangements, including frequent review of the level of intervention required by the PCC and CC;</w:t>
      </w:r>
    </w:p>
    <w:p w14:paraId="30DF2B00" w14:textId="77777777" w:rsidR="00D835CC" w:rsidRPr="00CA7D42" w:rsidRDefault="00D835CC" w:rsidP="005E3E6F">
      <w:pPr>
        <w:numPr>
          <w:ilvl w:val="0"/>
          <w:numId w:val="15"/>
        </w:numPr>
        <w:suppressAutoHyphens/>
        <w:jc w:val="both"/>
        <w:rPr>
          <w:rFonts w:ascii="Calibri" w:hAnsi="Calibri"/>
          <w:sz w:val="22"/>
          <w:szCs w:val="22"/>
        </w:rPr>
      </w:pPr>
      <w:r w:rsidRPr="00CA7D42">
        <w:rPr>
          <w:rFonts w:ascii="Calibri" w:hAnsi="Calibri"/>
          <w:sz w:val="22"/>
          <w:szCs w:val="22"/>
        </w:rPr>
        <w:t>ensured that there is robust scrutiny of the Force’s ‘Policing in Your Neighbourhood’ and other change programmes to ensure that significant and complex change programmes are monitored, reviewed and delivered effectively;</w:t>
      </w:r>
    </w:p>
    <w:p w14:paraId="7C81685A" w14:textId="77777777" w:rsidR="00D835CC" w:rsidRPr="00CA7D42" w:rsidRDefault="00D835CC" w:rsidP="005E3E6F">
      <w:pPr>
        <w:numPr>
          <w:ilvl w:val="0"/>
          <w:numId w:val="15"/>
        </w:numPr>
        <w:suppressAutoHyphens/>
        <w:jc w:val="both"/>
        <w:rPr>
          <w:rFonts w:ascii="Calibri" w:hAnsi="Calibri"/>
          <w:sz w:val="22"/>
          <w:szCs w:val="22"/>
        </w:rPr>
      </w:pPr>
      <w:r w:rsidRPr="00CA7D42">
        <w:rPr>
          <w:rFonts w:ascii="Calibri" w:hAnsi="Calibri"/>
          <w:sz w:val="22"/>
          <w:szCs w:val="22"/>
        </w:rPr>
        <w:t>ensured regular and focussed communication with the public via a communication planner regarding communication strategies supporting force priorities and alignment of public campaigns with those priorities;</w:t>
      </w:r>
    </w:p>
    <w:p w14:paraId="0B8D3E3C" w14:textId="77777777" w:rsidR="00D835CC" w:rsidRPr="00CA7D42" w:rsidRDefault="00D835CC" w:rsidP="005E3E6F">
      <w:pPr>
        <w:numPr>
          <w:ilvl w:val="0"/>
          <w:numId w:val="15"/>
        </w:numPr>
        <w:suppressAutoHyphens/>
        <w:jc w:val="both"/>
        <w:rPr>
          <w:rFonts w:ascii="Calibri" w:hAnsi="Calibri"/>
          <w:sz w:val="22"/>
          <w:szCs w:val="22"/>
        </w:rPr>
      </w:pPr>
      <w:r w:rsidRPr="00CA7D42">
        <w:rPr>
          <w:rFonts w:ascii="Calibri" w:hAnsi="Calibri"/>
          <w:sz w:val="22"/>
          <w:szCs w:val="22"/>
        </w:rPr>
        <w:t>used monthly victim satisfaction surveys to monitor service delivery outcome satisfaction and compliance with the Victim Code.</w:t>
      </w:r>
    </w:p>
    <w:p w14:paraId="449928E3" w14:textId="77777777" w:rsidR="00D835CC" w:rsidRPr="00CA7D42" w:rsidRDefault="00D835CC" w:rsidP="005E3E6F">
      <w:pPr>
        <w:numPr>
          <w:ilvl w:val="0"/>
          <w:numId w:val="15"/>
        </w:numPr>
        <w:suppressAutoHyphens/>
        <w:jc w:val="both"/>
        <w:rPr>
          <w:rFonts w:ascii="Calibri" w:hAnsi="Calibri"/>
          <w:sz w:val="22"/>
          <w:szCs w:val="22"/>
        </w:rPr>
      </w:pPr>
      <w:r w:rsidRPr="00CA7D42">
        <w:rPr>
          <w:rFonts w:ascii="Calibri" w:hAnsi="Calibri"/>
          <w:sz w:val="22"/>
          <w:szCs w:val="22"/>
        </w:rPr>
        <w:t>developed the governance related to change to better prioritise and drive delivery and better enable decision-making – this change governance process is supported by three levels of governance boards: Change Engagement Meeting; Change Assessment Board and Strategic Change Board which continue to work well for the organisation;</w:t>
      </w:r>
    </w:p>
    <w:p w14:paraId="42C262EF" w14:textId="77777777" w:rsidR="00D835CC" w:rsidRPr="00CA7D42" w:rsidRDefault="00D835CC" w:rsidP="005E3E6F">
      <w:pPr>
        <w:numPr>
          <w:ilvl w:val="0"/>
          <w:numId w:val="15"/>
        </w:numPr>
        <w:suppressAutoHyphens/>
        <w:jc w:val="both"/>
        <w:rPr>
          <w:rFonts w:ascii="Calibri" w:hAnsi="Calibri"/>
          <w:sz w:val="22"/>
          <w:szCs w:val="22"/>
        </w:rPr>
      </w:pPr>
      <w:r w:rsidRPr="00CA7D42">
        <w:rPr>
          <w:rFonts w:ascii="Calibri" w:hAnsi="Calibri"/>
          <w:sz w:val="22"/>
          <w:szCs w:val="22"/>
        </w:rPr>
        <w:t>ensured post implementation reviews have been undertaken of key change programmes to provide assurance of benefit delivery, with processes in place for follow up on the completion of any additional actions.</w:t>
      </w:r>
    </w:p>
    <w:p w14:paraId="365A35D4" w14:textId="77777777" w:rsidR="00D835CC" w:rsidRPr="00CA7D42" w:rsidRDefault="00D835CC" w:rsidP="00D835CC">
      <w:pPr>
        <w:ind w:left="1080"/>
        <w:jc w:val="both"/>
        <w:rPr>
          <w:rFonts w:ascii="Calibri" w:hAnsi="Calibri"/>
          <w:sz w:val="22"/>
          <w:szCs w:val="22"/>
        </w:rPr>
      </w:pPr>
    </w:p>
    <w:p w14:paraId="3DCFD909" w14:textId="77777777" w:rsidR="00D835CC" w:rsidRPr="00CA7D42" w:rsidRDefault="00D835CC" w:rsidP="00CA7D42">
      <w:pPr>
        <w:ind w:left="1080"/>
        <w:jc w:val="both"/>
        <w:rPr>
          <w:rFonts w:ascii="Calibri" w:hAnsi="Calibri"/>
          <w:sz w:val="22"/>
          <w:szCs w:val="22"/>
        </w:rPr>
      </w:pPr>
      <w:r w:rsidRPr="00CA7D42">
        <w:rPr>
          <w:rFonts w:ascii="Calibri" w:hAnsi="Calibri"/>
          <w:sz w:val="22"/>
          <w:szCs w:val="22"/>
        </w:rPr>
        <w:t>In 2018-19 HMICFRS assessed Surrey Police through the PEEL programme of inspections and assessed Surrey as “Requires Improvement” for Efficiency, identifying that the</w:t>
      </w:r>
      <w:r w:rsidRPr="00CA7D42">
        <w:rPr>
          <w:rFonts w:ascii="Calibri" w:hAnsi="Calibri"/>
          <w:color w:val="282828"/>
          <w:sz w:val="22"/>
          <w:szCs w:val="22"/>
        </w:rPr>
        <w:t xml:space="preserve"> force “needs to analyse data more effectively to understand demand (including hidden demand) to better serve the public” and recommended that the force should gain a better understanding of how it uses and prioritises resources to meet current demand.</w:t>
      </w:r>
    </w:p>
    <w:p w14:paraId="69C611FF" w14:textId="77777777" w:rsidR="00D835CC" w:rsidRPr="00CA7D42" w:rsidRDefault="00D835CC" w:rsidP="00D835CC">
      <w:pPr>
        <w:ind w:left="1080"/>
        <w:jc w:val="both"/>
        <w:rPr>
          <w:rFonts w:ascii="Calibri" w:hAnsi="Calibri"/>
          <w:sz w:val="22"/>
          <w:szCs w:val="22"/>
        </w:rPr>
      </w:pPr>
    </w:p>
    <w:p w14:paraId="6EAD5AC5" w14:textId="77777777" w:rsidR="00D835CC" w:rsidRPr="00CA7D42" w:rsidRDefault="00D835CC" w:rsidP="005E3E6F">
      <w:pPr>
        <w:numPr>
          <w:ilvl w:val="1"/>
          <w:numId w:val="14"/>
        </w:numPr>
        <w:suppressAutoHyphens/>
        <w:jc w:val="both"/>
        <w:rPr>
          <w:rFonts w:ascii="Calibri" w:hAnsi="Calibri"/>
          <w:b/>
          <w:sz w:val="22"/>
          <w:szCs w:val="22"/>
        </w:rPr>
      </w:pPr>
      <w:r w:rsidRPr="00CA7D42">
        <w:rPr>
          <w:rFonts w:ascii="Calibri" w:hAnsi="Calibri"/>
          <w:b/>
          <w:i/>
          <w:sz w:val="22"/>
          <w:szCs w:val="22"/>
        </w:rPr>
        <w:t>Principle of Good Governance E:</w:t>
      </w:r>
      <w:r w:rsidRPr="00CA7D42">
        <w:rPr>
          <w:rFonts w:ascii="Calibri" w:hAnsi="Calibri"/>
          <w:i/>
          <w:sz w:val="22"/>
          <w:szCs w:val="22"/>
        </w:rPr>
        <w:t xml:space="preserve">   </w:t>
      </w:r>
      <w:r w:rsidRPr="00CA7D42">
        <w:rPr>
          <w:rFonts w:ascii="Calibri" w:hAnsi="Calibri" w:cs="FS Lola"/>
          <w:b/>
          <w:color w:val="000000"/>
          <w:sz w:val="22"/>
          <w:szCs w:val="22"/>
        </w:rPr>
        <w:t>Developing the entity’s capacity, including the capability of its leadership and the individuals within it.</w:t>
      </w:r>
    </w:p>
    <w:p w14:paraId="0B80306E" w14:textId="77777777" w:rsidR="00D835CC" w:rsidRPr="00CA7D42" w:rsidRDefault="00D835CC" w:rsidP="00D835CC">
      <w:pPr>
        <w:ind w:left="720"/>
        <w:jc w:val="both"/>
        <w:rPr>
          <w:rFonts w:ascii="Calibri" w:hAnsi="Calibri"/>
          <w:b/>
          <w:i/>
          <w:sz w:val="10"/>
          <w:szCs w:val="10"/>
        </w:rPr>
      </w:pPr>
    </w:p>
    <w:p w14:paraId="4FCE9EFD" w14:textId="77777777" w:rsidR="00D835CC" w:rsidRPr="00CA7D42" w:rsidRDefault="00D835CC" w:rsidP="00D835CC">
      <w:pPr>
        <w:ind w:firstLine="720"/>
        <w:jc w:val="both"/>
        <w:rPr>
          <w:rFonts w:ascii="Calibri" w:hAnsi="Calibri"/>
          <w:sz w:val="22"/>
          <w:szCs w:val="22"/>
        </w:rPr>
      </w:pPr>
      <w:r w:rsidRPr="00CA7D42">
        <w:rPr>
          <w:rFonts w:ascii="Calibri" w:hAnsi="Calibri"/>
          <w:sz w:val="22"/>
          <w:szCs w:val="22"/>
        </w:rPr>
        <w:t>To achieve this, the Chief Constable has:</w:t>
      </w:r>
    </w:p>
    <w:p w14:paraId="44B61E23" w14:textId="77777777" w:rsidR="00D835CC" w:rsidRPr="00CA7D42" w:rsidRDefault="00D835CC" w:rsidP="00D835CC">
      <w:pPr>
        <w:numPr>
          <w:ilvl w:val="0"/>
          <w:numId w:val="2"/>
        </w:numPr>
        <w:tabs>
          <w:tab w:val="num" w:pos="1080"/>
        </w:tabs>
        <w:suppressAutoHyphens/>
        <w:ind w:left="1080"/>
        <w:jc w:val="both"/>
        <w:rPr>
          <w:rFonts w:ascii="Calibri" w:hAnsi="Calibri"/>
          <w:sz w:val="22"/>
          <w:szCs w:val="22"/>
        </w:rPr>
      </w:pPr>
      <w:r w:rsidRPr="00CA7D42">
        <w:rPr>
          <w:rFonts w:ascii="Calibri" w:hAnsi="Calibri"/>
          <w:sz w:val="22"/>
          <w:szCs w:val="22"/>
        </w:rPr>
        <w:t xml:space="preserve">established clear roles and responsibilities for each of the Force’s senior officers; </w:t>
      </w:r>
    </w:p>
    <w:p w14:paraId="19AEF078" w14:textId="77777777" w:rsidR="00D835CC" w:rsidRPr="00CA7D42" w:rsidRDefault="00D835CC" w:rsidP="00D835CC">
      <w:pPr>
        <w:numPr>
          <w:ilvl w:val="0"/>
          <w:numId w:val="3"/>
        </w:numPr>
        <w:tabs>
          <w:tab w:val="num" w:pos="1080"/>
        </w:tabs>
        <w:suppressAutoHyphens/>
        <w:ind w:left="1080"/>
        <w:jc w:val="both"/>
        <w:rPr>
          <w:rFonts w:ascii="Calibri" w:hAnsi="Calibri"/>
          <w:sz w:val="22"/>
          <w:szCs w:val="22"/>
        </w:rPr>
      </w:pPr>
      <w:r w:rsidRPr="00CA7D42">
        <w:rPr>
          <w:rFonts w:ascii="Calibri" w:hAnsi="Calibri"/>
          <w:sz w:val="22"/>
          <w:szCs w:val="22"/>
        </w:rPr>
        <w:t>developed a workforce plan introduced across Surrey Police and Sussex Police and reviewed quarterly, which identifies the future workforce mix and profile requirements, this is reviewed at the DCC’s Strategic Board and quarterly at the Workforce Capability and Capacity Board and the Surrey Resource Management meeting attended by business representatives and used to understand and review priorities;</w:t>
      </w:r>
    </w:p>
    <w:p w14:paraId="674BF792" w14:textId="77777777" w:rsidR="00D835CC" w:rsidRPr="00CA7D42" w:rsidRDefault="00D835CC" w:rsidP="00D835CC">
      <w:pPr>
        <w:numPr>
          <w:ilvl w:val="0"/>
          <w:numId w:val="3"/>
        </w:numPr>
        <w:tabs>
          <w:tab w:val="num" w:pos="1080"/>
        </w:tabs>
        <w:suppressAutoHyphens/>
        <w:ind w:left="1080"/>
        <w:jc w:val="both"/>
        <w:rPr>
          <w:rFonts w:ascii="Calibri" w:hAnsi="Calibri"/>
          <w:sz w:val="22"/>
          <w:szCs w:val="22"/>
        </w:rPr>
      </w:pPr>
      <w:r w:rsidRPr="00CA7D42">
        <w:rPr>
          <w:rFonts w:ascii="Calibri" w:hAnsi="Calibri"/>
          <w:sz w:val="22"/>
          <w:szCs w:val="22"/>
        </w:rPr>
        <w:t>undertaken a skills audit for officers and staff to establish the current level of leadership skills with the force and enabling better planning of training which more effectively meets the needs of officers and staff e.g. work is underway for core skills for Response (Prevention and Detectives to follow);</w:t>
      </w:r>
      <w:r w:rsidRPr="00CA7D42">
        <w:rPr>
          <w:sz w:val="18"/>
          <w:szCs w:val="18"/>
        </w:rPr>
        <w:t xml:space="preserve"> </w:t>
      </w:r>
    </w:p>
    <w:p w14:paraId="68657CEB" w14:textId="77777777" w:rsidR="00D835CC" w:rsidRPr="00CA7D42" w:rsidRDefault="00D835CC" w:rsidP="00D835CC">
      <w:pPr>
        <w:numPr>
          <w:ilvl w:val="0"/>
          <w:numId w:val="3"/>
        </w:numPr>
        <w:tabs>
          <w:tab w:val="num" w:pos="1080"/>
        </w:tabs>
        <w:suppressAutoHyphens/>
        <w:ind w:left="1080"/>
        <w:jc w:val="both"/>
        <w:rPr>
          <w:rFonts w:ascii="Calibri" w:hAnsi="Calibri"/>
          <w:sz w:val="22"/>
          <w:szCs w:val="22"/>
        </w:rPr>
      </w:pPr>
      <w:r w:rsidRPr="00CA7D42">
        <w:rPr>
          <w:rFonts w:ascii="Calibri" w:hAnsi="Calibri"/>
          <w:sz w:val="22"/>
          <w:szCs w:val="22"/>
        </w:rPr>
        <w:t>used the skill product “Licence to Police” to baseline essential skills for all police officers;</w:t>
      </w:r>
    </w:p>
    <w:p w14:paraId="18763E42" w14:textId="77777777" w:rsidR="00D835CC" w:rsidRPr="00CA7D42" w:rsidRDefault="00D835CC" w:rsidP="00D835CC">
      <w:pPr>
        <w:numPr>
          <w:ilvl w:val="0"/>
          <w:numId w:val="3"/>
        </w:numPr>
        <w:tabs>
          <w:tab w:val="num" w:pos="1080"/>
        </w:tabs>
        <w:suppressAutoHyphens/>
        <w:ind w:left="1080"/>
        <w:jc w:val="both"/>
        <w:rPr>
          <w:rFonts w:ascii="Calibri" w:hAnsi="Calibri"/>
          <w:sz w:val="22"/>
          <w:szCs w:val="22"/>
        </w:rPr>
      </w:pPr>
      <w:r w:rsidRPr="00CA7D42">
        <w:rPr>
          <w:rFonts w:ascii="Calibri" w:hAnsi="Calibri"/>
          <w:sz w:val="22"/>
          <w:szCs w:val="22"/>
        </w:rPr>
        <w:t xml:space="preserve">introduced a new process from July 2018 for individual performance review and management – “Focus”, which sets out a new approach for regular constructive feedback on performance and areas for improvement;          </w:t>
      </w:r>
    </w:p>
    <w:p w14:paraId="0B3F1943" w14:textId="77777777" w:rsidR="00D835CC" w:rsidRPr="00CA7D42" w:rsidRDefault="00D835CC" w:rsidP="00D835CC">
      <w:pPr>
        <w:numPr>
          <w:ilvl w:val="0"/>
          <w:numId w:val="3"/>
        </w:numPr>
        <w:tabs>
          <w:tab w:val="num" w:pos="1080"/>
        </w:tabs>
        <w:suppressAutoHyphens/>
        <w:ind w:left="1080"/>
        <w:jc w:val="both"/>
        <w:rPr>
          <w:rFonts w:ascii="Calibri" w:hAnsi="Calibri"/>
          <w:sz w:val="22"/>
          <w:szCs w:val="22"/>
        </w:rPr>
      </w:pPr>
      <w:r w:rsidRPr="00CA7D42">
        <w:rPr>
          <w:rFonts w:ascii="Calibri" w:hAnsi="Calibri"/>
          <w:sz w:val="22"/>
          <w:szCs w:val="22"/>
          <w:lang w:eastAsia="en-GB"/>
        </w:rPr>
        <w:t>introduced in 2019-20 a Succession Planning Framework, known as Future Focus</w:t>
      </w:r>
      <w:r w:rsidRPr="00CA7D42">
        <w:rPr>
          <w:sz w:val="18"/>
          <w:szCs w:val="18"/>
          <w:lang w:eastAsia="en-GB"/>
        </w:rPr>
        <w:t>,</w:t>
      </w:r>
      <w:r w:rsidRPr="00CA7D42">
        <w:rPr>
          <w:rFonts w:ascii="Calibri" w:hAnsi="Calibri"/>
          <w:sz w:val="22"/>
          <w:szCs w:val="22"/>
        </w:rPr>
        <w:t xml:space="preserve"> which enables line managers to undertake career planning with staff and officers, identifying talent at the same time as succession planning for critical roles within departments and putting in place plans to minimise risks if this is required;</w:t>
      </w:r>
    </w:p>
    <w:p w14:paraId="0EB8C40F" w14:textId="77777777" w:rsidR="00D835CC" w:rsidRPr="00CA7D42" w:rsidRDefault="00D835CC" w:rsidP="00D835CC">
      <w:pPr>
        <w:numPr>
          <w:ilvl w:val="0"/>
          <w:numId w:val="3"/>
        </w:numPr>
        <w:tabs>
          <w:tab w:val="num" w:pos="1080"/>
        </w:tabs>
        <w:suppressAutoHyphens/>
        <w:ind w:left="1080"/>
        <w:jc w:val="both"/>
        <w:rPr>
          <w:rFonts w:ascii="Calibri" w:hAnsi="Calibri"/>
          <w:sz w:val="22"/>
          <w:szCs w:val="22"/>
        </w:rPr>
      </w:pPr>
      <w:r w:rsidRPr="00CA7D42">
        <w:rPr>
          <w:rFonts w:ascii="Calibri" w:hAnsi="Calibri"/>
          <w:sz w:val="22"/>
          <w:szCs w:val="22"/>
          <w:lang w:eastAsia="en-GB"/>
        </w:rPr>
        <w:t>ensured local talent pools are embedded in the Force to develop and support future leaders in conjunction with Future Focus;</w:t>
      </w:r>
    </w:p>
    <w:p w14:paraId="61462713" w14:textId="39C3FABE" w:rsidR="00D835CC" w:rsidRPr="00CA7D42" w:rsidRDefault="00D835CC" w:rsidP="00D835CC">
      <w:pPr>
        <w:numPr>
          <w:ilvl w:val="0"/>
          <w:numId w:val="3"/>
        </w:numPr>
        <w:tabs>
          <w:tab w:val="num" w:pos="1080"/>
        </w:tabs>
        <w:suppressAutoHyphens/>
        <w:ind w:left="1080"/>
        <w:jc w:val="both"/>
        <w:rPr>
          <w:rFonts w:ascii="Calibri" w:hAnsi="Calibri"/>
          <w:sz w:val="22"/>
          <w:szCs w:val="22"/>
        </w:rPr>
      </w:pPr>
      <w:r w:rsidRPr="00CA7D42">
        <w:rPr>
          <w:rFonts w:ascii="Calibri" w:hAnsi="Calibri"/>
          <w:sz w:val="22"/>
          <w:szCs w:val="22"/>
        </w:rPr>
        <w:t>developed a leadership</w:t>
      </w:r>
      <w:r w:rsidRPr="00CA7D42">
        <w:rPr>
          <w:rFonts w:ascii="Calibri" w:hAnsi="Calibri"/>
          <w:sz w:val="22"/>
          <w:szCs w:val="22"/>
          <w:lang w:eastAsia="en-GB"/>
        </w:rPr>
        <w:t xml:space="preserve"> strategy and framework based on the national Competency and Values Framework as part of the leadership programme aiming to increase capability in good leadership for officers and staff across Surrey Police and Sussex Police, this includes </w:t>
      </w:r>
      <w:r w:rsidRPr="00CA7D42">
        <w:rPr>
          <w:rFonts w:ascii="Calibri" w:hAnsi="Calibri"/>
          <w:sz w:val="22"/>
          <w:szCs w:val="22"/>
        </w:rPr>
        <w:t>the First Line Leaders Development (FLLD) pathway to unblock barriers and develop skills,</w:t>
      </w:r>
      <w:r w:rsidR="00CA7D42" w:rsidRPr="00CA7D42">
        <w:rPr>
          <w:rFonts w:ascii="Calibri" w:hAnsi="Calibri"/>
          <w:sz w:val="22"/>
          <w:szCs w:val="22"/>
        </w:rPr>
        <w:t xml:space="preserve"> and</w:t>
      </w:r>
      <w:r w:rsidRPr="00CA7D42">
        <w:rPr>
          <w:rFonts w:ascii="Calibri" w:hAnsi="Calibri"/>
          <w:sz w:val="22"/>
          <w:szCs w:val="22"/>
        </w:rPr>
        <w:t xml:space="preserve"> the Second Line Leaders Development Programme aimed at Inspectors/Chief Inspectors and staff equivalents</w:t>
      </w:r>
      <w:r w:rsidRPr="00CA7D42">
        <w:rPr>
          <w:rFonts w:ascii="Calibri" w:hAnsi="Calibri"/>
          <w:sz w:val="22"/>
          <w:szCs w:val="22"/>
          <w:lang w:eastAsia="en-GB"/>
        </w:rPr>
        <w:t xml:space="preserve">; </w:t>
      </w:r>
    </w:p>
    <w:p w14:paraId="5B55E382" w14:textId="77777777" w:rsidR="00D835CC" w:rsidRPr="00CA7D42" w:rsidRDefault="00D835CC" w:rsidP="00D835CC">
      <w:pPr>
        <w:numPr>
          <w:ilvl w:val="0"/>
          <w:numId w:val="3"/>
        </w:numPr>
        <w:tabs>
          <w:tab w:val="num" w:pos="1080"/>
        </w:tabs>
        <w:suppressAutoHyphens/>
        <w:ind w:left="1080"/>
        <w:jc w:val="both"/>
        <w:rPr>
          <w:rFonts w:ascii="Calibri" w:hAnsi="Calibri"/>
          <w:sz w:val="22"/>
          <w:szCs w:val="22"/>
        </w:rPr>
      </w:pPr>
      <w:r w:rsidRPr="00CA7D42">
        <w:rPr>
          <w:rFonts w:ascii="Calibri" w:hAnsi="Calibri"/>
          <w:sz w:val="22"/>
          <w:szCs w:val="22"/>
          <w:lang w:eastAsia="en-GB"/>
        </w:rPr>
        <w:t xml:space="preserve">ensured that </w:t>
      </w:r>
      <w:r w:rsidRPr="00CA7D42">
        <w:rPr>
          <w:rFonts w:ascii="Calibri" w:hAnsi="Calibri"/>
          <w:sz w:val="22"/>
          <w:szCs w:val="22"/>
        </w:rPr>
        <w:t xml:space="preserve">Force capability continues to be monitored at the Capacity, Capability and Performance Board (CCPB) which was relaunched in June 2019 with revised terms of reference;  </w:t>
      </w:r>
    </w:p>
    <w:p w14:paraId="0905E9BE" w14:textId="77777777" w:rsidR="00D835CC" w:rsidRPr="00CA7D42" w:rsidRDefault="00D835CC" w:rsidP="00D835CC">
      <w:pPr>
        <w:numPr>
          <w:ilvl w:val="0"/>
          <w:numId w:val="3"/>
        </w:numPr>
        <w:tabs>
          <w:tab w:val="num" w:pos="1080"/>
        </w:tabs>
        <w:suppressAutoHyphens/>
        <w:ind w:left="1080"/>
        <w:jc w:val="both"/>
        <w:rPr>
          <w:rFonts w:ascii="Calibri" w:hAnsi="Calibri"/>
          <w:sz w:val="22"/>
          <w:szCs w:val="22"/>
        </w:rPr>
      </w:pPr>
      <w:r w:rsidRPr="00CA7D42">
        <w:rPr>
          <w:rFonts w:ascii="Calibri" w:hAnsi="Calibri"/>
          <w:sz w:val="22"/>
          <w:szCs w:val="22"/>
        </w:rPr>
        <w:t xml:space="preserve">ensured specific work was undertaken to address the gap in detectives the Force is experiencing with the Heads of Crime Investigative Improvement Programme (HocIIP), including a fast track detective degree holder entry programme; </w:t>
      </w:r>
    </w:p>
    <w:p w14:paraId="42E4C6A2" w14:textId="77777777" w:rsidR="00D835CC" w:rsidRPr="00CA7D42" w:rsidRDefault="00D835CC" w:rsidP="00D835CC">
      <w:pPr>
        <w:numPr>
          <w:ilvl w:val="0"/>
          <w:numId w:val="3"/>
        </w:numPr>
        <w:tabs>
          <w:tab w:val="num" w:pos="1080"/>
        </w:tabs>
        <w:suppressAutoHyphens/>
        <w:ind w:left="1080"/>
        <w:jc w:val="both"/>
        <w:rPr>
          <w:rFonts w:ascii="Calibri" w:hAnsi="Calibri"/>
          <w:sz w:val="22"/>
          <w:szCs w:val="22"/>
        </w:rPr>
      </w:pPr>
      <w:r w:rsidRPr="00CA7D42">
        <w:rPr>
          <w:rFonts w:ascii="Calibri" w:hAnsi="Calibri"/>
          <w:sz w:val="22"/>
          <w:szCs w:val="22"/>
        </w:rPr>
        <w:t xml:space="preserve">promoted an ethos of continuous improvement across the Force and been proactive in promoting innovative practice in order to reduce organisation costs and improve performance, including ensuring that staff have every opportunity to help shape organisational change and service improvement, </w:t>
      </w:r>
      <w:r w:rsidRPr="00CA7D42">
        <w:rPr>
          <w:rFonts w:ascii="Calibri" w:hAnsi="Calibri"/>
          <w:sz w:val="22"/>
          <w:szCs w:val="22"/>
          <w:lang w:eastAsia="en-GB"/>
        </w:rPr>
        <w:t>with an intranet Development Hub to support officers and staff via a central point of reference to Leadership Development programmes, Continuing Professional Development (CPD) and national tools</w:t>
      </w:r>
      <w:r w:rsidRPr="00CA7D42">
        <w:rPr>
          <w:rFonts w:ascii="Calibri" w:hAnsi="Calibri"/>
          <w:sz w:val="22"/>
          <w:szCs w:val="22"/>
        </w:rPr>
        <w:t>;</w:t>
      </w:r>
    </w:p>
    <w:p w14:paraId="5DA51FEC" w14:textId="77777777" w:rsidR="00D835CC" w:rsidRPr="00CA7D42" w:rsidRDefault="00D835CC" w:rsidP="00D835CC">
      <w:pPr>
        <w:numPr>
          <w:ilvl w:val="0"/>
          <w:numId w:val="3"/>
        </w:numPr>
        <w:tabs>
          <w:tab w:val="num" w:pos="1080"/>
        </w:tabs>
        <w:suppressAutoHyphens/>
        <w:ind w:left="1080"/>
        <w:jc w:val="both"/>
        <w:rPr>
          <w:rFonts w:ascii="Calibri" w:hAnsi="Calibri"/>
          <w:sz w:val="22"/>
          <w:szCs w:val="22"/>
        </w:rPr>
      </w:pPr>
      <w:r w:rsidRPr="00CA7D42">
        <w:rPr>
          <w:rFonts w:ascii="Calibri" w:hAnsi="Calibri"/>
          <w:sz w:val="22"/>
          <w:szCs w:val="22"/>
        </w:rPr>
        <w:t>continued to work with Unison, the Police Federation and the Superintendent’s Association using the seven point plan (launched Feb 2017) to enable a consistent approach to how assaults on staff and officers are dealt with;</w:t>
      </w:r>
    </w:p>
    <w:p w14:paraId="3697E5B3" w14:textId="77777777" w:rsidR="00D835CC" w:rsidRPr="00CA7D42" w:rsidRDefault="00D835CC" w:rsidP="00D835CC">
      <w:pPr>
        <w:numPr>
          <w:ilvl w:val="0"/>
          <w:numId w:val="3"/>
        </w:numPr>
        <w:tabs>
          <w:tab w:val="num" w:pos="1080"/>
        </w:tabs>
        <w:suppressAutoHyphens/>
        <w:ind w:left="1080"/>
        <w:jc w:val="both"/>
        <w:rPr>
          <w:rFonts w:ascii="Calibri" w:hAnsi="Calibri"/>
          <w:sz w:val="22"/>
          <w:szCs w:val="22"/>
        </w:rPr>
      </w:pPr>
      <w:r w:rsidRPr="00CA7D42">
        <w:rPr>
          <w:rFonts w:ascii="Calibri" w:hAnsi="Calibri"/>
          <w:sz w:val="22"/>
          <w:szCs w:val="22"/>
        </w:rPr>
        <w:t>developed the work of the Wellbeing Board, attended by representatives from Surrey Police and Sussex Police as well as staff associations, allowing workforce concerns to be raised and acted upon;</w:t>
      </w:r>
    </w:p>
    <w:p w14:paraId="7C53DBB1" w14:textId="77777777" w:rsidR="00D835CC" w:rsidRPr="00CA7D42" w:rsidRDefault="00D835CC" w:rsidP="00D835CC">
      <w:pPr>
        <w:numPr>
          <w:ilvl w:val="0"/>
          <w:numId w:val="3"/>
        </w:numPr>
        <w:tabs>
          <w:tab w:val="num" w:pos="1080"/>
        </w:tabs>
        <w:suppressAutoHyphens/>
        <w:ind w:left="1080"/>
        <w:jc w:val="both"/>
        <w:rPr>
          <w:rFonts w:ascii="Calibri" w:hAnsi="Calibri"/>
          <w:sz w:val="22"/>
          <w:szCs w:val="22"/>
        </w:rPr>
      </w:pPr>
      <w:r w:rsidRPr="00CA7D42">
        <w:rPr>
          <w:rFonts w:ascii="Calibri" w:hAnsi="Calibri"/>
          <w:sz w:val="22"/>
          <w:szCs w:val="22"/>
        </w:rPr>
        <w:t xml:space="preserve">established a Wellbeing Strategy and Action Plan, </w:t>
      </w:r>
      <w:r w:rsidRPr="00CA7D42">
        <w:rPr>
          <w:rFonts w:ascii="Calibri" w:eastAsia="Calibri" w:hAnsi="Calibri" w:cs="Segoe UI"/>
          <w:sz w:val="22"/>
          <w:szCs w:val="22"/>
        </w:rPr>
        <w:t xml:space="preserve">revised every year to factor in emerging and identified needs, which </w:t>
      </w:r>
      <w:r w:rsidRPr="00CA7D42">
        <w:rPr>
          <w:rFonts w:ascii="Calibri" w:hAnsi="Calibri"/>
          <w:sz w:val="22"/>
          <w:szCs w:val="22"/>
        </w:rPr>
        <w:t>defines</w:t>
      </w:r>
      <w:r w:rsidRPr="00CA7D42">
        <w:rPr>
          <w:rFonts w:ascii="Calibri" w:eastAsia="Calibri" w:hAnsi="Calibri" w:cs="Segoe UI"/>
          <w:sz w:val="22"/>
          <w:szCs w:val="22"/>
        </w:rPr>
        <w:t xml:space="preserve"> the meaning of “wellbeing” and why it is important.</w:t>
      </w:r>
    </w:p>
    <w:p w14:paraId="38200312" w14:textId="77777777" w:rsidR="00D835CC" w:rsidRPr="00CA7D42" w:rsidRDefault="00D835CC" w:rsidP="00D835CC">
      <w:pPr>
        <w:jc w:val="both"/>
        <w:rPr>
          <w:rFonts w:ascii="Calibri" w:hAnsi="Calibri"/>
          <w:sz w:val="22"/>
          <w:szCs w:val="22"/>
        </w:rPr>
      </w:pPr>
    </w:p>
    <w:p w14:paraId="3F22A76D" w14:textId="77777777" w:rsidR="00D835CC" w:rsidRPr="00CA7D42" w:rsidRDefault="00D835CC" w:rsidP="00D835CC">
      <w:pPr>
        <w:jc w:val="both"/>
        <w:rPr>
          <w:rFonts w:ascii="Calibri" w:hAnsi="Calibri"/>
          <w:color w:val="0000FF"/>
          <w:sz w:val="22"/>
          <w:szCs w:val="22"/>
        </w:rPr>
      </w:pPr>
    </w:p>
    <w:p w14:paraId="2F7DCAEE" w14:textId="77777777" w:rsidR="00D835CC" w:rsidRPr="00CA7D42" w:rsidRDefault="00D835CC" w:rsidP="005E3E6F">
      <w:pPr>
        <w:numPr>
          <w:ilvl w:val="1"/>
          <w:numId w:val="14"/>
        </w:numPr>
        <w:suppressAutoHyphens/>
        <w:jc w:val="both"/>
        <w:rPr>
          <w:rFonts w:ascii="Calibri" w:hAnsi="Calibri"/>
          <w:b/>
          <w:sz w:val="22"/>
          <w:szCs w:val="22"/>
        </w:rPr>
      </w:pPr>
      <w:r w:rsidRPr="00CA7D42">
        <w:rPr>
          <w:rFonts w:ascii="Calibri" w:hAnsi="Calibri"/>
          <w:b/>
          <w:i/>
          <w:sz w:val="22"/>
          <w:szCs w:val="22"/>
        </w:rPr>
        <w:t xml:space="preserve">Principle of Good Governance F: </w:t>
      </w:r>
      <w:r w:rsidRPr="00CA7D42">
        <w:rPr>
          <w:rFonts w:ascii="Calibri" w:hAnsi="Calibri" w:cs="FS Lola"/>
          <w:b/>
          <w:color w:val="000000"/>
          <w:sz w:val="22"/>
          <w:szCs w:val="22"/>
        </w:rPr>
        <w:t>Managing risks and performance through robust internal control and strong public financial management.</w:t>
      </w:r>
    </w:p>
    <w:p w14:paraId="07DEC722" w14:textId="77777777" w:rsidR="00D835CC" w:rsidRPr="00CA7D42" w:rsidRDefault="00D835CC" w:rsidP="00D835CC">
      <w:pPr>
        <w:ind w:left="720"/>
        <w:jc w:val="both"/>
        <w:rPr>
          <w:rFonts w:ascii="Calibri" w:hAnsi="Calibri"/>
          <w:b/>
          <w:i/>
          <w:sz w:val="22"/>
          <w:szCs w:val="22"/>
        </w:rPr>
      </w:pPr>
    </w:p>
    <w:p w14:paraId="088A1F73" w14:textId="77777777" w:rsidR="00D835CC" w:rsidRPr="000D2EE4" w:rsidRDefault="00D835CC" w:rsidP="00D835CC">
      <w:pPr>
        <w:ind w:firstLine="720"/>
        <w:jc w:val="both"/>
        <w:rPr>
          <w:rFonts w:ascii="Calibri" w:hAnsi="Calibri"/>
          <w:sz w:val="22"/>
          <w:szCs w:val="22"/>
        </w:rPr>
      </w:pPr>
      <w:r w:rsidRPr="000D2EE4">
        <w:rPr>
          <w:rFonts w:ascii="Calibri" w:hAnsi="Calibri"/>
          <w:sz w:val="22"/>
          <w:szCs w:val="22"/>
        </w:rPr>
        <w:t>To achieve this, the Chief Constable has:</w:t>
      </w:r>
    </w:p>
    <w:p w14:paraId="35E525D1" w14:textId="77777777" w:rsidR="00D835CC" w:rsidRPr="000D2EE4" w:rsidRDefault="00D835CC" w:rsidP="005E3E6F">
      <w:pPr>
        <w:numPr>
          <w:ilvl w:val="0"/>
          <w:numId w:val="8"/>
        </w:numPr>
        <w:tabs>
          <w:tab w:val="num" w:pos="1080"/>
        </w:tabs>
        <w:suppressAutoHyphens/>
        <w:ind w:left="1080"/>
        <w:jc w:val="both"/>
        <w:rPr>
          <w:rFonts w:ascii="Calibri" w:hAnsi="Calibri"/>
          <w:sz w:val="22"/>
          <w:szCs w:val="22"/>
        </w:rPr>
      </w:pPr>
      <w:r w:rsidRPr="000D2EE4">
        <w:rPr>
          <w:rFonts w:ascii="Calibri" w:hAnsi="Calibri"/>
          <w:sz w:val="22"/>
          <w:szCs w:val="22"/>
        </w:rPr>
        <w:t>ensured that all decision making is carried out in accordance with the governance framework as set out in the Code of Corporate Governance;</w:t>
      </w:r>
    </w:p>
    <w:p w14:paraId="32E88EC1" w14:textId="77777777" w:rsidR="00D835CC" w:rsidRPr="000D2EE4" w:rsidRDefault="00D835CC" w:rsidP="005E3E6F">
      <w:pPr>
        <w:numPr>
          <w:ilvl w:val="0"/>
          <w:numId w:val="8"/>
        </w:numPr>
        <w:tabs>
          <w:tab w:val="num" w:pos="1080"/>
        </w:tabs>
        <w:suppressAutoHyphens/>
        <w:ind w:left="1080"/>
        <w:jc w:val="both"/>
        <w:rPr>
          <w:rFonts w:ascii="Calibri" w:hAnsi="Calibri"/>
          <w:sz w:val="22"/>
          <w:szCs w:val="22"/>
        </w:rPr>
      </w:pPr>
      <w:r w:rsidRPr="000D2EE4">
        <w:rPr>
          <w:rFonts w:ascii="Calibri" w:hAnsi="Calibri"/>
          <w:sz w:val="22"/>
          <w:szCs w:val="22"/>
        </w:rPr>
        <w:t>continued to work to embed ethical decision making at all levels following the National Decision Model (NDM), which has at its centre the policing Code of Ethics;</w:t>
      </w:r>
    </w:p>
    <w:p w14:paraId="1EB95510" w14:textId="77777777" w:rsidR="00D835CC" w:rsidRPr="000D2EE4" w:rsidRDefault="00D835CC" w:rsidP="00D835CC">
      <w:pPr>
        <w:jc w:val="both"/>
        <w:rPr>
          <w:rFonts w:ascii="Calibri" w:hAnsi="Calibri"/>
          <w:sz w:val="22"/>
          <w:szCs w:val="22"/>
        </w:rPr>
      </w:pPr>
    </w:p>
    <w:p w14:paraId="4700FD36" w14:textId="77777777" w:rsidR="00D835CC" w:rsidRPr="000D2EE4" w:rsidRDefault="00D835CC" w:rsidP="00D835CC">
      <w:pPr>
        <w:jc w:val="center"/>
        <w:rPr>
          <w:rFonts w:ascii="Calibri" w:hAnsi="Calibri"/>
          <w:sz w:val="22"/>
          <w:szCs w:val="22"/>
        </w:rPr>
      </w:pPr>
      <w:r w:rsidRPr="000D2EE4">
        <w:rPr>
          <w:noProof/>
          <w:lang w:val="en-GB" w:eastAsia="en-GB"/>
        </w:rPr>
        <w:drawing>
          <wp:inline distT="0" distB="0" distL="0" distR="0" wp14:anchorId="5AA14205" wp14:editId="776EB0B9">
            <wp:extent cx="2689860" cy="1645920"/>
            <wp:effectExtent l="0" t="0" r="0" b="0"/>
            <wp:docPr id="8" name="Picture 8" descr="NEW-National-decision-mode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National-decision-model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89860" cy="1645920"/>
                    </a:xfrm>
                    <a:prstGeom prst="rect">
                      <a:avLst/>
                    </a:prstGeom>
                    <a:noFill/>
                    <a:ln>
                      <a:noFill/>
                    </a:ln>
                  </pic:spPr>
                </pic:pic>
              </a:graphicData>
            </a:graphic>
          </wp:inline>
        </w:drawing>
      </w:r>
    </w:p>
    <w:p w14:paraId="0BFED584" w14:textId="77777777" w:rsidR="00D835CC" w:rsidRPr="000D2EE4" w:rsidRDefault="00D835CC" w:rsidP="00D835CC">
      <w:pPr>
        <w:jc w:val="both"/>
        <w:rPr>
          <w:rFonts w:ascii="Calibri" w:hAnsi="Calibri"/>
          <w:sz w:val="22"/>
          <w:szCs w:val="22"/>
        </w:rPr>
      </w:pPr>
    </w:p>
    <w:p w14:paraId="4A51D4B6" w14:textId="77777777" w:rsidR="00D835CC" w:rsidRPr="007C09D7" w:rsidRDefault="00D835CC" w:rsidP="005E3E6F">
      <w:pPr>
        <w:numPr>
          <w:ilvl w:val="0"/>
          <w:numId w:val="8"/>
        </w:numPr>
        <w:tabs>
          <w:tab w:val="num" w:pos="1080"/>
        </w:tabs>
        <w:suppressAutoHyphens/>
        <w:ind w:left="1080"/>
        <w:jc w:val="both"/>
        <w:rPr>
          <w:rFonts w:ascii="Calibri" w:hAnsi="Calibri"/>
          <w:sz w:val="22"/>
          <w:szCs w:val="22"/>
        </w:rPr>
      </w:pPr>
      <w:r w:rsidRPr="000D2EE4">
        <w:rPr>
          <w:rFonts w:ascii="Calibri" w:hAnsi="Calibri"/>
          <w:sz w:val="22"/>
          <w:szCs w:val="22"/>
        </w:rPr>
        <w:t xml:space="preserve">NDM is explained on dedicated intranet pages and posters promoting principles of the Code of Ethics. NDM is included in all </w:t>
      </w:r>
      <w:r w:rsidRPr="007C09D7">
        <w:rPr>
          <w:rFonts w:ascii="Calibri" w:hAnsi="Calibri"/>
          <w:sz w:val="22"/>
          <w:szCs w:val="22"/>
        </w:rPr>
        <w:t>learning material, selection/promotion processes, on investigators notebooks and pocket books as an aid to regular use and decision making process;</w:t>
      </w:r>
    </w:p>
    <w:p w14:paraId="405A26F4" w14:textId="5645BDB1" w:rsidR="00D835CC" w:rsidRPr="007C09D7" w:rsidRDefault="00D835CC" w:rsidP="005E3E6F">
      <w:pPr>
        <w:numPr>
          <w:ilvl w:val="0"/>
          <w:numId w:val="8"/>
        </w:numPr>
        <w:tabs>
          <w:tab w:val="num" w:pos="1080"/>
        </w:tabs>
        <w:suppressAutoHyphens/>
        <w:ind w:left="1080"/>
        <w:jc w:val="both"/>
        <w:rPr>
          <w:rFonts w:ascii="Calibri" w:hAnsi="Calibri"/>
          <w:sz w:val="22"/>
          <w:szCs w:val="22"/>
        </w:rPr>
      </w:pPr>
      <w:r w:rsidRPr="007C09D7">
        <w:rPr>
          <w:rFonts w:ascii="Calibri" w:hAnsi="Calibri"/>
          <w:sz w:val="22"/>
          <w:szCs w:val="22"/>
        </w:rPr>
        <w:t xml:space="preserve">set strategic direction and priorities via the Chief Officer Group (COG) for Surrey, and the Chief Officer Meeting (COM) for matters across Surrey Police and Sussex Police. The </w:t>
      </w:r>
      <w:r w:rsidR="007C09D7" w:rsidRPr="007C09D7">
        <w:rPr>
          <w:rFonts w:ascii="Calibri" w:hAnsi="Calibri"/>
          <w:sz w:val="22"/>
          <w:szCs w:val="22"/>
        </w:rPr>
        <w:t>Force Organisation Board</w:t>
      </w:r>
      <w:r w:rsidRPr="007C09D7">
        <w:rPr>
          <w:rFonts w:ascii="Calibri" w:hAnsi="Calibri"/>
          <w:sz w:val="22"/>
          <w:szCs w:val="22"/>
        </w:rPr>
        <w:t xml:space="preserve"> includes Chief Superintendents and Heads of Department providing a forum to agree changes to policy and practice, and maintain oversight of financial and workforce planning.</w:t>
      </w:r>
    </w:p>
    <w:p w14:paraId="5D953A80" w14:textId="6EB1C5EA" w:rsidR="00D835CC" w:rsidRPr="007C09D7" w:rsidRDefault="00D835CC" w:rsidP="005E3E6F">
      <w:pPr>
        <w:numPr>
          <w:ilvl w:val="0"/>
          <w:numId w:val="8"/>
        </w:numPr>
        <w:tabs>
          <w:tab w:val="num" w:pos="1080"/>
        </w:tabs>
        <w:suppressAutoHyphens/>
        <w:ind w:left="1080"/>
        <w:jc w:val="both"/>
        <w:rPr>
          <w:rFonts w:ascii="Calibri" w:hAnsi="Calibri"/>
          <w:sz w:val="22"/>
          <w:szCs w:val="22"/>
        </w:rPr>
      </w:pPr>
      <w:r w:rsidRPr="007C09D7">
        <w:rPr>
          <w:rFonts w:ascii="Calibri" w:hAnsi="Calibri"/>
          <w:sz w:val="22"/>
          <w:szCs w:val="22"/>
        </w:rPr>
        <w:t>compared performance against peer data as provided by HMICFRS 20</w:t>
      </w:r>
      <w:r w:rsidR="007C09D7" w:rsidRPr="007C09D7">
        <w:rPr>
          <w:rFonts w:ascii="Calibri" w:hAnsi="Calibri"/>
          <w:sz w:val="22"/>
          <w:szCs w:val="22"/>
        </w:rPr>
        <w:t>20</w:t>
      </w:r>
      <w:r w:rsidRPr="007C09D7">
        <w:rPr>
          <w:rFonts w:ascii="Calibri" w:hAnsi="Calibri"/>
          <w:sz w:val="22"/>
          <w:szCs w:val="22"/>
        </w:rPr>
        <w:t xml:space="preserve"> Value for Money profiles,</w:t>
      </w:r>
      <w:r w:rsidRPr="007C09D7">
        <w:rPr>
          <w:rStyle w:val="FootnoteReference"/>
          <w:rFonts w:ascii="Calibri" w:hAnsi="Calibri"/>
          <w:sz w:val="22"/>
          <w:szCs w:val="22"/>
        </w:rPr>
        <w:footnoteReference w:id="16"/>
      </w:r>
      <w:r w:rsidRPr="007C09D7">
        <w:rPr>
          <w:rFonts w:ascii="Calibri" w:hAnsi="Calibri"/>
          <w:sz w:val="22"/>
          <w:szCs w:val="22"/>
        </w:rPr>
        <w:t xml:space="preserve"> seeking improvement where best practice was identified;</w:t>
      </w:r>
    </w:p>
    <w:p w14:paraId="40F234DD" w14:textId="77777777" w:rsidR="00D835CC" w:rsidRPr="007C09D7" w:rsidRDefault="00D835CC" w:rsidP="005E3E6F">
      <w:pPr>
        <w:numPr>
          <w:ilvl w:val="0"/>
          <w:numId w:val="8"/>
        </w:numPr>
        <w:tabs>
          <w:tab w:val="num" w:pos="1080"/>
        </w:tabs>
        <w:suppressAutoHyphens/>
        <w:ind w:left="1080"/>
        <w:jc w:val="both"/>
        <w:rPr>
          <w:rFonts w:ascii="Calibri" w:hAnsi="Calibri"/>
          <w:sz w:val="22"/>
          <w:szCs w:val="22"/>
        </w:rPr>
      </w:pPr>
      <w:r w:rsidRPr="007C09D7">
        <w:rPr>
          <w:rFonts w:ascii="Calibri" w:hAnsi="Calibri"/>
          <w:sz w:val="22"/>
          <w:szCs w:val="22"/>
        </w:rPr>
        <w:t xml:space="preserve">ensured individual change programmes are built on comprehensive business cases to secure value for money,  effective resources management, and projected benefits; </w:t>
      </w:r>
    </w:p>
    <w:p w14:paraId="26E2DF7F" w14:textId="77777777" w:rsidR="00D835CC" w:rsidRPr="007C09D7" w:rsidRDefault="00D835CC" w:rsidP="005E3E6F">
      <w:pPr>
        <w:numPr>
          <w:ilvl w:val="0"/>
          <w:numId w:val="8"/>
        </w:numPr>
        <w:tabs>
          <w:tab w:val="num" w:pos="1080"/>
        </w:tabs>
        <w:suppressAutoHyphens/>
        <w:ind w:left="1080"/>
        <w:jc w:val="both"/>
        <w:rPr>
          <w:rFonts w:ascii="Calibri" w:hAnsi="Calibri"/>
          <w:sz w:val="22"/>
          <w:szCs w:val="22"/>
        </w:rPr>
      </w:pPr>
      <w:r w:rsidRPr="007C09D7">
        <w:rPr>
          <w:rFonts w:ascii="Calibri" w:hAnsi="Calibri"/>
          <w:sz w:val="22"/>
          <w:szCs w:val="22"/>
        </w:rPr>
        <w:t>ensured change programme and project expenditure was scrutinised and challenged by chief officers via relevant programme and project boards led by chief officers;</w:t>
      </w:r>
    </w:p>
    <w:p w14:paraId="68A4E37A" w14:textId="77777777" w:rsidR="00D835CC" w:rsidRPr="007C09D7" w:rsidRDefault="00D835CC" w:rsidP="005E3E6F">
      <w:pPr>
        <w:numPr>
          <w:ilvl w:val="0"/>
          <w:numId w:val="8"/>
        </w:numPr>
        <w:tabs>
          <w:tab w:val="num" w:pos="1080"/>
        </w:tabs>
        <w:suppressAutoHyphens/>
        <w:ind w:left="1080"/>
        <w:jc w:val="both"/>
        <w:rPr>
          <w:rFonts w:ascii="Calibri" w:hAnsi="Calibri"/>
          <w:sz w:val="22"/>
          <w:szCs w:val="22"/>
        </w:rPr>
      </w:pPr>
      <w:r w:rsidRPr="007C09D7">
        <w:rPr>
          <w:rFonts w:ascii="Calibri" w:hAnsi="Calibri"/>
          <w:sz w:val="22"/>
          <w:szCs w:val="22"/>
        </w:rPr>
        <w:t>ensured that there is a process in place between Change Delivery and finance to manage and monitor the delivery of savings, which has been incorporated into the budget setting process.</w:t>
      </w:r>
    </w:p>
    <w:p w14:paraId="18B79F15" w14:textId="77777777" w:rsidR="00D835CC" w:rsidRPr="007C09D7" w:rsidRDefault="00D835CC" w:rsidP="005E3E6F">
      <w:pPr>
        <w:numPr>
          <w:ilvl w:val="0"/>
          <w:numId w:val="8"/>
        </w:numPr>
        <w:tabs>
          <w:tab w:val="num" w:pos="1080"/>
        </w:tabs>
        <w:suppressAutoHyphens/>
        <w:ind w:left="1080"/>
        <w:jc w:val="both"/>
        <w:rPr>
          <w:sz w:val="22"/>
          <w:szCs w:val="22"/>
        </w:rPr>
      </w:pPr>
      <w:r w:rsidRPr="007C09D7">
        <w:rPr>
          <w:rFonts w:ascii="Calibri" w:hAnsi="Calibri"/>
          <w:sz w:val="22"/>
          <w:szCs w:val="22"/>
        </w:rPr>
        <w:t>ensured that a risk management strategy and policy is embedded in the governance structure and is used effectively to inform and focus decision making, including the response to COVID-19;</w:t>
      </w:r>
    </w:p>
    <w:p w14:paraId="575EA159" w14:textId="77777777" w:rsidR="00D835CC" w:rsidRPr="007C09D7" w:rsidRDefault="00D835CC" w:rsidP="005E3E6F">
      <w:pPr>
        <w:numPr>
          <w:ilvl w:val="0"/>
          <w:numId w:val="8"/>
        </w:numPr>
        <w:tabs>
          <w:tab w:val="num" w:pos="1080"/>
        </w:tabs>
        <w:suppressAutoHyphens/>
        <w:ind w:left="1080"/>
        <w:jc w:val="both"/>
        <w:rPr>
          <w:sz w:val="22"/>
          <w:szCs w:val="22"/>
        </w:rPr>
      </w:pPr>
      <w:r w:rsidRPr="007C09D7">
        <w:rPr>
          <w:rFonts w:ascii="Calibri" w:hAnsi="Calibri"/>
          <w:sz w:val="22"/>
          <w:szCs w:val="22"/>
        </w:rPr>
        <w:t xml:space="preserve">ensured that effective business continuity arrangements are in place </w:t>
      </w:r>
      <w:r w:rsidRPr="007C09D7">
        <w:rPr>
          <w:rFonts w:ascii="Calibri" w:hAnsi="Calibri" w:cs="Times New Roman"/>
          <w:sz w:val="22"/>
          <w:szCs w:val="22"/>
          <w:lang w:eastAsia="en-GB"/>
        </w:rPr>
        <w:t>to meet the requirements outlined in the Civil Contingencies Act 2004.</w:t>
      </w:r>
    </w:p>
    <w:p w14:paraId="6460C06D" w14:textId="40458B43" w:rsidR="00D835CC" w:rsidRPr="007C09D7" w:rsidRDefault="00D835CC" w:rsidP="005E3E6F">
      <w:pPr>
        <w:numPr>
          <w:ilvl w:val="0"/>
          <w:numId w:val="8"/>
        </w:numPr>
        <w:tabs>
          <w:tab w:val="num" w:pos="1080"/>
        </w:tabs>
        <w:suppressAutoHyphens/>
        <w:ind w:left="1080"/>
        <w:jc w:val="both"/>
        <w:rPr>
          <w:sz w:val="22"/>
          <w:szCs w:val="22"/>
        </w:rPr>
      </w:pPr>
      <w:r w:rsidRPr="007C09D7">
        <w:rPr>
          <w:rFonts w:ascii="Calibri" w:hAnsi="Calibri"/>
          <w:sz w:val="22"/>
          <w:szCs w:val="22"/>
        </w:rPr>
        <w:t>ensured data protection and information management policies and strategy are in place to ensure that the Force is compliant with General Data Protection Regulation</w:t>
      </w:r>
      <w:r w:rsidR="007C09D7" w:rsidRPr="007C09D7">
        <w:rPr>
          <w:rFonts w:ascii="Calibri" w:hAnsi="Calibri"/>
          <w:sz w:val="22"/>
          <w:szCs w:val="22"/>
        </w:rPr>
        <w:t xml:space="preserve"> 2018</w:t>
      </w:r>
      <w:r w:rsidRPr="007C09D7">
        <w:rPr>
          <w:rFonts w:ascii="Calibri" w:hAnsi="Calibri"/>
          <w:sz w:val="22"/>
          <w:szCs w:val="22"/>
        </w:rPr>
        <w:t xml:space="preserve"> (GDPR)</w:t>
      </w:r>
      <w:r w:rsidR="007C09D7" w:rsidRPr="007C09D7">
        <w:rPr>
          <w:rFonts w:ascii="Calibri" w:hAnsi="Calibri"/>
          <w:sz w:val="22"/>
          <w:szCs w:val="22"/>
        </w:rPr>
        <w:t xml:space="preserve"> </w:t>
      </w:r>
      <w:r w:rsidRPr="007C09D7">
        <w:rPr>
          <w:rFonts w:ascii="Calibri" w:hAnsi="Calibri"/>
          <w:sz w:val="22"/>
          <w:szCs w:val="22"/>
        </w:rPr>
        <w:t>and the Data Protection Act 2018;</w:t>
      </w:r>
    </w:p>
    <w:p w14:paraId="6EC3016B" w14:textId="77777777" w:rsidR="00D835CC" w:rsidRPr="007C09D7" w:rsidRDefault="00D835CC" w:rsidP="00D835CC">
      <w:pPr>
        <w:ind w:left="360"/>
        <w:jc w:val="both"/>
        <w:rPr>
          <w:rFonts w:ascii="Calibri" w:hAnsi="Calibri"/>
          <w:b/>
          <w:i/>
          <w:sz w:val="22"/>
          <w:szCs w:val="22"/>
        </w:rPr>
      </w:pPr>
    </w:p>
    <w:p w14:paraId="4A1A4E52" w14:textId="77777777" w:rsidR="00D835CC" w:rsidRPr="007C09D7" w:rsidRDefault="00D835CC" w:rsidP="005E3E6F">
      <w:pPr>
        <w:numPr>
          <w:ilvl w:val="1"/>
          <w:numId w:val="14"/>
        </w:numPr>
        <w:suppressAutoHyphens/>
        <w:jc w:val="both"/>
        <w:rPr>
          <w:rFonts w:ascii="Calibri" w:hAnsi="Calibri"/>
          <w:b/>
          <w:sz w:val="22"/>
          <w:szCs w:val="22"/>
        </w:rPr>
      </w:pPr>
      <w:r w:rsidRPr="007C09D7">
        <w:rPr>
          <w:rFonts w:ascii="Calibri" w:hAnsi="Calibri"/>
          <w:b/>
          <w:i/>
          <w:sz w:val="22"/>
          <w:szCs w:val="22"/>
        </w:rPr>
        <w:t>Principle of Good Governance: G</w:t>
      </w:r>
      <w:r w:rsidRPr="007C09D7">
        <w:rPr>
          <w:rFonts w:ascii="Calibri" w:hAnsi="Calibri" w:cs="FS Lola"/>
          <w:color w:val="000000"/>
          <w:sz w:val="22"/>
          <w:szCs w:val="22"/>
        </w:rPr>
        <w:t xml:space="preserve"> </w:t>
      </w:r>
      <w:r w:rsidRPr="007C09D7">
        <w:rPr>
          <w:rFonts w:ascii="Calibri" w:hAnsi="Calibri" w:cs="FS Lola"/>
          <w:b/>
          <w:color w:val="000000"/>
          <w:sz w:val="22"/>
          <w:szCs w:val="22"/>
        </w:rPr>
        <w:t>Implementing good practices in transparency, reporting and audit to deliver effective accountability.</w:t>
      </w:r>
    </w:p>
    <w:p w14:paraId="6E3B81B8" w14:textId="77777777" w:rsidR="00D835CC" w:rsidRPr="007C09D7" w:rsidRDefault="00D835CC" w:rsidP="00D835CC">
      <w:pPr>
        <w:jc w:val="both"/>
        <w:rPr>
          <w:rFonts w:ascii="Calibri" w:hAnsi="Calibri"/>
          <w:sz w:val="22"/>
          <w:szCs w:val="22"/>
        </w:rPr>
      </w:pPr>
    </w:p>
    <w:p w14:paraId="7BEC5931" w14:textId="77777777" w:rsidR="00D835CC" w:rsidRPr="007C09D7" w:rsidRDefault="00D835CC" w:rsidP="00D835CC">
      <w:pPr>
        <w:ind w:firstLine="720"/>
        <w:jc w:val="both"/>
        <w:rPr>
          <w:rFonts w:ascii="Calibri" w:hAnsi="Calibri"/>
          <w:b/>
          <w:sz w:val="22"/>
          <w:szCs w:val="22"/>
        </w:rPr>
      </w:pPr>
      <w:r w:rsidRPr="007C09D7">
        <w:rPr>
          <w:rFonts w:ascii="Calibri" w:hAnsi="Calibri"/>
          <w:sz w:val="22"/>
          <w:szCs w:val="22"/>
        </w:rPr>
        <w:t>To achieve this, the Chief Constable has:</w:t>
      </w:r>
    </w:p>
    <w:p w14:paraId="352695A0" w14:textId="77777777" w:rsidR="00D835CC" w:rsidRPr="007C09D7" w:rsidRDefault="00D835CC" w:rsidP="005E3E6F">
      <w:pPr>
        <w:numPr>
          <w:ilvl w:val="0"/>
          <w:numId w:val="8"/>
        </w:numPr>
        <w:tabs>
          <w:tab w:val="num" w:pos="1080"/>
        </w:tabs>
        <w:suppressAutoHyphens/>
        <w:ind w:left="1080"/>
        <w:jc w:val="both"/>
        <w:rPr>
          <w:rFonts w:ascii="Calibri" w:hAnsi="Calibri"/>
          <w:sz w:val="22"/>
          <w:szCs w:val="22"/>
        </w:rPr>
      </w:pPr>
      <w:r w:rsidRPr="007C09D7">
        <w:rPr>
          <w:rFonts w:ascii="Calibri" w:hAnsi="Calibri"/>
          <w:sz w:val="22"/>
          <w:szCs w:val="22"/>
        </w:rPr>
        <w:t xml:space="preserve">ensured that the Force undergoes extensive internal and external inspection and that the results of these inspections area available on line; </w:t>
      </w:r>
    </w:p>
    <w:p w14:paraId="2446F976" w14:textId="77777777" w:rsidR="00D835CC" w:rsidRPr="007C09D7" w:rsidRDefault="00D835CC" w:rsidP="005E3E6F">
      <w:pPr>
        <w:numPr>
          <w:ilvl w:val="0"/>
          <w:numId w:val="8"/>
        </w:numPr>
        <w:tabs>
          <w:tab w:val="num" w:pos="1080"/>
        </w:tabs>
        <w:suppressAutoHyphens/>
        <w:ind w:left="1080"/>
        <w:jc w:val="both"/>
        <w:rPr>
          <w:rFonts w:ascii="Calibri" w:hAnsi="Calibri"/>
          <w:sz w:val="22"/>
          <w:szCs w:val="22"/>
        </w:rPr>
      </w:pPr>
      <w:r w:rsidRPr="007C09D7">
        <w:rPr>
          <w:rFonts w:ascii="Calibri" w:hAnsi="Calibri"/>
          <w:sz w:val="22"/>
          <w:szCs w:val="22"/>
        </w:rPr>
        <w:t>ensured that internal audit is provided through a managed service contract with the Southern Internal Audit Partnership and regular updates are provided to the Joint Audit Committee</w:t>
      </w:r>
      <w:r w:rsidRPr="007C09D7">
        <w:rPr>
          <w:rStyle w:val="FootnoteReference"/>
          <w:rFonts w:ascii="Calibri" w:hAnsi="Calibri"/>
          <w:sz w:val="22"/>
          <w:szCs w:val="22"/>
        </w:rPr>
        <w:footnoteReference w:id="17"/>
      </w:r>
      <w:r w:rsidRPr="007C09D7">
        <w:rPr>
          <w:rFonts w:ascii="Calibri" w:hAnsi="Calibri"/>
          <w:sz w:val="22"/>
          <w:szCs w:val="22"/>
        </w:rPr>
        <w:t>;</w:t>
      </w:r>
    </w:p>
    <w:p w14:paraId="51DCF1A4" w14:textId="77777777" w:rsidR="00D835CC" w:rsidRPr="007C09D7" w:rsidRDefault="00D835CC" w:rsidP="005E3E6F">
      <w:pPr>
        <w:numPr>
          <w:ilvl w:val="0"/>
          <w:numId w:val="8"/>
        </w:numPr>
        <w:tabs>
          <w:tab w:val="num" w:pos="1080"/>
        </w:tabs>
        <w:suppressAutoHyphens/>
        <w:ind w:left="1080"/>
        <w:jc w:val="both"/>
        <w:rPr>
          <w:rFonts w:ascii="Calibri" w:hAnsi="Calibri"/>
          <w:sz w:val="22"/>
          <w:szCs w:val="22"/>
        </w:rPr>
      </w:pPr>
      <w:r w:rsidRPr="007C09D7">
        <w:rPr>
          <w:rFonts w:ascii="Calibri" w:hAnsi="Calibri"/>
          <w:sz w:val="22"/>
          <w:szCs w:val="22"/>
        </w:rPr>
        <w:t>ensured that information is published to allow appropriate scrutiny of decision making</w:t>
      </w:r>
      <w:r w:rsidRPr="007C09D7">
        <w:rPr>
          <w:rStyle w:val="FootnoteReference"/>
          <w:rFonts w:ascii="Calibri" w:hAnsi="Calibri"/>
          <w:sz w:val="22"/>
          <w:szCs w:val="22"/>
        </w:rPr>
        <w:footnoteReference w:id="18"/>
      </w:r>
      <w:r w:rsidRPr="007C09D7">
        <w:rPr>
          <w:rFonts w:ascii="Calibri" w:hAnsi="Calibri"/>
          <w:sz w:val="22"/>
          <w:szCs w:val="22"/>
        </w:rPr>
        <w:t xml:space="preserve">; </w:t>
      </w:r>
    </w:p>
    <w:p w14:paraId="242F0F40" w14:textId="77777777" w:rsidR="00D835CC" w:rsidRPr="007C09D7" w:rsidRDefault="00D835CC" w:rsidP="005E3E6F">
      <w:pPr>
        <w:numPr>
          <w:ilvl w:val="0"/>
          <w:numId w:val="8"/>
        </w:numPr>
        <w:tabs>
          <w:tab w:val="num" w:pos="1080"/>
        </w:tabs>
        <w:suppressAutoHyphens/>
        <w:ind w:left="1080"/>
        <w:jc w:val="both"/>
        <w:rPr>
          <w:rFonts w:ascii="Calibri" w:hAnsi="Calibri"/>
          <w:sz w:val="22"/>
          <w:szCs w:val="22"/>
        </w:rPr>
      </w:pPr>
      <w:r w:rsidRPr="007C09D7">
        <w:rPr>
          <w:rFonts w:ascii="Calibri" w:hAnsi="Calibri"/>
          <w:sz w:val="22"/>
          <w:szCs w:val="22"/>
        </w:rPr>
        <w:t>ensured that the public are able to attend police disciplinary hearings to observe proceedings</w:t>
      </w:r>
      <w:r w:rsidRPr="007C09D7">
        <w:rPr>
          <w:rStyle w:val="FootnoteReference"/>
          <w:rFonts w:ascii="Calibri" w:hAnsi="Calibri"/>
          <w:sz w:val="22"/>
          <w:szCs w:val="22"/>
        </w:rPr>
        <w:footnoteReference w:id="19"/>
      </w:r>
      <w:r w:rsidRPr="007C09D7">
        <w:rPr>
          <w:rFonts w:ascii="Calibri" w:hAnsi="Calibri"/>
          <w:sz w:val="22"/>
          <w:szCs w:val="22"/>
        </w:rPr>
        <w:t xml:space="preserve"> </w:t>
      </w:r>
    </w:p>
    <w:p w14:paraId="3C68C897" w14:textId="77777777" w:rsidR="00D835CC" w:rsidRPr="007C09D7" w:rsidRDefault="00D835CC" w:rsidP="005E3E6F">
      <w:pPr>
        <w:numPr>
          <w:ilvl w:val="0"/>
          <w:numId w:val="8"/>
        </w:numPr>
        <w:tabs>
          <w:tab w:val="num" w:pos="1080"/>
        </w:tabs>
        <w:suppressAutoHyphens/>
        <w:ind w:left="1080"/>
        <w:jc w:val="both"/>
        <w:rPr>
          <w:sz w:val="22"/>
          <w:szCs w:val="22"/>
        </w:rPr>
      </w:pPr>
      <w:r w:rsidRPr="007C09D7">
        <w:rPr>
          <w:rFonts w:ascii="Calibri" w:hAnsi="Calibri"/>
          <w:sz w:val="22"/>
          <w:szCs w:val="22"/>
        </w:rPr>
        <w:t>continued to support the work of the Joint Audit Committee in its role of monitoring Force governance and internal control.</w:t>
      </w:r>
    </w:p>
    <w:p w14:paraId="1AE4277E" w14:textId="77777777" w:rsidR="00D835CC" w:rsidRPr="003B2596" w:rsidRDefault="00D835CC" w:rsidP="00D835CC">
      <w:pPr>
        <w:autoSpaceDE w:val="0"/>
        <w:jc w:val="both"/>
        <w:rPr>
          <w:rFonts w:ascii="Calibri" w:hAnsi="Calibri"/>
          <w:sz w:val="22"/>
          <w:szCs w:val="22"/>
        </w:rPr>
      </w:pPr>
    </w:p>
    <w:p w14:paraId="3DCBD00F" w14:textId="77777777" w:rsidR="00D835CC" w:rsidRPr="003B2596" w:rsidRDefault="00D835CC" w:rsidP="00D835CC">
      <w:pPr>
        <w:shd w:val="clear" w:color="auto" w:fill="0070C0"/>
        <w:jc w:val="both"/>
        <w:rPr>
          <w:rFonts w:ascii="Calibri" w:hAnsi="Calibri"/>
          <w:b/>
          <w:color w:val="FFFFFF"/>
          <w:sz w:val="22"/>
          <w:szCs w:val="22"/>
        </w:rPr>
      </w:pPr>
      <w:r w:rsidRPr="003B2596">
        <w:rPr>
          <w:rFonts w:ascii="Calibri" w:hAnsi="Calibri"/>
          <w:b/>
          <w:color w:val="FFFFFF"/>
          <w:sz w:val="22"/>
          <w:szCs w:val="22"/>
        </w:rPr>
        <w:t>6</w:t>
      </w:r>
      <w:r w:rsidRPr="003B2596">
        <w:rPr>
          <w:rFonts w:ascii="Calibri" w:hAnsi="Calibri"/>
          <w:b/>
          <w:color w:val="FFFFFF"/>
          <w:sz w:val="22"/>
          <w:szCs w:val="22"/>
        </w:rPr>
        <w:tab/>
        <w:t>Review of Effectiveness</w:t>
      </w:r>
    </w:p>
    <w:p w14:paraId="4EF9ADA2" w14:textId="77777777" w:rsidR="00D835CC" w:rsidRPr="003B2596" w:rsidRDefault="00D835CC" w:rsidP="00D835CC">
      <w:pPr>
        <w:ind w:left="720"/>
        <w:jc w:val="both"/>
        <w:rPr>
          <w:rFonts w:ascii="Calibri" w:hAnsi="Calibri"/>
          <w:sz w:val="22"/>
          <w:szCs w:val="22"/>
        </w:rPr>
      </w:pPr>
    </w:p>
    <w:p w14:paraId="5B87060D" w14:textId="77777777" w:rsidR="00D835CC" w:rsidRPr="00497DB1" w:rsidRDefault="00D835CC" w:rsidP="005E3E6F">
      <w:pPr>
        <w:pStyle w:val="ListParagraph"/>
        <w:numPr>
          <w:ilvl w:val="0"/>
          <w:numId w:val="7"/>
        </w:numPr>
        <w:tabs>
          <w:tab w:val="num" w:pos="360"/>
        </w:tabs>
        <w:suppressAutoHyphens/>
        <w:ind w:left="360"/>
        <w:contextualSpacing w:val="0"/>
        <w:jc w:val="both"/>
        <w:rPr>
          <w:rFonts w:ascii="Calibri" w:hAnsi="Calibri"/>
          <w:vanish/>
          <w:color w:val="000000"/>
          <w:sz w:val="22"/>
          <w:szCs w:val="22"/>
        </w:rPr>
      </w:pPr>
    </w:p>
    <w:p w14:paraId="660017A2" w14:textId="77777777" w:rsidR="00D835CC" w:rsidRPr="00497DB1" w:rsidRDefault="00D835CC" w:rsidP="005E3E6F">
      <w:pPr>
        <w:pStyle w:val="ListParagraph"/>
        <w:numPr>
          <w:ilvl w:val="0"/>
          <w:numId w:val="7"/>
        </w:numPr>
        <w:tabs>
          <w:tab w:val="num" w:pos="360"/>
        </w:tabs>
        <w:suppressAutoHyphens/>
        <w:ind w:left="360"/>
        <w:contextualSpacing w:val="0"/>
        <w:jc w:val="both"/>
        <w:rPr>
          <w:rFonts w:ascii="Calibri" w:hAnsi="Calibri"/>
          <w:vanish/>
          <w:color w:val="000000"/>
          <w:sz w:val="22"/>
          <w:szCs w:val="22"/>
        </w:rPr>
      </w:pPr>
    </w:p>
    <w:p w14:paraId="2C9785CF" w14:textId="4F568E30" w:rsidR="00D835CC" w:rsidRPr="00497DB1" w:rsidRDefault="00DA4E8D" w:rsidP="00DA4E8D">
      <w:pPr>
        <w:suppressAutoHyphens/>
        <w:ind w:left="720" w:hanging="720"/>
        <w:jc w:val="both"/>
        <w:rPr>
          <w:rFonts w:ascii="Calibri" w:hAnsi="Calibri"/>
          <w:sz w:val="22"/>
          <w:szCs w:val="22"/>
        </w:rPr>
      </w:pPr>
      <w:r w:rsidRPr="00497DB1">
        <w:rPr>
          <w:rFonts w:ascii="Calibri" w:hAnsi="Calibri"/>
          <w:color w:val="000000"/>
          <w:sz w:val="22"/>
          <w:szCs w:val="22"/>
        </w:rPr>
        <w:t>6.1</w:t>
      </w:r>
      <w:r w:rsidRPr="00497DB1">
        <w:rPr>
          <w:rFonts w:ascii="Calibri" w:hAnsi="Calibri"/>
          <w:color w:val="000000"/>
          <w:sz w:val="22"/>
          <w:szCs w:val="22"/>
        </w:rPr>
        <w:tab/>
      </w:r>
      <w:r w:rsidR="00D835CC" w:rsidRPr="00497DB1">
        <w:rPr>
          <w:rFonts w:ascii="Calibri" w:hAnsi="Calibri"/>
          <w:color w:val="000000"/>
          <w:sz w:val="22"/>
          <w:szCs w:val="22"/>
        </w:rPr>
        <w:t xml:space="preserve">The Chief Constable has responsibility for conducting a regular review of the effectiveness of the governance framework, including the system of internal audit and control. </w:t>
      </w:r>
      <w:r w:rsidR="00D835CC" w:rsidRPr="00497DB1">
        <w:rPr>
          <w:rFonts w:ascii="Calibri" w:hAnsi="Calibri"/>
          <w:sz w:val="22"/>
          <w:szCs w:val="22"/>
        </w:rPr>
        <w:t>This annual governance statement provides a summary of activities undertaken and areas for continuous improvement identified through the Force review of the governance arrangements; these have been included in the action plan for 202</w:t>
      </w:r>
      <w:r w:rsidR="00497DB1" w:rsidRPr="00497DB1">
        <w:rPr>
          <w:rFonts w:ascii="Calibri" w:hAnsi="Calibri"/>
          <w:sz w:val="22"/>
          <w:szCs w:val="22"/>
        </w:rPr>
        <w:t>1</w:t>
      </w:r>
      <w:r w:rsidR="00D835CC" w:rsidRPr="00497DB1">
        <w:rPr>
          <w:rFonts w:ascii="Calibri" w:hAnsi="Calibri"/>
          <w:sz w:val="22"/>
          <w:szCs w:val="22"/>
        </w:rPr>
        <w:t>-2</w:t>
      </w:r>
      <w:r w:rsidR="00497DB1" w:rsidRPr="00497DB1">
        <w:rPr>
          <w:rFonts w:ascii="Calibri" w:hAnsi="Calibri"/>
          <w:sz w:val="22"/>
          <w:szCs w:val="22"/>
        </w:rPr>
        <w:t>2</w:t>
      </w:r>
      <w:r w:rsidR="00D835CC" w:rsidRPr="00497DB1">
        <w:rPr>
          <w:rFonts w:ascii="Calibri" w:hAnsi="Calibri"/>
          <w:sz w:val="22"/>
          <w:szCs w:val="22"/>
        </w:rPr>
        <w:t>.</w:t>
      </w:r>
    </w:p>
    <w:p w14:paraId="4BF51583" w14:textId="77777777" w:rsidR="00D835CC" w:rsidRPr="00497DB1" w:rsidRDefault="00D835CC" w:rsidP="00D835CC">
      <w:pPr>
        <w:jc w:val="both"/>
        <w:rPr>
          <w:rFonts w:ascii="Calibri" w:hAnsi="Calibri"/>
          <w:color w:val="000000"/>
          <w:sz w:val="22"/>
          <w:szCs w:val="22"/>
        </w:rPr>
      </w:pPr>
    </w:p>
    <w:p w14:paraId="14472F17" w14:textId="77777777" w:rsidR="00D835CC" w:rsidRPr="00497DB1" w:rsidRDefault="00DA4E8D" w:rsidP="00DA4E8D">
      <w:pPr>
        <w:suppressAutoHyphens/>
        <w:ind w:left="720" w:hanging="720"/>
        <w:jc w:val="both"/>
        <w:rPr>
          <w:rFonts w:ascii="Calibri" w:hAnsi="Calibri"/>
          <w:sz w:val="22"/>
          <w:szCs w:val="22"/>
        </w:rPr>
      </w:pPr>
      <w:r w:rsidRPr="00497DB1">
        <w:rPr>
          <w:rFonts w:ascii="Calibri" w:hAnsi="Calibri"/>
          <w:sz w:val="22"/>
          <w:szCs w:val="22"/>
        </w:rPr>
        <w:t>6.2</w:t>
      </w:r>
      <w:r w:rsidRPr="00497DB1">
        <w:rPr>
          <w:rFonts w:ascii="Calibri" w:hAnsi="Calibri"/>
          <w:sz w:val="22"/>
          <w:szCs w:val="22"/>
        </w:rPr>
        <w:tab/>
      </w:r>
      <w:r w:rsidR="00D835CC" w:rsidRPr="00497DB1">
        <w:rPr>
          <w:rFonts w:ascii="Calibri" w:hAnsi="Calibri"/>
          <w:sz w:val="22"/>
          <w:szCs w:val="22"/>
        </w:rPr>
        <w:t xml:space="preserve">This review has been co-ordinated by the Corporate Finance team and informed by senior managers across the Force in order to assess the Force compliance with the CIPFA guidance. </w:t>
      </w:r>
    </w:p>
    <w:p w14:paraId="09E6396F" w14:textId="77777777" w:rsidR="00D835CC" w:rsidRPr="00497DB1" w:rsidRDefault="00D835CC" w:rsidP="00D835CC">
      <w:pPr>
        <w:ind w:left="720"/>
        <w:jc w:val="both"/>
        <w:rPr>
          <w:rFonts w:ascii="Calibri" w:hAnsi="Calibri"/>
          <w:sz w:val="22"/>
          <w:szCs w:val="22"/>
        </w:rPr>
      </w:pPr>
    </w:p>
    <w:p w14:paraId="60361404" w14:textId="4F9B6984" w:rsidR="00D835CC" w:rsidRPr="00497DB1" w:rsidRDefault="00DA4E8D" w:rsidP="00DA4E8D">
      <w:pPr>
        <w:suppressAutoHyphens/>
        <w:ind w:left="720" w:hanging="720"/>
        <w:jc w:val="both"/>
        <w:rPr>
          <w:rFonts w:ascii="Calibri" w:hAnsi="Calibri"/>
          <w:sz w:val="22"/>
          <w:szCs w:val="22"/>
        </w:rPr>
      </w:pPr>
      <w:r w:rsidRPr="00497DB1">
        <w:rPr>
          <w:rFonts w:ascii="Calibri" w:hAnsi="Calibri"/>
          <w:sz w:val="22"/>
          <w:szCs w:val="22"/>
        </w:rPr>
        <w:t>6.3</w:t>
      </w:r>
      <w:r w:rsidRPr="00497DB1">
        <w:rPr>
          <w:rFonts w:ascii="Calibri" w:hAnsi="Calibri"/>
          <w:sz w:val="22"/>
          <w:szCs w:val="22"/>
        </w:rPr>
        <w:tab/>
      </w:r>
      <w:r w:rsidR="00D835CC" w:rsidRPr="00497DB1">
        <w:rPr>
          <w:rFonts w:ascii="Calibri" w:hAnsi="Calibri"/>
          <w:sz w:val="22"/>
          <w:szCs w:val="22"/>
        </w:rPr>
        <w:t>The review of the evidence for the effectiveness of the governance framework, to confirm that the current arrangements are fit for purpose, are presented to meetings of the Force Organisational Reassurance Board and the Joint Audit Committee. The review also provided updates and confirmation regarding the completion of areas for improvement identified in 201</w:t>
      </w:r>
      <w:r w:rsidR="00497DB1" w:rsidRPr="00497DB1">
        <w:rPr>
          <w:rFonts w:ascii="Calibri" w:hAnsi="Calibri"/>
          <w:sz w:val="22"/>
          <w:szCs w:val="22"/>
        </w:rPr>
        <w:t>9</w:t>
      </w:r>
      <w:r w:rsidR="00D835CC" w:rsidRPr="00497DB1">
        <w:rPr>
          <w:rFonts w:ascii="Calibri" w:hAnsi="Calibri"/>
          <w:sz w:val="22"/>
          <w:szCs w:val="22"/>
        </w:rPr>
        <w:t>-</w:t>
      </w:r>
      <w:r w:rsidR="00497DB1" w:rsidRPr="00497DB1">
        <w:rPr>
          <w:rFonts w:ascii="Calibri" w:hAnsi="Calibri"/>
          <w:sz w:val="22"/>
          <w:szCs w:val="22"/>
        </w:rPr>
        <w:t>20</w:t>
      </w:r>
      <w:r w:rsidR="00D835CC" w:rsidRPr="00497DB1">
        <w:rPr>
          <w:rFonts w:ascii="Calibri" w:hAnsi="Calibri"/>
          <w:sz w:val="22"/>
          <w:szCs w:val="22"/>
        </w:rPr>
        <w:t xml:space="preserve"> annual governance statement. </w:t>
      </w:r>
    </w:p>
    <w:p w14:paraId="15AABC3E" w14:textId="77777777" w:rsidR="00D835CC" w:rsidRPr="00497DB1" w:rsidRDefault="00D835CC" w:rsidP="00D835CC">
      <w:pPr>
        <w:ind w:left="720"/>
        <w:jc w:val="both"/>
        <w:rPr>
          <w:rFonts w:ascii="Calibri" w:hAnsi="Calibri"/>
          <w:sz w:val="22"/>
          <w:szCs w:val="22"/>
        </w:rPr>
      </w:pPr>
    </w:p>
    <w:p w14:paraId="52044162" w14:textId="77777777" w:rsidR="00D835CC" w:rsidRPr="00497DB1" w:rsidRDefault="00DA4E8D" w:rsidP="00DA4E8D">
      <w:pPr>
        <w:suppressAutoHyphens/>
        <w:ind w:left="720" w:hanging="720"/>
        <w:jc w:val="both"/>
        <w:rPr>
          <w:rFonts w:ascii="Calibri" w:hAnsi="Calibri"/>
          <w:color w:val="000000"/>
          <w:sz w:val="22"/>
          <w:szCs w:val="22"/>
        </w:rPr>
      </w:pPr>
      <w:r w:rsidRPr="00497DB1">
        <w:rPr>
          <w:rFonts w:ascii="Calibri" w:hAnsi="Calibri"/>
          <w:sz w:val="22"/>
          <w:szCs w:val="22"/>
        </w:rPr>
        <w:t>6.4</w:t>
      </w:r>
      <w:r w:rsidRPr="00497DB1">
        <w:rPr>
          <w:rFonts w:ascii="Calibri" w:hAnsi="Calibri"/>
          <w:sz w:val="22"/>
          <w:szCs w:val="22"/>
        </w:rPr>
        <w:tab/>
      </w:r>
      <w:r w:rsidR="00D835CC" w:rsidRPr="00497DB1">
        <w:rPr>
          <w:rFonts w:ascii="Calibri" w:hAnsi="Calibri"/>
          <w:sz w:val="22"/>
          <w:szCs w:val="22"/>
        </w:rPr>
        <w:t xml:space="preserve">Assessments and recommendations made by the internal and external auditors and other review agencies and inspectorates have also informed this review. </w:t>
      </w:r>
    </w:p>
    <w:p w14:paraId="084D228C" w14:textId="77777777" w:rsidR="00D835CC" w:rsidRPr="00497DB1" w:rsidRDefault="00D835CC" w:rsidP="00D835CC">
      <w:pPr>
        <w:ind w:left="720"/>
        <w:jc w:val="both"/>
        <w:rPr>
          <w:rFonts w:ascii="Calibri" w:hAnsi="Calibri"/>
          <w:color w:val="000000"/>
          <w:sz w:val="22"/>
          <w:szCs w:val="22"/>
        </w:rPr>
      </w:pPr>
    </w:p>
    <w:p w14:paraId="12331573" w14:textId="77777777" w:rsidR="00D835CC" w:rsidRPr="00497DB1" w:rsidRDefault="00DA4E8D" w:rsidP="00DA4E8D">
      <w:pPr>
        <w:suppressAutoHyphens/>
        <w:ind w:left="720" w:hanging="720"/>
        <w:jc w:val="both"/>
        <w:rPr>
          <w:rFonts w:ascii="Calibri" w:hAnsi="Calibri"/>
          <w:color w:val="000000"/>
          <w:sz w:val="22"/>
          <w:szCs w:val="22"/>
        </w:rPr>
      </w:pPr>
      <w:r w:rsidRPr="00497DB1">
        <w:rPr>
          <w:rFonts w:ascii="Calibri" w:hAnsi="Calibri"/>
          <w:color w:val="000000"/>
          <w:sz w:val="22"/>
          <w:szCs w:val="22"/>
        </w:rPr>
        <w:t>6.5</w:t>
      </w:r>
      <w:r w:rsidRPr="00497DB1">
        <w:rPr>
          <w:rFonts w:ascii="Calibri" w:hAnsi="Calibri"/>
          <w:color w:val="000000"/>
          <w:sz w:val="22"/>
          <w:szCs w:val="22"/>
        </w:rPr>
        <w:tab/>
      </w:r>
      <w:r w:rsidR="00D835CC" w:rsidRPr="00497DB1">
        <w:rPr>
          <w:rFonts w:ascii="Calibri" w:hAnsi="Calibri"/>
          <w:color w:val="000000"/>
          <w:sz w:val="22"/>
          <w:szCs w:val="22"/>
        </w:rPr>
        <w:t>The Joint Audit Committee has been consulted on the development of the annual governance statement. The final statement is considered at its meeting for recommendation for approval by the Chief Constable. The Committee aims to ensure that there is continuous improvement in the process and endorses the resulting annual action plan.  Regular updates on progress to address the areas for improvement are provided to the Committee.</w:t>
      </w:r>
    </w:p>
    <w:p w14:paraId="4CCAA648" w14:textId="77777777" w:rsidR="00D835CC" w:rsidRPr="00497DB1" w:rsidRDefault="00D835CC" w:rsidP="00D835CC">
      <w:pPr>
        <w:jc w:val="both"/>
        <w:rPr>
          <w:rFonts w:ascii="Calibri" w:hAnsi="Calibri"/>
          <w:color w:val="000000"/>
          <w:sz w:val="22"/>
          <w:szCs w:val="22"/>
        </w:rPr>
      </w:pPr>
    </w:p>
    <w:p w14:paraId="1559F944" w14:textId="77777777" w:rsidR="00D835CC" w:rsidRPr="00497DB1" w:rsidRDefault="00DA4E8D" w:rsidP="00DA4E8D">
      <w:pPr>
        <w:suppressAutoHyphens/>
        <w:ind w:left="720" w:hanging="720"/>
        <w:jc w:val="both"/>
        <w:rPr>
          <w:rFonts w:ascii="Calibri" w:hAnsi="Calibri"/>
          <w:sz w:val="22"/>
          <w:szCs w:val="22"/>
        </w:rPr>
      </w:pPr>
      <w:r w:rsidRPr="00497DB1">
        <w:rPr>
          <w:rFonts w:ascii="Calibri" w:hAnsi="Calibri"/>
          <w:color w:val="000000"/>
          <w:sz w:val="22"/>
          <w:szCs w:val="22"/>
        </w:rPr>
        <w:t>6.6</w:t>
      </w:r>
      <w:r w:rsidRPr="00497DB1">
        <w:rPr>
          <w:rFonts w:ascii="Calibri" w:hAnsi="Calibri"/>
          <w:color w:val="000000"/>
          <w:sz w:val="22"/>
          <w:szCs w:val="22"/>
        </w:rPr>
        <w:tab/>
      </w:r>
      <w:r w:rsidR="00D835CC" w:rsidRPr="00497DB1">
        <w:rPr>
          <w:rFonts w:ascii="Calibri" w:hAnsi="Calibri"/>
          <w:color w:val="000000"/>
          <w:sz w:val="22"/>
          <w:szCs w:val="22"/>
        </w:rPr>
        <w:t>A process is established to ensure the Chief Constable and Surrey PCC, approve and sign off the annual governance statement</w:t>
      </w:r>
      <w:r w:rsidR="00D835CC" w:rsidRPr="00497DB1">
        <w:rPr>
          <w:rFonts w:ascii="Calibri" w:hAnsi="Calibri"/>
          <w:sz w:val="22"/>
          <w:szCs w:val="22"/>
        </w:rPr>
        <w:t>, in accordance with the CIPFA guidance.</w:t>
      </w:r>
    </w:p>
    <w:p w14:paraId="37BC68C4" w14:textId="77777777" w:rsidR="00D835CC" w:rsidRPr="00497DB1" w:rsidRDefault="00D835CC" w:rsidP="00D835CC">
      <w:pPr>
        <w:jc w:val="both"/>
        <w:rPr>
          <w:rFonts w:ascii="Calibri" w:hAnsi="Calibri"/>
          <w:sz w:val="22"/>
          <w:szCs w:val="22"/>
        </w:rPr>
      </w:pPr>
    </w:p>
    <w:p w14:paraId="520BF07B" w14:textId="77777777" w:rsidR="00C5423F" w:rsidRPr="00497DB1" w:rsidRDefault="00C5423F" w:rsidP="00C5423F">
      <w:pPr>
        <w:shd w:val="clear" w:color="auto" w:fill="0070C0"/>
        <w:jc w:val="both"/>
        <w:rPr>
          <w:rFonts w:ascii="Calibri" w:hAnsi="Calibri"/>
          <w:b/>
          <w:color w:val="FFFFFF"/>
          <w:sz w:val="22"/>
          <w:szCs w:val="22"/>
        </w:rPr>
      </w:pPr>
      <w:r w:rsidRPr="00497DB1">
        <w:rPr>
          <w:rFonts w:ascii="Calibri" w:hAnsi="Calibri"/>
          <w:b/>
          <w:color w:val="FFFFFF"/>
          <w:sz w:val="22"/>
          <w:szCs w:val="22"/>
        </w:rPr>
        <w:t>7</w:t>
      </w:r>
      <w:r w:rsidRPr="00497DB1">
        <w:rPr>
          <w:rFonts w:ascii="Calibri" w:hAnsi="Calibri"/>
          <w:b/>
          <w:color w:val="FFFFFF"/>
          <w:sz w:val="22"/>
          <w:szCs w:val="22"/>
        </w:rPr>
        <w:tab/>
        <w:t>Internal Audit Opinion</w:t>
      </w:r>
    </w:p>
    <w:p w14:paraId="2F159140" w14:textId="77777777" w:rsidR="00C5423F" w:rsidRPr="00497DB1" w:rsidRDefault="00C5423F" w:rsidP="00C5423F">
      <w:pPr>
        <w:jc w:val="both"/>
        <w:rPr>
          <w:sz w:val="22"/>
          <w:szCs w:val="22"/>
        </w:rPr>
      </w:pPr>
    </w:p>
    <w:p w14:paraId="697213AC" w14:textId="77777777" w:rsidR="00C5423F" w:rsidRPr="00497DB1" w:rsidRDefault="00C5423F" w:rsidP="00C5423F">
      <w:pPr>
        <w:ind w:left="709" w:hanging="709"/>
        <w:jc w:val="both"/>
        <w:rPr>
          <w:rFonts w:ascii="Calibri" w:hAnsi="Calibri"/>
          <w:bCs/>
          <w:sz w:val="22"/>
          <w:szCs w:val="22"/>
        </w:rPr>
      </w:pPr>
      <w:r w:rsidRPr="00497DB1">
        <w:rPr>
          <w:rFonts w:ascii="Calibri" w:hAnsi="Calibri"/>
          <w:bCs/>
          <w:sz w:val="22"/>
          <w:szCs w:val="22"/>
        </w:rPr>
        <w:t>7.1</w:t>
      </w:r>
      <w:r w:rsidRPr="00497DB1">
        <w:rPr>
          <w:rFonts w:ascii="Calibri" w:hAnsi="Calibri"/>
          <w:bCs/>
          <w:sz w:val="22"/>
          <w:szCs w:val="22"/>
        </w:rPr>
        <w:tab/>
      </w:r>
      <w:r w:rsidRPr="00497DB1">
        <w:rPr>
          <w:rFonts w:ascii="Calibri" w:hAnsi="Calibri"/>
          <w:sz w:val="22"/>
          <w:szCs w:val="22"/>
          <w:lang w:eastAsia="en-GB"/>
        </w:rPr>
        <w:t>The CIPFA code requires Internal Audit to provide an opinion on the overall adequacy and effectiveness of the governance framework.  That opinion is provided below:</w:t>
      </w:r>
    </w:p>
    <w:p w14:paraId="58699C01" w14:textId="77777777" w:rsidR="00C5423F" w:rsidRPr="00497DB1" w:rsidRDefault="00C5423F" w:rsidP="00C5423F">
      <w:pPr>
        <w:ind w:left="709" w:hanging="709"/>
        <w:jc w:val="both"/>
        <w:rPr>
          <w:rFonts w:ascii="Calibri" w:hAnsi="Calibri"/>
          <w:bCs/>
          <w:sz w:val="22"/>
          <w:szCs w:val="22"/>
        </w:rPr>
      </w:pPr>
    </w:p>
    <w:p w14:paraId="6692A921" w14:textId="3C3E0ADA" w:rsidR="00C5423F" w:rsidRPr="00497DB1" w:rsidRDefault="00C5423F" w:rsidP="00C5423F">
      <w:pPr>
        <w:ind w:left="709"/>
        <w:jc w:val="both"/>
        <w:rPr>
          <w:rFonts w:ascii="Calibri" w:hAnsi="Calibri"/>
          <w:b/>
          <w:sz w:val="22"/>
          <w:szCs w:val="22"/>
          <w:lang w:eastAsia="en-GB"/>
        </w:rPr>
      </w:pPr>
      <w:r w:rsidRPr="00497DB1">
        <w:rPr>
          <w:rFonts w:ascii="Calibri" w:hAnsi="Calibri"/>
          <w:b/>
          <w:sz w:val="22"/>
          <w:szCs w:val="22"/>
          <w:lang w:eastAsia="en-GB"/>
        </w:rPr>
        <w:t>Annual Internal Audit Opinion 20</w:t>
      </w:r>
      <w:r w:rsidR="00497DB1" w:rsidRPr="00497DB1">
        <w:rPr>
          <w:rFonts w:ascii="Calibri" w:hAnsi="Calibri"/>
          <w:b/>
          <w:sz w:val="22"/>
          <w:szCs w:val="22"/>
          <w:lang w:eastAsia="en-GB"/>
        </w:rPr>
        <w:t>20</w:t>
      </w:r>
      <w:r w:rsidRPr="00497DB1">
        <w:rPr>
          <w:rFonts w:ascii="Calibri" w:hAnsi="Calibri"/>
          <w:b/>
          <w:sz w:val="22"/>
          <w:szCs w:val="22"/>
          <w:lang w:eastAsia="en-GB"/>
        </w:rPr>
        <w:t>-2</w:t>
      </w:r>
      <w:r w:rsidR="00497DB1" w:rsidRPr="00497DB1">
        <w:rPr>
          <w:rFonts w:ascii="Calibri" w:hAnsi="Calibri"/>
          <w:b/>
          <w:sz w:val="22"/>
          <w:szCs w:val="22"/>
          <w:lang w:eastAsia="en-GB"/>
        </w:rPr>
        <w:t>1</w:t>
      </w:r>
      <w:r w:rsidRPr="00497DB1">
        <w:rPr>
          <w:rFonts w:ascii="Calibri" w:hAnsi="Calibri"/>
          <w:b/>
          <w:sz w:val="22"/>
          <w:szCs w:val="22"/>
          <w:lang w:eastAsia="en-GB"/>
        </w:rPr>
        <w:t>:</w:t>
      </w:r>
    </w:p>
    <w:p w14:paraId="236F3DDE" w14:textId="50F8A948" w:rsidR="00C5423F" w:rsidRDefault="00C5423F" w:rsidP="00C5423F">
      <w:pPr>
        <w:ind w:left="709"/>
        <w:jc w:val="both"/>
        <w:rPr>
          <w:rFonts w:ascii="Calibri" w:hAnsi="Calibri"/>
          <w:sz w:val="22"/>
          <w:szCs w:val="22"/>
          <w:highlight w:val="yellow"/>
          <w:lang w:eastAsia="en-GB"/>
        </w:rPr>
      </w:pPr>
      <w:r w:rsidRPr="00497DB1">
        <w:rPr>
          <w:rFonts w:ascii="Calibri" w:hAnsi="Calibri"/>
          <w:sz w:val="22"/>
          <w:szCs w:val="22"/>
          <w:lang w:eastAsia="en-GB"/>
        </w:rPr>
        <w:t xml:space="preserve">For the </w:t>
      </w:r>
      <w:r w:rsidRPr="00012441">
        <w:rPr>
          <w:rFonts w:ascii="Calibri" w:hAnsi="Calibri"/>
          <w:sz w:val="22"/>
          <w:szCs w:val="22"/>
          <w:lang w:eastAsia="en-GB"/>
        </w:rPr>
        <w:t>12 months ended 31 March 202</w:t>
      </w:r>
      <w:r w:rsidR="00497DB1" w:rsidRPr="00012441">
        <w:rPr>
          <w:rFonts w:ascii="Calibri" w:hAnsi="Calibri"/>
          <w:sz w:val="22"/>
          <w:szCs w:val="22"/>
          <w:lang w:eastAsia="en-GB"/>
        </w:rPr>
        <w:t>1</w:t>
      </w:r>
      <w:r w:rsidRPr="00012441">
        <w:rPr>
          <w:rFonts w:ascii="Calibri" w:hAnsi="Calibri"/>
          <w:sz w:val="22"/>
          <w:szCs w:val="22"/>
          <w:lang w:eastAsia="en-GB"/>
        </w:rPr>
        <w:t>, the Chief Internal Auditor’s opinion for Surrey Police Force is as follows</w:t>
      </w:r>
      <w:r w:rsidRPr="0073748E">
        <w:rPr>
          <w:rStyle w:val="FootnoteReference"/>
          <w:rFonts w:ascii="Calibri" w:hAnsi="Calibri"/>
          <w:sz w:val="22"/>
          <w:szCs w:val="22"/>
        </w:rPr>
        <w:footnoteReference w:id="20"/>
      </w:r>
      <w:r w:rsidRPr="0073748E">
        <w:rPr>
          <w:rFonts w:ascii="Calibri" w:hAnsi="Calibri"/>
          <w:sz w:val="22"/>
          <w:szCs w:val="22"/>
          <w:lang w:eastAsia="en-GB"/>
        </w:rPr>
        <w:t xml:space="preserve">: </w:t>
      </w:r>
    </w:p>
    <w:p w14:paraId="30310001" w14:textId="77777777" w:rsidR="00012441" w:rsidRDefault="00012441" w:rsidP="00C5423F">
      <w:pPr>
        <w:ind w:left="709"/>
        <w:jc w:val="both"/>
        <w:rPr>
          <w:rFonts w:ascii="Calibri" w:hAnsi="Calibri"/>
          <w:sz w:val="22"/>
          <w:szCs w:val="22"/>
          <w:highlight w:val="yellow"/>
          <w:lang w:eastAsia="en-GB"/>
        </w:rPr>
      </w:pPr>
    </w:p>
    <w:p w14:paraId="72986124" w14:textId="77777777" w:rsidR="00012441" w:rsidRDefault="00012441" w:rsidP="00012441">
      <w:pPr>
        <w:keepLines/>
        <w:ind w:left="709"/>
        <w:jc w:val="both"/>
        <w:rPr>
          <w:rFonts w:ascii="Calibri" w:hAnsi="Calibri"/>
          <w:sz w:val="22"/>
          <w:szCs w:val="22"/>
          <w:lang w:eastAsia="en-GB"/>
        </w:rPr>
      </w:pPr>
      <w:r>
        <w:rPr>
          <w:rFonts w:ascii="Calibri" w:hAnsi="Calibri"/>
          <w:lang w:eastAsia="en-GB"/>
        </w:rPr>
        <w:t xml:space="preserve">“I am satisfied that sufficient assurance work has been carried out to allow me to form a reasonable conclusion on the adequacy and effectiveness of the internal control environment. </w:t>
      </w:r>
    </w:p>
    <w:p w14:paraId="5AD3A773" w14:textId="77777777" w:rsidR="00012441" w:rsidRDefault="00012441" w:rsidP="00012441">
      <w:pPr>
        <w:keepLines/>
        <w:ind w:left="709"/>
        <w:jc w:val="both"/>
        <w:rPr>
          <w:rFonts w:ascii="Calibri" w:hAnsi="Calibri"/>
          <w:lang w:eastAsia="en-GB"/>
        </w:rPr>
      </w:pPr>
    </w:p>
    <w:p w14:paraId="04CBCCE9" w14:textId="77777777" w:rsidR="00012441" w:rsidRDefault="00012441" w:rsidP="00012441">
      <w:pPr>
        <w:keepLines/>
        <w:ind w:left="709"/>
        <w:jc w:val="both"/>
        <w:rPr>
          <w:rFonts w:ascii="Calibri" w:hAnsi="Calibri"/>
          <w:lang w:eastAsia="en-GB"/>
        </w:rPr>
      </w:pPr>
      <w:r>
        <w:rPr>
          <w:rFonts w:ascii="Calibri" w:hAnsi="Calibri"/>
          <w:lang w:eastAsia="en-GB"/>
        </w:rPr>
        <w:t xml:space="preserve">In my opinion frameworks of governance, risk management and management control are </w:t>
      </w:r>
      <w:r>
        <w:rPr>
          <w:rFonts w:ascii="Calibri" w:hAnsi="Calibri"/>
          <w:i/>
          <w:lang w:eastAsia="en-GB"/>
        </w:rPr>
        <w:t>reasonable</w:t>
      </w:r>
      <w:r>
        <w:rPr>
          <w:rFonts w:ascii="Calibri" w:hAnsi="Calibri"/>
          <w:lang w:eastAsia="en-GB"/>
        </w:rPr>
        <w:t xml:space="preserve"> and audit testing has demonstrated controls to be working in practice.  </w:t>
      </w:r>
    </w:p>
    <w:p w14:paraId="1980A9DD" w14:textId="77777777" w:rsidR="00012441" w:rsidRDefault="00012441" w:rsidP="00012441">
      <w:pPr>
        <w:keepLines/>
        <w:ind w:left="709"/>
        <w:jc w:val="both"/>
        <w:rPr>
          <w:rFonts w:ascii="Calibri" w:hAnsi="Calibri"/>
          <w:lang w:eastAsia="en-GB"/>
        </w:rPr>
      </w:pPr>
    </w:p>
    <w:p w14:paraId="780144FF" w14:textId="77777777" w:rsidR="00012441" w:rsidRDefault="00012441" w:rsidP="00012441">
      <w:pPr>
        <w:keepLines/>
        <w:ind w:left="709"/>
        <w:jc w:val="both"/>
        <w:rPr>
          <w:rFonts w:ascii="Calibri" w:hAnsi="Calibri"/>
          <w:lang w:eastAsia="en-GB"/>
        </w:rPr>
      </w:pPr>
      <w:r>
        <w:rPr>
          <w:rFonts w:ascii="Calibri" w:hAnsi="Calibri"/>
          <w:lang w:eastAsia="en-GB"/>
        </w:rPr>
        <w:t>In 2019-20 I gave a limited assurance opinion, primarily due to the results relating to IT reviews, given that this is such a critical area of control.  Prior to 2019-20 there had been very little assurance work completed in the collaborative area of IT and this was rectified from 2019-20 through delivery of a joint internal audit plan with Sussex Police, following our appointment as Surrey Police’s internal auditors from April 2019.  Whilst there remains work to be done in some areas, the results of our reviews and follow-up work in 2020-21 relating specifically to IT, have shown significant progress in addressing the issues raised.  The direction of travel remains positive with strong governance over monitoring and challenging progress in addressing the outstanding actions.</w:t>
      </w:r>
    </w:p>
    <w:p w14:paraId="63C0CFF0" w14:textId="77777777" w:rsidR="00012441" w:rsidRDefault="00012441" w:rsidP="00012441">
      <w:pPr>
        <w:keepLines/>
        <w:ind w:left="709"/>
        <w:jc w:val="both"/>
        <w:rPr>
          <w:rFonts w:ascii="Calibri" w:hAnsi="Calibri"/>
          <w:lang w:eastAsia="en-GB"/>
        </w:rPr>
      </w:pPr>
    </w:p>
    <w:p w14:paraId="76F61A34" w14:textId="77777777" w:rsidR="00012441" w:rsidRDefault="00012441" w:rsidP="00012441">
      <w:pPr>
        <w:keepLines/>
        <w:ind w:left="709"/>
        <w:jc w:val="both"/>
        <w:rPr>
          <w:rFonts w:ascii="Calibri" w:hAnsi="Calibri"/>
          <w:lang w:eastAsia="en-GB"/>
        </w:rPr>
      </w:pPr>
      <w:r>
        <w:rPr>
          <w:rFonts w:ascii="Calibri" w:hAnsi="Calibri"/>
          <w:lang w:eastAsia="en-GB"/>
        </w:rPr>
        <w:t>Where weaknesses have been identified through internal audit review, we have worked with management to agree appropriate corrective actions and a timescale for improvement.”</w:t>
      </w:r>
    </w:p>
    <w:p w14:paraId="1C70E8C6" w14:textId="77777777" w:rsidR="00D835CC" w:rsidRPr="003B2596" w:rsidRDefault="00D835CC" w:rsidP="00D835CC">
      <w:pPr>
        <w:autoSpaceDE w:val="0"/>
        <w:jc w:val="both"/>
        <w:rPr>
          <w:rFonts w:ascii="Calibri" w:hAnsi="Calibri"/>
          <w:sz w:val="22"/>
          <w:szCs w:val="22"/>
        </w:rPr>
      </w:pPr>
    </w:p>
    <w:p w14:paraId="329EB32C" w14:textId="77777777" w:rsidR="00D835CC" w:rsidRPr="003B2596" w:rsidRDefault="00C5423F" w:rsidP="00D835CC">
      <w:pPr>
        <w:shd w:val="clear" w:color="auto" w:fill="0070C0"/>
        <w:jc w:val="both"/>
        <w:rPr>
          <w:rFonts w:ascii="Calibri" w:hAnsi="Calibri"/>
          <w:b/>
          <w:color w:val="FFFFFF"/>
          <w:sz w:val="22"/>
          <w:szCs w:val="22"/>
        </w:rPr>
      </w:pPr>
      <w:r w:rsidRPr="003B2596">
        <w:rPr>
          <w:rFonts w:ascii="Calibri" w:hAnsi="Calibri"/>
          <w:b/>
          <w:color w:val="FFFFFF"/>
          <w:sz w:val="22"/>
          <w:szCs w:val="22"/>
        </w:rPr>
        <w:t>8</w:t>
      </w:r>
      <w:r w:rsidR="00D835CC" w:rsidRPr="003B2596">
        <w:rPr>
          <w:rFonts w:ascii="Calibri" w:hAnsi="Calibri"/>
          <w:b/>
          <w:color w:val="FFFFFF"/>
          <w:sz w:val="22"/>
          <w:szCs w:val="22"/>
        </w:rPr>
        <w:tab/>
        <w:t>Governance Issues</w:t>
      </w:r>
    </w:p>
    <w:p w14:paraId="0D4C5E27" w14:textId="6E1CD1A8" w:rsidR="00D835CC" w:rsidRPr="00497DB1" w:rsidRDefault="00497DB1" w:rsidP="00D835CC">
      <w:pPr>
        <w:jc w:val="both"/>
        <w:rPr>
          <w:color w:val="FF0000"/>
          <w:sz w:val="22"/>
          <w:szCs w:val="22"/>
        </w:rPr>
      </w:pPr>
      <w:r w:rsidRPr="00497DB1">
        <w:rPr>
          <w:rFonts w:ascii="Calibri" w:hAnsi="Calibri"/>
          <w:b/>
          <w:bCs/>
          <w:i/>
          <w:iCs/>
          <w:color w:val="FF0000"/>
        </w:rPr>
        <w:t>NB: THIS SECTION IS AN INITIAL DRAFT WHI</w:t>
      </w:r>
      <w:r>
        <w:rPr>
          <w:rFonts w:ascii="Calibri" w:hAnsi="Calibri"/>
          <w:b/>
          <w:bCs/>
          <w:i/>
          <w:iCs/>
          <w:color w:val="FF0000"/>
        </w:rPr>
        <w:t>CH WILL BE UPDATED IN SEPTEMB</w:t>
      </w:r>
      <w:r w:rsidRPr="00497DB1">
        <w:rPr>
          <w:rFonts w:ascii="Calibri" w:hAnsi="Calibri"/>
          <w:b/>
          <w:bCs/>
          <w:i/>
          <w:iCs/>
          <w:color w:val="FF0000"/>
        </w:rPr>
        <w:t>ER 2021 TO PROVIDE THE POSITION AS AT THE SIGNING OF THE AGS</w:t>
      </w:r>
    </w:p>
    <w:p w14:paraId="6F5F6E25" w14:textId="77777777" w:rsidR="00497DB1" w:rsidRPr="00497DB1" w:rsidRDefault="00497DB1" w:rsidP="00D835CC">
      <w:pPr>
        <w:jc w:val="both"/>
        <w:rPr>
          <w:sz w:val="22"/>
          <w:szCs w:val="22"/>
        </w:rPr>
      </w:pPr>
    </w:p>
    <w:p w14:paraId="45C4B65D" w14:textId="548865BB" w:rsidR="00121FED" w:rsidRPr="00497DB1" w:rsidRDefault="00C5423F" w:rsidP="00D835CC">
      <w:pPr>
        <w:ind w:left="709" w:hanging="709"/>
        <w:jc w:val="both"/>
        <w:rPr>
          <w:rFonts w:ascii="Calibri" w:hAnsi="Calibri"/>
          <w:bCs/>
          <w:sz w:val="22"/>
          <w:szCs w:val="22"/>
        </w:rPr>
      </w:pPr>
      <w:r w:rsidRPr="00497DB1">
        <w:rPr>
          <w:rFonts w:ascii="Calibri" w:hAnsi="Calibri"/>
          <w:bCs/>
          <w:sz w:val="22"/>
          <w:szCs w:val="22"/>
        </w:rPr>
        <w:t>8</w:t>
      </w:r>
      <w:r w:rsidR="00D835CC" w:rsidRPr="00497DB1">
        <w:rPr>
          <w:rFonts w:ascii="Calibri" w:hAnsi="Calibri"/>
          <w:bCs/>
          <w:sz w:val="22"/>
          <w:szCs w:val="22"/>
        </w:rPr>
        <w:t>.1</w:t>
      </w:r>
      <w:r w:rsidR="00D835CC" w:rsidRPr="00497DB1">
        <w:rPr>
          <w:rFonts w:ascii="Calibri" w:hAnsi="Calibri"/>
          <w:bCs/>
          <w:sz w:val="22"/>
          <w:szCs w:val="22"/>
        </w:rPr>
        <w:tab/>
      </w:r>
      <w:r w:rsidR="00D835CC" w:rsidRPr="00497DB1">
        <w:rPr>
          <w:rFonts w:ascii="Calibri" w:hAnsi="Calibri"/>
          <w:sz w:val="22"/>
          <w:szCs w:val="22"/>
        </w:rPr>
        <w:t xml:space="preserve">No significant concerns were raised during the internal review of the effectiveness of governance arrangements however, </w:t>
      </w:r>
      <w:r w:rsidR="00D835CC" w:rsidRPr="00497DB1">
        <w:rPr>
          <w:rFonts w:ascii="Calibri" w:hAnsi="Calibri"/>
          <w:bCs/>
          <w:sz w:val="22"/>
          <w:szCs w:val="22"/>
        </w:rPr>
        <w:t>a number of areas for improvement were identified. These improvements, to further enhance the Force governance arrangements, are detailed in Appendix A together with any on-going areas for improvement continued from the action plan included in the 201</w:t>
      </w:r>
      <w:r w:rsidR="00497DB1" w:rsidRPr="00497DB1">
        <w:rPr>
          <w:rFonts w:ascii="Calibri" w:hAnsi="Calibri"/>
          <w:bCs/>
          <w:sz w:val="22"/>
          <w:szCs w:val="22"/>
        </w:rPr>
        <w:t>9</w:t>
      </w:r>
      <w:r w:rsidR="00D835CC" w:rsidRPr="00497DB1">
        <w:rPr>
          <w:rFonts w:ascii="Calibri" w:hAnsi="Calibri"/>
          <w:bCs/>
          <w:sz w:val="22"/>
          <w:szCs w:val="22"/>
        </w:rPr>
        <w:t>-</w:t>
      </w:r>
      <w:r w:rsidR="00497DB1" w:rsidRPr="00497DB1">
        <w:rPr>
          <w:rFonts w:ascii="Calibri" w:hAnsi="Calibri"/>
          <w:bCs/>
          <w:sz w:val="22"/>
          <w:szCs w:val="22"/>
        </w:rPr>
        <w:t>20</w:t>
      </w:r>
      <w:r w:rsidR="00D835CC" w:rsidRPr="00497DB1">
        <w:rPr>
          <w:rFonts w:ascii="Calibri" w:hAnsi="Calibri"/>
          <w:bCs/>
          <w:sz w:val="22"/>
          <w:szCs w:val="22"/>
        </w:rPr>
        <w:t xml:space="preserve"> </w:t>
      </w:r>
      <w:r w:rsidR="00D835CC" w:rsidRPr="00497DB1">
        <w:rPr>
          <w:rFonts w:ascii="Calibri" w:hAnsi="Calibri"/>
          <w:sz w:val="22"/>
          <w:szCs w:val="22"/>
        </w:rPr>
        <w:t>annual governance statement</w:t>
      </w:r>
      <w:r w:rsidR="00D835CC" w:rsidRPr="00497DB1">
        <w:rPr>
          <w:rFonts w:ascii="Calibri" w:hAnsi="Calibri"/>
          <w:bCs/>
          <w:sz w:val="22"/>
          <w:szCs w:val="22"/>
        </w:rPr>
        <w:t>. The actions to achieve these improvements will be monitored through the Force Organisational Reassurance Board and reported to the Joint Audit Committee.</w:t>
      </w:r>
    </w:p>
    <w:p w14:paraId="2694F078" w14:textId="77777777" w:rsidR="001B1F72" w:rsidRPr="00497DB1" w:rsidRDefault="001B1F72" w:rsidP="00D835CC">
      <w:pPr>
        <w:ind w:left="709" w:hanging="709"/>
        <w:jc w:val="both"/>
        <w:rPr>
          <w:rFonts w:ascii="Calibri" w:hAnsi="Calibri"/>
          <w:bCs/>
          <w:sz w:val="22"/>
          <w:szCs w:val="22"/>
        </w:rPr>
      </w:pPr>
    </w:p>
    <w:p w14:paraId="3AD9E789" w14:textId="77777777" w:rsidR="001B1F72" w:rsidRPr="00497DB1" w:rsidRDefault="001B1F72" w:rsidP="00D835CC">
      <w:pPr>
        <w:ind w:left="709" w:hanging="709"/>
        <w:jc w:val="both"/>
        <w:rPr>
          <w:rFonts w:ascii="Calibri" w:hAnsi="Calibri"/>
          <w:b/>
          <w:bCs/>
          <w:sz w:val="22"/>
          <w:szCs w:val="22"/>
        </w:rPr>
      </w:pPr>
      <w:r w:rsidRPr="00497DB1">
        <w:rPr>
          <w:rFonts w:ascii="Calibri" w:hAnsi="Calibri"/>
          <w:b/>
          <w:bCs/>
          <w:sz w:val="22"/>
          <w:szCs w:val="22"/>
        </w:rPr>
        <w:tab/>
        <w:t>Internal Audit</w:t>
      </w:r>
    </w:p>
    <w:p w14:paraId="54945899" w14:textId="77777777" w:rsidR="001B1F72" w:rsidRPr="00497DB1" w:rsidRDefault="001B1F72" w:rsidP="00D835CC">
      <w:pPr>
        <w:ind w:left="709" w:hanging="709"/>
        <w:jc w:val="both"/>
        <w:rPr>
          <w:rFonts w:ascii="Calibri" w:hAnsi="Calibri"/>
          <w:b/>
          <w:bCs/>
          <w:sz w:val="22"/>
          <w:szCs w:val="22"/>
        </w:rPr>
      </w:pPr>
    </w:p>
    <w:p w14:paraId="5A17B9A6" w14:textId="77777777" w:rsidR="00D835CC" w:rsidRPr="00497DB1" w:rsidRDefault="00C5423F" w:rsidP="00D835CC">
      <w:pPr>
        <w:ind w:left="709" w:hanging="709"/>
        <w:jc w:val="both"/>
        <w:rPr>
          <w:rFonts w:ascii="Calibri" w:hAnsi="Calibri"/>
          <w:sz w:val="22"/>
          <w:szCs w:val="22"/>
          <w:lang w:eastAsia="en-GB"/>
        </w:rPr>
      </w:pPr>
      <w:r w:rsidRPr="00497DB1">
        <w:rPr>
          <w:rFonts w:ascii="Calibri" w:hAnsi="Calibri"/>
          <w:bCs/>
          <w:sz w:val="22"/>
          <w:szCs w:val="22"/>
        </w:rPr>
        <w:t>8</w:t>
      </w:r>
      <w:r w:rsidR="00D835CC" w:rsidRPr="00497DB1">
        <w:rPr>
          <w:rFonts w:ascii="Calibri" w:hAnsi="Calibri"/>
          <w:bCs/>
          <w:sz w:val="22"/>
          <w:szCs w:val="22"/>
        </w:rPr>
        <w:t>.2</w:t>
      </w:r>
      <w:r w:rsidR="00D835CC" w:rsidRPr="00497DB1">
        <w:rPr>
          <w:rFonts w:ascii="Calibri" w:hAnsi="Calibri"/>
          <w:bCs/>
          <w:sz w:val="22"/>
          <w:szCs w:val="22"/>
        </w:rPr>
        <w:tab/>
      </w:r>
      <w:r w:rsidR="00D835CC" w:rsidRPr="00497DB1">
        <w:rPr>
          <w:rFonts w:ascii="Calibri" w:hAnsi="Calibri"/>
          <w:sz w:val="22"/>
          <w:szCs w:val="22"/>
          <w:lang w:eastAsia="en-GB"/>
        </w:rPr>
        <w:t xml:space="preserve">The internal audit function is carried out by Southern Internal Audit Partnership for both the PCC and the Chief Constable. Audit reviews are undertaken in line with an annual internal audit plan, which is recommended by the Joint Audit Committee. </w:t>
      </w:r>
    </w:p>
    <w:p w14:paraId="5B3A0DDD" w14:textId="77777777" w:rsidR="00C5423F" w:rsidRPr="00497DB1" w:rsidRDefault="00C5423F" w:rsidP="00C5423F">
      <w:pPr>
        <w:ind w:left="709" w:hanging="709"/>
        <w:jc w:val="both"/>
        <w:rPr>
          <w:rFonts w:ascii="Calibri" w:hAnsi="Calibri"/>
          <w:sz w:val="22"/>
          <w:szCs w:val="22"/>
          <w:lang w:eastAsia="en-GB"/>
        </w:rPr>
      </w:pPr>
    </w:p>
    <w:p w14:paraId="5D32BB17" w14:textId="7DF44D7D" w:rsidR="00C5423F" w:rsidRPr="00DC1077" w:rsidRDefault="00C5423F" w:rsidP="00C5423F">
      <w:pPr>
        <w:ind w:left="709" w:hanging="709"/>
        <w:jc w:val="both"/>
        <w:rPr>
          <w:rFonts w:ascii="Calibri" w:hAnsi="Calibri"/>
          <w:sz w:val="22"/>
          <w:szCs w:val="22"/>
          <w:highlight w:val="yellow"/>
          <w:lang w:eastAsia="en-GB"/>
        </w:rPr>
      </w:pPr>
      <w:r w:rsidRPr="00497DB1">
        <w:rPr>
          <w:rFonts w:ascii="Calibri" w:hAnsi="Calibri"/>
          <w:sz w:val="22"/>
          <w:szCs w:val="22"/>
          <w:lang w:eastAsia="en-GB"/>
        </w:rPr>
        <w:t>8.3</w:t>
      </w:r>
      <w:r w:rsidRPr="00497DB1">
        <w:rPr>
          <w:rFonts w:ascii="Calibri" w:hAnsi="Calibri"/>
          <w:sz w:val="22"/>
          <w:szCs w:val="22"/>
          <w:lang w:eastAsia="en-GB"/>
        </w:rPr>
        <w:tab/>
        <w:t>The overall Annual Internal Audit Opinion for 20</w:t>
      </w:r>
      <w:r w:rsidR="00497DB1" w:rsidRPr="00497DB1">
        <w:rPr>
          <w:rFonts w:ascii="Calibri" w:hAnsi="Calibri"/>
          <w:sz w:val="22"/>
          <w:szCs w:val="22"/>
          <w:lang w:eastAsia="en-GB"/>
        </w:rPr>
        <w:t>20</w:t>
      </w:r>
      <w:r w:rsidRPr="00497DB1">
        <w:rPr>
          <w:rFonts w:ascii="Calibri" w:hAnsi="Calibri"/>
          <w:sz w:val="22"/>
          <w:szCs w:val="22"/>
          <w:lang w:eastAsia="en-GB"/>
        </w:rPr>
        <w:t>-2</w:t>
      </w:r>
      <w:r w:rsidR="00497DB1" w:rsidRPr="00497DB1">
        <w:rPr>
          <w:rFonts w:ascii="Calibri" w:hAnsi="Calibri"/>
          <w:sz w:val="22"/>
          <w:szCs w:val="22"/>
          <w:lang w:eastAsia="en-GB"/>
        </w:rPr>
        <w:t>1</w:t>
      </w:r>
      <w:r w:rsidRPr="00497DB1">
        <w:rPr>
          <w:rFonts w:ascii="Calibri" w:hAnsi="Calibri"/>
          <w:sz w:val="22"/>
          <w:szCs w:val="22"/>
          <w:lang w:eastAsia="en-GB"/>
        </w:rPr>
        <w:t xml:space="preserve"> from the Chief Internal Auditor of SIAP</w:t>
      </w:r>
      <w:r w:rsidR="00012441">
        <w:rPr>
          <w:rFonts w:ascii="Calibri" w:hAnsi="Calibri"/>
          <w:sz w:val="22"/>
          <w:szCs w:val="22"/>
          <w:lang w:eastAsia="en-GB"/>
        </w:rPr>
        <w:t xml:space="preserve"> was “reasonable”.</w:t>
      </w:r>
      <w:r w:rsidR="00497DB1" w:rsidRPr="00497DB1">
        <w:rPr>
          <w:rFonts w:ascii="Calibri" w:hAnsi="Calibri"/>
          <w:sz w:val="22"/>
          <w:szCs w:val="22"/>
          <w:lang w:eastAsia="en-GB"/>
        </w:rPr>
        <w:t xml:space="preserve"> </w:t>
      </w:r>
    </w:p>
    <w:p w14:paraId="7E403918" w14:textId="77777777" w:rsidR="00C5423F" w:rsidRPr="00497DB1" w:rsidRDefault="00C5423F" w:rsidP="00C5423F">
      <w:pPr>
        <w:ind w:left="709" w:hanging="709"/>
        <w:jc w:val="both"/>
        <w:rPr>
          <w:rFonts w:ascii="Calibri" w:hAnsi="Calibri"/>
          <w:sz w:val="22"/>
          <w:szCs w:val="22"/>
          <w:lang w:eastAsia="en-GB"/>
        </w:rPr>
      </w:pPr>
    </w:p>
    <w:p w14:paraId="00DB4276" w14:textId="51FD5FA5" w:rsidR="00C5423F" w:rsidRPr="00497DB1" w:rsidRDefault="00C5423F" w:rsidP="00C5423F">
      <w:pPr>
        <w:ind w:left="709" w:hanging="709"/>
        <w:jc w:val="both"/>
        <w:rPr>
          <w:rFonts w:ascii="Calibri" w:hAnsi="Calibri"/>
          <w:sz w:val="22"/>
          <w:szCs w:val="22"/>
        </w:rPr>
      </w:pPr>
      <w:r w:rsidRPr="00497DB1">
        <w:rPr>
          <w:rFonts w:ascii="Calibri" w:hAnsi="Calibri"/>
          <w:sz w:val="22"/>
          <w:szCs w:val="22"/>
          <w:lang w:eastAsia="en-GB"/>
        </w:rPr>
        <w:t>8.4</w:t>
      </w:r>
      <w:r w:rsidRPr="00497DB1">
        <w:rPr>
          <w:rFonts w:ascii="Calibri" w:hAnsi="Calibri"/>
          <w:sz w:val="22"/>
          <w:szCs w:val="22"/>
          <w:lang w:eastAsia="en-GB"/>
        </w:rPr>
        <w:tab/>
      </w:r>
      <w:r w:rsidRPr="00497DB1">
        <w:rPr>
          <w:rFonts w:ascii="Calibri" w:hAnsi="Calibri"/>
          <w:sz w:val="22"/>
          <w:szCs w:val="22"/>
        </w:rPr>
        <w:t>In 20</w:t>
      </w:r>
      <w:r w:rsidR="00497DB1" w:rsidRPr="00497DB1">
        <w:rPr>
          <w:rFonts w:ascii="Calibri" w:hAnsi="Calibri"/>
          <w:sz w:val="22"/>
          <w:szCs w:val="22"/>
        </w:rPr>
        <w:t>20</w:t>
      </w:r>
      <w:r w:rsidRPr="00497DB1">
        <w:rPr>
          <w:rFonts w:ascii="Calibri" w:hAnsi="Calibri"/>
          <w:sz w:val="22"/>
          <w:szCs w:val="22"/>
        </w:rPr>
        <w:t>-2</w:t>
      </w:r>
      <w:r w:rsidR="00497DB1" w:rsidRPr="00497DB1">
        <w:rPr>
          <w:rFonts w:ascii="Calibri" w:hAnsi="Calibri"/>
          <w:sz w:val="22"/>
          <w:szCs w:val="22"/>
        </w:rPr>
        <w:t>1</w:t>
      </w:r>
      <w:r w:rsidRPr="00497DB1">
        <w:rPr>
          <w:rFonts w:ascii="Calibri" w:hAnsi="Calibri"/>
          <w:sz w:val="22"/>
          <w:szCs w:val="22"/>
        </w:rPr>
        <w:t xml:space="preserve"> no Internal Audit reviews gave an opinion of no assurance</w:t>
      </w:r>
      <w:r w:rsidR="00012441">
        <w:rPr>
          <w:rFonts w:ascii="Calibri" w:hAnsi="Calibri"/>
          <w:sz w:val="22"/>
          <w:szCs w:val="22"/>
        </w:rPr>
        <w:t xml:space="preserve"> </w:t>
      </w:r>
      <w:r w:rsidRPr="00497DB1">
        <w:rPr>
          <w:rFonts w:ascii="Calibri" w:hAnsi="Calibri"/>
          <w:sz w:val="22"/>
          <w:szCs w:val="22"/>
        </w:rPr>
        <w:t xml:space="preserve">of the governance framework.  </w:t>
      </w:r>
    </w:p>
    <w:p w14:paraId="76915C57" w14:textId="77777777" w:rsidR="00C5423F" w:rsidRPr="00497DB1" w:rsidRDefault="00C5423F" w:rsidP="00C5423F">
      <w:pPr>
        <w:ind w:left="709" w:hanging="709"/>
        <w:jc w:val="both"/>
        <w:rPr>
          <w:rFonts w:ascii="Calibri" w:hAnsi="Calibri"/>
          <w:sz w:val="22"/>
          <w:szCs w:val="22"/>
        </w:rPr>
      </w:pPr>
    </w:p>
    <w:p w14:paraId="5DAEC93C" w14:textId="6506C816" w:rsidR="00497DB1" w:rsidRPr="00497DB1" w:rsidRDefault="00C5423F" w:rsidP="00497DB1">
      <w:pPr>
        <w:ind w:left="709" w:hanging="709"/>
        <w:jc w:val="both"/>
        <w:rPr>
          <w:rFonts w:ascii="Calibri" w:hAnsi="Calibri"/>
          <w:sz w:val="22"/>
          <w:szCs w:val="22"/>
        </w:rPr>
      </w:pPr>
      <w:r w:rsidRPr="00497DB1">
        <w:rPr>
          <w:rFonts w:ascii="Calibri" w:hAnsi="Calibri"/>
          <w:sz w:val="22"/>
          <w:szCs w:val="22"/>
        </w:rPr>
        <w:t>8.5</w:t>
      </w:r>
      <w:r w:rsidRPr="00497DB1">
        <w:rPr>
          <w:rFonts w:ascii="Calibri" w:hAnsi="Calibri"/>
          <w:sz w:val="22"/>
          <w:szCs w:val="22"/>
        </w:rPr>
        <w:tab/>
        <w:t>In 20</w:t>
      </w:r>
      <w:r w:rsidR="00497DB1" w:rsidRPr="00497DB1">
        <w:rPr>
          <w:rFonts w:ascii="Calibri" w:hAnsi="Calibri"/>
          <w:sz w:val="22"/>
          <w:szCs w:val="22"/>
        </w:rPr>
        <w:t>20</w:t>
      </w:r>
      <w:r w:rsidRPr="00497DB1">
        <w:rPr>
          <w:rFonts w:ascii="Calibri" w:hAnsi="Calibri"/>
          <w:sz w:val="22"/>
          <w:szCs w:val="22"/>
        </w:rPr>
        <w:t>-2</w:t>
      </w:r>
      <w:r w:rsidR="00497DB1" w:rsidRPr="00497DB1">
        <w:rPr>
          <w:rFonts w:ascii="Calibri" w:hAnsi="Calibri"/>
          <w:sz w:val="22"/>
          <w:szCs w:val="22"/>
        </w:rPr>
        <w:t>1</w:t>
      </w:r>
      <w:r w:rsidRPr="00497DB1">
        <w:rPr>
          <w:rFonts w:ascii="Calibri" w:hAnsi="Calibri"/>
          <w:sz w:val="22"/>
          <w:szCs w:val="22"/>
        </w:rPr>
        <w:t xml:space="preserve"> the following Internal Audit reports were given an opinion of </w:t>
      </w:r>
      <w:r w:rsidR="00497DB1" w:rsidRPr="00497DB1">
        <w:rPr>
          <w:rFonts w:ascii="Calibri" w:hAnsi="Calibri"/>
          <w:sz w:val="22"/>
          <w:szCs w:val="22"/>
        </w:rPr>
        <w:t>substantial</w:t>
      </w:r>
      <w:r w:rsidRPr="00497DB1">
        <w:rPr>
          <w:rFonts w:ascii="Calibri" w:hAnsi="Calibri"/>
          <w:sz w:val="22"/>
          <w:szCs w:val="22"/>
        </w:rPr>
        <w:t xml:space="preserve"> assurance:</w:t>
      </w:r>
      <w:r w:rsidR="00497DB1" w:rsidRPr="00497DB1">
        <w:rPr>
          <w:rFonts w:ascii="Calibri" w:hAnsi="Calibri"/>
          <w:sz w:val="22"/>
          <w:szCs w:val="22"/>
        </w:rPr>
        <w:t xml:space="preserve"> </w:t>
      </w:r>
    </w:p>
    <w:p w14:paraId="156AE136" w14:textId="699BCF7A" w:rsidR="00497DB1" w:rsidRPr="00497DB1" w:rsidRDefault="00497DB1" w:rsidP="00497DB1">
      <w:pPr>
        <w:numPr>
          <w:ilvl w:val="0"/>
          <w:numId w:val="20"/>
        </w:numPr>
        <w:contextualSpacing/>
        <w:jc w:val="both"/>
        <w:rPr>
          <w:rFonts w:ascii="Calibri" w:eastAsia="Times New Roman" w:hAnsi="Calibri" w:cs="Arial"/>
          <w:sz w:val="22"/>
          <w:szCs w:val="22"/>
          <w:lang w:val="en-GB" w:eastAsia="en-GB"/>
        </w:rPr>
      </w:pPr>
      <w:r w:rsidRPr="00497DB1">
        <w:rPr>
          <w:rFonts w:ascii="Calibri" w:eastAsia="Times New Roman" w:hAnsi="Calibri" w:cs="Arial"/>
          <w:sz w:val="22"/>
          <w:szCs w:val="22"/>
          <w:lang w:val="en-GB" w:eastAsia="en-GB"/>
        </w:rPr>
        <w:t xml:space="preserve">Data Classification and Data Governance 20/21 </w:t>
      </w:r>
      <w:r w:rsidR="00D34E94">
        <w:rPr>
          <w:rFonts w:ascii="Calibri" w:eastAsia="Times New Roman" w:hAnsi="Calibri" w:cs="Arial"/>
          <w:sz w:val="22"/>
          <w:szCs w:val="22"/>
          <w:lang w:val="en-GB" w:eastAsia="en-GB"/>
        </w:rPr>
        <w:t>(joint)</w:t>
      </w:r>
    </w:p>
    <w:p w14:paraId="404E8300" w14:textId="77777777" w:rsidR="00497DB1" w:rsidRPr="00497DB1" w:rsidRDefault="00497DB1" w:rsidP="00497DB1">
      <w:pPr>
        <w:numPr>
          <w:ilvl w:val="0"/>
          <w:numId w:val="20"/>
        </w:numPr>
        <w:contextualSpacing/>
        <w:jc w:val="both"/>
        <w:rPr>
          <w:rFonts w:ascii="Calibri" w:eastAsia="Times New Roman" w:hAnsi="Calibri" w:cs="Arial"/>
          <w:sz w:val="22"/>
          <w:szCs w:val="22"/>
          <w:lang w:val="en-GB" w:eastAsia="en-GB"/>
        </w:rPr>
      </w:pPr>
      <w:r w:rsidRPr="00497DB1">
        <w:rPr>
          <w:rFonts w:ascii="Calibri" w:eastAsia="Times New Roman" w:hAnsi="Calibri" w:cs="Arial"/>
          <w:sz w:val="22"/>
          <w:szCs w:val="22"/>
          <w:lang w:val="en-GB" w:eastAsia="en-GB"/>
        </w:rPr>
        <w:t>Imprest 20/21</w:t>
      </w:r>
    </w:p>
    <w:p w14:paraId="1F045B30" w14:textId="77777777" w:rsidR="00497DB1" w:rsidRPr="00497DB1" w:rsidRDefault="00497DB1" w:rsidP="00497DB1">
      <w:pPr>
        <w:numPr>
          <w:ilvl w:val="0"/>
          <w:numId w:val="20"/>
        </w:numPr>
        <w:contextualSpacing/>
        <w:jc w:val="both"/>
        <w:rPr>
          <w:rFonts w:ascii="Calibri" w:eastAsia="Times New Roman" w:hAnsi="Calibri" w:cs="Arial"/>
          <w:sz w:val="22"/>
          <w:szCs w:val="22"/>
          <w:lang w:val="en-GB" w:eastAsia="en-GB"/>
        </w:rPr>
      </w:pPr>
      <w:r w:rsidRPr="00497DB1">
        <w:rPr>
          <w:rFonts w:ascii="Calibri" w:eastAsia="Times New Roman" w:hAnsi="Calibri" w:cs="Arial"/>
          <w:sz w:val="22"/>
          <w:szCs w:val="22"/>
          <w:lang w:val="en-GB" w:eastAsia="en-GB"/>
        </w:rPr>
        <w:t>Independent Custody arrangements 20/21</w:t>
      </w:r>
    </w:p>
    <w:p w14:paraId="052AFF28" w14:textId="790F9222" w:rsidR="00497DB1" w:rsidRPr="00497DB1" w:rsidRDefault="00497DB1" w:rsidP="00497DB1">
      <w:pPr>
        <w:numPr>
          <w:ilvl w:val="0"/>
          <w:numId w:val="20"/>
        </w:numPr>
        <w:contextualSpacing/>
        <w:jc w:val="both"/>
        <w:rPr>
          <w:rFonts w:ascii="Calibri" w:eastAsia="Times New Roman" w:hAnsi="Calibri" w:cs="Arial"/>
          <w:sz w:val="22"/>
          <w:szCs w:val="22"/>
          <w:lang w:val="en-GB" w:eastAsia="en-GB"/>
        </w:rPr>
      </w:pPr>
      <w:r w:rsidRPr="00497DB1">
        <w:rPr>
          <w:rFonts w:ascii="Calibri" w:eastAsia="Times New Roman" w:hAnsi="Calibri" w:cs="Arial"/>
          <w:sz w:val="22"/>
          <w:szCs w:val="22"/>
          <w:lang w:val="en-GB" w:eastAsia="en-GB"/>
        </w:rPr>
        <w:t>Governance of Collaborative Arrangements 20/21</w:t>
      </w:r>
      <w:r w:rsidR="00D34E94">
        <w:rPr>
          <w:rFonts w:ascii="Calibri" w:eastAsia="Times New Roman" w:hAnsi="Calibri" w:cs="Arial"/>
          <w:sz w:val="22"/>
          <w:szCs w:val="22"/>
          <w:lang w:val="en-GB" w:eastAsia="en-GB"/>
        </w:rPr>
        <w:t xml:space="preserve"> (joint)</w:t>
      </w:r>
    </w:p>
    <w:p w14:paraId="5D8B5647" w14:textId="77777777" w:rsidR="00497DB1" w:rsidRPr="00497DB1" w:rsidRDefault="00497DB1" w:rsidP="00497DB1">
      <w:pPr>
        <w:numPr>
          <w:ilvl w:val="0"/>
          <w:numId w:val="20"/>
        </w:numPr>
        <w:contextualSpacing/>
        <w:jc w:val="both"/>
        <w:rPr>
          <w:rFonts w:ascii="Calibri" w:eastAsia="Times New Roman" w:hAnsi="Calibri" w:cs="Arial"/>
          <w:sz w:val="22"/>
          <w:szCs w:val="22"/>
          <w:lang w:val="en-GB" w:eastAsia="en-GB"/>
        </w:rPr>
      </w:pPr>
      <w:r w:rsidRPr="00497DB1">
        <w:rPr>
          <w:rFonts w:ascii="Calibri" w:eastAsia="Times New Roman" w:hAnsi="Calibri" w:cs="Arial"/>
          <w:sz w:val="22"/>
          <w:szCs w:val="22"/>
          <w:lang w:val="en-GB" w:eastAsia="en-GB"/>
        </w:rPr>
        <w:t>Payroll 20/21</w:t>
      </w:r>
    </w:p>
    <w:p w14:paraId="4579DD33" w14:textId="77777777" w:rsidR="00497DB1" w:rsidRPr="00497DB1" w:rsidRDefault="00497DB1" w:rsidP="00497DB1">
      <w:pPr>
        <w:numPr>
          <w:ilvl w:val="0"/>
          <w:numId w:val="20"/>
        </w:numPr>
        <w:contextualSpacing/>
        <w:jc w:val="both"/>
        <w:rPr>
          <w:rFonts w:ascii="Calibri" w:eastAsia="Times New Roman" w:hAnsi="Calibri" w:cs="Arial"/>
          <w:sz w:val="22"/>
          <w:szCs w:val="22"/>
          <w:lang w:val="en-GB" w:eastAsia="en-GB"/>
        </w:rPr>
      </w:pPr>
      <w:r w:rsidRPr="00497DB1">
        <w:rPr>
          <w:rFonts w:ascii="Calibri" w:eastAsia="Times New Roman" w:hAnsi="Calibri" w:cs="Arial"/>
          <w:sz w:val="22"/>
          <w:szCs w:val="22"/>
          <w:lang w:val="en-GB" w:eastAsia="en-GB"/>
        </w:rPr>
        <w:t>Accounts Payable 20/21</w:t>
      </w:r>
    </w:p>
    <w:p w14:paraId="6F27CD95" w14:textId="77777777" w:rsidR="00497DB1" w:rsidRPr="00497DB1" w:rsidRDefault="00497DB1" w:rsidP="00497DB1">
      <w:pPr>
        <w:numPr>
          <w:ilvl w:val="0"/>
          <w:numId w:val="20"/>
        </w:numPr>
        <w:contextualSpacing/>
        <w:jc w:val="both"/>
        <w:rPr>
          <w:rFonts w:ascii="Calibri" w:eastAsia="Times New Roman" w:hAnsi="Calibri" w:cs="Arial"/>
          <w:sz w:val="22"/>
          <w:szCs w:val="22"/>
          <w:lang w:val="en-GB" w:eastAsia="en-GB"/>
        </w:rPr>
      </w:pPr>
      <w:r w:rsidRPr="00497DB1">
        <w:rPr>
          <w:rFonts w:ascii="Calibri" w:eastAsia="Times New Roman" w:hAnsi="Calibri" w:cs="Arial"/>
          <w:sz w:val="22"/>
          <w:szCs w:val="22"/>
          <w:lang w:val="en-GB" w:eastAsia="en-GB"/>
        </w:rPr>
        <w:t>Accounts Receivable 20/21</w:t>
      </w:r>
    </w:p>
    <w:p w14:paraId="0D8B3B5B" w14:textId="77777777" w:rsidR="00012441" w:rsidRPr="00497DB1" w:rsidRDefault="00012441" w:rsidP="00012441">
      <w:pPr>
        <w:ind w:left="709" w:hanging="709"/>
        <w:jc w:val="both"/>
        <w:rPr>
          <w:rFonts w:ascii="Calibri" w:hAnsi="Calibri"/>
          <w:sz w:val="22"/>
          <w:szCs w:val="22"/>
        </w:rPr>
      </w:pPr>
    </w:p>
    <w:p w14:paraId="3170D558" w14:textId="655068A8" w:rsidR="00012441" w:rsidRPr="00497DB1" w:rsidRDefault="00012441" w:rsidP="00012441">
      <w:pPr>
        <w:ind w:left="709" w:hanging="709"/>
        <w:jc w:val="both"/>
        <w:rPr>
          <w:rFonts w:ascii="Calibri" w:hAnsi="Calibri"/>
          <w:sz w:val="22"/>
          <w:szCs w:val="22"/>
        </w:rPr>
      </w:pPr>
      <w:r w:rsidRPr="00497DB1">
        <w:rPr>
          <w:rFonts w:ascii="Calibri" w:hAnsi="Calibri"/>
          <w:sz w:val="22"/>
          <w:szCs w:val="22"/>
        </w:rPr>
        <w:t>8.</w:t>
      </w:r>
      <w:r>
        <w:rPr>
          <w:rFonts w:ascii="Calibri" w:hAnsi="Calibri"/>
          <w:sz w:val="22"/>
          <w:szCs w:val="22"/>
        </w:rPr>
        <w:t>6</w:t>
      </w:r>
      <w:r w:rsidRPr="00497DB1">
        <w:rPr>
          <w:rFonts w:ascii="Calibri" w:hAnsi="Calibri"/>
          <w:sz w:val="22"/>
          <w:szCs w:val="22"/>
        </w:rPr>
        <w:tab/>
        <w:t xml:space="preserve">In 2020-21 the following Internal Audit reports were given an opinion of </w:t>
      </w:r>
      <w:r>
        <w:rPr>
          <w:rFonts w:ascii="Calibri" w:hAnsi="Calibri"/>
          <w:sz w:val="22"/>
          <w:szCs w:val="22"/>
        </w:rPr>
        <w:t>reasonable</w:t>
      </w:r>
      <w:r w:rsidRPr="00497DB1">
        <w:rPr>
          <w:rFonts w:ascii="Calibri" w:hAnsi="Calibri"/>
          <w:sz w:val="22"/>
          <w:szCs w:val="22"/>
        </w:rPr>
        <w:t xml:space="preserve"> assurance: </w:t>
      </w:r>
    </w:p>
    <w:p w14:paraId="46A42439" w14:textId="3070C150" w:rsidR="00D34E94" w:rsidRPr="0073748E" w:rsidRDefault="00D34E94">
      <w:pPr>
        <w:numPr>
          <w:ilvl w:val="0"/>
          <w:numId w:val="20"/>
        </w:numPr>
        <w:contextualSpacing/>
        <w:jc w:val="both"/>
        <w:rPr>
          <w:rFonts w:ascii="Calibri" w:eastAsia="Times New Roman" w:hAnsi="Calibri" w:cs="Arial"/>
          <w:sz w:val="20"/>
          <w:szCs w:val="22"/>
          <w:lang w:val="en-GB" w:eastAsia="en-GB"/>
        </w:rPr>
      </w:pPr>
      <w:r>
        <w:rPr>
          <w:rFonts w:ascii="Calibri" w:eastAsia="Times New Roman" w:hAnsi="Calibri" w:cs="Arial"/>
          <w:sz w:val="20"/>
          <w:szCs w:val="22"/>
          <w:lang w:val="en-GB" w:eastAsia="en-GB"/>
        </w:rPr>
        <w:t>Cyber security – security monitoring 19/20 carry forward (Joint)</w:t>
      </w:r>
    </w:p>
    <w:p w14:paraId="50CA1BB1" w14:textId="11015E67" w:rsidR="00012441" w:rsidRPr="00EA527A" w:rsidRDefault="00012441" w:rsidP="00012441">
      <w:pPr>
        <w:numPr>
          <w:ilvl w:val="0"/>
          <w:numId w:val="20"/>
        </w:numPr>
        <w:contextualSpacing/>
        <w:jc w:val="both"/>
        <w:rPr>
          <w:rFonts w:ascii="Calibri" w:eastAsia="Times New Roman" w:hAnsi="Calibri" w:cs="Arial"/>
          <w:sz w:val="20"/>
          <w:szCs w:val="22"/>
          <w:lang w:val="en-GB" w:eastAsia="en-GB"/>
        </w:rPr>
      </w:pPr>
      <w:r w:rsidRPr="00EA527A">
        <w:rPr>
          <w:rFonts w:ascii="Calibri" w:eastAsia="Times New Roman" w:hAnsi="Calibri" w:cs="Arial"/>
          <w:sz w:val="22"/>
          <w:szCs w:val="22"/>
          <w:lang w:val="en-GB" w:eastAsia="en-GB"/>
        </w:rPr>
        <w:t>Main accounting system</w:t>
      </w:r>
    </w:p>
    <w:p w14:paraId="74953B5A" w14:textId="77777777" w:rsidR="00012441" w:rsidRPr="00EA527A" w:rsidRDefault="00012441" w:rsidP="00012441">
      <w:pPr>
        <w:numPr>
          <w:ilvl w:val="0"/>
          <w:numId w:val="20"/>
        </w:numPr>
        <w:contextualSpacing/>
        <w:jc w:val="both"/>
        <w:rPr>
          <w:rFonts w:ascii="Calibri" w:eastAsia="Times New Roman" w:hAnsi="Calibri" w:cs="Arial"/>
          <w:sz w:val="20"/>
          <w:szCs w:val="22"/>
          <w:lang w:val="en-GB" w:eastAsia="en-GB"/>
        </w:rPr>
      </w:pPr>
      <w:r w:rsidRPr="00EA527A">
        <w:rPr>
          <w:rFonts w:ascii="Calibri" w:eastAsia="Times New Roman" w:hAnsi="Calibri" w:cs="Arial"/>
          <w:sz w:val="22"/>
          <w:szCs w:val="22"/>
          <w:lang w:val="en-GB" w:eastAsia="en-GB"/>
        </w:rPr>
        <w:t>Business continuity (joint)</w:t>
      </w:r>
    </w:p>
    <w:p w14:paraId="1C12D4AC" w14:textId="77777777" w:rsidR="00012441" w:rsidRPr="00EA527A" w:rsidRDefault="00012441" w:rsidP="00012441">
      <w:pPr>
        <w:numPr>
          <w:ilvl w:val="0"/>
          <w:numId w:val="20"/>
        </w:numPr>
        <w:contextualSpacing/>
        <w:jc w:val="both"/>
        <w:rPr>
          <w:rFonts w:ascii="Calibri" w:eastAsia="Times New Roman" w:hAnsi="Calibri" w:cs="Arial"/>
          <w:sz w:val="20"/>
          <w:szCs w:val="22"/>
          <w:lang w:val="en-GB" w:eastAsia="en-GB"/>
        </w:rPr>
      </w:pPr>
      <w:r w:rsidRPr="00EA527A">
        <w:rPr>
          <w:rFonts w:ascii="Calibri" w:eastAsia="Times New Roman" w:hAnsi="Calibri" w:cs="Arial"/>
          <w:sz w:val="22"/>
          <w:szCs w:val="22"/>
          <w:lang w:val="en-GB" w:eastAsia="en-GB"/>
        </w:rPr>
        <w:t>Pension administration arrangements (joint)</w:t>
      </w:r>
    </w:p>
    <w:p w14:paraId="19759065" w14:textId="77777777" w:rsidR="00012441" w:rsidRPr="00EA527A" w:rsidRDefault="00012441" w:rsidP="00012441">
      <w:pPr>
        <w:numPr>
          <w:ilvl w:val="0"/>
          <w:numId w:val="20"/>
        </w:numPr>
        <w:contextualSpacing/>
        <w:jc w:val="both"/>
        <w:rPr>
          <w:rFonts w:ascii="Calibri" w:eastAsia="Times New Roman" w:hAnsi="Calibri" w:cs="Arial"/>
          <w:sz w:val="20"/>
          <w:szCs w:val="22"/>
          <w:lang w:val="en-GB" w:eastAsia="en-GB"/>
        </w:rPr>
      </w:pPr>
      <w:r w:rsidRPr="00EA527A">
        <w:rPr>
          <w:rFonts w:ascii="Calibri" w:eastAsia="Times New Roman" w:hAnsi="Calibri" w:cs="Arial"/>
          <w:sz w:val="22"/>
          <w:szCs w:val="22"/>
          <w:lang w:val="en-GB" w:eastAsia="en-GB"/>
        </w:rPr>
        <w:t>Recruitment (joint)</w:t>
      </w:r>
    </w:p>
    <w:p w14:paraId="4E313839" w14:textId="77777777" w:rsidR="00012441" w:rsidRPr="00EA527A" w:rsidRDefault="00012441" w:rsidP="00012441">
      <w:pPr>
        <w:numPr>
          <w:ilvl w:val="0"/>
          <w:numId w:val="20"/>
        </w:numPr>
        <w:contextualSpacing/>
        <w:jc w:val="both"/>
        <w:rPr>
          <w:rFonts w:ascii="Calibri" w:eastAsia="Times New Roman" w:hAnsi="Calibri" w:cs="Arial"/>
          <w:sz w:val="20"/>
          <w:szCs w:val="22"/>
          <w:lang w:val="en-GB" w:eastAsia="en-GB"/>
        </w:rPr>
      </w:pPr>
      <w:r w:rsidRPr="00EA527A">
        <w:rPr>
          <w:rFonts w:ascii="Calibri" w:eastAsia="Times New Roman" w:hAnsi="Calibri" w:cs="Arial"/>
          <w:sz w:val="22"/>
          <w:szCs w:val="22"/>
          <w:lang w:val="en-GB" w:eastAsia="en-GB"/>
        </w:rPr>
        <w:t>Procurement (joint)</w:t>
      </w:r>
    </w:p>
    <w:p w14:paraId="5146D220" w14:textId="77777777" w:rsidR="00012441" w:rsidRPr="00EA527A" w:rsidRDefault="00012441" w:rsidP="00012441">
      <w:pPr>
        <w:numPr>
          <w:ilvl w:val="0"/>
          <w:numId w:val="20"/>
        </w:numPr>
        <w:contextualSpacing/>
        <w:jc w:val="both"/>
        <w:rPr>
          <w:rFonts w:ascii="Calibri" w:eastAsia="Times New Roman" w:hAnsi="Calibri" w:cs="Arial"/>
          <w:sz w:val="20"/>
          <w:szCs w:val="22"/>
          <w:lang w:val="en-GB" w:eastAsia="en-GB"/>
        </w:rPr>
      </w:pPr>
      <w:r w:rsidRPr="00EA527A">
        <w:rPr>
          <w:rFonts w:ascii="Calibri" w:eastAsia="Times New Roman" w:hAnsi="Calibri" w:cs="Arial"/>
          <w:sz w:val="22"/>
          <w:szCs w:val="22"/>
          <w:lang w:val="en-GB" w:eastAsia="en-GB"/>
        </w:rPr>
        <w:t>Information governance – data sharing agreements (joint)</w:t>
      </w:r>
    </w:p>
    <w:p w14:paraId="24F7F34A" w14:textId="77777777" w:rsidR="00012441" w:rsidRPr="00EA527A" w:rsidRDefault="00012441" w:rsidP="00012441">
      <w:pPr>
        <w:numPr>
          <w:ilvl w:val="0"/>
          <w:numId w:val="20"/>
        </w:numPr>
        <w:contextualSpacing/>
        <w:jc w:val="both"/>
        <w:rPr>
          <w:rFonts w:ascii="Calibri" w:eastAsia="Times New Roman" w:hAnsi="Calibri" w:cs="Arial"/>
          <w:sz w:val="20"/>
          <w:szCs w:val="22"/>
          <w:lang w:val="en-GB" w:eastAsia="en-GB"/>
        </w:rPr>
      </w:pPr>
      <w:r w:rsidRPr="00EA527A">
        <w:rPr>
          <w:rFonts w:ascii="Calibri" w:eastAsia="Times New Roman" w:hAnsi="Calibri" w:cs="Arial"/>
          <w:sz w:val="22"/>
          <w:szCs w:val="22"/>
          <w:lang w:val="en-GB" w:eastAsia="en-GB"/>
        </w:rPr>
        <w:t xml:space="preserve">Security controls (joint) </w:t>
      </w:r>
    </w:p>
    <w:p w14:paraId="573D134E" w14:textId="77777777" w:rsidR="00012441" w:rsidRPr="00EA527A" w:rsidRDefault="00012441" w:rsidP="00012441">
      <w:pPr>
        <w:numPr>
          <w:ilvl w:val="0"/>
          <w:numId w:val="20"/>
        </w:numPr>
        <w:contextualSpacing/>
        <w:jc w:val="both"/>
        <w:rPr>
          <w:rFonts w:ascii="Calibri" w:eastAsia="Times New Roman" w:hAnsi="Calibri" w:cs="Arial"/>
          <w:sz w:val="20"/>
          <w:szCs w:val="22"/>
          <w:lang w:val="en-GB" w:eastAsia="en-GB"/>
        </w:rPr>
      </w:pPr>
      <w:r w:rsidRPr="00EA527A">
        <w:rPr>
          <w:rFonts w:ascii="Calibri" w:eastAsia="Times New Roman" w:hAnsi="Calibri" w:cs="Arial"/>
          <w:sz w:val="22"/>
          <w:szCs w:val="22"/>
          <w:lang w:val="en-GB" w:eastAsia="en-GB"/>
        </w:rPr>
        <w:t>Systems lifecycle support and planning (joint)</w:t>
      </w:r>
    </w:p>
    <w:p w14:paraId="4EB19418" w14:textId="273F77CD" w:rsidR="00012441" w:rsidRPr="0073748E" w:rsidRDefault="00012441" w:rsidP="0073748E">
      <w:pPr>
        <w:numPr>
          <w:ilvl w:val="0"/>
          <w:numId w:val="20"/>
        </w:numPr>
        <w:contextualSpacing/>
        <w:jc w:val="both"/>
        <w:rPr>
          <w:rFonts w:ascii="Calibri" w:eastAsia="Times New Roman" w:hAnsi="Calibri" w:cs="Arial"/>
          <w:sz w:val="20"/>
          <w:szCs w:val="22"/>
          <w:lang w:val="en-GB" w:eastAsia="en-GB"/>
        </w:rPr>
      </w:pPr>
      <w:r w:rsidRPr="00EA527A">
        <w:rPr>
          <w:rFonts w:ascii="Calibri" w:eastAsia="Times New Roman" w:hAnsi="Calibri" w:cs="Arial"/>
          <w:sz w:val="22"/>
          <w:szCs w:val="22"/>
          <w:lang w:val="en-GB" w:eastAsia="en-GB"/>
        </w:rPr>
        <w:t xml:space="preserve">Monitoring, assurance and compliance (joint) </w:t>
      </w:r>
    </w:p>
    <w:p w14:paraId="2AE92EB5" w14:textId="77777777" w:rsidR="00012441" w:rsidRPr="00497DB1" w:rsidRDefault="00012441" w:rsidP="00C5423F">
      <w:pPr>
        <w:ind w:left="709" w:hanging="709"/>
        <w:jc w:val="both"/>
        <w:rPr>
          <w:rFonts w:ascii="Calibri" w:hAnsi="Calibri"/>
          <w:sz w:val="22"/>
          <w:szCs w:val="22"/>
        </w:rPr>
      </w:pPr>
    </w:p>
    <w:p w14:paraId="7927B7EA" w14:textId="004B246C" w:rsidR="00497DB1" w:rsidRPr="00497DB1" w:rsidRDefault="00C5423F" w:rsidP="00497DB1">
      <w:pPr>
        <w:ind w:left="709" w:hanging="709"/>
        <w:jc w:val="both"/>
        <w:rPr>
          <w:rFonts w:ascii="Calibri" w:hAnsi="Calibri"/>
          <w:sz w:val="22"/>
          <w:szCs w:val="22"/>
        </w:rPr>
      </w:pPr>
      <w:r w:rsidRPr="00497DB1">
        <w:rPr>
          <w:rFonts w:ascii="Calibri" w:hAnsi="Calibri"/>
          <w:sz w:val="22"/>
          <w:szCs w:val="22"/>
        </w:rPr>
        <w:t>8.</w:t>
      </w:r>
      <w:r w:rsidR="000029AE">
        <w:rPr>
          <w:rFonts w:ascii="Calibri" w:hAnsi="Calibri"/>
          <w:sz w:val="22"/>
          <w:szCs w:val="22"/>
        </w:rPr>
        <w:t>7</w:t>
      </w:r>
      <w:r w:rsidRPr="00497DB1">
        <w:rPr>
          <w:rFonts w:ascii="Calibri" w:hAnsi="Calibri"/>
          <w:sz w:val="22"/>
          <w:szCs w:val="22"/>
        </w:rPr>
        <w:tab/>
      </w:r>
      <w:r w:rsidR="00497DB1" w:rsidRPr="00497DB1">
        <w:rPr>
          <w:rFonts w:ascii="Calibri" w:hAnsi="Calibri"/>
          <w:sz w:val="22"/>
          <w:szCs w:val="22"/>
        </w:rPr>
        <w:t>In 2020-21 the following Internal Audit reports were given an opinion of limited assurance, however the issues raised in these reviews were not considered by SIAP to be significant in the context of the overall governance, risk management and control system:</w:t>
      </w:r>
    </w:p>
    <w:p w14:paraId="03C775F6" w14:textId="77777777" w:rsidR="00497DB1" w:rsidRPr="00497DB1" w:rsidRDefault="00497DB1" w:rsidP="00497DB1">
      <w:pPr>
        <w:numPr>
          <w:ilvl w:val="0"/>
          <w:numId w:val="20"/>
        </w:numPr>
        <w:contextualSpacing/>
        <w:jc w:val="both"/>
        <w:rPr>
          <w:rFonts w:ascii="Calibri" w:eastAsia="Times New Roman" w:hAnsi="Calibri" w:cs="Arial"/>
          <w:sz w:val="22"/>
          <w:szCs w:val="22"/>
          <w:lang w:val="en-GB" w:eastAsia="en-GB"/>
        </w:rPr>
      </w:pPr>
      <w:r w:rsidRPr="00497DB1">
        <w:rPr>
          <w:rFonts w:ascii="Calibri" w:eastAsia="Times New Roman" w:hAnsi="Calibri" w:cs="Arial"/>
          <w:sz w:val="22"/>
          <w:szCs w:val="22"/>
          <w:lang w:val="en-GB" w:eastAsia="en-GB"/>
        </w:rPr>
        <w:t>Estates Management 20/21</w:t>
      </w:r>
    </w:p>
    <w:p w14:paraId="16050BDA" w14:textId="77777777" w:rsidR="00497DB1" w:rsidRPr="00497DB1" w:rsidRDefault="00497DB1" w:rsidP="00497DB1">
      <w:pPr>
        <w:numPr>
          <w:ilvl w:val="0"/>
          <w:numId w:val="20"/>
        </w:numPr>
        <w:contextualSpacing/>
        <w:jc w:val="both"/>
        <w:rPr>
          <w:rFonts w:ascii="Calibri" w:eastAsia="Times New Roman" w:hAnsi="Calibri" w:cs="Arial"/>
          <w:sz w:val="22"/>
          <w:szCs w:val="22"/>
          <w:lang w:val="en-GB" w:eastAsia="en-GB"/>
        </w:rPr>
      </w:pPr>
      <w:r w:rsidRPr="00497DB1">
        <w:rPr>
          <w:rFonts w:ascii="Calibri" w:eastAsia="Times New Roman" w:hAnsi="Calibri" w:cs="Arial"/>
          <w:sz w:val="22"/>
          <w:szCs w:val="22"/>
          <w:lang w:val="en-GB" w:eastAsia="en-GB"/>
        </w:rPr>
        <w:t>Organisational Risk Management Framework 20/21</w:t>
      </w:r>
    </w:p>
    <w:p w14:paraId="5AA4677C" w14:textId="5DC0F0CA" w:rsidR="00497DB1" w:rsidRDefault="00497DB1" w:rsidP="00497DB1">
      <w:pPr>
        <w:numPr>
          <w:ilvl w:val="0"/>
          <w:numId w:val="20"/>
        </w:numPr>
        <w:contextualSpacing/>
        <w:jc w:val="both"/>
        <w:rPr>
          <w:rFonts w:ascii="Calibri" w:eastAsia="Times New Roman" w:hAnsi="Calibri" w:cs="Arial"/>
          <w:sz w:val="22"/>
          <w:szCs w:val="22"/>
          <w:lang w:val="en-GB" w:eastAsia="en-GB"/>
        </w:rPr>
      </w:pPr>
      <w:r w:rsidRPr="00497DB1">
        <w:rPr>
          <w:rFonts w:ascii="Calibri" w:eastAsia="Times New Roman" w:hAnsi="Calibri" w:cs="Arial"/>
          <w:sz w:val="22"/>
          <w:szCs w:val="22"/>
          <w:lang w:val="en-GB" w:eastAsia="en-GB"/>
        </w:rPr>
        <w:t xml:space="preserve">IT Business Continuity/Disaster Recovery Planning 19/20 </w:t>
      </w:r>
      <w:r w:rsidR="007C4BA6">
        <w:rPr>
          <w:rFonts w:ascii="Calibri" w:eastAsia="Times New Roman" w:hAnsi="Calibri" w:cs="Arial"/>
          <w:sz w:val="22"/>
          <w:szCs w:val="22"/>
          <w:lang w:val="en-GB" w:eastAsia="en-GB"/>
        </w:rPr>
        <w:t>(j</w:t>
      </w:r>
      <w:r w:rsidRPr="00497DB1">
        <w:rPr>
          <w:rFonts w:ascii="Calibri" w:eastAsia="Times New Roman" w:hAnsi="Calibri" w:cs="Arial"/>
          <w:sz w:val="22"/>
          <w:szCs w:val="22"/>
          <w:lang w:val="en-GB" w:eastAsia="en-GB"/>
        </w:rPr>
        <w:t>oint</w:t>
      </w:r>
      <w:r w:rsidR="007C4BA6">
        <w:rPr>
          <w:rFonts w:ascii="Calibri" w:eastAsia="Times New Roman" w:hAnsi="Calibri" w:cs="Arial"/>
          <w:sz w:val="22"/>
          <w:szCs w:val="22"/>
          <w:lang w:val="en-GB" w:eastAsia="en-GB"/>
        </w:rPr>
        <w:t>)</w:t>
      </w:r>
    </w:p>
    <w:p w14:paraId="541096E4" w14:textId="77777777" w:rsidR="007C4BA6" w:rsidRDefault="007C4BA6" w:rsidP="007C4BA6">
      <w:pPr>
        <w:pStyle w:val="ListParagraph"/>
        <w:numPr>
          <w:ilvl w:val="0"/>
          <w:numId w:val="20"/>
        </w:numPr>
        <w:jc w:val="both"/>
        <w:rPr>
          <w:rFonts w:ascii="Calibri" w:hAnsi="Calibri"/>
          <w:sz w:val="22"/>
        </w:rPr>
      </w:pPr>
      <w:r>
        <w:rPr>
          <w:rFonts w:ascii="Calibri" w:hAnsi="Calibri"/>
          <w:sz w:val="22"/>
        </w:rPr>
        <w:t>Commercial Unit (19/20) carry forward (joint)</w:t>
      </w:r>
    </w:p>
    <w:p w14:paraId="1B797F13" w14:textId="77777777" w:rsidR="007C4BA6" w:rsidRDefault="007C4BA6" w:rsidP="007C4BA6">
      <w:pPr>
        <w:pStyle w:val="ListParagraph"/>
        <w:numPr>
          <w:ilvl w:val="0"/>
          <w:numId w:val="20"/>
        </w:numPr>
        <w:jc w:val="both"/>
        <w:rPr>
          <w:rFonts w:ascii="Calibri" w:hAnsi="Calibri"/>
          <w:sz w:val="22"/>
        </w:rPr>
      </w:pPr>
      <w:r>
        <w:rPr>
          <w:rFonts w:ascii="Calibri" w:hAnsi="Calibri"/>
          <w:sz w:val="22"/>
        </w:rPr>
        <w:t>Cyber security 3</w:t>
      </w:r>
      <w:r w:rsidRPr="004527AB">
        <w:rPr>
          <w:rFonts w:ascii="Calibri" w:hAnsi="Calibri"/>
          <w:sz w:val="22"/>
          <w:vertAlign w:val="superscript"/>
        </w:rPr>
        <w:t>rd</w:t>
      </w:r>
      <w:r>
        <w:rPr>
          <w:rFonts w:ascii="Calibri" w:hAnsi="Calibri"/>
          <w:sz w:val="22"/>
        </w:rPr>
        <w:t xml:space="preserve"> party management 19-20 carry forward (joint)</w:t>
      </w:r>
    </w:p>
    <w:p w14:paraId="1F0CB201" w14:textId="77777777" w:rsidR="007C4BA6" w:rsidRDefault="007C4BA6" w:rsidP="007C4BA6">
      <w:pPr>
        <w:pStyle w:val="ListParagraph"/>
        <w:numPr>
          <w:ilvl w:val="0"/>
          <w:numId w:val="20"/>
        </w:numPr>
        <w:jc w:val="both"/>
        <w:rPr>
          <w:rFonts w:ascii="Calibri" w:hAnsi="Calibri"/>
          <w:sz w:val="22"/>
        </w:rPr>
      </w:pPr>
      <w:r>
        <w:rPr>
          <w:rFonts w:ascii="Calibri" w:hAnsi="Calibri"/>
          <w:sz w:val="22"/>
        </w:rPr>
        <w:t>Application Management 19/20 carry forward (joint)</w:t>
      </w:r>
    </w:p>
    <w:p w14:paraId="65660E79" w14:textId="35EA94BF" w:rsidR="00D34E94" w:rsidRPr="00497DB1" w:rsidRDefault="00D34E94" w:rsidP="00497DB1">
      <w:pPr>
        <w:numPr>
          <w:ilvl w:val="0"/>
          <w:numId w:val="20"/>
        </w:numPr>
        <w:contextualSpacing/>
        <w:jc w:val="both"/>
        <w:rPr>
          <w:rFonts w:ascii="Calibri" w:eastAsia="Times New Roman" w:hAnsi="Calibri" w:cs="Arial"/>
          <w:sz w:val="22"/>
          <w:szCs w:val="22"/>
          <w:lang w:val="en-GB" w:eastAsia="en-GB"/>
        </w:rPr>
      </w:pPr>
      <w:r>
        <w:rPr>
          <w:rFonts w:ascii="Calibri" w:eastAsia="Times New Roman" w:hAnsi="Calibri" w:cs="Arial"/>
          <w:sz w:val="22"/>
          <w:szCs w:val="22"/>
          <w:lang w:val="en-GB" w:eastAsia="en-GB"/>
        </w:rPr>
        <w:t>IT Asse</w:t>
      </w:r>
      <w:r w:rsidR="007C4BA6">
        <w:rPr>
          <w:rFonts w:ascii="Calibri" w:eastAsia="Times New Roman" w:hAnsi="Calibri" w:cs="Arial"/>
          <w:sz w:val="22"/>
          <w:szCs w:val="22"/>
          <w:lang w:val="en-GB" w:eastAsia="en-GB"/>
        </w:rPr>
        <w:t xml:space="preserve">t Management </w:t>
      </w:r>
      <w:r w:rsidR="00EA7E62">
        <w:rPr>
          <w:rFonts w:ascii="Calibri" w:eastAsia="Times New Roman" w:hAnsi="Calibri" w:cs="Arial"/>
          <w:sz w:val="22"/>
          <w:szCs w:val="22"/>
          <w:lang w:val="en-GB" w:eastAsia="en-GB"/>
        </w:rPr>
        <w:t xml:space="preserve">and Software Licensing 20/21 </w:t>
      </w:r>
      <w:r w:rsidR="007C4BA6">
        <w:rPr>
          <w:rFonts w:ascii="Calibri" w:eastAsia="Times New Roman" w:hAnsi="Calibri" w:cs="Arial"/>
          <w:sz w:val="22"/>
          <w:szCs w:val="22"/>
          <w:lang w:val="en-GB" w:eastAsia="en-GB"/>
        </w:rPr>
        <w:t>(j</w:t>
      </w:r>
      <w:r>
        <w:rPr>
          <w:rFonts w:ascii="Calibri" w:eastAsia="Times New Roman" w:hAnsi="Calibri" w:cs="Arial"/>
          <w:sz w:val="22"/>
          <w:szCs w:val="22"/>
          <w:lang w:val="en-GB" w:eastAsia="en-GB"/>
        </w:rPr>
        <w:t>oint)</w:t>
      </w:r>
    </w:p>
    <w:p w14:paraId="679D3327" w14:textId="77777777" w:rsidR="00C5423F" w:rsidRPr="00497DB1" w:rsidRDefault="00C5423F" w:rsidP="00C5423F">
      <w:pPr>
        <w:ind w:left="709" w:hanging="709"/>
        <w:jc w:val="both"/>
        <w:rPr>
          <w:rFonts w:ascii="Calibri" w:hAnsi="Calibri"/>
          <w:sz w:val="22"/>
          <w:szCs w:val="22"/>
          <w:lang w:eastAsia="en-GB"/>
        </w:rPr>
      </w:pPr>
    </w:p>
    <w:p w14:paraId="14C05D0D" w14:textId="494D644E" w:rsidR="00C5423F" w:rsidRPr="00DC1077" w:rsidRDefault="00497DB1" w:rsidP="00C5423F">
      <w:pPr>
        <w:ind w:left="709" w:hanging="709"/>
        <w:jc w:val="both"/>
        <w:rPr>
          <w:rFonts w:ascii="Calibri" w:hAnsi="Calibri"/>
          <w:sz w:val="22"/>
          <w:szCs w:val="22"/>
          <w:highlight w:val="yellow"/>
          <w:lang w:eastAsia="en-GB"/>
        </w:rPr>
      </w:pPr>
      <w:r w:rsidRPr="00497DB1">
        <w:rPr>
          <w:rFonts w:ascii="Calibri" w:hAnsi="Calibri"/>
          <w:sz w:val="22"/>
          <w:szCs w:val="22"/>
          <w:lang w:eastAsia="en-GB"/>
        </w:rPr>
        <w:t>8.</w:t>
      </w:r>
      <w:r w:rsidR="000029AE">
        <w:rPr>
          <w:rFonts w:ascii="Calibri" w:hAnsi="Calibri"/>
          <w:sz w:val="22"/>
          <w:szCs w:val="22"/>
          <w:lang w:eastAsia="en-GB"/>
        </w:rPr>
        <w:t>8</w:t>
      </w:r>
      <w:r w:rsidRPr="00497DB1">
        <w:rPr>
          <w:rFonts w:ascii="Calibri" w:hAnsi="Calibri"/>
          <w:sz w:val="22"/>
          <w:szCs w:val="22"/>
          <w:lang w:eastAsia="en-GB"/>
        </w:rPr>
        <w:tab/>
        <w:t>K</w:t>
      </w:r>
      <w:r w:rsidR="00C5423F" w:rsidRPr="00497DB1">
        <w:rPr>
          <w:rFonts w:ascii="Calibri" w:hAnsi="Calibri"/>
          <w:sz w:val="22"/>
          <w:szCs w:val="22"/>
          <w:lang w:eastAsia="en-GB"/>
        </w:rPr>
        <w:t>ey areas of weakness</w:t>
      </w:r>
      <w:r w:rsidRPr="00497DB1">
        <w:rPr>
          <w:rFonts w:ascii="Calibri" w:hAnsi="Calibri"/>
          <w:sz w:val="22"/>
          <w:szCs w:val="22"/>
          <w:lang w:eastAsia="en-GB"/>
        </w:rPr>
        <w:t xml:space="preserve"> identified by SIAP within the collaborative area of IT which had not been subject to internal audit for several years have been closely monitored during the year for progress.</w:t>
      </w:r>
      <w:r w:rsidR="000029AE">
        <w:rPr>
          <w:rFonts w:ascii="Calibri" w:hAnsi="Calibri"/>
          <w:sz w:val="22"/>
          <w:szCs w:val="22"/>
          <w:lang w:eastAsia="en-GB"/>
        </w:rPr>
        <w:t xml:space="preserve"> </w:t>
      </w:r>
      <w:r w:rsidR="000029AE">
        <w:rPr>
          <w:rFonts w:ascii="Calibri" w:hAnsi="Calibri"/>
          <w:lang w:eastAsia="en-GB"/>
        </w:rPr>
        <w:t xml:space="preserve">This indicated </w:t>
      </w:r>
      <w:r w:rsidR="000029AE" w:rsidRPr="004527AB">
        <w:rPr>
          <w:rFonts w:ascii="Calibri" w:hAnsi="Calibri"/>
          <w:sz w:val="22"/>
          <w:szCs w:val="22"/>
          <w:lang w:eastAsia="en-GB"/>
        </w:rPr>
        <w:t xml:space="preserve">that significant progress had been made and where actions remain outstanding they are being actively monitored and challenged through the Organisational Reassurance Board.  Whilst there remains work to be done in some areas, the direction of travel is positive and working relations between IT and internal audit staff have strengthened through regular liaison meetings, resulting in improved understanding of the process as well as improvements in the timeliness of response to internal audit requests for information and as a result, the completion of reviews. </w:t>
      </w:r>
    </w:p>
    <w:p w14:paraId="32BE7532" w14:textId="77777777" w:rsidR="00C5423F" w:rsidRPr="003C74C4" w:rsidRDefault="00C5423F" w:rsidP="00C5423F">
      <w:pPr>
        <w:ind w:left="709" w:hanging="709"/>
        <w:jc w:val="both"/>
        <w:rPr>
          <w:rFonts w:ascii="Calibri" w:hAnsi="Calibri"/>
          <w:sz w:val="22"/>
          <w:szCs w:val="22"/>
          <w:lang w:eastAsia="en-GB"/>
        </w:rPr>
      </w:pPr>
    </w:p>
    <w:p w14:paraId="4FA2BEDA" w14:textId="390DE824" w:rsidR="00C5423F" w:rsidRPr="003C74C4" w:rsidRDefault="00C5423F" w:rsidP="00C5423F">
      <w:pPr>
        <w:ind w:left="709" w:hanging="709"/>
        <w:jc w:val="both"/>
        <w:rPr>
          <w:rFonts w:ascii="Calibri" w:hAnsi="Calibri"/>
          <w:sz w:val="22"/>
          <w:szCs w:val="22"/>
          <w:lang w:eastAsia="en-GB"/>
        </w:rPr>
      </w:pPr>
      <w:r w:rsidRPr="003C74C4">
        <w:rPr>
          <w:rFonts w:ascii="Calibri" w:hAnsi="Calibri"/>
          <w:sz w:val="22"/>
          <w:szCs w:val="22"/>
          <w:lang w:eastAsia="en-GB"/>
        </w:rPr>
        <w:t>8.</w:t>
      </w:r>
      <w:r w:rsidR="000029AE">
        <w:rPr>
          <w:rFonts w:ascii="Calibri" w:hAnsi="Calibri"/>
          <w:sz w:val="22"/>
          <w:szCs w:val="22"/>
          <w:lang w:eastAsia="en-GB"/>
        </w:rPr>
        <w:t>9</w:t>
      </w:r>
      <w:r w:rsidRPr="003C74C4">
        <w:rPr>
          <w:rFonts w:ascii="Calibri" w:hAnsi="Calibri"/>
          <w:sz w:val="22"/>
          <w:szCs w:val="22"/>
          <w:lang w:eastAsia="en-GB"/>
        </w:rPr>
        <w:tab/>
        <w:t xml:space="preserve">The Chief Digital &amp; Information Officer heading up the ICT department put in place a monthly review process to assess progress of agreed actions and provide regular updates to the </w:t>
      </w:r>
      <w:r w:rsidR="00AE7D24" w:rsidRPr="003C74C4">
        <w:rPr>
          <w:rFonts w:ascii="Calibri" w:hAnsi="Calibri"/>
          <w:sz w:val="22"/>
          <w:szCs w:val="22"/>
          <w:lang w:eastAsia="en-GB"/>
        </w:rPr>
        <w:t xml:space="preserve">Deputy Chief Constables, </w:t>
      </w:r>
      <w:r w:rsidRPr="003C74C4">
        <w:rPr>
          <w:rFonts w:ascii="Calibri" w:hAnsi="Calibri"/>
          <w:sz w:val="22"/>
          <w:szCs w:val="22"/>
          <w:lang w:eastAsia="en-GB"/>
        </w:rPr>
        <w:t xml:space="preserve">Chief Finance Officers, Joint Audit Committee, Internal Auditors and External Auditors of both Surrey Police and Sussex Police forces and PCC’s. This is in addition to the general governance framework detailed above and provides a strong and continual framework to address the audit findings and weaknesses in these areas of ICT. </w:t>
      </w:r>
    </w:p>
    <w:p w14:paraId="31809A2C" w14:textId="77777777" w:rsidR="00C5423F" w:rsidRPr="003C74C4" w:rsidRDefault="00C5423F" w:rsidP="00C5423F">
      <w:pPr>
        <w:ind w:left="709" w:hanging="709"/>
        <w:jc w:val="both"/>
        <w:rPr>
          <w:rFonts w:ascii="Calibri" w:hAnsi="Calibri"/>
          <w:sz w:val="22"/>
          <w:szCs w:val="22"/>
          <w:lang w:eastAsia="en-GB"/>
        </w:rPr>
      </w:pPr>
    </w:p>
    <w:p w14:paraId="2DA74FD2" w14:textId="658F9048" w:rsidR="00C5423F" w:rsidRDefault="00C5423F" w:rsidP="00C5423F">
      <w:pPr>
        <w:ind w:left="709" w:hanging="709"/>
        <w:jc w:val="both"/>
        <w:rPr>
          <w:rFonts w:ascii="Calibri" w:hAnsi="Calibri"/>
          <w:sz w:val="22"/>
          <w:szCs w:val="22"/>
          <w:lang w:eastAsia="en-GB"/>
        </w:rPr>
      </w:pPr>
      <w:r w:rsidRPr="003C74C4">
        <w:rPr>
          <w:rFonts w:ascii="Calibri" w:hAnsi="Calibri"/>
          <w:sz w:val="22"/>
          <w:szCs w:val="22"/>
          <w:lang w:eastAsia="en-GB"/>
        </w:rPr>
        <w:t>8.</w:t>
      </w:r>
      <w:r w:rsidR="000029AE">
        <w:rPr>
          <w:rFonts w:ascii="Calibri" w:hAnsi="Calibri"/>
          <w:sz w:val="22"/>
          <w:szCs w:val="22"/>
          <w:lang w:eastAsia="en-GB"/>
        </w:rPr>
        <w:t>10</w:t>
      </w:r>
      <w:r w:rsidRPr="003C74C4">
        <w:rPr>
          <w:rFonts w:ascii="Calibri" w:hAnsi="Calibri"/>
          <w:sz w:val="22"/>
          <w:szCs w:val="22"/>
          <w:lang w:eastAsia="en-GB"/>
        </w:rPr>
        <w:tab/>
        <w:t>Management have agreed recommendations to address all the findings reported by the internal audit service during 20</w:t>
      </w:r>
      <w:r w:rsidR="003C74C4">
        <w:rPr>
          <w:rFonts w:ascii="Calibri" w:hAnsi="Calibri"/>
          <w:sz w:val="22"/>
          <w:szCs w:val="22"/>
          <w:lang w:eastAsia="en-GB"/>
        </w:rPr>
        <w:t>20</w:t>
      </w:r>
      <w:r w:rsidRPr="003C74C4">
        <w:rPr>
          <w:rFonts w:ascii="Calibri" w:hAnsi="Calibri"/>
          <w:sz w:val="22"/>
          <w:szCs w:val="22"/>
          <w:lang w:eastAsia="en-GB"/>
        </w:rPr>
        <w:t>/2</w:t>
      </w:r>
      <w:r w:rsidR="003C74C4">
        <w:rPr>
          <w:rFonts w:ascii="Calibri" w:hAnsi="Calibri"/>
          <w:sz w:val="22"/>
          <w:szCs w:val="22"/>
          <w:lang w:eastAsia="en-GB"/>
        </w:rPr>
        <w:t>1</w:t>
      </w:r>
      <w:r w:rsidRPr="003C74C4">
        <w:rPr>
          <w:rFonts w:ascii="Calibri" w:hAnsi="Calibri"/>
          <w:sz w:val="22"/>
          <w:szCs w:val="22"/>
          <w:lang w:eastAsia="en-GB"/>
        </w:rPr>
        <w:t>.</w:t>
      </w:r>
    </w:p>
    <w:p w14:paraId="0CE31858" w14:textId="77777777" w:rsidR="003C74C4" w:rsidRDefault="003C74C4" w:rsidP="00C5423F">
      <w:pPr>
        <w:ind w:left="709" w:hanging="709"/>
        <w:jc w:val="both"/>
        <w:rPr>
          <w:rFonts w:ascii="Calibri" w:hAnsi="Calibri"/>
          <w:sz w:val="22"/>
          <w:szCs w:val="22"/>
          <w:lang w:eastAsia="en-GB"/>
        </w:rPr>
      </w:pPr>
    </w:p>
    <w:p w14:paraId="3F360452" w14:textId="2D79A5CA" w:rsidR="003C74C4" w:rsidRPr="003C74C4" w:rsidRDefault="003C74C4" w:rsidP="00C5423F">
      <w:pPr>
        <w:ind w:left="709" w:hanging="709"/>
        <w:jc w:val="both"/>
        <w:rPr>
          <w:rFonts w:ascii="Calibri" w:hAnsi="Calibri"/>
          <w:b/>
          <w:sz w:val="22"/>
          <w:szCs w:val="22"/>
          <w:lang w:eastAsia="en-GB"/>
        </w:rPr>
      </w:pPr>
      <w:r>
        <w:rPr>
          <w:rFonts w:ascii="Calibri" w:hAnsi="Calibri"/>
          <w:sz w:val="22"/>
          <w:szCs w:val="22"/>
          <w:lang w:eastAsia="en-GB"/>
        </w:rPr>
        <w:tab/>
      </w:r>
      <w:r w:rsidRPr="003C74C4">
        <w:rPr>
          <w:rFonts w:ascii="Calibri" w:hAnsi="Calibri"/>
          <w:b/>
          <w:sz w:val="22"/>
          <w:szCs w:val="22"/>
          <w:lang w:eastAsia="en-GB"/>
        </w:rPr>
        <w:t>Equip Project</w:t>
      </w:r>
    </w:p>
    <w:p w14:paraId="295F11AE" w14:textId="77777777" w:rsidR="003C74C4" w:rsidRDefault="003C74C4" w:rsidP="00C5423F">
      <w:pPr>
        <w:ind w:left="709" w:hanging="709"/>
        <w:jc w:val="both"/>
        <w:rPr>
          <w:rFonts w:ascii="Calibri" w:hAnsi="Calibri"/>
          <w:sz w:val="22"/>
          <w:szCs w:val="22"/>
          <w:lang w:eastAsia="en-GB"/>
        </w:rPr>
      </w:pPr>
    </w:p>
    <w:p w14:paraId="34DEC19F" w14:textId="4F9F06E0" w:rsidR="003C74C4" w:rsidRPr="003C74C4" w:rsidRDefault="003C74C4" w:rsidP="003C74C4">
      <w:pPr>
        <w:ind w:left="709" w:hanging="709"/>
        <w:jc w:val="both"/>
        <w:rPr>
          <w:rFonts w:ascii="Calibri" w:hAnsi="Calibri"/>
          <w:sz w:val="22"/>
          <w:szCs w:val="22"/>
          <w:lang w:eastAsia="en-GB"/>
        </w:rPr>
      </w:pPr>
      <w:r>
        <w:rPr>
          <w:rFonts w:ascii="Calibri" w:hAnsi="Calibri"/>
          <w:sz w:val="22"/>
          <w:szCs w:val="22"/>
          <w:lang w:eastAsia="en-GB"/>
        </w:rPr>
        <w:t>8.1</w:t>
      </w:r>
      <w:r w:rsidR="000029AE">
        <w:rPr>
          <w:rFonts w:ascii="Calibri" w:hAnsi="Calibri"/>
          <w:sz w:val="22"/>
          <w:szCs w:val="22"/>
          <w:lang w:eastAsia="en-GB"/>
        </w:rPr>
        <w:t>1</w:t>
      </w:r>
      <w:r>
        <w:rPr>
          <w:rFonts w:ascii="Calibri" w:hAnsi="Calibri"/>
          <w:sz w:val="22"/>
          <w:szCs w:val="22"/>
          <w:lang w:eastAsia="en-GB"/>
        </w:rPr>
        <w:tab/>
      </w:r>
      <w:r w:rsidRPr="003C74C4">
        <w:rPr>
          <w:rFonts w:ascii="Calibri" w:hAnsi="Calibri"/>
          <w:sz w:val="22"/>
          <w:szCs w:val="22"/>
          <w:lang w:eastAsia="en-GB"/>
        </w:rPr>
        <w:t xml:space="preserve">The Equip Programme was the proposed tri-force Enterprise Resource Planning (ERP) Solution for Surrey, Sussex and Thames Valley Police. The solution was intended to bring improvements to all three forces and enable consistency, better information for managing and decision making – for teams and individuals. The programme approach, initially comprised of an external implementation partner and an in-house team of staff and contractors, supplied by the three forces. </w:t>
      </w:r>
    </w:p>
    <w:p w14:paraId="60B6BA6A" w14:textId="77777777" w:rsidR="003C74C4" w:rsidRPr="003C74C4" w:rsidRDefault="003C74C4" w:rsidP="003C74C4">
      <w:pPr>
        <w:ind w:left="709" w:hanging="709"/>
        <w:jc w:val="both"/>
        <w:rPr>
          <w:rFonts w:ascii="Calibri" w:hAnsi="Calibri"/>
          <w:sz w:val="22"/>
          <w:szCs w:val="22"/>
          <w:lang w:eastAsia="en-GB"/>
        </w:rPr>
      </w:pPr>
    </w:p>
    <w:p w14:paraId="5D1A638D" w14:textId="22D7AEB8" w:rsidR="003C74C4" w:rsidRPr="003C74C4" w:rsidRDefault="003C74C4" w:rsidP="003C74C4">
      <w:pPr>
        <w:ind w:left="709" w:hanging="709"/>
        <w:jc w:val="both"/>
        <w:rPr>
          <w:rFonts w:ascii="Calibri" w:hAnsi="Calibri"/>
          <w:sz w:val="22"/>
          <w:szCs w:val="22"/>
          <w:lang w:eastAsia="en-GB"/>
        </w:rPr>
      </w:pPr>
      <w:r w:rsidRPr="003C74C4">
        <w:rPr>
          <w:rFonts w:ascii="Calibri" w:hAnsi="Calibri"/>
          <w:sz w:val="22"/>
          <w:szCs w:val="22"/>
          <w:lang w:eastAsia="en-GB"/>
        </w:rPr>
        <w:t>8.1</w:t>
      </w:r>
      <w:r w:rsidR="000029AE">
        <w:rPr>
          <w:rFonts w:ascii="Calibri" w:hAnsi="Calibri"/>
          <w:sz w:val="22"/>
          <w:szCs w:val="22"/>
          <w:lang w:eastAsia="en-GB"/>
        </w:rPr>
        <w:t>2</w:t>
      </w:r>
      <w:r w:rsidRPr="003C74C4">
        <w:rPr>
          <w:rFonts w:ascii="Calibri" w:hAnsi="Calibri"/>
          <w:sz w:val="22"/>
          <w:szCs w:val="22"/>
          <w:lang w:eastAsia="en-GB"/>
        </w:rPr>
        <w:tab/>
        <w:t>Delays in implementation of the solution had been identified as a key risk both within the forces’ risk management arrangements and by the external auditor in terms of their Value For Money review work. A number of progress and independent advisory reviews were undertaken.</w:t>
      </w:r>
    </w:p>
    <w:p w14:paraId="5869F967" w14:textId="77777777" w:rsidR="003C74C4" w:rsidRPr="003C74C4" w:rsidRDefault="003C74C4" w:rsidP="003C74C4">
      <w:pPr>
        <w:ind w:left="709" w:hanging="709"/>
        <w:jc w:val="both"/>
        <w:rPr>
          <w:rFonts w:ascii="Calibri" w:hAnsi="Calibri"/>
          <w:sz w:val="22"/>
          <w:szCs w:val="22"/>
          <w:lang w:eastAsia="en-GB"/>
        </w:rPr>
      </w:pPr>
    </w:p>
    <w:p w14:paraId="7491D4CF" w14:textId="47569F89" w:rsidR="003C74C4" w:rsidRPr="003C74C4" w:rsidRDefault="003C74C4" w:rsidP="003C74C4">
      <w:pPr>
        <w:ind w:left="709" w:hanging="709"/>
        <w:jc w:val="both"/>
        <w:rPr>
          <w:rFonts w:ascii="Calibri" w:hAnsi="Calibri"/>
          <w:sz w:val="22"/>
          <w:szCs w:val="22"/>
          <w:lang w:eastAsia="en-GB"/>
        </w:rPr>
      </w:pPr>
      <w:r w:rsidRPr="003C74C4">
        <w:rPr>
          <w:rFonts w:ascii="Calibri" w:hAnsi="Calibri"/>
          <w:sz w:val="22"/>
          <w:szCs w:val="22"/>
          <w:lang w:eastAsia="en-GB"/>
        </w:rPr>
        <w:t>8.1</w:t>
      </w:r>
      <w:r w:rsidR="000029AE">
        <w:rPr>
          <w:rFonts w:ascii="Calibri" w:hAnsi="Calibri"/>
          <w:sz w:val="22"/>
          <w:szCs w:val="22"/>
          <w:lang w:eastAsia="en-GB"/>
        </w:rPr>
        <w:t>3</w:t>
      </w:r>
      <w:r w:rsidRPr="003C74C4">
        <w:rPr>
          <w:rFonts w:ascii="Calibri" w:hAnsi="Calibri"/>
          <w:sz w:val="22"/>
          <w:szCs w:val="22"/>
          <w:lang w:eastAsia="en-GB"/>
        </w:rPr>
        <w:tab/>
        <w:t>In December 2020 the Chief Constables agreed that the ERP product developed by KPMG should be transferred to the three forces to mitigate against future financial risk. Following recommendation by the three force Chief Constables, approval was granted by the three PCCs. The forces have worked closely with KPMG to achieve the transfer of the ERP Software, Documentation and Licenced assets.</w:t>
      </w:r>
    </w:p>
    <w:p w14:paraId="199DF4B9" w14:textId="77777777" w:rsidR="003C74C4" w:rsidRPr="003C74C4" w:rsidRDefault="003C74C4" w:rsidP="003C74C4">
      <w:pPr>
        <w:ind w:left="709" w:hanging="709"/>
        <w:jc w:val="both"/>
        <w:rPr>
          <w:rFonts w:ascii="Calibri" w:hAnsi="Calibri"/>
          <w:sz w:val="22"/>
          <w:szCs w:val="22"/>
          <w:lang w:eastAsia="en-GB"/>
        </w:rPr>
      </w:pPr>
    </w:p>
    <w:p w14:paraId="5BC229DB" w14:textId="61332AAD" w:rsidR="003C74C4" w:rsidRPr="003C74C4" w:rsidRDefault="003C74C4" w:rsidP="003C74C4">
      <w:pPr>
        <w:ind w:left="709" w:hanging="709"/>
        <w:jc w:val="both"/>
        <w:rPr>
          <w:rFonts w:ascii="Calibri" w:hAnsi="Calibri"/>
          <w:sz w:val="22"/>
          <w:szCs w:val="22"/>
          <w:lang w:eastAsia="en-GB"/>
        </w:rPr>
      </w:pPr>
      <w:r w:rsidRPr="003C74C4">
        <w:rPr>
          <w:rFonts w:ascii="Calibri" w:hAnsi="Calibri"/>
          <w:sz w:val="22"/>
          <w:szCs w:val="22"/>
          <w:lang w:eastAsia="en-GB"/>
        </w:rPr>
        <w:t>8.1</w:t>
      </w:r>
      <w:r w:rsidR="000029AE">
        <w:rPr>
          <w:rFonts w:ascii="Calibri" w:hAnsi="Calibri"/>
          <w:sz w:val="22"/>
          <w:szCs w:val="22"/>
          <w:lang w:eastAsia="en-GB"/>
        </w:rPr>
        <w:t>4</w:t>
      </w:r>
      <w:r w:rsidRPr="003C74C4">
        <w:rPr>
          <w:rFonts w:ascii="Calibri" w:hAnsi="Calibri"/>
          <w:sz w:val="22"/>
          <w:szCs w:val="22"/>
          <w:lang w:eastAsia="en-GB"/>
        </w:rPr>
        <w:tab/>
        <w:t xml:space="preserve">Following closure of the tri-force Equip programme, a new Surrey &amp; Sussex ERP Programme has been set up to look at future ERP work. In Sussex and Surrey Police the respective Chief Constable’s and PCC’s are considering a range of options for use, development of the Equip assets and/or additional ERP solutions for enhanced functionality. Surrey Police bears 22% of the total partnership project costs.  </w:t>
      </w:r>
    </w:p>
    <w:p w14:paraId="42CCAFCB" w14:textId="77777777" w:rsidR="003C74C4" w:rsidRPr="003C74C4" w:rsidRDefault="003C74C4" w:rsidP="003C74C4">
      <w:pPr>
        <w:ind w:left="709" w:hanging="709"/>
        <w:jc w:val="both"/>
        <w:rPr>
          <w:rFonts w:ascii="Calibri" w:hAnsi="Calibri"/>
          <w:sz w:val="22"/>
          <w:szCs w:val="22"/>
          <w:lang w:eastAsia="en-GB"/>
        </w:rPr>
      </w:pPr>
    </w:p>
    <w:p w14:paraId="4180D48A" w14:textId="02F91BDF" w:rsidR="003C74C4" w:rsidRPr="003C74C4" w:rsidRDefault="003C74C4" w:rsidP="003C74C4">
      <w:pPr>
        <w:ind w:left="709" w:hanging="709"/>
        <w:jc w:val="both"/>
        <w:rPr>
          <w:rFonts w:ascii="Calibri" w:hAnsi="Calibri"/>
          <w:sz w:val="22"/>
          <w:szCs w:val="22"/>
          <w:lang w:eastAsia="en-GB"/>
        </w:rPr>
      </w:pPr>
      <w:r w:rsidRPr="003C74C4">
        <w:rPr>
          <w:rFonts w:ascii="Calibri" w:hAnsi="Calibri"/>
          <w:sz w:val="22"/>
          <w:szCs w:val="22"/>
          <w:lang w:eastAsia="en-GB"/>
        </w:rPr>
        <w:t>8.1</w:t>
      </w:r>
      <w:r w:rsidR="000029AE">
        <w:rPr>
          <w:rFonts w:ascii="Calibri" w:hAnsi="Calibri"/>
          <w:sz w:val="22"/>
          <w:szCs w:val="22"/>
          <w:lang w:eastAsia="en-GB"/>
        </w:rPr>
        <w:t>5</w:t>
      </w:r>
      <w:r w:rsidRPr="003C74C4">
        <w:rPr>
          <w:rFonts w:ascii="Calibri" w:hAnsi="Calibri"/>
          <w:sz w:val="22"/>
          <w:szCs w:val="22"/>
          <w:lang w:eastAsia="en-GB"/>
        </w:rPr>
        <w:tab/>
        <w:t>Prior to 2020/21 Sussex Police and Surrey Police had spent £7.276m and £5.723m respectively on the Equip programme and this had been fully released to revenue on the basis that the end asset platform providing the software as a service to Sussex and Surrey would not be owned by Sussex Police or Surrey Police.</w:t>
      </w:r>
    </w:p>
    <w:p w14:paraId="06668B27" w14:textId="77777777" w:rsidR="003C74C4" w:rsidRPr="003C74C4" w:rsidRDefault="003C74C4" w:rsidP="003C74C4">
      <w:pPr>
        <w:ind w:left="709" w:hanging="709"/>
        <w:jc w:val="both"/>
        <w:rPr>
          <w:rFonts w:ascii="Calibri" w:hAnsi="Calibri"/>
          <w:sz w:val="22"/>
          <w:szCs w:val="22"/>
          <w:lang w:eastAsia="en-GB"/>
        </w:rPr>
      </w:pPr>
    </w:p>
    <w:p w14:paraId="26F5028E" w14:textId="29AEF881" w:rsidR="003C74C4" w:rsidRPr="003C74C4" w:rsidRDefault="003C74C4" w:rsidP="003C74C4">
      <w:pPr>
        <w:ind w:left="709" w:hanging="709"/>
        <w:jc w:val="both"/>
        <w:rPr>
          <w:rFonts w:ascii="Calibri" w:hAnsi="Calibri"/>
          <w:sz w:val="22"/>
          <w:szCs w:val="22"/>
          <w:lang w:eastAsia="en-GB"/>
        </w:rPr>
      </w:pPr>
      <w:r w:rsidRPr="003C74C4">
        <w:rPr>
          <w:rFonts w:ascii="Calibri" w:hAnsi="Calibri"/>
          <w:sz w:val="22"/>
          <w:szCs w:val="22"/>
          <w:lang w:eastAsia="en-GB"/>
        </w:rPr>
        <w:t>8.1</w:t>
      </w:r>
      <w:r w:rsidR="000029AE">
        <w:rPr>
          <w:rFonts w:ascii="Calibri" w:hAnsi="Calibri"/>
          <w:sz w:val="22"/>
          <w:szCs w:val="22"/>
          <w:lang w:eastAsia="en-GB"/>
        </w:rPr>
        <w:t>6</w:t>
      </w:r>
      <w:r w:rsidRPr="003C74C4">
        <w:rPr>
          <w:rFonts w:ascii="Calibri" w:hAnsi="Calibri"/>
          <w:sz w:val="22"/>
          <w:szCs w:val="22"/>
          <w:lang w:eastAsia="en-GB"/>
        </w:rPr>
        <w:tab/>
        <w:t>During 2020/21 Sussex Police spent a further £5.385m and Surrey Police spent a further £3.791m on the Equip programme. Sussex Police spent £2.752m of that amount on the capital asset purchase from KPMG whilst Surrey Police spent £1.918m of the total on the capital asset purchase from KPMG. All remaining amounts were revenue charges for the Equip team and related running costs during the year. No further sums will be spent on the Equip programme in 2021/22 or later years.</w:t>
      </w:r>
    </w:p>
    <w:p w14:paraId="206FBB95" w14:textId="77777777" w:rsidR="003C74C4" w:rsidRPr="003C74C4" w:rsidRDefault="003C74C4" w:rsidP="003C74C4">
      <w:pPr>
        <w:ind w:left="709" w:hanging="709"/>
        <w:jc w:val="both"/>
        <w:rPr>
          <w:rFonts w:ascii="Calibri" w:hAnsi="Calibri"/>
          <w:sz w:val="22"/>
          <w:szCs w:val="22"/>
          <w:lang w:eastAsia="en-GB"/>
        </w:rPr>
      </w:pPr>
    </w:p>
    <w:p w14:paraId="797C0D3B" w14:textId="77777777" w:rsidR="003C74C4" w:rsidRPr="003C74C4" w:rsidRDefault="003C74C4" w:rsidP="003C74C4">
      <w:pPr>
        <w:ind w:left="709" w:hanging="709"/>
        <w:jc w:val="both"/>
        <w:rPr>
          <w:rFonts w:ascii="Calibri" w:hAnsi="Calibri"/>
          <w:b/>
          <w:bCs/>
          <w:sz w:val="22"/>
          <w:szCs w:val="22"/>
        </w:rPr>
      </w:pPr>
      <w:r w:rsidRPr="003C74C4">
        <w:rPr>
          <w:rFonts w:ascii="Calibri" w:hAnsi="Calibri"/>
          <w:bCs/>
          <w:sz w:val="22"/>
          <w:szCs w:val="22"/>
        </w:rPr>
        <w:tab/>
      </w:r>
      <w:r w:rsidRPr="003C74C4">
        <w:rPr>
          <w:rFonts w:ascii="Calibri" w:hAnsi="Calibri"/>
          <w:b/>
          <w:bCs/>
          <w:sz w:val="22"/>
          <w:szCs w:val="22"/>
        </w:rPr>
        <w:t xml:space="preserve">Covid-19 </w:t>
      </w:r>
    </w:p>
    <w:p w14:paraId="271482ED" w14:textId="77777777" w:rsidR="003C74C4" w:rsidRPr="003C74C4" w:rsidRDefault="003C74C4" w:rsidP="003C74C4">
      <w:pPr>
        <w:ind w:left="709" w:hanging="709"/>
        <w:jc w:val="both"/>
        <w:rPr>
          <w:rFonts w:ascii="Calibri" w:hAnsi="Calibri"/>
          <w:sz w:val="22"/>
          <w:szCs w:val="22"/>
        </w:rPr>
      </w:pPr>
    </w:p>
    <w:p w14:paraId="4BFD8D3D" w14:textId="38803313" w:rsidR="003C74C4" w:rsidRPr="003C74C4" w:rsidRDefault="003C74C4" w:rsidP="003C74C4">
      <w:pPr>
        <w:ind w:left="709" w:hanging="709"/>
        <w:jc w:val="both"/>
        <w:rPr>
          <w:rFonts w:ascii="Calibri" w:hAnsi="Calibri"/>
          <w:sz w:val="22"/>
          <w:szCs w:val="22"/>
          <w:lang w:eastAsia="en-GB"/>
        </w:rPr>
      </w:pPr>
      <w:r w:rsidRPr="003C74C4">
        <w:rPr>
          <w:rFonts w:ascii="Calibri" w:hAnsi="Calibri"/>
          <w:sz w:val="22"/>
          <w:szCs w:val="22"/>
        </w:rPr>
        <w:t>8.1</w:t>
      </w:r>
      <w:r w:rsidR="000029AE">
        <w:rPr>
          <w:rFonts w:ascii="Calibri" w:hAnsi="Calibri"/>
          <w:sz w:val="22"/>
          <w:szCs w:val="22"/>
        </w:rPr>
        <w:t>7</w:t>
      </w:r>
      <w:r w:rsidRPr="003C74C4">
        <w:rPr>
          <w:rFonts w:ascii="Calibri" w:hAnsi="Calibri"/>
          <w:sz w:val="22"/>
          <w:szCs w:val="22"/>
        </w:rPr>
        <w:tab/>
      </w:r>
      <w:r w:rsidRPr="003C74C4">
        <w:rPr>
          <w:rFonts w:ascii="Calibri" w:hAnsi="Calibri"/>
          <w:sz w:val="22"/>
          <w:szCs w:val="22"/>
          <w:lang w:eastAsia="en-GB"/>
        </w:rPr>
        <w:t>Although Covid-19 slowed progress, SIAP continued to work remotely to complete the 2019/20 review, however Covid-19 had a significant impact on SIAP’s ability to commence work on the 2020/21 plan, due to the request to delay any work impacting on operational staff. Regular discussions took place between SIAP and Chief Finance Officers to review the plan and ensure it remained appropriate and relevant and to consider any changes needed to incorporate new risk areas arising from the challenges presented by Covid-19.</w:t>
      </w:r>
    </w:p>
    <w:p w14:paraId="2DAEEFF8" w14:textId="7DE6D54D" w:rsidR="00C5423F" w:rsidRPr="003B2596" w:rsidRDefault="00C5423F" w:rsidP="00C5423F">
      <w:pPr>
        <w:ind w:left="709" w:hanging="709"/>
        <w:jc w:val="both"/>
        <w:rPr>
          <w:rFonts w:ascii="Calibri" w:hAnsi="Calibri"/>
          <w:sz w:val="22"/>
          <w:szCs w:val="22"/>
        </w:rPr>
      </w:pPr>
    </w:p>
    <w:p w14:paraId="2B38B8F7" w14:textId="77777777" w:rsidR="00D835CC" w:rsidRPr="003B2596" w:rsidRDefault="00D835CC" w:rsidP="00D835CC">
      <w:pPr>
        <w:ind w:firstLine="720"/>
        <w:jc w:val="both"/>
        <w:outlineLvl w:val="0"/>
        <w:rPr>
          <w:b/>
          <w:sz w:val="22"/>
          <w:szCs w:val="22"/>
        </w:rPr>
      </w:pPr>
    </w:p>
    <w:p w14:paraId="3A1C943A" w14:textId="77777777" w:rsidR="00D835CC" w:rsidRPr="003B2596" w:rsidRDefault="007A7597" w:rsidP="00D835CC">
      <w:pPr>
        <w:shd w:val="clear" w:color="auto" w:fill="0070C0"/>
        <w:tabs>
          <w:tab w:val="left" w:pos="709"/>
        </w:tabs>
        <w:jc w:val="both"/>
        <w:rPr>
          <w:rFonts w:ascii="Calibri" w:hAnsi="Calibri"/>
          <w:b/>
          <w:color w:val="FFFFFF"/>
          <w:sz w:val="22"/>
          <w:szCs w:val="22"/>
        </w:rPr>
      </w:pPr>
      <w:r w:rsidRPr="003B2596">
        <w:rPr>
          <w:rFonts w:ascii="Calibri" w:hAnsi="Calibri"/>
          <w:b/>
          <w:color w:val="FFFFFF"/>
          <w:sz w:val="22"/>
          <w:szCs w:val="22"/>
        </w:rPr>
        <w:t>9</w:t>
      </w:r>
      <w:r w:rsidR="00D835CC" w:rsidRPr="003B2596">
        <w:rPr>
          <w:rFonts w:ascii="Calibri" w:hAnsi="Calibri"/>
          <w:b/>
          <w:color w:val="FFFFFF"/>
          <w:sz w:val="22"/>
          <w:szCs w:val="22"/>
        </w:rPr>
        <w:t xml:space="preserve"> </w:t>
      </w:r>
      <w:r w:rsidR="00D835CC" w:rsidRPr="003B2596">
        <w:rPr>
          <w:rFonts w:ascii="Calibri" w:hAnsi="Calibri"/>
          <w:b/>
          <w:color w:val="FFFFFF"/>
          <w:sz w:val="22"/>
          <w:szCs w:val="22"/>
        </w:rPr>
        <w:tab/>
        <w:t>Certification</w:t>
      </w:r>
    </w:p>
    <w:p w14:paraId="756F4D42" w14:textId="77777777" w:rsidR="00D835CC" w:rsidRPr="003B2596" w:rsidRDefault="00D835CC" w:rsidP="00D835CC">
      <w:pPr>
        <w:jc w:val="both"/>
        <w:rPr>
          <w:rFonts w:ascii="Calibri" w:hAnsi="Calibri"/>
          <w:sz w:val="22"/>
          <w:szCs w:val="22"/>
        </w:rPr>
      </w:pPr>
    </w:p>
    <w:p w14:paraId="49F3D529" w14:textId="77777777" w:rsidR="008A6FEA" w:rsidRPr="003B2596" w:rsidRDefault="00D835CC" w:rsidP="00D835CC">
      <w:pPr>
        <w:jc w:val="both"/>
        <w:rPr>
          <w:rFonts w:ascii="Calibri" w:hAnsi="Calibri"/>
          <w:sz w:val="22"/>
          <w:szCs w:val="22"/>
        </w:rPr>
      </w:pPr>
      <w:r w:rsidRPr="003B2596">
        <w:rPr>
          <w:rFonts w:ascii="Calibri" w:hAnsi="Calibri"/>
          <w:sz w:val="22"/>
          <w:szCs w:val="22"/>
        </w:rPr>
        <w:t>This statement has been prepared on the basis of the review of effectiveness of governance arrangements. Advice and recommendations on the annual governance statement have been received from internal and external auditors and the JAC. It represents a fair and reasonable assessment of current arrangements and plans for improvement within Surrey Police.</w:t>
      </w:r>
      <w:r w:rsidR="00DA4E8D" w:rsidRPr="003B2596">
        <w:rPr>
          <w:rFonts w:ascii="Calibri" w:hAnsi="Calibri"/>
          <w:sz w:val="22"/>
          <w:szCs w:val="22"/>
        </w:rPr>
        <w:t xml:space="preserve"> </w:t>
      </w:r>
      <w:r w:rsidR="008A6FEA" w:rsidRPr="003B2596">
        <w:rPr>
          <w:rFonts w:ascii="Calibri" w:hAnsi="Calibri"/>
          <w:sz w:val="22"/>
          <w:szCs w:val="22"/>
        </w:rPr>
        <w:t>The arrangements continue to be regarded as fit for purpose in accordance with the governance framework.</w:t>
      </w:r>
    </w:p>
    <w:p w14:paraId="2A456D39" w14:textId="77777777" w:rsidR="008A6FEA" w:rsidRPr="003B2596" w:rsidRDefault="008A6FEA" w:rsidP="00D835CC">
      <w:pPr>
        <w:jc w:val="both"/>
        <w:rPr>
          <w:rFonts w:ascii="Calibri" w:hAnsi="Calibri"/>
          <w:sz w:val="22"/>
          <w:szCs w:val="22"/>
        </w:rPr>
      </w:pPr>
    </w:p>
    <w:p w14:paraId="447BE9B1" w14:textId="77777777" w:rsidR="00C5423F" w:rsidRPr="003B2596" w:rsidRDefault="00C5423F" w:rsidP="00D835CC">
      <w:pPr>
        <w:jc w:val="both"/>
        <w:rPr>
          <w:rFonts w:ascii="Calibri" w:hAnsi="Calibri"/>
          <w:sz w:val="22"/>
          <w:szCs w:val="22"/>
        </w:rPr>
      </w:pPr>
    </w:p>
    <w:p w14:paraId="60C0F7CD" w14:textId="34215FBA" w:rsidR="008512CC" w:rsidRPr="003B2596" w:rsidRDefault="008512CC" w:rsidP="00D835CC">
      <w:pPr>
        <w:jc w:val="both"/>
        <w:rPr>
          <w:rFonts w:ascii="Verdana" w:hAnsi="Verdana"/>
          <w:noProof/>
          <w:szCs w:val="20"/>
          <w:lang w:val="en-GB" w:eastAsia="en-GB"/>
        </w:rPr>
      </w:pPr>
    </w:p>
    <w:p w14:paraId="7F62331D" w14:textId="77777777" w:rsidR="003B2596" w:rsidRPr="003B2596" w:rsidRDefault="003B2596" w:rsidP="00D835CC">
      <w:pPr>
        <w:jc w:val="both"/>
        <w:rPr>
          <w:rFonts w:ascii="Verdana" w:hAnsi="Verdana"/>
          <w:noProof/>
          <w:szCs w:val="20"/>
          <w:lang w:val="en-GB" w:eastAsia="en-GB"/>
        </w:rPr>
      </w:pPr>
    </w:p>
    <w:p w14:paraId="2FE45853" w14:textId="77777777" w:rsidR="003B2596" w:rsidRPr="003C74C4" w:rsidRDefault="003B2596" w:rsidP="00D835CC">
      <w:pPr>
        <w:jc w:val="both"/>
        <w:rPr>
          <w:rFonts w:ascii="Calibri" w:hAnsi="Calibri"/>
          <w:sz w:val="22"/>
          <w:szCs w:val="22"/>
        </w:rPr>
      </w:pPr>
    </w:p>
    <w:p w14:paraId="65EF5EC5" w14:textId="77777777" w:rsidR="008A6FEA" w:rsidRPr="003C74C4" w:rsidRDefault="008A6FEA" w:rsidP="00D835CC">
      <w:pPr>
        <w:jc w:val="both"/>
        <w:rPr>
          <w:rFonts w:ascii="Calibri" w:hAnsi="Calibri"/>
          <w:sz w:val="22"/>
          <w:szCs w:val="22"/>
        </w:rPr>
      </w:pPr>
      <w:r w:rsidRPr="003C74C4">
        <w:rPr>
          <w:rFonts w:ascii="Calibri" w:hAnsi="Calibri"/>
          <w:b/>
          <w:sz w:val="22"/>
          <w:szCs w:val="22"/>
        </w:rPr>
        <w:t>Gavin Stephens</w:t>
      </w:r>
      <w:r w:rsidRPr="003C74C4">
        <w:rPr>
          <w:rFonts w:ascii="Calibri" w:hAnsi="Calibri"/>
          <w:sz w:val="22"/>
          <w:szCs w:val="22"/>
        </w:rPr>
        <w:t>, Chief Constable of Surrey</w:t>
      </w:r>
    </w:p>
    <w:p w14:paraId="2B13899A" w14:textId="77777777" w:rsidR="00F742F5" w:rsidRPr="00DC1077" w:rsidRDefault="00F742F5" w:rsidP="00D835CC">
      <w:pPr>
        <w:jc w:val="both"/>
        <w:rPr>
          <w:rFonts w:ascii="Calibri" w:hAnsi="Calibri"/>
          <w:sz w:val="22"/>
          <w:szCs w:val="22"/>
          <w:highlight w:val="yellow"/>
        </w:rPr>
      </w:pPr>
    </w:p>
    <w:p w14:paraId="2792B136" w14:textId="6E46FB3E" w:rsidR="008A6FEA" w:rsidRPr="00DC1077" w:rsidRDefault="00435DBD" w:rsidP="00D835CC">
      <w:pPr>
        <w:jc w:val="both"/>
        <w:rPr>
          <w:rFonts w:ascii="Calibri" w:hAnsi="Calibri"/>
          <w:sz w:val="22"/>
          <w:szCs w:val="22"/>
          <w:highlight w:val="yellow"/>
        </w:rPr>
      </w:pPr>
      <w:r w:rsidRPr="00DC1077">
        <w:rPr>
          <w:rFonts w:ascii="Calibri" w:hAnsi="Calibri"/>
          <w:sz w:val="22"/>
          <w:szCs w:val="22"/>
          <w:highlight w:val="yellow"/>
        </w:rPr>
        <w:t>Date:</w:t>
      </w:r>
      <w:r w:rsidR="00A17307" w:rsidRPr="00DC1077">
        <w:rPr>
          <w:rFonts w:ascii="Calibri" w:hAnsi="Calibri"/>
          <w:sz w:val="22"/>
          <w:szCs w:val="22"/>
          <w:highlight w:val="yellow"/>
        </w:rPr>
        <w:t xml:space="preserve"> 202</w:t>
      </w:r>
      <w:r w:rsidR="003B2596">
        <w:rPr>
          <w:rFonts w:ascii="Calibri" w:hAnsi="Calibri"/>
          <w:sz w:val="22"/>
          <w:szCs w:val="22"/>
          <w:highlight w:val="yellow"/>
        </w:rPr>
        <w:t>1</w:t>
      </w:r>
    </w:p>
    <w:p w14:paraId="41A53D68" w14:textId="77777777" w:rsidR="00DA4E8D" w:rsidRPr="00DC1077" w:rsidRDefault="00DA4E8D" w:rsidP="00D835CC">
      <w:pPr>
        <w:jc w:val="both"/>
        <w:rPr>
          <w:rFonts w:ascii="Calibri" w:hAnsi="Calibri"/>
          <w:sz w:val="22"/>
          <w:szCs w:val="22"/>
          <w:highlight w:val="yellow"/>
        </w:rPr>
      </w:pPr>
    </w:p>
    <w:p w14:paraId="7B31A1FC" w14:textId="77777777" w:rsidR="00C5423F" w:rsidRPr="00DC1077" w:rsidRDefault="00C5423F" w:rsidP="00D835CC">
      <w:pPr>
        <w:jc w:val="both"/>
        <w:rPr>
          <w:rFonts w:ascii="Calibri" w:hAnsi="Calibri"/>
          <w:sz w:val="22"/>
          <w:szCs w:val="22"/>
          <w:highlight w:val="yellow"/>
        </w:rPr>
      </w:pPr>
    </w:p>
    <w:p w14:paraId="3A202D45" w14:textId="77777777" w:rsidR="007A7597" w:rsidRPr="00DC1077" w:rsidRDefault="007A7597" w:rsidP="00D835CC">
      <w:pPr>
        <w:jc w:val="both"/>
        <w:rPr>
          <w:rFonts w:ascii="Calibri" w:hAnsi="Calibri"/>
          <w:sz w:val="22"/>
          <w:szCs w:val="22"/>
          <w:highlight w:val="yellow"/>
        </w:rPr>
      </w:pPr>
    </w:p>
    <w:p w14:paraId="7F75791E" w14:textId="77777777" w:rsidR="00C5423F" w:rsidRPr="00DC1077" w:rsidRDefault="00C5423F" w:rsidP="00D835CC">
      <w:pPr>
        <w:jc w:val="both"/>
        <w:rPr>
          <w:rFonts w:ascii="Calibri" w:hAnsi="Calibri"/>
          <w:sz w:val="22"/>
          <w:szCs w:val="22"/>
          <w:highlight w:val="yellow"/>
        </w:rPr>
      </w:pPr>
    </w:p>
    <w:p w14:paraId="58B477EC" w14:textId="77777777" w:rsidR="00C5423F" w:rsidRPr="00DC1077" w:rsidRDefault="00C5423F" w:rsidP="00D835CC">
      <w:pPr>
        <w:jc w:val="both"/>
        <w:rPr>
          <w:rFonts w:ascii="Calibri" w:hAnsi="Calibri"/>
          <w:sz w:val="22"/>
          <w:szCs w:val="22"/>
          <w:highlight w:val="yellow"/>
        </w:rPr>
      </w:pPr>
    </w:p>
    <w:p w14:paraId="1E6974AC" w14:textId="77777777" w:rsidR="00DA4E8D" w:rsidRPr="00DC1077" w:rsidRDefault="00DA4E8D" w:rsidP="00D835CC">
      <w:pPr>
        <w:jc w:val="both"/>
        <w:rPr>
          <w:rFonts w:ascii="Calibri" w:hAnsi="Calibri"/>
          <w:b/>
          <w:sz w:val="22"/>
          <w:szCs w:val="22"/>
          <w:highlight w:val="yellow"/>
        </w:rPr>
      </w:pPr>
    </w:p>
    <w:p w14:paraId="4EADBF74" w14:textId="77777777" w:rsidR="00DA4E8D" w:rsidRPr="00DC1077" w:rsidRDefault="00DA4E8D" w:rsidP="00D835CC">
      <w:pPr>
        <w:jc w:val="both"/>
        <w:rPr>
          <w:rFonts w:ascii="Calibri" w:hAnsi="Calibri"/>
          <w:sz w:val="22"/>
          <w:szCs w:val="22"/>
          <w:highlight w:val="yellow"/>
        </w:rPr>
      </w:pPr>
    </w:p>
    <w:p w14:paraId="7A969E3A" w14:textId="77777777" w:rsidR="00C5423F" w:rsidRPr="00DC1077" w:rsidRDefault="00C5423F" w:rsidP="00D835CC">
      <w:pPr>
        <w:jc w:val="both"/>
        <w:rPr>
          <w:rFonts w:ascii="Calibri" w:hAnsi="Calibri"/>
          <w:sz w:val="22"/>
          <w:szCs w:val="22"/>
          <w:highlight w:val="yellow"/>
        </w:rPr>
      </w:pPr>
    </w:p>
    <w:p w14:paraId="7F411625" w14:textId="77777777" w:rsidR="00C5423F" w:rsidRPr="00DC1077" w:rsidRDefault="00C5423F" w:rsidP="00D835CC">
      <w:pPr>
        <w:jc w:val="both"/>
        <w:rPr>
          <w:rFonts w:ascii="Calibri" w:hAnsi="Calibri"/>
          <w:sz w:val="22"/>
          <w:szCs w:val="22"/>
          <w:highlight w:val="yellow"/>
        </w:rPr>
      </w:pPr>
    </w:p>
    <w:p w14:paraId="7EFB8C0A" w14:textId="77777777" w:rsidR="007A7597" w:rsidRPr="00DC1077" w:rsidRDefault="007A7597" w:rsidP="00D835CC">
      <w:pPr>
        <w:jc w:val="both"/>
        <w:rPr>
          <w:rFonts w:ascii="Calibri" w:hAnsi="Calibri"/>
          <w:sz w:val="22"/>
          <w:szCs w:val="22"/>
          <w:highlight w:val="yellow"/>
        </w:rPr>
      </w:pPr>
    </w:p>
    <w:p w14:paraId="13384C8E" w14:textId="2309B772" w:rsidR="00C5423F" w:rsidRDefault="00C5423F" w:rsidP="00D835CC">
      <w:pPr>
        <w:jc w:val="both"/>
        <w:rPr>
          <w:noProof/>
          <w:highlight w:val="yellow"/>
          <w:lang w:val="en-GB" w:eastAsia="en-GB"/>
        </w:rPr>
      </w:pPr>
    </w:p>
    <w:p w14:paraId="46CF5E31" w14:textId="77777777" w:rsidR="003B2596" w:rsidRPr="00DC1077" w:rsidRDefault="003B2596" w:rsidP="00D835CC">
      <w:pPr>
        <w:jc w:val="both"/>
        <w:rPr>
          <w:rFonts w:ascii="Calibri" w:hAnsi="Calibri"/>
          <w:sz w:val="22"/>
          <w:szCs w:val="22"/>
          <w:highlight w:val="yellow"/>
        </w:rPr>
      </w:pPr>
    </w:p>
    <w:p w14:paraId="71DD8CDE" w14:textId="77777777" w:rsidR="00DA4E8D" w:rsidRPr="00DC1077" w:rsidRDefault="00DA4E8D" w:rsidP="00D835CC">
      <w:pPr>
        <w:jc w:val="both"/>
        <w:rPr>
          <w:rFonts w:ascii="Calibri" w:hAnsi="Calibri"/>
          <w:b/>
          <w:sz w:val="22"/>
          <w:szCs w:val="22"/>
          <w:highlight w:val="yellow"/>
        </w:rPr>
      </w:pPr>
    </w:p>
    <w:p w14:paraId="5B722412" w14:textId="77777777" w:rsidR="008A6FEA" w:rsidRPr="003C74C4" w:rsidRDefault="008A6FEA" w:rsidP="00D835CC">
      <w:pPr>
        <w:jc w:val="both"/>
        <w:rPr>
          <w:rFonts w:ascii="Calibri" w:hAnsi="Calibri"/>
          <w:sz w:val="22"/>
          <w:szCs w:val="22"/>
        </w:rPr>
      </w:pPr>
      <w:r w:rsidRPr="003C74C4">
        <w:rPr>
          <w:rFonts w:ascii="Calibri" w:hAnsi="Calibri"/>
          <w:b/>
          <w:sz w:val="22"/>
          <w:szCs w:val="22"/>
        </w:rPr>
        <w:t>Peter Gillett</w:t>
      </w:r>
      <w:r w:rsidRPr="003C74C4">
        <w:rPr>
          <w:rFonts w:ascii="Calibri" w:hAnsi="Calibri"/>
          <w:sz w:val="22"/>
          <w:szCs w:val="22"/>
        </w:rPr>
        <w:t>, Executive Director of Commercial and Finance Services,</w:t>
      </w:r>
      <w:r w:rsidR="00B60B19" w:rsidRPr="003C74C4">
        <w:rPr>
          <w:rFonts w:ascii="Calibri" w:hAnsi="Calibri"/>
          <w:sz w:val="22"/>
          <w:szCs w:val="22"/>
        </w:rPr>
        <w:t xml:space="preserve"> Chief Finance Officer to</w:t>
      </w:r>
      <w:r w:rsidRPr="003C74C4">
        <w:rPr>
          <w:rFonts w:ascii="Calibri" w:hAnsi="Calibri"/>
          <w:sz w:val="22"/>
          <w:szCs w:val="22"/>
        </w:rPr>
        <w:t xml:space="preserve"> The Chief Constable of Surrey</w:t>
      </w:r>
    </w:p>
    <w:p w14:paraId="44DEB775" w14:textId="77777777" w:rsidR="00F742F5" w:rsidRPr="003C74C4" w:rsidRDefault="00F742F5" w:rsidP="00D835CC">
      <w:pPr>
        <w:jc w:val="both"/>
        <w:rPr>
          <w:rFonts w:ascii="Calibri" w:hAnsi="Calibri"/>
          <w:sz w:val="22"/>
          <w:szCs w:val="22"/>
        </w:rPr>
      </w:pPr>
    </w:p>
    <w:p w14:paraId="2F30D314" w14:textId="5204F3CC" w:rsidR="008A6FEA" w:rsidRPr="00DC1077" w:rsidRDefault="00435DBD" w:rsidP="00D835CC">
      <w:pPr>
        <w:jc w:val="both"/>
        <w:rPr>
          <w:rFonts w:ascii="Calibri" w:hAnsi="Calibri"/>
          <w:sz w:val="22"/>
          <w:szCs w:val="22"/>
          <w:highlight w:val="yellow"/>
        </w:rPr>
      </w:pPr>
      <w:r w:rsidRPr="00DC1077">
        <w:rPr>
          <w:rFonts w:ascii="Calibri" w:hAnsi="Calibri"/>
          <w:sz w:val="22"/>
          <w:szCs w:val="22"/>
          <w:highlight w:val="yellow"/>
        </w:rPr>
        <w:t>Date:</w:t>
      </w:r>
      <w:r w:rsidR="00A17307" w:rsidRPr="00DC1077">
        <w:rPr>
          <w:rFonts w:ascii="Calibri" w:hAnsi="Calibri"/>
          <w:sz w:val="22"/>
          <w:szCs w:val="22"/>
          <w:highlight w:val="yellow"/>
        </w:rPr>
        <w:t xml:space="preserve"> 202</w:t>
      </w:r>
      <w:r w:rsidR="003B2596">
        <w:rPr>
          <w:rFonts w:ascii="Calibri" w:hAnsi="Calibri"/>
          <w:sz w:val="22"/>
          <w:szCs w:val="22"/>
          <w:highlight w:val="yellow"/>
        </w:rPr>
        <w:t>1</w:t>
      </w:r>
    </w:p>
    <w:p w14:paraId="7F1E7C5B" w14:textId="77777777" w:rsidR="00435DBD" w:rsidRPr="00DC1077" w:rsidRDefault="00435DBD" w:rsidP="00D835CC">
      <w:pPr>
        <w:jc w:val="both"/>
        <w:rPr>
          <w:rFonts w:ascii="Calibri" w:hAnsi="Calibri"/>
          <w:sz w:val="22"/>
          <w:szCs w:val="22"/>
          <w:highlight w:val="yellow"/>
        </w:rPr>
      </w:pPr>
    </w:p>
    <w:p w14:paraId="4F95A3F2" w14:textId="77777777" w:rsidR="00435DBD" w:rsidRPr="00DC1077" w:rsidRDefault="00435DBD" w:rsidP="00D835CC">
      <w:pPr>
        <w:jc w:val="both"/>
        <w:rPr>
          <w:rFonts w:ascii="Calibri" w:hAnsi="Calibri"/>
          <w:sz w:val="22"/>
          <w:szCs w:val="22"/>
          <w:highlight w:val="yellow"/>
        </w:rPr>
      </w:pPr>
    </w:p>
    <w:p w14:paraId="3ABF628A" w14:textId="77777777" w:rsidR="00435DBD" w:rsidRPr="003C74C4" w:rsidRDefault="00435DBD" w:rsidP="00D835CC">
      <w:pPr>
        <w:jc w:val="both"/>
        <w:rPr>
          <w:rFonts w:ascii="Calibri" w:hAnsi="Calibri"/>
          <w:sz w:val="22"/>
          <w:szCs w:val="22"/>
        </w:rPr>
      </w:pPr>
    </w:p>
    <w:p w14:paraId="5B3429FD" w14:textId="77777777" w:rsidR="008A6FEA" w:rsidRPr="003C74C4" w:rsidRDefault="008A6FEA" w:rsidP="00D835CC">
      <w:pPr>
        <w:jc w:val="both"/>
        <w:rPr>
          <w:rFonts w:ascii="Calibri" w:hAnsi="Calibri"/>
          <w:sz w:val="22"/>
          <w:szCs w:val="22"/>
        </w:rPr>
      </w:pPr>
      <w:r w:rsidRPr="003C74C4">
        <w:rPr>
          <w:rFonts w:ascii="Calibri" w:hAnsi="Calibri"/>
          <w:sz w:val="22"/>
          <w:szCs w:val="22"/>
        </w:rPr>
        <w:t xml:space="preserve">Contact details: </w:t>
      </w:r>
    </w:p>
    <w:p w14:paraId="7B3BB14A" w14:textId="77777777" w:rsidR="008A6FEA" w:rsidRPr="003C74C4" w:rsidRDefault="008A6FEA" w:rsidP="00D835CC">
      <w:pPr>
        <w:jc w:val="both"/>
        <w:rPr>
          <w:rFonts w:ascii="Calibri" w:hAnsi="Calibri"/>
          <w:sz w:val="22"/>
          <w:szCs w:val="22"/>
        </w:rPr>
      </w:pPr>
      <w:r w:rsidRPr="003C74C4">
        <w:rPr>
          <w:rFonts w:ascii="Calibri" w:hAnsi="Calibri"/>
          <w:sz w:val="22"/>
          <w:szCs w:val="22"/>
        </w:rPr>
        <w:t>Peter Gillett, Executive Director of Commercial and Finance Services</w:t>
      </w:r>
      <w:r w:rsidR="008C239A" w:rsidRPr="003C74C4">
        <w:rPr>
          <w:rFonts w:ascii="Calibri" w:hAnsi="Calibri"/>
          <w:sz w:val="22"/>
          <w:szCs w:val="22"/>
        </w:rPr>
        <w:t xml:space="preserve"> and Chief Finance Officer to the Chief Constable of Surrey</w:t>
      </w:r>
    </w:p>
    <w:p w14:paraId="3C0D50AE" w14:textId="77777777" w:rsidR="008A6FEA" w:rsidRPr="003C74C4" w:rsidRDefault="0073748E" w:rsidP="00D835CC">
      <w:pPr>
        <w:jc w:val="both"/>
        <w:rPr>
          <w:rFonts w:ascii="Calibri" w:hAnsi="Calibri"/>
          <w:sz w:val="22"/>
          <w:szCs w:val="22"/>
        </w:rPr>
      </w:pPr>
      <w:hyperlink r:id="rId18" w:history="1">
        <w:r w:rsidR="008A6FEA" w:rsidRPr="003C74C4">
          <w:rPr>
            <w:rStyle w:val="Hyperlink"/>
            <w:rFonts w:ascii="Calibri" w:hAnsi="Calibri"/>
            <w:sz w:val="22"/>
            <w:szCs w:val="22"/>
          </w:rPr>
          <w:t>Peter.Gillett@Surrey.pnn.police.uk</w:t>
        </w:r>
      </w:hyperlink>
    </w:p>
    <w:p w14:paraId="65DCF328" w14:textId="5A38C60C" w:rsidR="00D835CC" w:rsidRDefault="00D835CC" w:rsidP="00D835CC">
      <w:pPr>
        <w:pStyle w:val="NormalWeb1"/>
        <w:rPr>
          <w:rFonts w:ascii="Calibri" w:hAnsi="Calibri" w:cs="Arial"/>
          <w:b/>
          <w:sz w:val="22"/>
          <w:szCs w:val="22"/>
        </w:rPr>
      </w:pPr>
      <w:r w:rsidRPr="003C74C4">
        <w:rPr>
          <w:rFonts w:ascii="Calibri" w:hAnsi="Calibri" w:cs="Arial"/>
          <w:sz w:val="22"/>
          <w:szCs w:val="22"/>
        </w:rPr>
        <w:br w:type="page"/>
      </w:r>
      <w:r w:rsidRPr="00A324B5">
        <w:rPr>
          <w:rFonts w:ascii="Calibri" w:hAnsi="Calibri" w:cs="Arial"/>
          <w:b/>
          <w:sz w:val="22"/>
          <w:szCs w:val="22"/>
        </w:rPr>
        <w:t>Appendix A:  Areas for Improvement - Action Plan 202</w:t>
      </w:r>
      <w:r w:rsidR="00A324B5" w:rsidRPr="00A324B5">
        <w:rPr>
          <w:rFonts w:ascii="Calibri" w:hAnsi="Calibri" w:cs="Arial"/>
          <w:b/>
          <w:sz w:val="22"/>
          <w:szCs w:val="22"/>
        </w:rPr>
        <w:t>1</w:t>
      </w:r>
      <w:r w:rsidRPr="00A324B5">
        <w:rPr>
          <w:rFonts w:ascii="Calibri" w:hAnsi="Calibri" w:cs="Arial"/>
          <w:b/>
          <w:sz w:val="22"/>
          <w:szCs w:val="22"/>
        </w:rPr>
        <w:t>-202</w:t>
      </w:r>
      <w:r w:rsidR="00A324B5" w:rsidRPr="00A324B5">
        <w:rPr>
          <w:rFonts w:ascii="Calibri" w:hAnsi="Calibri" w:cs="Arial"/>
          <w:b/>
          <w:sz w:val="22"/>
          <w:szCs w:val="22"/>
        </w:rPr>
        <w:t>2</w:t>
      </w:r>
    </w:p>
    <w:p w14:paraId="75BF60AB" w14:textId="77777777" w:rsidR="00E73C9B" w:rsidRDefault="00E73C9B" w:rsidP="00D835CC">
      <w:pPr>
        <w:pStyle w:val="NormalWeb1"/>
        <w:rPr>
          <w:rFonts w:ascii="Calibri" w:hAnsi="Calibri" w:cs="Arial"/>
          <w:b/>
          <w:sz w:val="22"/>
          <w:szCs w:val="22"/>
        </w:rPr>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8"/>
        <w:gridCol w:w="6064"/>
        <w:gridCol w:w="1823"/>
        <w:gridCol w:w="2319"/>
      </w:tblGrid>
      <w:tr w:rsidR="004F65BF" w:rsidRPr="007679A9" w14:paraId="2199B6C6" w14:textId="77777777" w:rsidTr="00F5442C">
        <w:trPr>
          <w:jc w:val="center"/>
        </w:trPr>
        <w:tc>
          <w:tcPr>
            <w:tcW w:w="691" w:type="dxa"/>
            <w:shd w:val="clear" w:color="auto" w:fill="F2F2F2"/>
          </w:tcPr>
          <w:p w14:paraId="3DC4BE0A" w14:textId="77777777" w:rsidR="004F65BF" w:rsidRPr="007679A9" w:rsidRDefault="004F65BF" w:rsidP="00F5442C">
            <w:pPr>
              <w:spacing w:before="40" w:after="40" w:line="259" w:lineRule="auto"/>
              <w:jc w:val="center"/>
              <w:rPr>
                <w:rFonts w:ascii="Calibri" w:eastAsia="Calibri" w:hAnsi="Calibri"/>
                <w:b/>
                <w:i/>
                <w:color w:val="333333"/>
                <w:sz w:val="18"/>
                <w:szCs w:val="18"/>
              </w:rPr>
            </w:pPr>
            <w:r w:rsidRPr="007679A9">
              <w:rPr>
                <w:rFonts w:ascii="Calibri" w:eastAsia="Calibri" w:hAnsi="Calibri"/>
                <w:b/>
                <w:i/>
                <w:color w:val="333333"/>
                <w:sz w:val="18"/>
                <w:szCs w:val="18"/>
              </w:rPr>
              <w:t>Ref</w:t>
            </w:r>
          </w:p>
        </w:tc>
        <w:tc>
          <w:tcPr>
            <w:tcW w:w="6082" w:type="dxa"/>
            <w:gridSpan w:val="2"/>
            <w:shd w:val="clear" w:color="auto" w:fill="F2F2F2"/>
          </w:tcPr>
          <w:p w14:paraId="3FBB49F8" w14:textId="77777777" w:rsidR="004F65BF" w:rsidRPr="007679A9" w:rsidRDefault="004F65BF" w:rsidP="00F5442C">
            <w:pPr>
              <w:spacing w:before="40" w:after="40" w:line="259" w:lineRule="auto"/>
              <w:jc w:val="center"/>
              <w:rPr>
                <w:rFonts w:ascii="Calibri" w:eastAsia="Calibri" w:hAnsi="Calibri"/>
                <w:b/>
                <w:i/>
                <w:color w:val="333333"/>
              </w:rPr>
            </w:pPr>
            <w:r w:rsidRPr="007679A9">
              <w:rPr>
                <w:rFonts w:ascii="Calibri" w:eastAsia="Calibri" w:hAnsi="Calibri"/>
                <w:b/>
                <w:i/>
                <w:color w:val="333333"/>
              </w:rPr>
              <w:t>Area for improvement</w:t>
            </w:r>
          </w:p>
        </w:tc>
        <w:tc>
          <w:tcPr>
            <w:tcW w:w="1823" w:type="dxa"/>
            <w:shd w:val="clear" w:color="auto" w:fill="F2F2F2"/>
          </w:tcPr>
          <w:p w14:paraId="0F117BC0" w14:textId="77777777" w:rsidR="004F65BF" w:rsidRPr="007679A9" w:rsidRDefault="004F65BF" w:rsidP="00F5442C">
            <w:pPr>
              <w:spacing w:before="40" w:after="40" w:line="259" w:lineRule="auto"/>
              <w:jc w:val="center"/>
              <w:rPr>
                <w:rFonts w:ascii="Calibri" w:eastAsia="Calibri" w:hAnsi="Calibri"/>
                <w:b/>
                <w:i/>
                <w:color w:val="333333"/>
              </w:rPr>
            </w:pPr>
            <w:r w:rsidRPr="007679A9">
              <w:rPr>
                <w:rFonts w:ascii="Calibri" w:eastAsia="Calibri" w:hAnsi="Calibri"/>
                <w:b/>
                <w:i/>
                <w:color w:val="333333"/>
              </w:rPr>
              <w:t>Owner</w:t>
            </w:r>
          </w:p>
        </w:tc>
        <w:tc>
          <w:tcPr>
            <w:tcW w:w="2319" w:type="dxa"/>
            <w:shd w:val="clear" w:color="auto" w:fill="F2F2F2"/>
          </w:tcPr>
          <w:p w14:paraId="2CC52142" w14:textId="77777777" w:rsidR="004F65BF" w:rsidRPr="007679A9" w:rsidRDefault="004F65BF" w:rsidP="00F5442C">
            <w:pPr>
              <w:spacing w:before="40" w:after="40" w:line="259" w:lineRule="auto"/>
              <w:jc w:val="center"/>
              <w:rPr>
                <w:rFonts w:ascii="Calibri" w:eastAsia="Calibri" w:hAnsi="Calibri"/>
                <w:b/>
                <w:i/>
                <w:color w:val="333333"/>
              </w:rPr>
            </w:pPr>
            <w:r w:rsidRPr="007679A9">
              <w:rPr>
                <w:rFonts w:ascii="Calibri" w:eastAsia="Calibri" w:hAnsi="Calibri"/>
                <w:b/>
                <w:i/>
                <w:color w:val="333333"/>
              </w:rPr>
              <w:t>Completion Target dates</w:t>
            </w:r>
          </w:p>
        </w:tc>
      </w:tr>
      <w:tr w:rsidR="004F65BF" w:rsidRPr="003516A4" w14:paraId="6A8931E0" w14:textId="77777777" w:rsidTr="00F5442C">
        <w:trPr>
          <w:jc w:val="center"/>
        </w:trPr>
        <w:tc>
          <w:tcPr>
            <w:tcW w:w="10915" w:type="dxa"/>
            <w:gridSpan w:val="5"/>
            <w:shd w:val="clear" w:color="auto" w:fill="auto"/>
          </w:tcPr>
          <w:p w14:paraId="21057C95" w14:textId="77777777" w:rsidR="004F65BF" w:rsidRPr="007679A9" w:rsidRDefault="004F65BF" w:rsidP="00F5442C">
            <w:pPr>
              <w:spacing w:before="60" w:after="60"/>
              <w:rPr>
                <w:rFonts w:ascii="Calibri" w:eastAsia="Calibri" w:hAnsi="Calibri"/>
                <w:b/>
                <w:caps/>
              </w:rPr>
            </w:pPr>
            <w:r w:rsidRPr="007679A9">
              <w:rPr>
                <w:rFonts w:ascii="Calibri" w:eastAsia="Calibri" w:hAnsi="Calibri"/>
                <w:b/>
                <w:caps/>
              </w:rPr>
              <w:t>Issues carried over from 201</w:t>
            </w:r>
            <w:r>
              <w:rPr>
                <w:rFonts w:ascii="Calibri" w:eastAsia="Calibri" w:hAnsi="Calibri"/>
                <w:b/>
                <w:caps/>
              </w:rPr>
              <w:t>9</w:t>
            </w:r>
            <w:r w:rsidRPr="007679A9">
              <w:rPr>
                <w:rFonts w:ascii="Calibri" w:eastAsia="Calibri" w:hAnsi="Calibri"/>
                <w:b/>
                <w:caps/>
              </w:rPr>
              <w:t>-</w:t>
            </w:r>
            <w:r>
              <w:rPr>
                <w:rFonts w:ascii="Calibri" w:eastAsia="Calibri" w:hAnsi="Calibri"/>
                <w:b/>
                <w:caps/>
              </w:rPr>
              <w:t>20</w:t>
            </w:r>
            <w:r w:rsidRPr="007679A9">
              <w:rPr>
                <w:rFonts w:ascii="Calibri" w:eastAsia="Calibri" w:hAnsi="Calibri"/>
                <w:b/>
                <w:caps/>
              </w:rPr>
              <w:t xml:space="preserve"> AGS action plan</w:t>
            </w:r>
          </w:p>
        </w:tc>
      </w:tr>
      <w:tr w:rsidR="004F65BF" w:rsidRPr="003516A4" w14:paraId="797E42CB" w14:textId="77777777" w:rsidTr="00F5442C">
        <w:trPr>
          <w:trHeight w:val="1248"/>
          <w:jc w:val="center"/>
        </w:trPr>
        <w:tc>
          <w:tcPr>
            <w:tcW w:w="691" w:type="dxa"/>
            <w:shd w:val="clear" w:color="auto" w:fill="auto"/>
          </w:tcPr>
          <w:p w14:paraId="2C4B3EBC" w14:textId="77777777" w:rsidR="004F65BF" w:rsidRPr="007679A9" w:rsidRDefault="004F65BF" w:rsidP="00F5442C">
            <w:pPr>
              <w:spacing w:before="40" w:after="40"/>
              <w:jc w:val="center"/>
              <w:rPr>
                <w:rFonts w:ascii="Calibri" w:eastAsia="Calibri" w:hAnsi="Calibri"/>
                <w:sz w:val="18"/>
                <w:szCs w:val="18"/>
              </w:rPr>
            </w:pPr>
            <w:r w:rsidRPr="007679A9">
              <w:rPr>
                <w:rFonts w:ascii="Calibri" w:eastAsia="Calibri" w:hAnsi="Calibri"/>
                <w:sz w:val="18"/>
                <w:szCs w:val="18"/>
              </w:rPr>
              <w:t>1</w:t>
            </w:r>
          </w:p>
        </w:tc>
        <w:tc>
          <w:tcPr>
            <w:tcW w:w="6082" w:type="dxa"/>
            <w:gridSpan w:val="2"/>
            <w:shd w:val="clear" w:color="auto" w:fill="auto"/>
          </w:tcPr>
          <w:p w14:paraId="5DB27C66" w14:textId="77777777" w:rsidR="004F65BF" w:rsidRDefault="004F65BF" w:rsidP="00F5442C">
            <w:pPr>
              <w:spacing w:before="40" w:after="40"/>
              <w:rPr>
                <w:rFonts w:ascii="Calibri" w:hAnsi="Calibri"/>
                <w:sz w:val="18"/>
                <w:szCs w:val="18"/>
                <w:lang w:eastAsia="en-GB"/>
              </w:rPr>
            </w:pPr>
            <w:r w:rsidRPr="007679A9">
              <w:rPr>
                <w:rFonts w:ascii="Calibri" w:hAnsi="Calibri"/>
                <w:b/>
                <w:color w:val="002060"/>
                <w:sz w:val="18"/>
                <w:szCs w:val="18"/>
              </w:rPr>
              <w:t>Further improvements to financial reporting identified by the Executive Director Finance Commercial Services</w:t>
            </w:r>
            <w:r w:rsidRPr="007679A9">
              <w:rPr>
                <w:rFonts w:ascii="Calibri" w:hAnsi="Calibri"/>
                <w:color w:val="000000"/>
                <w:sz w:val="18"/>
                <w:szCs w:val="18"/>
              </w:rPr>
              <w:t xml:space="preserve"> – including improvements required in processes used by the joint Surrey/Sussex Management Accounting team, and enhanced frequency/content of external financial reporting agreed with the OSPCC CFO</w:t>
            </w:r>
            <w:r w:rsidRPr="007679A9">
              <w:rPr>
                <w:rFonts w:ascii="Calibri" w:hAnsi="Calibri"/>
                <w:sz w:val="18"/>
                <w:szCs w:val="18"/>
                <w:lang w:eastAsia="en-GB"/>
              </w:rPr>
              <w:t>.</w:t>
            </w:r>
          </w:p>
          <w:p w14:paraId="235B478C" w14:textId="77777777" w:rsidR="004F65BF" w:rsidRPr="007679A9" w:rsidRDefault="004F65BF" w:rsidP="00F5442C">
            <w:pPr>
              <w:spacing w:before="40" w:after="40"/>
              <w:rPr>
                <w:rFonts w:ascii="Calibri" w:hAnsi="Calibri"/>
                <w:sz w:val="18"/>
                <w:szCs w:val="18"/>
                <w:lang w:eastAsia="en-GB"/>
              </w:rPr>
            </w:pPr>
            <w:r>
              <w:rPr>
                <w:rFonts w:ascii="Calibri" w:hAnsi="Calibri"/>
                <w:sz w:val="18"/>
                <w:szCs w:val="18"/>
                <w:lang w:eastAsia="en-GB"/>
              </w:rPr>
              <w:t>The Finance collaboration restructure has been implemented with some redundancies due to professional qualification requirements which will in time increase service capability. This approach was endorsed by CIPFA as part of the new model and progression towards the 5* service and Achieving Finance Excellence in Policing (AEFP).</w:t>
            </w:r>
          </w:p>
        </w:tc>
        <w:tc>
          <w:tcPr>
            <w:tcW w:w="1823" w:type="dxa"/>
            <w:shd w:val="clear" w:color="auto" w:fill="auto"/>
          </w:tcPr>
          <w:p w14:paraId="7FD48E50" w14:textId="77777777" w:rsidR="004F65BF" w:rsidRPr="00063AD2" w:rsidRDefault="004F65BF" w:rsidP="00F5442C">
            <w:pPr>
              <w:spacing w:before="40" w:after="40"/>
              <w:rPr>
                <w:rFonts w:ascii="Calibri" w:eastAsia="Calibri" w:hAnsi="Calibri"/>
                <w:color w:val="333333"/>
                <w:sz w:val="18"/>
                <w:szCs w:val="18"/>
              </w:rPr>
            </w:pPr>
            <w:r w:rsidRPr="00063AD2">
              <w:rPr>
                <w:rFonts w:ascii="Calibri" w:hAnsi="Calibri"/>
                <w:sz w:val="18"/>
                <w:szCs w:val="18"/>
                <w:lang w:eastAsia="en-GB"/>
              </w:rPr>
              <w:t>Executive Director of Commercial and Finance</w:t>
            </w:r>
          </w:p>
          <w:p w14:paraId="186485B5" w14:textId="77777777" w:rsidR="004F65BF" w:rsidRPr="00063AD2" w:rsidRDefault="004F65BF" w:rsidP="00F5442C">
            <w:pPr>
              <w:spacing w:before="40" w:after="40"/>
              <w:rPr>
                <w:rFonts w:ascii="Calibri" w:eastAsia="Calibri" w:hAnsi="Calibri"/>
                <w:color w:val="333333"/>
                <w:sz w:val="18"/>
                <w:szCs w:val="18"/>
              </w:rPr>
            </w:pPr>
          </w:p>
        </w:tc>
        <w:tc>
          <w:tcPr>
            <w:tcW w:w="2319" w:type="dxa"/>
          </w:tcPr>
          <w:p w14:paraId="636A20EE" w14:textId="77777777" w:rsidR="004F65BF" w:rsidRPr="00063AD2" w:rsidRDefault="004F65BF" w:rsidP="00F5442C">
            <w:pPr>
              <w:tabs>
                <w:tab w:val="left" w:pos="0"/>
              </w:tabs>
              <w:overflowPunct w:val="0"/>
              <w:autoSpaceDE w:val="0"/>
              <w:autoSpaceDN w:val="0"/>
              <w:adjustRightInd w:val="0"/>
              <w:spacing w:before="40" w:after="40"/>
              <w:jc w:val="center"/>
              <w:textAlignment w:val="baseline"/>
              <w:rPr>
                <w:rFonts w:ascii="Calibri" w:eastAsia="Calibri" w:hAnsi="Calibri"/>
                <w:sz w:val="18"/>
                <w:szCs w:val="18"/>
              </w:rPr>
            </w:pPr>
            <w:r w:rsidRPr="00063AD2">
              <w:rPr>
                <w:rFonts w:ascii="Calibri" w:eastAsia="Calibri" w:hAnsi="Calibri"/>
                <w:sz w:val="18"/>
                <w:szCs w:val="18"/>
              </w:rPr>
              <w:t>31.03.22 ongoing as part of continuous improvement throughout 2021-22</w:t>
            </w:r>
          </w:p>
        </w:tc>
      </w:tr>
      <w:tr w:rsidR="004F65BF" w:rsidRPr="003516A4" w14:paraId="768ECA46" w14:textId="77777777" w:rsidTr="00F5442C">
        <w:trPr>
          <w:jc w:val="center"/>
        </w:trPr>
        <w:tc>
          <w:tcPr>
            <w:tcW w:w="691" w:type="dxa"/>
            <w:shd w:val="clear" w:color="auto" w:fill="auto"/>
          </w:tcPr>
          <w:p w14:paraId="7BD55B01" w14:textId="77777777" w:rsidR="004F65BF" w:rsidRPr="00887212" w:rsidRDefault="004F65BF" w:rsidP="00F5442C">
            <w:pPr>
              <w:spacing w:before="40" w:after="40"/>
              <w:jc w:val="center"/>
              <w:rPr>
                <w:rFonts w:ascii="Calibri" w:eastAsia="Calibri" w:hAnsi="Calibri"/>
                <w:sz w:val="18"/>
                <w:szCs w:val="18"/>
              </w:rPr>
            </w:pPr>
            <w:r w:rsidRPr="00887212">
              <w:rPr>
                <w:rFonts w:ascii="Calibri" w:eastAsia="Calibri" w:hAnsi="Calibri"/>
                <w:sz w:val="18"/>
                <w:szCs w:val="18"/>
              </w:rPr>
              <w:t>2</w:t>
            </w:r>
          </w:p>
        </w:tc>
        <w:tc>
          <w:tcPr>
            <w:tcW w:w="6082" w:type="dxa"/>
            <w:gridSpan w:val="2"/>
            <w:shd w:val="clear" w:color="auto" w:fill="auto"/>
          </w:tcPr>
          <w:p w14:paraId="43113FE8" w14:textId="77777777" w:rsidR="004F65BF" w:rsidRPr="00887212" w:rsidRDefault="004F65BF" w:rsidP="00F5442C">
            <w:pPr>
              <w:spacing w:before="40" w:after="40"/>
              <w:rPr>
                <w:rFonts w:ascii="Calibri" w:hAnsi="Calibri"/>
                <w:b/>
                <w:color w:val="002060"/>
                <w:sz w:val="18"/>
                <w:szCs w:val="18"/>
              </w:rPr>
            </w:pPr>
            <w:r w:rsidRPr="00887212">
              <w:rPr>
                <w:rFonts w:ascii="Calibri" w:hAnsi="Calibri"/>
                <w:b/>
                <w:color w:val="002060"/>
                <w:sz w:val="18"/>
                <w:szCs w:val="18"/>
              </w:rPr>
              <w:t>ERP Payroll Extra Costs – limited assurance internal audit opinion</w:t>
            </w:r>
          </w:p>
          <w:p w14:paraId="238D4B25" w14:textId="77777777" w:rsidR="004F65BF" w:rsidRPr="00887212" w:rsidRDefault="004F65BF" w:rsidP="00F5442C">
            <w:pPr>
              <w:spacing w:before="40" w:after="40"/>
              <w:rPr>
                <w:rFonts w:ascii="Calibri" w:hAnsi="Calibri" w:cs="Times New Roman"/>
                <w:bCs/>
                <w:color w:val="000000"/>
                <w:sz w:val="18"/>
                <w:szCs w:val="18"/>
                <w:lang w:eastAsia="en-GB"/>
              </w:rPr>
            </w:pPr>
            <w:r w:rsidRPr="00887212">
              <w:rPr>
                <w:rFonts w:ascii="Calibri" w:hAnsi="Calibri" w:cs="Times New Roman"/>
                <w:bCs/>
                <w:color w:val="000000"/>
                <w:sz w:val="18"/>
                <w:szCs w:val="18"/>
                <w:lang w:eastAsia="en-GB"/>
              </w:rPr>
              <w:t>Lack of detailed definition and agreement of the costs to be included in any recharges could lead to dispute. Costs are not captured and recharged completely and accurately. Actions as set out in the report.</w:t>
            </w:r>
          </w:p>
          <w:p w14:paraId="2AC96A0F" w14:textId="77777777" w:rsidR="00CF527C" w:rsidRPr="00887212" w:rsidRDefault="00CF527C" w:rsidP="00F5442C">
            <w:pPr>
              <w:spacing w:before="40" w:after="40"/>
              <w:rPr>
                <w:rFonts w:ascii="Calibri" w:hAnsi="Calibri" w:cs="Times New Roman"/>
                <w:bCs/>
                <w:color w:val="000000"/>
                <w:sz w:val="18"/>
                <w:szCs w:val="18"/>
                <w:lang w:eastAsia="en-GB"/>
              </w:rPr>
            </w:pPr>
            <w:r w:rsidRPr="00887212">
              <w:rPr>
                <w:rFonts w:ascii="Calibri" w:hAnsi="Calibri" w:cs="Times New Roman"/>
                <w:bCs/>
                <w:color w:val="000000"/>
                <w:sz w:val="18"/>
                <w:szCs w:val="18"/>
                <w:lang w:eastAsia="en-GB"/>
              </w:rPr>
              <w:t>Following closure of the Equip programme in December 2020, the identified risk regarding cross charging between forces and KPMG is no longer applicable.</w:t>
            </w:r>
          </w:p>
          <w:p w14:paraId="07CD7B94" w14:textId="6D47020D" w:rsidR="00CF527C" w:rsidRPr="00887212" w:rsidRDefault="00CF527C" w:rsidP="00887212">
            <w:pPr>
              <w:spacing w:before="40" w:after="40"/>
              <w:rPr>
                <w:rFonts w:ascii="Calibri" w:hAnsi="Calibri" w:cs="Times New Roman"/>
                <w:bCs/>
                <w:color w:val="000000"/>
                <w:sz w:val="18"/>
                <w:szCs w:val="18"/>
                <w:lang w:eastAsia="en-GB"/>
              </w:rPr>
            </w:pPr>
            <w:r w:rsidRPr="00887212">
              <w:rPr>
                <w:rFonts w:ascii="Calibri" w:hAnsi="Calibri" w:cs="Times New Roman"/>
                <w:bCs/>
                <w:color w:val="000000"/>
                <w:sz w:val="18"/>
                <w:szCs w:val="18"/>
                <w:lang w:eastAsia="en-GB"/>
              </w:rPr>
              <w:t xml:space="preserve">This </w:t>
            </w:r>
            <w:r w:rsidR="00887212" w:rsidRPr="00887212">
              <w:rPr>
                <w:rFonts w:ascii="Calibri" w:hAnsi="Calibri" w:cs="Times New Roman"/>
                <w:bCs/>
                <w:color w:val="000000"/>
                <w:sz w:val="18"/>
                <w:szCs w:val="18"/>
                <w:lang w:eastAsia="en-GB"/>
              </w:rPr>
              <w:t>internal audit action</w:t>
            </w:r>
            <w:r w:rsidRPr="00887212">
              <w:rPr>
                <w:rFonts w:ascii="Calibri" w:hAnsi="Calibri" w:cs="Times New Roman"/>
                <w:bCs/>
                <w:color w:val="000000"/>
                <w:sz w:val="18"/>
                <w:szCs w:val="18"/>
                <w:lang w:eastAsia="en-GB"/>
              </w:rPr>
              <w:t xml:space="preserve"> was therefore approved for retirement at Force ORB meetings in May 2021.</w:t>
            </w:r>
          </w:p>
        </w:tc>
        <w:tc>
          <w:tcPr>
            <w:tcW w:w="1823" w:type="dxa"/>
            <w:shd w:val="clear" w:color="auto" w:fill="auto"/>
          </w:tcPr>
          <w:p w14:paraId="710A9D80" w14:textId="77777777" w:rsidR="004F65BF" w:rsidRPr="00887212" w:rsidRDefault="004F65BF" w:rsidP="00F5442C">
            <w:pPr>
              <w:spacing w:before="40" w:after="40"/>
              <w:rPr>
                <w:rFonts w:ascii="Calibri" w:eastAsia="Calibri" w:hAnsi="Calibri"/>
                <w:sz w:val="18"/>
                <w:szCs w:val="18"/>
              </w:rPr>
            </w:pPr>
            <w:r w:rsidRPr="00887212">
              <w:rPr>
                <w:rFonts w:ascii="Calibri" w:eastAsia="Calibri" w:hAnsi="Calibri"/>
                <w:sz w:val="18"/>
                <w:szCs w:val="18"/>
              </w:rPr>
              <w:t xml:space="preserve"> Chief Digital and Information Officer</w:t>
            </w:r>
          </w:p>
        </w:tc>
        <w:tc>
          <w:tcPr>
            <w:tcW w:w="2319" w:type="dxa"/>
          </w:tcPr>
          <w:p w14:paraId="3F49354E" w14:textId="6B989466" w:rsidR="004F65BF" w:rsidRPr="00887212" w:rsidRDefault="00CF527C" w:rsidP="00CF527C">
            <w:pPr>
              <w:tabs>
                <w:tab w:val="left" w:pos="0"/>
              </w:tabs>
              <w:overflowPunct w:val="0"/>
              <w:autoSpaceDE w:val="0"/>
              <w:autoSpaceDN w:val="0"/>
              <w:adjustRightInd w:val="0"/>
              <w:spacing w:before="40" w:after="40"/>
              <w:jc w:val="center"/>
              <w:textAlignment w:val="baseline"/>
              <w:rPr>
                <w:rFonts w:ascii="Calibri" w:eastAsia="Calibri" w:hAnsi="Calibri"/>
                <w:sz w:val="18"/>
                <w:szCs w:val="18"/>
              </w:rPr>
            </w:pPr>
            <w:r w:rsidRPr="00887212">
              <w:rPr>
                <w:rFonts w:ascii="Calibri" w:eastAsia="Calibri" w:hAnsi="Calibri" w:cs="Calibri"/>
                <w:sz w:val="18"/>
                <w:szCs w:val="18"/>
              </w:rPr>
              <w:t>Action Retired</w:t>
            </w:r>
          </w:p>
        </w:tc>
      </w:tr>
      <w:tr w:rsidR="004F65BF" w:rsidRPr="003516A4" w14:paraId="77831C86" w14:textId="77777777" w:rsidTr="00F5442C">
        <w:trPr>
          <w:jc w:val="center"/>
        </w:trPr>
        <w:tc>
          <w:tcPr>
            <w:tcW w:w="691" w:type="dxa"/>
            <w:shd w:val="clear" w:color="auto" w:fill="auto"/>
          </w:tcPr>
          <w:p w14:paraId="5EF2D092" w14:textId="77777777" w:rsidR="004F65BF" w:rsidRPr="00887212" w:rsidRDefault="004F65BF" w:rsidP="00F5442C">
            <w:pPr>
              <w:spacing w:before="40" w:after="40"/>
              <w:jc w:val="center"/>
              <w:rPr>
                <w:rFonts w:ascii="Calibri" w:eastAsia="Calibri" w:hAnsi="Calibri"/>
                <w:sz w:val="18"/>
                <w:szCs w:val="18"/>
              </w:rPr>
            </w:pPr>
            <w:r w:rsidRPr="00887212">
              <w:rPr>
                <w:rFonts w:ascii="Calibri" w:eastAsia="Calibri" w:hAnsi="Calibri"/>
                <w:sz w:val="18"/>
                <w:szCs w:val="18"/>
              </w:rPr>
              <w:t>3</w:t>
            </w:r>
          </w:p>
        </w:tc>
        <w:tc>
          <w:tcPr>
            <w:tcW w:w="6082" w:type="dxa"/>
            <w:gridSpan w:val="2"/>
            <w:shd w:val="clear" w:color="auto" w:fill="auto"/>
          </w:tcPr>
          <w:p w14:paraId="243855AB" w14:textId="77777777" w:rsidR="004F65BF" w:rsidRPr="00887212" w:rsidRDefault="004F65BF" w:rsidP="00F5442C">
            <w:pPr>
              <w:spacing w:before="40" w:after="40"/>
              <w:rPr>
                <w:rFonts w:ascii="Calibri" w:eastAsia="Calibri" w:hAnsi="Calibri" w:cs="Times New Roman"/>
                <w:b/>
                <w:color w:val="1F3864"/>
                <w:sz w:val="18"/>
                <w:szCs w:val="18"/>
              </w:rPr>
            </w:pPr>
            <w:r w:rsidRPr="00887212">
              <w:rPr>
                <w:rFonts w:ascii="Calibri" w:eastAsia="Calibri" w:hAnsi="Calibri" w:cs="Times New Roman"/>
                <w:b/>
                <w:color w:val="1F3864"/>
                <w:sz w:val="18"/>
                <w:szCs w:val="18"/>
              </w:rPr>
              <w:t>ERP/EQUIP Programme</w:t>
            </w:r>
          </w:p>
          <w:p w14:paraId="7F0C420B" w14:textId="77777777" w:rsidR="004F65BF" w:rsidRPr="00887212" w:rsidRDefault="004F65BF" w:rsidP="00F5442C">
            <w:pPr>
              <w:spacing w:before="40" w:after="40"/>
              <w:rPr>
                <w:rFonts w:ascii="Calibri" w:eastAsia="Calibri" w:hAnsi="Calibri" w:cs="Times New Roman"/>
                <w:sz w:val="18"/>
                <w:szCs w:val="18"/>
              </w:rPr>
            </w:pPr>
            <w:r w:rsidRPr="00887212">
              <w:rPr>
                <w:rFonts w:ascii="Calibri" w:eastAsia="Calibri" w:hAnsi="Calibri" w:cs="Times New Roman"/>
                <w:sz w:val="18"/>
                <w:szCs w:val="18"/>
              </w:rPr>
              <w:t>The Equip Programme will proactively clear the outstanding actions from all previous audit/Gateway reviews and initiate further reviews at strategic points prior to go-live.</w:t>
            </w:r>
          </w:p>
          <w:p w14:paraId="203B58CA" w14:textId="582697F2" w:rsidR="00887212" w:rsidRPr="00887212" w:rsidRDefault="00887212" w:rsidP="00F5442C">
            <w:pPr>
              <w:spacing w:before="40" w:after="40"/>
              <w:rPr>
                <w:rFonts w:ascii="Calibri" w:hAnsi="Calibri" w:cs="Times New Roman"/>
                <w:bCs/>
                <w:color w:val="000000"/>
                <w:sz w:val="18"/>
                <w:szCs w:val="18"/>
                <w:lang w:eastAsia="en-GB"/>
              </w:rPr>
            </w:pPr>
            <w:r w:rsidRPr="00887212">
              <w:rPr>
                <w:rFonts w:ascii="Calibri" w:hAnsi="Calibri" w:cs="Times New Roman"/>
                <w:bCs/>
                <w:color w:val="000000"/>
                <w:sz w:val="18"/>
                <w:szCs w:val="18"/>
                <w:lang w:eastAsia="en-GB"/>
              </w:rPr>
              <w:t>Following closure of the Equip programme in December 2020, the identified risk regarding cross charging between forces and KPMG is no longer applicable.</w:t>
            </w:r>
          </w:p>
        </w:tc>
        <w:tc>
          <w:tcPr>
            <w:tcW w:w="1823" w:type="dxa"/>
            <w:shd w:val="clear" w:color="auto" w:fill="auto"/>
          </w:tcPr>
          <w:p w14:paraId="1FCA04CB" w14:textId="77777777" w:rsidR="004F65BF" w:rsidRPr="00887212" w:rsidRDefault="004F65BF" w:rsidP="00F5442C">
            <w:pPr>
              <w:spacing w:before="40" w:after="40"/>
              <w:rPr>
                <w:rFonts w:ascii="Calibri" w:eastAsia="Calibri" w:hAnsi="Calibri"/>
                <w:sz w:val="18"/>
                <w:szCs w:val="18"/>
              </w:rPr>
            </w:pPr>
            <w:r w:rsidRPr="00887212">
              <w:rPr>
                <w:rFonts w:ascii="Calibri" w:eastAsia="Calibri" w:hAnsi="Calibri"/>
                <w:sz w:val="18"/>
                <w:szCs w:val="18"/>
              </w:rPr>
              <w:t>Chief Digital and Information Officer</w:t>
            </w:r>
          </w:p>
        </w:tc>
        <w:tc>
          <w:tcPr>
            <w:tcW w:w="2319" w:type="dxa"/>
          </w:tcPr>
          <w:p w14:paraId="24269732" w14:textId="24878BD5" w:rsidR="004F65BF" w:rsidRPr="00887212" w:rsidRDefault="00887212" w:rsidP="00887212">
            <w:pPr>
              <w:spacing w:before="40" w:after="40"/>
              <w:jc w:val="center"/>
              <w:rPr>
                <w:rFonts w:ascii="Calibri" w:eastAsia="Calibri" w:hAnsi="Calibri"/>
                <w:sz w:val="18"/>
                <w:szCs w:val="18"/>
              </w:rPr>
            </w:pPr>
            <w:r w:rsidRPr="00887212">
              <w:rPr>
                <w:rFonts w:ascii="Calibri" w:eastAsia="Calibri" w:hAnsi="Calibri" w:cs="Calibri"/>
                <w:sz w:val="18"/>
                <w:szCs w:val="18"/>
              </w:rPr>
              <w:t>Action Retired</w:t>
            </w:r>
          </w:p>
        </w:tc>
      </w:tr>
      <w:tr w:rsidR="004F65BF" w:rsidRPr="003516A4" w14:paraId="10D5A3F3" w14:textId="77777777" w:rsidTr="00F5442C">
        <w:trPr>
          <w:jc w:val="center"/>
        </w:trPr>
        <w:tc>
          <w:tcPr>
            <w:tcW w:w="691" w:type="dxa"/>
            <w:shd w:val="clear" w:color="auto" w:fill="auto"/>
          </w:tcPr>
          <w:p w14:paraId="7BEA25D4" w14:textId="77777777" w:rsidR="004F65BF" w:rsidRPr="003516A4" w:rsidRDefault="004F65BF" w:rsidP="00F5442C">
            <w:pPr>
              <w:spacing w:before="40" w:after="40"/>
              <w:jc w:val="center"/>
              <w:rPr>
                <w:rFonts w:ascii="Calibri" w:eastAsia="Calibri" w:hAnsi="Calibri"/>
                <w:sz w:val="18"/>
                <w:szCs w:val="18"/>
                <w:highlight w:val="yellow"/>
              </w:rPr>
            </w:pPr>
          </w:p>
        </w:tc>
        <w:tc>
          <w:tcPr>
            <w:tcW w:w="6082" w:type="dxa"/>
            <w:gridSpan w:val="2"/>
            <w:shd w:val="clear" w:color="auto" w:fill="auto"/>
          </w:tcPr>
          <w:p w14:paraId="60BA3E9C" w14:textId="77777777" w:rsidR="004F65BF" w:rsidRPr="001D1CA8" w:rsidRDefault="004F65BF" w:rsidP="00F5442C">
            <w:pPr>
              <w:spacing w:before="40" w:after="40"/>
              <w:rPr>
                <w:rFonts w:ascii="Calibri" w:eastAsia="Calibri" w:hAnsi="Calibri" w:cs="Times New Roman"/>
                <w:sz w:val="18"/>
                <w:szCs w:val="18"/>
              </w:rPr>
            </w:pPr>
            <w:r w:rsidRPr="001D1CA8">
              <w:rPr>
                <w:rFonts w:ascii="Calibri" w:eastAsia="Calibri" w:hAnsi="Calibri" w:cs="Times New Roman"/>
                <w:b/>
                <w:color w:val="1F3864" w:themeColor="accent5" w:themeShade="80"/>
                <w:sz w:val="18"/>
                <w:szCs w:val="18"/>
              </w:rPr>
              <w:t>Uniform  and Small Assets</w:t>
            </w:r>
            <w:r w:rsidRPr="001D1CA8">
              <w:rPr>
                <w:rFonts w:ascii="Calibri" w:eastAsia="Calibri" w:hAnsi="Calibri" w:cs="Times New Roman"/>
                <w:color w:val="1F3864" w:themeColor="accent5" w:themeShade="80"/>
                <w:sz w:val="18"/>
                <w:szCs w:val="18"/>
              </w:rPr>
              <w:t xml:space="preserve"> </w:t>
            </w:r>
            <w:r w:rsidRPr="001D1CA8">
              <w:rPr>
                <w:rFonts w:ascii="Calibri" w:eastAsia="Calibri" w:hAnsi="Calibri" w:cs="Times New Roman"/>
                <w:sz w:val="18"/>
                <w:szCs w:val="18"/>
              </w:rPr>
              <w:t>– No assurance internal audit opinion (2018-19)</w:t>
            </w:r>
          </w:p>
          <w:p w14:paraId="6400C59B" w14:textId="77777777" w:rsidR="004F65BF" w:rsidRPr="001D1CA8" w:rsidRDefault="004F65BF" w:rsidP="00F5442C">
            <w:pPr>
              <w:spacing w:before="40" w:after="40"/>
              <w:rPr>
                <w:rFonts w:ascii="Calibri" w:eastAsia="Calibri" w:hAnsi="Calibri" w:cs="Times New Roman"/>
                <w:sz w:val="18"/>
                <w:szCs w:val="18"/>
              </w:rPr>
            </w:pPr>
            <w:r w:rsidRPr="001D1CA8">
              <w:rPr>
                <w:rFonts w:ascii="Calibri" w:eastAsia="Calibri" w:hAnsi="Calibri" w:cs="Times New Roman"/>
                <w:sz w:val="18"/>
                <w:szCs w:val="18"/>
              </w:rPr>
              <w:t>2 high, 3 medium management actions</w:t>
            </w:r>
          </w:p>
        </w:tc>
        <w:tc>
          <w:tcPr>
            <w:tcW w:w="1823" w:type="dxa"/>
            <w:shd w:val="clear" w:color="auto" w:fill="auto"/>
          </w:tcPr>
          <w:p w14:paraId="0CA9AA79" w14:textId="77777777" w:rsidR="004F65BF" w:rsidRPr="001D1CA8" w:rsidRDefault="004F65BF" w:rsidP="00F5442C">
            <w:pPr>
              <w:spacing w:before="40" w:after="40"/>
              <w:rPr>
                <w:rFonts w:ascii="Calibri" w:eastAsia="Calibri" w:hAnsi="Calibri"/>
                <w:sz w:val="18"/>
                <w:szCs w:val="18"/>
                <w:lang w:eastAsia="en-GB"/>
              </w:rPr>
            </w:pPr>
            <w:r w:rsidRPr="001D1CA8">
              <w:rPr>
                <w:rFonts w:ascii="Calibri" w:eastAsia="Calibri" w:hAnsi="Calibri"/>
                <w:sz w:val="18"/>
                <w:szCs w:val="18"/>
                <w:lang w:eastAsia="en-GB"/>
              </w:rPr>
              <w:t>Service Director, Estates &amp; Facilities</w:t>
            </w:r>
          </w:p>
        </w:tc>
        <w:tc>
          <w:tcPr>
            <w:tcW w:w="2319" w:type="dxa"/>
          </w:tcPr>
          <w:p w14:paraId="63FD8B4B" w14:textId="613C1AAF" w:rsidR="004F65BF" w:rsidRPr="001D1CA8" w:rsidRDefault="00887212" w:rsidP="00F5442C">
            <w:pPr>
              <w:spacing w:before="40" w:after="40"/>
              <w:jc w:val="center"/>
              <w:rPr>
                <w:rFonts w:ascii="Calibri" w:eastAsia="Calibri" w:hAnsi="Calibri" w:cs="Times New Roman"/>
                <w:sz w:val="18"/>
                <w:szCs w:val="18"/>
              </w:rPr>
            </w:pPr>
            <w:r w:rsidRPr="001D1CA8">
              <w:rPr>
                <w:rFonts w:ascii="Calibri" w:eastAsia="Calibri" w:hAnsi="Calibri"/>
                <w:sz w:val="18"/>
                <w:szCs w:val="18"/>
              </w:rPr>
              <w:t>Complete</w:t>
            </w:r>
          </w:p>
        </w:tc>
      </w:tr>
      <w:tr w:rsidR="004F65BF" w:rsidRPr="003516A4" w14:paraId="56A227EB" w14:textId="77777777" w:rsidTr="00F5442C">
        <w:trPr>
          <w:jc w:val="center"/>
        </w:trPr>
        <w:tc>
          <w:tcPr>
            <w:tcW w:w="10915" w:type="dxa"/>
            <w:gridSpan w:val="5"/>
            <w:shd w:val="clear" w:color="auto" w:fill="BDD6EE"/>
          </w:tcPr>
          <w:p w14:paraId="6EFF63BC" w14:textId="77777777" w:rsidR="004F65BF" w:rsidRPr="003516A4" w:rsidRDefault="004F65BF" w:rsidP="00F5442C">
            <w:pPr>
              <w:spacing w:before="40" w:after="40" w:line="252" w:lineRule="auto"/>
              <w:rPr>
                <w:rFonts w:ascii="Calibri" w:hAnsi="Calibri"/>
                <w:caps/>
                <w:sz w:val="18"/>
                <w:szCs w:val="18"/>
                <w:highlight w:val="yellow"/>
              </w:rPr>
            </w:pPr>
            <w:r w:rsidRPr="00267E2F">
              <w:rPr>
                <w:rFonts w:ascii="Calibri" w:eastAsia="Calibri" w:hAnsi="Calibri"/>
                <w:b/>
                <w:caps/>
              </w:rPr>
              <w:t xml:space="preserve">Issues </w:t>
            </w:r>
            <w:r>
              <w:rPr>
                <w:rFonts w:ascii="Calibri" w:eastAsia="Calibri" w:hAnsi="Calibri"/>
                <w:b/>
                <w:caps/>
              </w:rPr>
              <w:t>carried over</w:t>
            </w:r>
            <w:r w:rsidRPr="00267E2F">
              <w:rPr>
                <w:rFonts w:ascii="Calibri" w:eastAsia="Calibri" w:hAnsi="Calibri"/>
                <w:b/>
                <w:caps/>
              </w:rPr>
              <w:t xml:space="preserve"> from internal audit 2019-20</w:t>
            </w:r>
          </w:p>
        </w:tc>
      </w:tr>
      <w:tr w:rsidR="004F65BF" w:rsidRPr="003516A4" w14:paraId="044441E3" w14:textId="77777777" w:rsidTr="00F5442C">
        <w:trPr>
          <w:jc w:val="center"/>
        </w:trPr>
        <w:tc>
          <w:tcPr>
            <w:tcW w:w="709" w:type="dxa"/>
            <w:gridSpan w:val="2"/>
            <w:shd w:val="clear" w:color="auto" w:fill="auto"/>
          </w:tcPr>
          <w:p w14:paraId="25E24FB2" w14:textId="77777777" w:rsidR="004F65BF" w:rsidRPr="003516A4" w:rsidRDefault="004F65BF" w:rsidP="00F5442C">
            <w:pPr>
              <w:spacing w:before="40" w:after="40" w:line="259" w:lineRule="auto"/>
              <w:jc w:val="center"/>
              <w:rPr>
                <w:rFonts w:ascii="Calibri" w:eastAsia="Calibri" w:hAnsi="Calibri"/>
                <w:sz w:val="18"/>
                <w:szCs w:val="18"/>
                <w:highlight w:val="yellow"/>
              </w:rPr>
            </w:pPr>
          </w:p>
        </w:tc>
        <w:tc>
          <w:tcPr>
            <w:tcW w:w="6064" w:type="dxa"/>
            <w:shd w:val="clear" w:color="auto" w:fill="auto"/>
          </w:tcPr>
          <w:p w14:paraId="761813A9" w14:textId="77777777" w:rsidR="004F65BF" w:rsidRPr="00267E2F" w:rsidRDefault="004F65BF" w:rsidP="00F5442C">
            <w:pPr>
              <w:spacing w:before="40" w:after="40"/>
              <w:rPr>
                <w:rFonts w:ascii="Calibri" w:hAnsi="Calibri"/>
                <w:sz w:val="18"/>
                <w:szCs w:val="18"/>
              </w:rPr>
            </w:pPr>
            <w:r w:rsidRPr="00267E2F">
              <w:rPr>
                <w:rFonts w:ascii="Calibri" w:hAnsi="Calibri"/>
                <w:b/>
                <w:color w:val="002060"/>
                <w:sz w:val="18"/>
                <w:szCs w:val="18"/>
              </w:rPr>
              <w:t>IT – Resource Management – Limited Assurance</w:t>
            </w:r>
          </w:p>
          <w:p w14:paraId="14B73CD9" w14:textId="77777777" w:rsidR="004F65BF" w:rsidRPr="00267E2F" w:rsidRDefault="004F65BF" w:rsidP="00F5442C">
            <w:pPr>
              <w:spacing w:before="40" w:after="40"/>
              <w:rPr>
                <w:rFonts w:ascii="Calibri" w:hAnsi="Calibri"/>
                <w:sz w:val="18"/>
                <w:szCs w:val="18"/>
              </w:rPr>
            </w:pPr>
            <w:r w:rsidRPr="00267E2F">
              <w:rPr>
                <w:rFonts w:ascii="Calibri" w:hAnsi="Calibri"/>
                <w:sz w:val="18"/>
                <w:szCs w:val="18"/>
              </w:rPr>
              <w:t>15 high, 1 medium level management actions</w:t>
            </w:r>
          </w:p>
          <w:p w14:paraId="54A60D73" w14:textId="77777777" w:rsidR="004F65BF" w:rsidRPr="00267E2F" w:rsidRDefault="004F65BF" w:rsidP="00F5442C">
            <w:pPr>
              <w:spacing w:before="40" w:after="40"/>
              <w:rPr>
                <w:rFonts w:ascii="Calibri" w:hAnsi="Calibri"/>
                <w:b/>
                <w:color w:val="002060"/>
                <w:sz w:val="18"/>
                <w:szCs w:val="18"/>
              </w:rPr>
            </w:pPr>
            <w:r w:rsidRPr="00267E2F">
              <w:rPr>
                <w:rFonts w:ascii="Calibri" w:eastAsia="Calibri" w:hAnsi="Calibri" w:cs="Times New Roman"/>
                <w:sz w:val="18"/>
                <w:szCs w:val="18"/>
              </w:rPr>
              <w:t>Update May-21: 4 overdue actions remain open</w:t>
            </w:r>
          </w:p>
        </w:tc>
        <w:tc>
          <w:tcPr>
            <w:tcW w:w="1823" w:type="dxa"/>
            <w:shd w:val="clear" w:color="auto" w:fill="auto"/>
          </w:tcPr>
          <w:p w14:paraId="015ECC99" w14:textId="77777777" w:rsidR="004F65BF" w:rsidRPr="00267E2F" w:rsidRDefault="004F65BF" w:rsidP="00F5442C">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267E2F">
              <w:rPr>
                <w:rFonts w:ascii="Calibri" w:eastAsia="Calibri" w:hAnsi="Calibri"/>
                <w:sz w:val="18"/>
                <w:szCs w:val="18"/>
              </w:rPr>
              <w:t>Chief Digital and Information Officer</w:t>
            </w:r>
          </w:p>
        </w:tc>
        <w:tc>
          <w:tcPr>
            <w:tcW w:w="2319" w:type="dxa"/>
          </w:tcPr>
          <w:p w14:paraId="2CDBB890" w14:textId="77777777" w:rsidR="004F65BF" w:rsidRPr="003516A4" w:rsidRDefault="004F65BF" w:rsidP="00F5442C">
            <w:pPr>
              <w:spacing w:before="40" w:after="40"/>
              <w:jc w:val="center"/>
              <w:rPr>
                <w:rFonts w:ascii="Calibri" w:hAnsi="Calibri"/>
                <w:sz w:val="18"/>
                <w:szCs w:val="18"/>
                <w:highlight w:val="yellow"/>
              </w:rPr>
            </w:pPr>
            <w:r>
              <w:rPr>
                <w:rFonts w:ascii="Calibri" w:hAnsi="Calibri"/>
                <w:sz w:val="18"/>
                <w:szCs w:val="18"/>
              </w:rPr>
              <w:t>Anticipated completion date: 30.06.21</w:t>
            </w:r>
          </w:p>
        </w:tc>
      </w:tr>
      <w:tr w:rsidR="004F65BF" w:rsidRPr="003516A4" w14:paraId="2AD34304" w14:textId="77777777" w:rsidTr="00F5442C">
        <w:trPr>
          <w:jc w:val="center"/>
        </w:trPr>
        <w:tc>
          <w:tcPr>
            <w:tcW w:w="709" w:type="dxa"/>
            <w:gridSpan w:val="2"/>
            <w:shd w:val="clear" w:color="auto" w:fill="auto"/>
          </w:tcPr>
          <w:p w14:paraId="49A04AB6" w14:textId="77777777" w:rsidR="004F65BF" w:rsidRPr="003516A4" w:rsidRDefault="004F65BF" w:rsidP="00F5442C">
            <w:pPr>
              <w:spacing w:before="40" w:after="40" w:line="259" w:lineRule="auto"/>
              <w:jc w:val="center"/>
              <w:rPr>
                <w:rFonts w:ascii="Calibri" w:eastAsia="Calibri" w:hAnsi="Calibri"/>
                <w:sz w:val="18"/>
                <w:szCs w:val="18"/>
                <w:highlight w:val="yellow"/>
              </w:rPr>
            </w:pPr>
          </w:p>
        </w:tc>
        <w:tc>
          <w:tcPr>
            <w:tcW w:w="6064" w:type="dxa"/>
            <w:shd w:val="clear" w:color="auto" w:fill="auto"/>
          </w:tcPr>
          <w:p w14:paraId="255F14E1" w14:textId="77777777" w:rsidR="004F65BF" w:rsidRPr="00267E2F" w:rsidRDefault="004F65BF" w:rsidP="00F5442C">
            <w:pPr>
              <w:spacing w:before="40" w:after="40"/>
              <w:rPr>
                <w:rFonts w:ascii="Calibri" w:hAnsi="Calibri"/>
                <w:sz w:val="18"/>
                <w:szCs w:val="18"/>
              </w:rPr>
            </w:pPr>
            <w:r w:rsidRPr="00267E2F">
              <w:rPr>
                <w:rFonts w:ascii="Calibri" w:hAnsi="Calibri"/>
                <w:b/>
                <w:color w:val="002060"/>
                <w:sz w:val="18"/>
                <w:szCs w:val="18"/>
              </w:rPr>
              <w:t>IT – Data Centre Facilities &amp; Security – Limited Assurance</w:t>
            </w:r>
          </w:p>
          <w:p w14:paraId="4BB0B4FC" w14:textId="77777777" w:rsidR="004F65BF" w:rsidRPr="00267E2F" w:rsidRDefault="004F65BF" w:rsidP="00F5442C">
            <w:pPr>
              <w:spacing w:before="40" w:after="40"/>
              <w:rPr>
                <w:rFonts w:ascii="Calibri" w:eastAsia="Calibri" w:hAnsi="Calibri" w:cs="Times New Roman"/>
                <w:sz w:val="18"/>
                <w:szCs w:val="18"/>
              </w:rPr>
            </w:pPr>
            <w:r w:rsidRPr="00267E2F">
              <w:rPr>
                <w:rFonts w:ascii="Calibri" w:eastAsia="Calibri" w:hAnsi="Calibri" w:cs="Times New Roman"/>
                <w:sz w:val="18"/>
                <w:szCs w:val="18"/>
              </w:rPr>
              <w:t>2 high, 2 medium, 4 low level management actions</w:t>
            </w:r>
          </w:p>
          <w:p w14:paraId="551BF8B1" w14:textId="77777777" w:rsidR="004F65BF" w:rsidRPr="00267E2F" w:rsidRDefault="004F65BF" w:rsidP="00F5442C">
            <w:pPr>
              <w:spacing w:before="40" w:after="40"/>
              <w:rPr>
                <w:rFonts w:ascii="Calibri" w:eastAsia="Calibri" w:hAnsi="Calibri" w:cs="Times New Roman"/>
                <w:sz w:val="18"/>
                <w:szCs w:val="18"/>
              </w:rPr>
            </w:pPr>
            <w:r>
              <w:rPr>
                <w:rFonts w:ascii="Calibri" w:eastAsia="Calibri" w:hAnsi="Calibri" w:cs="Times New Roman"/>
                <w:sz w:val="18"/>
                <w:szCs w:val="18"/>
              </w:rPr>
              <w:t>Update May-21: 1 overdue action remains open</w:t>
            </w:r>
          </w:p>
        </w:tc>
        <w:tc>
          <w:tcPr>
            <w:tcW w:w="1823" w:type="dxa"/>
            <w:shd w:val="clear" w:color="auto" w:fill="auto"/>
          </w:tcPr>
          <w:p w14:paraId="2D2093A4" w14:textId="77777777" w:rsidR="004F65BF" w:rsidRPr="00267E2F" w:rsidRDefault="004F65BF" w:rsidP="00F5442C">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267E2F">
              <w:rPr>
                <w:rFonts w:ascii="Calibri" w:eastAsia="Calibri" w:hAnsi="Calibri"/>
                <w:sz w:val="18"/>
                <w:szCs w:val="18"/>
              </w:rPr>
              <w:t>Chief Digital and Information Officer</w:t>
            </w:r>
            <w:r w:rsidRPr="00267E2F" w:rsidDel="0031071F">
              <w:rPr>
                <w:rFonts w:ascii="Calibri" w:eastAsia="Calibri" w:hAnsi="Calibri"/>
                <w:sz w:val="18"/>
                <w:szCs w:val="18"/>
              </w:rPr>
              <w:t xml:space="preserve"> </w:t>
            </w:r>
          </w:p>
        </w:tc>
        <w:tc>
          <w:tcPr>
            <w:tcW w:w="2319" w:type="dxa"/>
          </w:tcPr>
          <w:p w14:paraId="55CCBF49" w14:textId="77777777" w:rsidR="004F65BF" w:rsidRPr="003516A4" w:rsidRDefault="004F65BF" w:rsidP="00F5442C">
            <w:pPr>
              <w:spacing w:before="40" w:after="40"/>
              <w:jc w:val="center"/>
              <w:rPr>
                <w:rFonts w:ascii="Calibri" w:hAnsi="Calibri"/>
                <w:sz w:val="18"/>
                <w:szCs w:val="18"/>
                <w:highlight w:val="yellow"/>
              </w:rPr>
            </w:pPr>
            <w:r>
              <w:rPr>
                <w:rFonts w:ascii="Calibri" w:hAnsi="Calibri"/>
                <w:sz w:val="18"/>
                <w:szCs w:val="18"/>
              </w:rPr>
              <w:t>Anticipated completion date: 30.06.21</w:t>
            </w:r>
          </w:p>
        </w:tc>
      </w:tr>
      <w:tr w:rsidR="004F65BF" w:rsidRPr="003516A4" w14:paraId="3240E7ED" w14:textId="77777777" w:rsidTr="00F5442C">
        <w:trPr>
          <w:jc w:val="center"/>
        </w:trPr>
        <w:tc>
          <w:tcPr>
            <w:tcW w:w="709" w:type="dxa"/>
            <w:gridSpan w:val="2"/>
            <w:shd w:val="clear" w:color="auto" w:fill="auto"/>
          </w:tcPr>
          <w:p w14:paraId="05BEAEB9" w14:textId="77777777" w:rsidR="004F65BF" w:rsidRPr="003516A4" w:rsidRDefault="004F65BF" w:rsidP="00F5442C">
            <w:pPr>
              <w:spacing w:before="40" w:after="40" w:line="259" w:lineRule="auto"/>
              <w:jc w:val="center"/>
              <w:rPr>
                <w:rFonts w:ascii="Calibri" w:eastAsia="Calibri" w:hAnsi="Calibri"/>
                <w:sz w:val="18"/>
                <w:szCs w:val="18"/>
                <w:highlight w:val="yellow"/>
              </w:rPr>
            </w:pPr>
          </w:p>
        </w:tc>
        <w:tc>
          <w:tcPr>
            <w:tcW w:w="6064" w:type="dxa"/>
            <w:shd w:val="clear" w:color="auto" w:fill="auto"/>
          </w:tcPr>
          <w:p w14:paraId="7F41A082" w14:textId="77777777" w:rsidR="004F65BF" w:rsidRPr="00267E2F" w:rsidRDefault="004F65BF" w:rsidP="00F5442C">
            <w:pPr>
              <w:spacing w:before="40" w:after="40"/>
              <w:rPr>
                <w:rFonts w:ascii="Calibri" w:hAnsi="Calibri"/>
                <w:sz w:val="18"/>
                <w:szCs w:val="18"/>
              </w:rPr>
            </w:pPr>
            <w:r w:rsidRPr="00267E2F">
              <w:rPr>
                <w:rFonts w:ascii="Calibri" w:hAnsi="Calibri"/>
                <w:b/>
                <w:color w:val="002060"/>
                <w:sz w:val="18"/>
                <w:szCs w:val="18"/>
              </w:rPr>
              <w:t>IT – Data Storage and Backup – Limited Assurance</w:t>
            </w:r>
          </w:p>
          <w:p w14:paraId="13B78900" w14:textId="77777777" w:rsidR="004F65BF" w:rsidRPr="00267E2F" w:rsidRDefault="004F65BF" w:rsidP="00F5442C">
            <w:pPr>
              <w:spacing w:before="40" w:after="40"/>
              <w:rPr>
                <w:rFonts w:ascii="Calibri" w:eastAsia="Calibri" w:hAnsi="Calibri" w:cs="Times New Roman"/>
                <w:sz w:val="18"/>
                <w:szCs w:val="18"/>
              </w:rPr>
            </w:pPr>
            <w:r w:rsidRPr="00267E2F">
              <w:rPr>
                <w:rFonts w:ascii="Calibri" w:eastAsia="Calibri" w:hAnsi="Calibri" w:cs="Times New Roman"/>
                <w:sz w:val="18"/>
                <w:szCs w:val="18"/>
              </w:rPr>
              <w:t>5 high, 5 medium, 1 low level management actions</w:t>
            </w:r>
          </w:p>
          <w:p w14:paraId="030F7C87" w14:textId="77777777" w:rsidR="004F65BF" w:rsidRPr="00267E2F" w:rsidRDefault="004F65BF" w:rsidP="00F5442C">
            <w:pPr>
              <w:spacing w:before="40" w:after="40"/>
              <w:rPr>
                <w:rFonts w:ascii="Calibri" w:eastAsia="Calibri" w:hAnsi="Calibri" w:cs="Times New Roman"/>
                <w:sz w:val="18"/>
                <w:szCs w:val="18"/>
              </w:rPr>
            </w:pPr>
            <w:r>
              <w:rPr>
                <w:rFonts w:ascii="Calibri" w:eastAsia="Calibri" w:hAnsi="Calibri" w:cs="Times New Roman"/>
                <w:sz w:val="18"/>
                <w:szCs w:val="18"/>
              </w:rPr>
              <w:t>Update May-21: 2 overdue actions remain open</w:t>
            </w:r>
          </w:p>
        </w:tc>
        <w:tc>
          <w:tcPr>
            <w:tcW w:w="1823" w:type="dxa"/>
            <w:shd w:val="clear" w:color="auto" w:fill="auto"/>
          </w:tcPr>
          <w:p w14:paraId="0428EB03" w14:textId="77777777" w:rsidR="004F65BF" w:rsidRPr="00267E2F" w:rsidRDefault="004F65BF" w:rsidP="00F5442C">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267E2F">
              <w:rPr>
                <w:rFonts w:ascii="Calibri" w:eastAsia="Calibri" w:hAnsi="Calibri"/>
                <w:sz w:val="18"/>
                <w:szCs w:val="18"/>
              </w:rPr>
              <w:t>Chief Digital and Information Officer</w:t>
            </w:r>
            <w:r w:rsidRPr="00267E2F" w:rsidDel="0031071F">
              <w:rPr>
                <w:rFonts w:ascii="Calibri" w:eastAsia="Calibri" w:hAnsi="Calibri"/>
                <w:sz w:val="18"/>
                <w:szCs w:val="18"/>
              </w:rPr>
              <w:t xml:space="preserve"> </w:t>
            </w:r>
          </w:p>
        </w:tc>
        <w:tc>
          <w:tcPr>
            <w:tcW w:w="2319" w:type="dxa"/>
          </w:tcPr>
          <w:p w14:paraId="30CC8CC3" w14:textId="77777777" w:rsidR="004F65BF" w:rsidRPr="00267E2F" w:rsidRDefault="004F65BF" w:rsidP="00F5442C">
            <w:pPr>
              <w:spacing w:before="40" w:after="40"/>
              <w:jc w:val="center"/>
              <w:rPr>
                <w:rFonts w:ascii="Calibri" w:hAnsi="Calibri"/>
                <w:sz w:val="18"/>
                <w:szCs w:val="18"/>
              </w:rPr>
            </w:pPr>
            <w:r>
              <w:rPr>
                <w:rFonts w:ascii="Calibri" w:hAnsi="Calibri"/>
                <w:sz w:val="18"/>
                <w:szCs w:val="18"/>
              </w:rPr>
              <w:t>Anticipated completion date: 30.06.21</w:t>
            </w:r>
          </w:p>
        </w:tc>
      </w:tr>
      <w:tr w:rsidR="004F65BF" w:rsidRPr="003516A4" w14:paraId="312C2F10" w14:textId="77777777" w:rsidTr="00F5442C">
        <w:trPr>
          <w:jc w:val="center"/>
        </w:trPr>
        <w:tc>
          <w:tcPr>
            <w:tcW w:w="709" w:type="dxa"/>
            <w:gridSpan w:val="2"/>
            <w:shd w:val="clear" w:color="auto" w:fill="auto"/>
          </w:tcPr>
          <w:p w14:paraId="7F0E4A8B" w14:textId="77777777" w:rsidR="004F65BF" w:rsidRPr="003516A4" w:rsidRDefault="004F65BF" w:rsidP="00F5442C">
            <w:pPr>
              <w:spacing w:before="40" w:after="40" w:line="259" w:lineRule="auto"/>
              <w:jc w:val="center"/>
              <w:rPr>
                <w:rFonts w:ascii="Calibri" w:eastAsia="Calibri" w:hAnsi="Calibri"/>
                <w:sz w:val="18"/>
                <w:szCs w:val="18"/>
                <w:highlight w:val="yellow"/>
              </w:rPr>
            </w:pPr>
          </w:p>
        </w:tc>
        <w:tc>
          <w:tcPr>
            <w:tcW w:w="6064" w:type="dxa"/>
            <w:shd w:val="clear" w:color="auto" w:fill="auto"/>
          </w:tcPr>
          <w:p w14:paraId="624EBE14" w14:textId="77777777" w:rsidR="004F65BF" w:rsidRPr="00267E2F" w:rsidRDefault="004F65BF" w:rsidP="00F5442C">
            <w:pPr>
              <w:spacing w:before="40" w:after="40"/>
              <w:rPr>
                <w:rFonts w:ascii="Calibri" w:hAnsi="Calibri"/>
                <w:sz w:val="18"/>
                <w:szCs w:val="18"/>
              </w:rPr>
            </w:pPr>
            <w:r w:rsidRPr="00267E2F">
              <w:rPr>
                <w:rFonts w:ascii="Calibri" w:hAnsi="Calibri"/>
                <w:b/>
                <w:color w:val="002060"/>
                <w:sz w:val="18"/>
                <w:szCs w:val="18"/>
              </w:rPr>
              <w:t>IT – Capacity and Performance Monitoring – Limited Assurance</w:t>
            </w:r>
          </w:p>
          <w:p w14:paraId="01DEE601" w14:textId="77777777" w:rsidR="004F65BF" w:rsidRPr="00267E2F" w:rsidRDefault="004F65BF" w:rsidP="00F5442C">
            <w:pPr>
              <w:spacing w:before="40" w:after="40"/>
              <w:rPr>
                <w:rFonts w:ascii="Calibri" w:eastAsia="Calibri" w:hAnsi="Calibri" w:cs="Times New Roman"/>
                <w:sz w:val="18"/>
                <w:szCs w:val="18"/>
              </w:rPr>
            </w:pPr>
            <w:r w:rsidRPr="00267E2F">
              <w:rPr>
                <w:rFonts w:ascii="Calibri" w:eastAsia="Calibri" w:hAnsi="Calibri" w:cs="Times New Roman"/>
                <w:sz w:val="18"/>
                <w:szCs w:val="18"/>
              </w:rPr>
              <w:t>1 high, 4 medium, 2 low level management actions</w:t>
            </w:r>
          </w:p>
          <w:p w14:paraId="5F2A5495" w14:textId="77777777" w:rsidR="004F65BF" w:rsidRPr="00267E2F" w:rsidRDefault="004F65BF" w:rsidP="00F5442C">
            <w:pPr>
              <w:spacing w:before="40" w:after="40"/>
              <w:rPr>
                <w:rFonts w:ascii="Calibri" w:eastAsia="Calibri" w:hAnsi="Calibri" w:cs="Times New Roman"/>
                <w:color w:val="FF0000"/>
                <w:sz w:val="18"/>
                <w:szCs w:val="18"/>
              </w:rPr>
            </w:pPr>
            <w:r w:rsidRPr="00267E2F">
              <w:rPr>
                <w:rFonts w:ascii="Calibri" w:eastAsia="Calibri" w:hAnsi="Calibri" w:cs="Times New Roman"/>
                <w:sz w:val="18"/>
                <w:szCs w:val="18"/>
              </w:rPr>
              <w:t>Update May-21</w:t>
            </w:r>
            <w:r>
              <w:rPr>
                <w:rFonts w:ascii="Calibri" w:eastAsia="Calibri" w:hAnsi="Calibri" w:cs="Times New Roman"/>
                <w:sz w:val="18"/>
                <w:szCs w:val="18"/>
              </w:rPr>
              <w:t>: 2 overdue actions plus 2 actions not yet due remain open</w:t>
            </w:r>
          </w:p>
        </w:tc>
        <w:tc>
          <w:tcPr>
            <w:tcW w:w="1823" w:type="dxa"/>
            <w:shd w:val="clear" w:color="auto" w:fill="auto"/>
          </w:tcPr>
          <w:p w14:paraId="75FBB603" w14:textId="77777777" w:rsidR="004F65BF" w:rsidRPr="00267E2F" w:rsidRDefault="004F65BF" w:rsidP="00F5442C">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267E2F">
              <w:rPr>
                <w:rFonts w:ascii="Calibri" w:eastAsia="Calibri" w:hAnsi="Calibri"/>
                <w:sz w:val="18"/>
                <w:szCs w:val="18"/>
              </w:rPr>
              <w:t>Chief Digital and Information Officer</w:t>
            </w:r>
            <w:r w:rsidRPr="00267E2F" w:rsidDel="0031071F">
              <w:rPr>
                <w:rFonts w:ascii="Calibri" w:eastAsia="Calibri" w:hAnsi="Calibri"/>
                <w:sz w:val="18"/>
                <w:szCs w:val="18"/>
              </w:rPr>
              <w:t xml:space="preserve"> </w:t>
            </w:r>
          </w:p>
        </w:tc>
        <w:tc>
          <w:tcPr>
            <w:tcW w:w="2319" w:type="dxa"/>
          </w:tcPr>
          <w:p w14:paraId="548298C9" w14:textId="77777777" w:rsidR="004F65BF" w:rsidRPr="00267E2F" w:rsidRDefault="004F65BF" w:rsidP="00F5442C">
            <w:pPr>
              <w:spacing w:before="40" w:after="40"/>
              <w:jc w:val="center"/>
              <w:rPr>
                <w:rFonts w:ascii="Calibri" w:hAnsi="Calibri"/>
                <w:sz w:val="18"/>
                <w:szCs w:val="18"/>
              </w:rPr>
            </w:pPr>
            <w:r>
              <w:rPr>
                <w:rFonts w:ascii="Calibri" w:hAnsi="Calibri"/>
                <w:sz w:val="18"/>
                <w:szCs w:val="18"/>
              </w:rPr>
              <w:t>Anticipated completion date: 31.12.21</w:t>
            </w:r>
          </w:p>
        </w:tc>
      </w:tr>
      <w:tr w:rsidR="004F65BF" w:rsidRPr="003516A4" w14:paraId="262BDD4D" w14:textId="77777777" w:rsidTr="00F5442C">
        <w:trPr>
          <w:jc w:val="center"/>
        </w:trPr>
        <w:tc>
          <w:tcPr>
            <w:tcW w:w="709" w:type="dxa"/>
            <w:gridSpan w:val="2"/>
            <w:shd w:val="clear" w:color="auto" w:fill="auto"/>
          </w:tcPr>
          <w:p w14:paraId="07163CB4" w14:textId="77777777" w:rsidR="004F65BF" w:rsidRPr="003516A4" w:rsidRDefault="004F65BF" w:rsidP="00F5442C">
            <w:pPr>
              <w:spacing w:before="40" w:after="40" w:line="259" w:lineRule="auto"/>
              <w:jc w:val="center"/>
              <w:rPr>
                <w:rFonts w:ascii="Calibri" w:eastAsia="Calibri" w:hAnsi="Calibri"/>
                <w:sz w:val="18"/>
                <w:szCs w:val="18"/>
                <w:highlight w:val="yellow"/>
              </w:rPr>
            </w:pPr>
          </w:p>
        </w:tc>
        <w:tc>
          <w:tcPr>
            <w:tcW w:w="6064" w:type="dxa"/>
            <w:shd w:val="clear" w:color="auto" w:fill="auto"/>
          </w:tcPr>
          <w:p w14:paraId="7B23683B" w14:textId="77777777" w:rsidR="004F65BF" w:rsidRPr="00567832" w:rsidRDefault="004F65BF" w:rsidP="00F5442C">
            <w:pPr>
              <w:spacing w:before="40" w:after="40"/>
              <w:rPr>
                <w:rFonts w:ascii="Calibri" w:hAnsi="Calibri"/>
                <w:sz w:val="18"/>
                <w:szCs w:val="18"/>
              </w:rPr>
            </w:pPr>
            <w:r w:rsidRPr="00567832">
              <w:rPr>
                <w:rFonts w:ascii="Calibri" w:hAnsi="Calibri"/>
                <w:b/>
                <w:color w:val="002060"/>
                <w:sz w:val="18"/>
                <w:szCs w:val="18"/>
              </w:rPr>
              <w:t>IT – Commercial Unit – Limited Assurance</w:t>
            </w:r>
          </w:p>
          <w:p w14:paraId="18628B09" w14:textId="77777777" w:rsidR="004F65BF" w:rsidRPr="00567832" w:rsidRDefault="004F65BF" w:rsidP="00F5442C">
            <w:pPr>
              <w:spacing w:before="40" w:after="40"/>
              <w:rPr>
                <w:rFonts w:ascii="Calibri" w:eastAsia="Calibri" w:hAnsi="Calibri" w:cs="Times New Roman"/>
                <w:sz w:val="18"/>
                <w:szCs w:val="18"/>
              </w:rPr>
            </w:pPr>
            <w:r w:rsidRPr="00567832">
              <w:rPr>
                <w:rFonts w:ascii="Calibri" w:eastAsia="Calibri" w:hAnsi="Calibri" w:cs="Times New Roman"/>
                <w:sz w:val="18"/>
                <w:szCs w:val="18"/>
              </w:rPr>
              <w:t>8 high, 6 medium level management actions</w:t>
            </w:r>
          </w:p>
          <w:p w14:paraId="177C8574" w14:textId="77777777" w:rsidR="004F65BF" w:rsidRPr="00567832" w:rsidRDefault="004F65BF" w:rsidP="00F5442C">
            <w:pPr>
              <w:spacing w:before="40" w:after="40"/>
              <w:rPr>
                <w:rFonts w:ascii="Calibri" w:hAnsi="Calibri"/>
                <w:b/>
                <w:color w:val="002060"/>
                <w:sz w:val="18"/>
                <w:szCs w:val="18"/>
              </w:rPr>
            </w:pPr>
            <w:r w:rsidRPr="00567832">
              <w:rPr>
                <w:rFonts w:ascii="Calibri" w:eastAsia="Calibri" w:hAnsi="Calibri" w:cs="Times New Roman"/>
                <w:sz w:val="18"/>
                <w:szCs w:val="18"/>
              </w:rPr>
              <w:t>Update May-21: 10 overdue actions remain open</w:t>
            </w:r>
          </w:p>
        </w:tc>
        <w:tc>
          <w:tcPr>
            <w:tcW w:w="1823" w:type="dxa"/>
            <w:shd w:val="clear" w:color="auto" w:fill="auto"/>
          </w:tcPr>
          <w:p w14:paraId="1F187AED" w14:textId="77777777" w:rsidR="004F65BF" w:rsidRPr="00567832" w:rsidRDefault="004F65BF" w:rsidP="00F5442C">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567832">
              <w:rPr>
                <w:rFonts w:ascii="Calibri" w:eastAsia="Calibri" w:hAnsi="Calibri"/>
                <w:sz w:val="18"/>
                <w:szCs w:val="18"/>
              </w:rPr>
              <w:t>Chief Digital and Information Officer</w:t>
            </w:r>
            <w:r w:rsidRPr="00567832" w:rsidDel="0031071F">
              <w:rPr>
                <w:rFonts w:ascii="Calibri" w:eastAsia="Calibri" w:hAnsi="Calibri"/>
                <w:sz w:val="18"/>
                <w:szCs w:val="18"/>
              </w:rPr>
              <w:t xml:space="preserve"> </w:t>
            </w:r>
          </w:p>
        </w:tc>
        <w:tc>
          <w:tcPr>
            <w:tcW w:w="2319" w:type="dxa"/>
          </w:tcPr>
          <w:p w14:paraId="09308A07" w14:textId="77777777" w:rsidR="004F65BF" w:rsidRPr="00567832" w:rsidRDefault="004F65BF" w:rsidP="00F5442C">
            <w:pPr>
              <w:spacing w:before="40" w:after="40"/>
              <w:jc w:val="center"/>
              <w:rPr>
                <w:rFonts w:ascii="Calibri" w:hAnsi="Calibri"/>
                <w:sz w:val="18"/>
                <w:szCs w:val="18"/>
              </w:rPr>
            </w:pPr>
            <w:r w:rsidRPr="00567832">
              <w:rPr>
                <w:rFonts w:ascii="Calibri" w:hAnsi="Calibri"/>
                <w:sz w:val="18"/>
                <w:szCs w:val="18"/>
              </w:rPr>
              <w:t>Anticipated completion date: 30.06.21</w:t>
            </w:r>
          </w:p>
        </w:tc>
      </w:tr>
      <w:tr w:rsidR="004F65BF" w:rsidRPr="003516A4" w14:paraId="37051A1F" w14:textId="77777777" w:rsidTr="00F5442C">
        <w:trPr>
          <w:jc w:val="center"/>
        </w:trPr>
        <w:tc>
          <w:tcPr>
            <w:tcW w:w="709" w:type="dxa"/>
            <w:gridSpan w:val="2"/>
            <w:shd w:val="clear" w:color="auto" w:fill="auto"/>
          </w:tcPr>
          <w:p w14:paraId="7BD593A2" w14:textId="77777777" w:rsidR="004F65BF" w:rsidRPr="003516A4" w:rsidRDefault="004F65BF" w:rsidP="00F5442C">
            <w:pPr>
              <w:spacing w:before="40" w:after="40" w:line="259" w:lineRule="auto"/>
              <w:jc w:val="center"/>
              <w:rPr>
                <w:rFonts w:ascii="Calibri" w:eastAsia="Calibri" w:hAnsi="Calibri"/>
                <w:sz w:val="18"/>
                <w:szCs w:val="18"/>
                <w:highlight w:val="yellow"/>
              </w:rPr>
            </w:pPr>
          </w:p>
        </w:tc>
        <w:tc>
          <w:tcPr>
            <w:tcW w:w="6064" w:type="dxa"/>
            <w:shd w:val="clear" w:color="auto" w:fill="auto"/>
          </w:tcPr>
          <w:p w14:paraId="4B8DA4B0" w14:textId="77777777" w:rsidR="004F65BF" w:rsidRPr="00567832" w:rsidRDefault="004F65BF" w:rsidP="00F5442C">
            <w:pPr>
              <w:spacing w:before="40" w:after="40"/>
              <w:rPr>
                <w:rFonts w:ascii="Calibri" w:hAnsi="Calibri"/>
                <w:b/>
                <w:color w:val="002060"/>
                <w:sz w:val="18"/>
                <w:szCs w:val="18"/>
              </w:rPr>
            </w:pPr>
            <w:r w:rsidRPr="00567832">
              <w:rPr>
                <w:rFonts w:ascii="Calibri" w:hAnsi="Calibri"/>
                <w:b/>
                <w:color w:val="002060"/>
                <w:sz w:val="18"/>
                <w:szCs w:val="18"/>
              </w:rPr>
              <w:t>IT- Cyber Security – Limited Assurance</w:t>
            </w:r>
          </w:p>
          <w:p w14:paraId="13F3D114" w14:textId="77777777" w:rsidR="004F65BF" w:rsidRPr="00567832" w:rsidRDefault="004F65BF" w:rsidP="00F5442C">
            <w:pPr>
              <w:spacing w:before="40" w:after="40"/>
              <w:rPr>
                <w:rFonts w:ascii="Calibri" w:hAnsi="Calibri"/>
                <w:sz w:val="18"/>
                <w:szCs w:val="18"/>
              </w:rPr>
            </w:pPr>
            <w:r w:rsidRPr="00567832">
              <w:rPr>
                <w:rFonts w:ascii="Calibri" w:hAnsi="Calibri"/>
                <w:sz w:val="18"/>
                <w:szCs w:val="18"/>
              </w:rPr>
              <w:t xml:space="preserve">N.B.: Network Security &amp; Access Controls (Limited Assurance); Cyber Security (Adequate) </w:t>
            </w:r>
          </w:p>
          <w:p w14:paraId="0BA89747" w14:textId="77777777" w:rsidR="004F65BF" w:rsidRPr="00567832" w:rsidRDefault="004F65BF" w:rsidP="00F5442C">
            <w:pPr>
              <w:spacing w:before="40" w:after="40"/>
              <w:rPr>
                <w:rFonts w:ascii="Calibri" w:hAnsi="Calibri"/>
                <w:sz w:val="18"/>
                <w:szCs w:val="18"/>
              </w:rPr>
            </w:pPr>
            <w:r w:rsidRPr="00567832">
              <w:rPr>
                <w:rFonts w:ascii="Calibri" w:hAnsi="Calibri"/>
                <w:sz w:val="18"/>
                <w:szCs w:val="18"/>
              </w:rPr>
              <w:t>5 medium level management actions</w:t>
            </w:r>
          </w:p>
          <w:p w14:paraId="5DC03C4F" w14:textId="77777777" w:rsidR="004F65BF" w:rsidRPr="00567832" w:rsidRDefault="004F65BF" w:rsidP="00F5442C">
            <w:pPr>
              <w:spacing w:before="40" w:after="40"/>
              <w:rPr>
                <w:rFonts w:ascii="Calibri" w:hAnsi="Calibri"/>
                <w:b/>
                <w:color w:val="002060"/>
                <w:sz w:val="18"/>
                <w:szCs w:val="18"/>
              </w:rPr>
            </w:pPr>
            <w:r w:rsidRPr="00567832">
              <w:rPr>
                <w:rFonts w:ascii="Calibri" w:eastAsia="Calibri" w:hAnsi="Calibri" w:cs="Times New Roman"/>
                <w:sz w:val="18"/>
                <w:szCs w:val="18"/>
              </w:rPr>
              <w:t>Update May-21: 1 overdue action remains open</w:t>
            </w:r>
          </w:p>
        </w:tc>
        <w:tc>
          <w:tcPr>
            <w:tcW w:w="1823" w:type="dxa"/>
            <w:shd w:val="clear" w:color="auto" w:fill="auto"/>
          </w:tcPr>
          <w:p w14:paraId="32D68169" w14:textId="77777777" w:rsidR="004F65BF" w:rsidRPr="00567832" w:rsidRDefault="004F65BF" w:rsidP="00F5442C">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567832">
              <w:rPr>
                <w:rFonts w:ascii="Calibri" w:eastAsia="Calibri" w:hAnsi="Calibri"/>
                <w:sz w:val="18"/>
                <w:szCs w:val="18"/>
              </w:rPr>
              <w:t>Chief Digital and Information Officer</w:t>
            </w:r>
            <w:r w:rsidRPr="00567832" w:rsidDel="0031071F">
              <w:rPr>
                <w:rFonts w:ascii="Calibri" w:eastAsia="Calibri" w:hAnsi="Calibri"/>
                <w:sz w:val="18"/>
                <w:szCs w:val="18"/>
              </w:rPr>
              <w:t xml:space="preserve"> </w:t>
            </w:r>
          </w:p>
        </w:tc>
        <w:tc>
          <w:tcPr>
            <w:tcW w:w="2319" w:type="dxa"/>
          </w:tcPr>
          <w:p w14:paraId="6A2F6365" w14:textId="77777777" w:rsidR="004F65BF" w:rsidRPr="00567832" w:rsidRDefault="004F65BF" w:rsidP="00F5442C">
            <w:pPr>
              <w:spacing w:before="40" w:after="40"/>
              <w:jc w:val="center"/>
              <w:rPr>
                <w:rFonts w:ascii="Calibri" w:hAnsi="Calibri"/>
                <w:sz w:val="18"/>
                <w:szCs w:val="18"/>
              </w:rPr>
            </w:pPr>
            <w:r w:rsidRPr="00567832">
              <w:rPr>
                <w:rFonts w:ascii="Calibri" w:hAnsi="Calibri"/>
                <w:sz w:val="18"/>
                <w:szCs w:val="18"/>
              </w:rPr>
              <w:t>Anticipated completion date: 30.06.21</w:t>
            </w:r>
          </w:p>
        </w:tc>
      </w:tr>
      <w:tr w:rsidR="004F65BF" w:rsidRPr="003516A4" w14:paraId="62A23058" w14:textId="77777777" w:rsidTr="00F5442C">
        <w:trPr>
          <w:jc w:val="center"/>
        </w:trPr>
        <w:tc>
          <w:tcPr>
            <w:tcW w:w="10915" w:type="dxa"/>
            <w:gridSpan w:val="5"/>
            <w:shd w:val="clear" w:color="auto" w:fill="BDD6EE"/>
          </w:tcPr>
          <w:p w14:paraId="59C7D779" w14:textId="77777777" w:rsidR="004F65BF" w:rsidRPr="003516A4" w:rsidRDefault="004F65BF" w:rsidP="00F5442C">
            <w:pPr>
              <w:spacing w:before="40" w:after="40"/>
              <w:rPr>
                <w:rFonts w:ascii="Calibri" w:eastAsia="Calibri" w:hAnsi="Calibri"/>
                <w:b/>
                <w:highlight w:val="yellow"/>
              </w:rPr>
            </w:pPr>
            <w:r w:rsidRPr="000B4470">
              <w:rPr>
                <w:rFonts w:ascii="Calibri" w:eastAsia="Calibri" w:hAnsi="Calibri"/>
                <w:b/>
                <w:caps/>
              </w:rPr>
              <w:t>ISSUES CARRIED OVER FROM 2019-20 AGS action plan</w:t>
            </w:r>
          </w:p>
        </w:tc>
      </w:tr>
      <w:tr w:rsidR="004F65BF" w:rsidRPr="003516A4" w14:paraId="40C679EF" w14:textId="77777777" w:rsidTr="00F5442C">
        <w:trPr>
          <w:jc w:val="center"/>
        </w:trPr>
        <w:tc>
          <w:tcPr>
            <w:tcW w:w="709" w:type="dxa"/>
            <w:gridSpan w:val="2"/>
            <w:shd w:val="clear" w:color="auto" w:fill="auto"/>
          </w:tcPr>
          <w:p w14:paraId="032595AF" w14:textId="77777777" w:rsidR="004F65BF" w:rsidRPr="003516A4" w:rsidRDefault="004F65BF" w:rsidP="00F5442C">
            <w:pPr>
              <w:spacing w:before="40" w:after="40" w:line="259" w:lineRule="auto"/>
              <w:jc w:val="center"/>
              <w:rPr>
                <w:rFonts w:ascii="Calibri" w:eastAsia="Calibri" w:hAnsi="Calibri"/>
                <w:color w:val="333333"/>
                <w:sz w:val="18"/>
                <w:szCs w:val="18"/>
                <w:highlight w:val="yellow"/>
              </w:rPr>
            </w:pPr>
          </w:p>
        </w:tc>
        <w:tc>
          <w:tcPr>
            <w:tcW w:w="6064" w:type="dxa"/>
            <w:shd w:val="clear" w:color="auto" w:fill="auto"/>
          </w:tcPr>
          <w:p w14:paraId="53EC1BC3" w14:textId="77777777" w:rsidR="004F65BF" w:rsidRPr="000B4470" w:rsidRDefault="004F65BF" w:rsidP="00F5442C">
            <w:pPr>
              <w:spacing w:before="40" w:after="40"/>
              <w:rPr>
                <w:rFonts w:ascii="Calibri" w:eastAsia="Calibri" w:hAnsi="Calibri" w:cs="Times New Roman"/>
                <w:b/>
                <w:color w:val="002060"/>
                <w:sz w:val="18"/>
                <w:szCs w:val="18"/>
              </w:rPr>
            </w:pPr>
            <w:r w:rsidRPr="000B4470">
              <w:rPr>
                <w:rFonts w:ascii="Calibri" w:eastAsia="Calibri" w:hAnsi="Calibri" w:cs="Times New Roman"/>
                <w:b/>
                <w:color w:val="002060"/>
                <w:sz w:val="18"/>
                <w:szCs w:val="18"/>
              </w:rPr>
              <w:t>Information Commissioner’s Office guidance regarding publication of information</w:t>
            </w:r>
          </w:p>
          <w:p w14:paraId="23F1E2BB" w14:textId="77777777" w:rsidR="004F65BF" w:rsidRDefault="004F65BF" w:rsidP="00F5442C">
            <w:pPr>
              <w:autoSpaceDE w:val="0"/>
              <w:autoSpaceDN w:val="0"/>
              <w:adjustRightInd w:val="0"/>
              <w:spacing w:before="40" w:after="40"/>
              <w:rPr>
                <w:rFonts w:ascii="Calibri" w:eastAsia="Calibri" w:hAnsi="Calibri" w:cs="Times New Roman"/>
                <w:sz w:val="18"/>
                <w:szCs w:val="18"/>
              </w:rPr>
            </w:pPr>
            <w:r w:rsidRPr="000B4470">
              <w:rPr>
                <w:rFonts w:ascii="Calibri" w:eastAsia="Calibri" w:hAnsi="Calibri" w:cs="Times New Roman"/>
                <w:sz w:val="18"/>
                <w:szCs w:val="18"/>
              </w:rPr>
              <w:t>Ensure force information published on Single On-line Home is compliant with ICO requirements</w:t>
            </w:r>
          </w:p>
          <w:p w14:paraId="1193F714" w14:textId="77777777" w:rsidR="004F65BF" w:rsidRPr="000B4470" w:rsidRDefault="004F65BF" w:rsidP="00F5442C">
            <w:pPr>
              <w:autoSpaceDE w:val="0"/>
              <w:autoSpaceDN w:val="0"/>
              <w:adjustRightInd w:val="0"/>
              <w:spacing w:before="40" w:after="40"/>
              <w:rPr>
                <w:rFonts w:ascii="Calibri" w:eastAsia="Calibri" w:hAnsi="Calibri"/>
                <w:b/>
                <w:sz w:val="18"/>
                <w:szCs w:val="18"/>
                <w:lang w:eastAsia="en-GB"/>
              </w:rPr>
            </w:pPr>
            <w:r>
              <w:rPr>
                <w:rFonts w:ascii="Calibri" w:eastAsia="Calibri" w:hAnsi="Calibri" w:cs="Times New Roman"/>
                <w:sz w:val="18"/>
                <w:szCs w:val="18"/>
              </w:rPr>
              <w:t>Review of information published by the force was compliant in all areas except in relation to publication of minutes for senior decision making committees.</w:t>
            </w:r>
          </w:p>
        </w:tc>
        <w:tc>
          <w:tcPr>
            <w:tcW w:w="1823" w:type="dxa"/>
            <w:shd w:val="clear" w:color="auto" w:fill="auto"/>
          </w:tcPr>
          <w:p w14:paraId="747A7741" w14:textId="77777777" w:rsidR="004F65BF" w:rsidRPr="000B4470" w:rsidRDefault="004F65BF" w:rsidP="00F5442C">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0B4470">
              <w:rPr>
                <w:rFonts w:ascii="Calibri" w:eastAsia="Calibri" w:hAnsi="Calibri"/>
                <w:sz w:val="18"/>
                <w:szCs w:val="18"/>
              </w:rPr>
              <w:t>Chief Digital and Information Officer</w:t>
            </w:r>
            <w:r w:rsidRPr="000B4470" w:rsidDel="0031071F">
              <w:rPr>
                <w:rFonts w:ascii="Calibri" w:eastAsia="Calibri" w:hAnsi="Calibri"/>
                <w:sz w:val="18"/>
                <w:szCs w:val="18"/>
              </w:rPr>
              <w:t xml:space="preserve"> </w:t>
            </w:r>
            <w:r w:rsidRPr="000B4470">
              <w:rPr>
                <w:rFonts w:ascii="Calibri" w:eastAsia="Calibri" w:hAnsi="Calibri"/>
                <w:sz w:val="18"/>
                <w:szCs w:val="18"/>
              </w:rPr>
              <w:t>/</w:t>
            </w:r>
          </w:p>
          <w:p w14:paraId="193DF346" w14:textId="77777777" w:rsidR="004F65BF" w:rsidRPr="000B4470" w:rsidRDefault="004F65BF" w:rsidP="00F5442C">
            <w:pPr>
              <w:spacing w:before="40" w:after="40"/>
              <w:rPr>
                <w:rFonts w:ascii="Calibri" w:eastAsia="Calibri" w:hAnsi="Calibri"/>
                <w:color w:val="000000"/>
                <w:sz w:val="18"/>
                <w:szCs w:val="18"/>
              </w:rPr>
            </w:pPr>
            <w:r w:rsidRPr="000B4470">
              <w:rPr>
                <w:rFonts w:ascii="Calibri" w:eastAsia="Calibri" w:hAnsi="Calibri"/>
                <w:sz w:val="18"/>
                <w:szCs w:val="18"/>
              </w:rPr>
              <w:t>Force Information Manager</w:t>
            </w:r>
          </w:p>
        </w:tc>
        <w:tc>
          <w:tcPr>
            <w:tcW w:w="2319" w:type="dxa"/>
          </w:tcPr>
          <w:p w14:paraId="78AA853D" w14:textId="77777777" w:rsidR="004F65BF" w:rsidRPr="000B4470" w:rsidRDefault="004F65BF" w:rsidP="00F5442C">
            <w:pPr>
              <w:spacing w:before="40" w:after="40" w:line="254" w:lineRule="auto"/>
              <w:jc w:val="center"/>
              <w:rPr>
                <w:rFonts w:ascii="Calibri" w:hAnsi="Calibri"/>
                <w:sz w:val="18"/>
                <w:szCs w:val="18"/>
              </w:rPr>
            </w:pPr>
            <w:r>
              <w:rPr>
                <w:rFonts w:ascii="Calibri" w:hAnsi="Calibri"/>
                <w:sz w:val="18"/>
                <w:szCs w:val="18"/>
              </w:rPr>
              <w:t>Complete</w:t>
            </w:r>
          </w:p>
        </w:tc>
      </w:tr>
      <w:tr w:rsidR="004F65BF" w:rsidRPr="003516A4" w14:paraId="6BE7872B" w14:textId="77777777" w:rsidTr="00F5442C">
        <w:trPr>
          <w:jc w:val="center"/>
        </w:trPr>
        <w:tc>
          <w:tcPr>
            <w:tcW w:w="709" w:type="dxa"/>
            <w:gridSpan w:val="2"/>
            <w:shd w:val="clear" w:color="auto" w:fill="auto"/>
          </w:tcPr>
          <w:p w14:paraId="19409A92" w14:textId="77777777" w:rsidR="004F65BF" w:rsidRPr="003516A4" w:rsidRDefault="004F65BF" w:rsidP="00F5442C">
            <w:pPr>
              <w:spacing w:before="40" w:after="40" w:line="259" w:lineRule="auto"/>
              <w:jc w:val="center"/>
              <w:rPr>
                <w:rFonts w:ascii="Calibri" w:eastAsia="Calibri" w:hAnsi="Calibri"/>
                <w:color w:val="333333"/>
                <w:sz w:val="18"/>
                <w:szCs w:val="18"/>
                <w:highlight w:val="yellow"/>
              </w:rPr>
            </w:pPr>
          </w:p>
        </w:tc>
        <w:tc>
          <w:tcPr>
            <w:tcW w:w="6064" w:type="dxa"/>
            <w:shd w:val="clear" w:color="auto" w:fill="auto"/>
          </w:tcPr>
          <w:p w14:paraId="5E769739" w14:textId="77777777" w:rsidR="004F65BF" w:rsidRPr="000B4470" w:rsidRDefault="004F65BF" w:rsidP="00F5442C">
            <w:pPr>
              <w:spacing w:before="60" w:after="60" w:line="259" w:lineRule="auto"/>
              <w:rPr>
                <w:rFonts w:ascii="Calibri" w:eastAsia="Calibri" w:hAnsi="Calibri" w:cs="Times New Roman"/>
                <w:b/>
                <w:color w:val="002060"/>
                <w:sz w:val="18"/>
                <w:szCs w:val="18"/>
              </w:rPr>
            </w:pPr>
            <w:r w:rsidRPr="000B4470">
              <w:rPr>
                <w:rFonts w:ascii="Calibri" w:eastAsia="Calibri" w:hAnsi="Calibri" w:cs="Times New Roman"/>
                <w:b/>
                <w:color w:val="002060"/>
                <w:sz w:val="18"/>
                <w:szCs w:val="18"/>
              </w:rPr>
              <w:t>Information Sharing Agreements</w:t>
            </w:r>
          </w:p>
          <w:p w14:paraId="06944ACA" w14:textId="77777777" w:rsidR="004F65BF" w:rsidRDefault="004F65BF" w:rsidP="00F5442C">
            <w:pPr>
              <w:autoSpaceDE w:val="0"/>
              <w:autoSpaceDN w:val="0"/>
              <w:adjustRightInd w:val="0"/>
              <w:spacing w:before="40" w:after="40"/>
              <w:rPr>
                <w:rFonts w:ascii="Calibri" w:eastAsia="Calibri" w:hAnsi="Calibri" w:cs="FS Lola"/>
                <w:sz w:val="18"/>
                <w:szCs w:val="18"/>
                <w:lang w:eastAsia="en-GB"/>
              </w:rPr>
            </w:pPr>
            <w:r w:rsidRPr="000B4470">
              <w:rPr>
                <w:rFonts w:ascii="Calibri" w:eastAsia="Calibri" w:hAnsi="Calibri" w:cs="Times New Roman"/>
                <w:sz w:val="18"/>
                <w:szCs w:val="18"/>
              </w:rPr>
              <w:t>Process to be introduced to ensure ISAs are kept up to date</w:t>
            </w:r>
            <w:r w:rsidRPr="000B4470">
              <w:rPr>
                <w:rFonts w:ascii="Calibri" w:eastAsia="Calibri" w:hAnsi="Calibri" w:cs="FS Lola"/>
                <w:sz w:val="18"/>
                <w:szCs w:val="18"/>
                <w:lang w:eastAsia="en-GB"/>
              </w:rPr>
              <w:t xml:space="preserve"> within the resource envelope of the Information Management department.</w:t>
            </w:r>
          </w:p>
          <w:p w14:paraId="0205DC23" w14:textId="77777777" w:rsidR="004F65BF" w:rsidRDefault="004F65BF" w:rsidP="00F5442C">
            <w:pPr>
              <w:autoSpaceDE w:val="0"/>
              <w:autoSpaceDN w:val="0"/>
              <w:adjustRightInd w:val="0"/>
              <w:spacing w:before="40" w:after="40"/>
              <w:rPr>
                <w:rFonts w:ascii="Calibri" w:eastAsia="Calibri" w:hAnsi="Calibri" w:cs="FS Lola"/>
                <w:sz w:val="18"/>
                <w:szCs w:val="18"/>
                <w:lang w:eastAsia="en-GB"/>
              </w:rPr>
            </w:pPr>
            <w:r>
              <w:rPr>
                <w:rFonts w:ascii="Calibri" w:eastAsia="Calibri" w:hAnsi="Calibri" w:cs="FS Lola"/>
                <w:sz w:val="18"/>
                <w:szCs w:val="18"/>
                <w:lang w:eastAsia="en-GB"/>
              </w:rPr>
              <w:t>Update May 2021 from Head of Information Management:</w:t>
            </w:r>
          </w:p>
          <w:p w14:paraId="35DAD965" w14:textId="77777777" w:rsidR="004F65BF" w:rsidRDefault="004F65BF" w:rsidP="00F5442C">
            <w:pPr>
              <w:autoSpaceDE w:val="0"/>
              <w:autoSpaceDN w:val="0"/>
              <w:adjustRightInd w:val="0"/>
              <w:spacing w:before="40" w:after="40"/>
              <w:rPr>
                <w:rFonts w:ascii="Calibri" w:eastAsia="Calibri" w:hAnsi="Calibri" w:cs="FS Lola"/>
                <w:sz w:val="18"/>
                <w:szCs w:val="18"/>
                <w:lang w:eastAsia="en-GB"/>
              </w:rPr>
            </w:pPr>
            <w:r>
              <w:rPr>
                <w:rFonts w:ascii="Calibri" w:eastAsia="Calibri" w:hAnsi="Calibri" w:cs="FS Lola"/>
                <w:sz w:val="18"/>
                <w:szCs w:val="18"/>
                <w:lang w:eastAsia="en-GB"/>
              </w:rPr>
              <w:t>ISAs are still regularly reviewed but the process has been changed to reduce delays caused by waiting for partners to respond to review requirements. Reviewing the reporting spreadsheet also highlighted a potential misunderstanding by showing all ISAs that were both due for renewal and also in the process of being created. A change was made so they meet the criteria for 6 month review / Year 1 Police Signatory review / Year 2 Police Signatory review noting any changes in process / Year 3 Full Police and Agency review.</w:t>
            </w:r>
          </w:p>
          <w:p w14:paraId="27D2D7C1" w14:textId="77777777" w:rsidR="004F65BF" w:rsidRPr="000B4470" w:rsidRDefault="004F65BF" w:rsidP="00F5442C">
            <w:pPr>
              <w:autoSpaceDE w:val="0"/>
              <w:autoSpaceDN w:val="0"/>
              <w:adjustRightInd w:val="0"/>
              <w:spacing w:before="40" w:after="40"/>
              <w:rPr>
                <w:rFonts w:ascii="Calibri" w:eastAsia="Calibri" w:hAnsi="Calibri" w:cs="FS Lola"/>
                <w:sz w:val="18"/>
                <w:szCs w:val="18"/>
                <w:lang w:eastAsia="en-GB"/>
              </w:rPr>
            </w:pPr>
            <w:r>
              <w:rPr>
                <w:rFonts w:ascii="Calibri" w:eastAsia="Calibri" w:hAnsi="Calibri" w:cs="FS Lola"/>
                <w:sz w:val="18"/>
                <w:szCs w:val="18"/>
                <w:lang w:eastAsia="en-GB"/>
              </w:rPr>
              <w:t>Actions to improve process have been completed but the action will continue to be tracked in 2021-22.</w:t>
            </w:r>
          </w:p>
        </w:tc>
        <w:tc>
          <w:tcPr>
            <w:tcW w:w="1823" w:type="dxa"/>
            <w:shd w:val="clear" w:color="auto" w:fill="auto"/>
          </w:tcPr>
          <w:p w14:paraId="5EABCC58" w14:textId="77777777" w:rsidR="004F65BF" w:rsidRPr="000B4470" w:rsidRDefault="004F65BF" w:rsidP="00F5442C">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0B4470">
              <w:rPr>
                <w:rFonts w:ascii="Calibri" w:eastAsia="Calibri" w:hAnsi="Calibri"/>
                <w:sz w:val="18"/>
                <w:szCs w:val="18"/>
              </w:rPr>
              <w:t>Chief Digital and Information Officer</w:t>
            </w:r>
            <w:r w:rsidRPr="000B4470" w:rsidDel="0031071F">
              <w:rPr>
                <w:rFonts w:ascii="Calibri" w:eastAsia="Calibri" w:hAnsi="Calibri"/>
                <w:sz w:val="18"/>
                <w:szCs w:val="18"/>
              </w:rPr>
              <w:t xml:space="preserve"> </w:t>
            </w:r>
            <w:r w:rsidRPr="000B4470">
              <w:rPr>
                <w:rFonts w:ascii="Calibri" w:eastAsia="Calibri" w:hAnsi="Calibri"/>
                <w:sz w:val="18"/>
                <w:szCs w:val="18"/>
              </w:rPr>
              <w:t>/</w:t>
            </w:r>
          </w:p>
          <w:p w14:paraId="7FCB45E0" w14:textId="77777777" w:rsidR="004F65BF" w:rsidRPr="000B4470" w:rsidRDefault="004F65BF" w:rsidP="00F5442C">
            <w:pPr>
              <w:spacing w:before="40" w:after="40"/>
              <w:rPr>
                <w:rFonts w:ascii="Calibri" w:eastAsia="Calibri" w:hAnsi="Calibri"/>
                <w:color w:val="000000"/>
                <w:sz w:val="18"/>
                <w:szCs w:val="18"/>
              </w:rPr>
            </w:pPr>
            <w:r w:rsidRPr="000B4470">
              <w:rPr>
                <w:rFonts w:ascii="Calibri" w:eastAsia="Calibri" w:hAnsi="Calibri"/>
                <w:sz w:val="18"/>
                <w:szCs w:val="18"/>
              </w:rPr>
              <w:t>Force Information Manager</w:t>
            </w:r>
          </w:p>
        </w:tc>
        <w:tc>
          <w:tcPr>
            <w:tcW w:w="2319" w:type="dxa"/>
          </w:tcPr>
          <w:p w14:paraId="34449085" w14:textId="77777777" w:rsidR="004F65BF" w:rsidRDefault="004F65BF" w:rsidP="00F5442C">
            <w:pPr>
              <w:spacing w:before="40" w:after="40"/>
              <w:jc w:val="center"/>
              <w:rPr>
                <w:rFonts w:ascii="Calibri" w:eastAsia="Calibri" w:hAnsi="Calibri"/>
                <w:sz w:val="18"/>
                <w:szCs w:val="18"/>
              </w:rPr>
            </w:pPr>
            <w:r>
              <w:rPr>
                <w:rFonts w:ascii="Calibri" w:eastAsia="Calibri" w:hAnsi="Calibri"/>
                <w:sz w:val="18"/>
                <w:szCs w:val="18"/>
              </w:rPr>
              <w:t>31.12.22</w:t>
            </w:r>
          </w:p>
          <w:p w14:paraId="456918C1" w14:textId="77777777" w:rsidR="004F65BF" w:rsidRPr="000B4470" w:rsidRDefault="004F65BF" w:rsidP="00F5442C">
            <w:pPr>
              <w:spacing w:before="40" w:after="40"/>
              <w:jc w:val="center"/>
              <w:rPr>
                <w:rFonts w:ascii="Calibri" w:eastAsia="Calibri" w:hAnsi="Calibri"/>
                <w:sz w:val="18"/>
                <w:szCs w:val="18"/>
              </w:rPr>
            </w:pPr>
          </w:p>
        </w:tc>
      </w:tr>
      <w:tr w:rsidR="004F65BF" w:rsidRPr="003516A4" w14:paraId="0ABA26E0" w14:textId="77777777" w:rsidTr="00F5442C">
        <w:trPr>
          <w:jc w:val="center"/>
        </w:trPr>
        <w:tc>
          <w:tcPr>
            <w:tcW w:w="709" w:type="dxa"/>
            <w:gridSpan w:val="2"/>
            <w:shd w:val="clear" w:color="auto" w:fill="auto"/>
          </w:tcPr>
          <w:p w14:paraId="2C395B68" w14:textId="77777777" w:rsidR="004F65BF" w:rsidRPr="003516A4" w:rsidRDefault="004F65BF" w:rsidP="00F5442C">
            <w:pPr>
              <w:spacing w:before="40" w:after="40" w:line="259" w:lineRule="auto"/>
              <w:jc w:val="center"/>
              <w:rPr>
                <w:rFonts w:ascii="Calibri" w:eastAsia="Calibri" w:hAnsi="Calibri"/>
                <w:color w:val="333333"/>
                <w:sz w:val="18"/>
                <w:szCs w:val="18"/>
                <w:highlight w:val="yellow"/>
              </w:rPr>
            </w:pPr>
          </w:p>
        </w:tc>
        <w:tc>
          <w:tcPr>
            <w:tcW w:w="6064" w:type="dxa"/>
            <w:shd w:val="clear" w:color="auto" w:fill="auto"/>
          </w:tcPr>
          <w:p w14:paraId="2F747614" w14:textId="77777777" w:rsidR="004F65BF" w:rsidRPr="003516A4" w:rsidRDefault="004F65BF" w:rsidP="00F5442C">
            <w:pPr>
              <w:spacing w:before="40" w:after="40"/>
              <w:rPr>
                <w:rFonts w:ascii="Calibri" w:eastAsia="Calibri" w:hAnsi="Calibri" w:cs="Times New Roman"/>
                <w:b/>
                <w:color w:val="002060"/>
                <w:sz w:val="18"/>
                <w:szCs w:val="18"/>
                <w:highlight w:val="yellow"/>
              </w:rPr>
            </w:pPr>
            <w:r w:rsidRPr="003516A4">
              <w:rPr>
                <w:rFonts w:ascii="Calibri" w:eastAsia="Calibri" w:hAnsi="Calibri" w:cs="Times New Roman"/>
                <w:b/>
                <w:color w:val="002060"/>
                <w:sz w:val="18"/>
                <w:szCs w:val="18"/>
                <w:highlight w:val="yellow"/>
              </w:rPr>
              <w:t>Risk assurance mapping:</w:t>
            </w:r>
          </w:p>
          <w:p w14:paraId="21E2BA2E" w14:textId="77777777" w:rsidR="004F65BF" w:rsidRPr="003516A4" w:rsidRDefault="004F65BF" w:rsidP="00F5442C">
            <w:pPr>
              <w:spacing w:before="40" w:after="40"/>
              <w:rPr>
                <w:rFonts w:ascii="Calibri" w:eastAsia="Calibri" w:hAnsi="Calibri" w:cs="Times New Roman"/>
                <w:sz w:val="18"/>
                <w:szCs w:val="18"/>
                <w:highlight w:val="yellow"/>
              </w:rPr>
            </w:pPr>
            <w:r w:rsidRPr="003516A4">
              <w:rPr>
                <w:rFonts w:ascii="Calibri" w:eastAsia="Calibri" w:hAnsi="Calibri" w:cs="Times New Roman"/>
                <w:sz w:val="18"/>
                <w:szCs w:val="18"/>
                <w:highlight w:val="yellow"/>
              </w:rPr>
              <w:t>As proposed by Karen Shaw, Deputy Head of Southern Internal Audit Partnership – risk assurance mapping exercise to be undertaken in relation to strategic force risks building on from work undertaken re action 14 above in relation to mapping corporate governance arrangements.</w:t>
            </w:r>
          </w:p>
        </w:tc>
        <w:tc>
          <w:tcPr>
            <w:tcW w:w="1823" w:type="dxa"/>
            <w:shd w:val="clear" w:color="auto" w:fill="auto"/>
          </w:tcPr>
          <w:p w14:paraId="120D332E" w14:textId="77777777" w:rsidR="004F65BF" w:rsidRPr="003516A4" w:rsidRDefault="004F65BF" w:rsidP="00F5442C">
            <w:pPr>
              <w:tabs>
                <w:tab w:val="left" w:pos="0"/>
              </w:tabs>
              <w:overflowPunct w:val="0"/>
              <w:autoSpaceDE w:val="0"/>
              <w:autoSpaceDN w:val="0"/>
              <w:adjustRightInd w:val="0"/>
              <w:spacing w:before="40" w:after="40"/>
              <w:textAlignment w:val="baseline"/>
              <w:rPr>
                <w:rFonts w:ascii="Calibri" w:eastAsia="Calibri" w:hAnsi="Calibri"/>
                <w:sz w:val="18"/>
                <w:szCs w:val="18"/>
                <w:highlight w:val="yellow"/>
              </w:rPr>
            </w:pPr>
            <w:r w:rsidRPr="003516A4">
              <w:rPr>
                <w:rFonts w:ascii="Calibri" w:eastAsia="Calibri" w:hAnsi="Calibri"/>
                <w:sz w:val="18"/>
                <w:szCs w:val="18"/>
                <w:highlight w:val="yellow"/>
              </w:rPr>
              <w:t>Executive Director Comme</w:t>
            </w:r>
            <w:r>
              <w:rPr>
                <w:rFonts w:ascii="Calibri" w:eastAsia="Calibri" w:hAnsi="Calibri"/>
                <w:sz w:val="18"/>
                <w:szCs w:val="18"/>
                <w:highlight w:val="yellow"/>
              </w:rPr>
              <w:t>rcial and Financial Services</w:t>
            </w:r>
          </w:p>
          <w:p w14:paraId="1F713598" w14:textId="77777777" w:rsidR="004F65BF" w:rsidRPr="003516A4" w:rsidRDefault="004F65BF" w:rsidP="00F5442C">
            <w:pPr>
              <w:spacing w:before="40" w:after="40"/>
              <w:rPr>
                <w:rFonts w:ascii="Calibri" w:eastAsia="Calibri" w:hAnsi="Calibri"/>
                <w:color w:val="000000"/>
                <w:sz w:val="18"/>
                <w:szCs w:val="18"/>
                <w:highlight w:val="yellow"/>
              </w:rPr>
            </w:pPr>
          </w:p>
        </w:tc>
        <w:tc>
          <w:tcPr>
            <w:tcW w:w="2319" w:type="dxa"/>
          </w:tcPr>
          <w:p w14:paraId="5521BF71" w14:textId="77777777" w:rsidR="004F65BF" w:rsidRPr="003516A4" w:rsidRDefault="004F65BF" w:rsidP="00F5442C">
            <w:pPr>
              <w:spacing w:before="40" w:after="40"/>
              <w:jc w:val="center"/>
              <w:rPr>
                <w:rFonts w:ascii="Calibri" w:eastAsia="Calibri" w:hAnsi="Calibri"/>
                <w:sz w:val="18"/>
                <w:szCs w:val="18"/>
                <w:highlight w:val="yellow"/>
              </w:rPr>
            </w:pPr>
            <w:r w:rsidRPr="003516A4">
              <w:rPr>
                <w:rFonts w:ascii="Calibri" w:eastAsia="Calibri" w:hAnsi="Calibri"/>
                <w:sz w:val="18"/>
                <w:szCs w:val="18"/>
                <w:highlight w:val="yellow"/>
              </w:rPr>
              <w:t>02.09. 20 report to ORB</w:t>
            </w:r>
          </w:p>
        </w:tc>
      </w:tr>
      <w:tr w:rsidR="004F65BF" w:rsidRPr="003516A4" w14:paraId="7FA6E142" w14:textId="77777777" w:rsidTr="00F5442C">
        <w:trPr>
          <w:jc w:val="center"/>
        </w:trPr>
        <w:tc>
          <w:tcPr>
            <w:tcW w:w="709" w:type="dxa"/>
            <w:gridSpan w:val="2"/>
            <w:shd w:val="clear" w:color="auto" w:fill="auto"/>
          </w:tcPr>
          <w:p w14:paraId="2272042B" w14:textId="77777777" w:rsidR="004F65BF" w:rsidRPr="003516A4" w:rsidRDefault="004F65BF" w:rsidP="00F5442C">
            <w:pPr>
              <w:spacing w:before="40" w:after="40" w:line="259" w:lineRule="auto"/>
              <w:jc w:val="center"/>
              <w:rPr>
                <w:rFonts w:ascii="Calibri" w:eastAsia="Calibri" w:hAnsi="Calibri"/>
                <w:color w:val="333333"/>
                <w:sz w:val="18"/>
                <w:szCs w:val="18"/>
                <w:highlight w:val="yellow"/>
              </w:rPr>
            </w:pPr>
          </w:p>
        </w:tc>
        <w:tc>
          <w:tcPr>
            <w:tcW w:w="6064" w:type="dxa"/>
            <w:shd w:val="clear" w:color="auto" w:fill="auto"/>
          </w:tcPr>
          <w:p w14:paraId="0B16A038" w14:textId="77777777" w:rsidR="004F65BF" w:rsidRPr="003516A4" w:rsidRDefault="004F65BF" w:rsidP="00F5442C">
            <w:pPr>
              <w:spacing w:before="40" w:after="40"/>
              <w:rPr>
                <w:rFonts w:ascii="Calibri" w:eastAsia="Calibri" w:hAnsi="Calibri" w:cs="Times New Roman"/>
                <w:b/>
                <w:color w:val="002060"/>
                <w:sz w:val="18"/>
                <w:szCs w:val="18"/>
                <w:highlight w:val="yellow"/>
              </w:rPr>
            </w:pPr>
            <w:r w:rsidRPr="003516A4">
              <w:rPr>
                <w:rFonts w:ascii="Calibri" w:eastAsia="Calibri" w:hAnsi="Calibri" w:cs="Times New Roman"/>
                <w:b/>
                <w:color w:val="002060"/>
                <w:sz w:val="18"/>
                <w:szCs w:val="18"/>
                <w:highlight w:val="yellow"/>
              </w:rPr>
              <w:t>Covid-19</w:t>
            </w:r>
          </w:p>
          <w:p w14:paraId="7E0D3977" w14:textId="77777777" w:rsidR="004F65BF" w:rsidRPr="003516A4" w:rsidRDefault="004F65BF" w:rsidP="00F5442C">
            <w:pPr>
              <w:spacing w:before="40" w:after="40"/>
              <w:rPr>
                <w:rFonts w:ascii="Calibri" w:eastAsia="Calibri" w:hAnsi="Calibri" w:cs="Times New Roman"/>
                <w:sz w:val="18"/>
                <w:szCs w:val="18"/>
                <w:highlight w:val="yellow"/>
              </w:rPr>
            </w:pPr>
            <w:r w:rsidRPr="003516A4">
              <w:rPr>
                <w:rFonts w:ascii="Calibri" w:eastAsia="Calibri" w:hAnsi="Calibri" w:cs="Times New Roman"/>
                <w:sz w:val="18"/>
                <w:szCs w:val="18"/>
                <w:highlight w:val="yellow"/>
              </w:rPr>
              <w:t>Keep under review the impact of Covid-19 issues on Surrey Police and consider any governance issues arising.</w:t>
            </w:r>
          </w:p>
        </w:tc>
        <w:tc>
          <w:tcPr>
            <w:tcW w:w="1823" w:type="dxa"/>
            <w:shd w:val="clear" w:color="auto" w:fill="auto"/>
          </w:tcPr>
          <w:p w14:paraId="5C62821D" w14:textId="77777777" w:rsidR="004F65BF" w:rsidRPr="003516A4" w:rsidRDefault="004F65BF" w:rsidP="00F5442C">
            <w:pPr>
              <w:tabs>
                <w:tab w:val="left" w:pos="0"/>
              </w:tabs>
              <w:overflowPunct w:val="0"/>
              <w:autoSpaceDE w:val="0"/>
              <w:autoSpaceDN w:val="0"/>
              <w:adjustRightInd w:val="0"/>
              <w:spacing w:before="40" w:after="40"/>
              <w:textAlignment w:val="baseline"/>
              <w:rPr>
                <w:rFonts w:ascii="Calibri" w:eastAsia="Calibri" w:hAnsi="Calibri"/>
                <w:sz w:val="18"/>
                <w:szCs w:val="18"/>
                <w:highlight w:val="yellow"/>
              </w:rPr>
            </w:pPr>
            <w:r w:rsidRPr="003516A4">
              <w:rPr>
                <w:rFonts w:ascii="Calibri" w:eastAsia="Calibri" w:hAnsi="Calibri"/>
                <w:sz w:val="18"/>
                <w:szCs w:val="18"/>
                <w:highlight w:val="yellow"/>
              </w:rPr>
              <w:t xml:space="preserve">Deputy Chief Constable / </w:t>
            </w:r>
          </w:p>
          <w:p w14:paraId="4A26845A" w14:textId="77777777" w:rsidR="004F65BF" w:rsidRPr="003516A4" w:rsidRDefault="004F65BF" w:rsidP="00F5442C">
            <w:pPr>
              <w:tabs>
                <w:tab w:val="left" w:pos="0"/>
              </w:tabs>
              <w:overflowPunct w:val="0"/>
              <w:autoSpaceDE w:val="0"/>
              <w:autoSpaceDN w:val="0"/>
              <w:adjustRightInd w:val="0"/>
              <w:spacing w:before="40" w:after="40"/>
              <w:textAlignment w:val="baseline"/>
              <w:rPr>
                <w:rFonts w:ascii="Calibri" w:eastAsia="Calibri" w:hAnsi="Calibri"/>
                <w:sz w:val="18"/>
                <w:szCs w:val="18"/>
                <w:highlight w:val="yellow"/>
              </w:rPr>
            </w:pPr>
            <w:r w:rsidRPr="003516A4">
              <w:rPr>
                <w:rFonts w:ascii="Calibri" w:eastAsia="Calibri" w:hAnsi="Calibri"/>
                <w:sz w:val="18"/>
                <w:szCs w:val="18"/>
                <w:highlight w:val="yellow"/>
              </w:rPr>
              <w:t>Executive Director of Commercial and Finance Services</w:t>
            </w:r>
          </w:p>
        </w:tc>
        <w:tc>
          <w:tcPr>
            <w:tcW w:w="2319" w:type="dxa"/>
          </w:tcPr>
          <w:p w14:paraId="42B0472A" w14:textId="77777777" w:rsidR="004F65BF" w:rsidRPr="003516A4" w:rsidRDefault="004F65BF" w:rsidP="00F5442C">
            <w:pPr>
              <w:spacing w:before="40" w:after="40"/>
              <w:jc w:val="center"/>
              <w:rPr>
                <w:rFonts w:ascii="Calibri" w:eastAsia="Calibri" w:hAnsi="Calibri"/>
                <w:sz w:val="18"/>
                <w:szCs w:val="18"/>
                <w:highlight w:val="yellow"/>
              </w:rPr>
            </w:pPr>
            <w:r w:rsidRPr="003516A4">
              <w:rPr>
                <w:rFonts w:ascii="Calibri" w:eastAsia="Calibri" w:hAnsi="Calibri"/>
                <w:sz w:val="18"/>
                <w:szCs w:val="18"/>
                <w:highlight w:val="yellow"/>
              </w:rPr>
              <w:t>31.03.21</w:t>
            </w:r>
          </w:p>
        </w:tc>
      </w:tr>
      <w:tr w:rsidR="004F65BF" w:rsidRPr="003516A4" w14:paraId="5619D7AE" w14:textId="77777777" w:rsidTr="00F5442C">
        <w:trPr>
          <w:jc w:val="center"/>
        </w:trPr>
        <w:tc>
          <w:tcPr>
            <w:tcW w:w="709" w:type="dxa"/>
            <w:gridSpan w:val="2"/>
            <w:shd w:val="clear" w:color="auto" w:fill="auto"/>
          </w:tcPr>
          <w:p w14:paraId="401C9A5C" w14:textId="77777777" w:rsidR="004F65BF" w:rsidRPr="003516A4" w:rsidRDefault="004F65BF" w:rsidP="00F5442C">
            <w:pPr>
              <w:spacing w:before="40" w:after="40" w:line="259" w:lineRule="auto"/>
              <w:jc w:val="center"/>
              <w:rPr>
                <w:rFonts w:ascii="Calibri" w:eastAsia="Calibri" w:hAnsi="Calibri"/>
                <w:color w:val="333333"/>
                <w:sz w:val="18"/>
                <w:szCs w:val="18"/>
                <w:highlight w:val="yellow"/>
              </w:rPr>
            </w:pPr>
          </w:p>
        </w:tc>
        <w:tc>
          <w:tcPr>
            <w:tcW w:w="6064" w:type="dxa"/>
            <w:shd w:val="clear" w:color="auto" w:fill="auto"/>
          </w:tcPr>
          <w:p w14:paraId="245A9F27" w14:textId="77777777" w:rsidR="004F65BF" w:rsidRPr="003516A4" w:rsidRDefault="004F65BF" w:rsidP="00F5442C">
            <w:pPr>
              <w:spacing w:before="40" w:after="40"/>
              <w:rPr>
                <w:rFonts w:ascii="Calibri" w:eastAsia="Calibri" w:hAnsi="Calibri" w:cs="Times New Roman"/>
                <w:b/>
                <w:color w:val="002060"/>
                <w:sz w:val="18"/>
                <w:szCs w:val="18"/>
                <w:highlight w:val="yellow"/>
              </w:rPr>
            </w:pPr>
            <w:r w:rsidRPr="003516A4">
              <w:rPr>
                <w:rFonts w:ascii="Calibri" w:eastAsia="Calibri" w:hAnsi="Calibri" w:cs="Times New Roman"/>
                <w:b/>
                <w:color w:val="002060"/>
                <w:sz w:val="18"/>
                <w:szCs w:val="18"/>
                <w:highlight w:val="yellow"/>
              </w:rPr>
              <w:t>Covid-19</w:t>
            </w:r>
          </w:p>
          <w:p w14:paraId="43986BF1" w14:textId="77777777" w:rsidR="004F65BF" w:rsidRPr="003516A4" w:rsidRDefault="004F65BF" w:rsidP="00F5442C">
            <w:pPr>
              <w:spacing w:before="40" w:after="40"/>
              <w:rPr>
                <w:rFonts w:ascii="Calibri" w:eastAsia="Calibri" w:hAnsi="Calibri" w:cs="Times New Roman"/>
                <w:b/>
                <w:color w:val="002060"/>
                <w:sz w:val="18"/>
                <w:szCs w:val="18"/>
                <w:highlight w:val="yellow"/>
              </w:rPr>
            </w:pPr>
            <w:r w:rsidRPr="003516A4">
              <w:rPr>
                <w:rFonts w:ascii="Calibri" w:eastAsia="Calibri" w:hAnsi="Calibri" w:cs="Times New Roman"/>
                <w:sz w:val="18"/>
                <w:szCs w:val="18"/>
                <w:highlight w:val="yellow"/>
              </w:rPr>
              <w:t>Undertake a lessons learned review from the Covid-19 response.</w:t>
            </w:r>
          </w:p>
        </w:tc>
        <w:tc>
          <w:tcPr>
            <w:tcW w:w="1823" w:type="dxa"/>
            <w:shd w:val="clear" w:color="auto" w:fill="auto"/>
          </w:tcPr>
          <w:p w14:paraId="4971CF0C" w14:textId="77777777" w:rsidR="004F65BF" w:rsidRPr="003516A4" w:rsidRDefault="004F65BF" w:rsidP="00F5442C">
            <w:pPr>
              <w:tabs>
                <w:tab w:val="left" w:pos="0"/>
              </w:tabs>
              <w:overflowPunct w:val="0"/>
              <w:autoSpaceDE w:val="0"/>
              <w:autoSpaceDN w:val="0"/>
              <w:adjustRightInd w:val="0"/>
              <w:spacing w:before="40" w:after="40"/>
              <w:textAlignment w:val="baseline"/>
              <w:rPr>
                <w:rFonts w:ascii="Calibri" w:eastAsia="Calibri" w:hAnsi="Calibri"/>
                <w:sz w:val="18"/>
                <w:szCs w:val="18"/>
                <w:highlight w:val="yellow"/>
              </w:rPr>
            </w:pPr>
            <w:r w:rsidRPr="003516A4">
              <w:rPr>
                <w:rFonts w:ascii="Calibri" w:eastAsia="Calibri" w:hAnsi="Calibri"/>
                <w:sz w:val="18"/>
                <w:szCs w:val="18"/>
                <w:highlight w:val="yellow"/>
              </w:rPr>
              <w:t xml:space="preserve">Deputy Chief Constable / </w:t>
            </w:r>
          </w:p>
          <w:p w14:paraId="2E20D8AD" w14:textId="77777777" w:rsidR="004F65BF" w:rsidRPr="003516A4" w:rsidRDefault="004F65BF" w:rsidP="00F5442C">
            <w:pPr>
              <w:tabs>
                <w:tab w:val="left" w:pos="0"/>
              </w:tabs>
              <w:overflowPunct w:val="0"/>
              <w:autoSpaceDE w:val="0"/>
              <w:autoSpaceDN w:val="0"/>
              <w:adjustRightInd w:val="0"/>
              <w:spacing w:before="40" w:after="40"/>
              <w:textAlignment w:val="baseline"/>
              <w:rPr>
                <w:rFonts w:ascii="Calibri" w:eastAsia="Calibri" w:hAnsi="Calibri"/>
                <w:sz w:val="18"/>
                <w:szCs w:val="18"/>
                <w:highlight w:val="yellow"/>
              </w:rPr>
            </w:pPr>
            <w:r w:rsidRPr="003516A4">
              <w:rPr>
                <w:rFonts w:ascii="Calibri" w:eastAsia="Calibri" w:hAnsi="Calibri"/>
                <w:sz w:val="18"/>
                <w:szCs w:val="18"/>
                <w:highlight w:val="yellow"/>
              </w:rPr>
              <w:t>Executive Director of Commercial and Finance Services</w:t>
            </w:r>
          </w:p>
        </w:tc>
        <w:tc>
          <w:tcPr>
            <w:tcW w:w="2319" w:type="dxa"/>
          </w:tcPr>
          <w:p w14:paraId="3D252C1B" w14:textId="77777777" w:rsidR="004F65BF" w:rsidRPr="003516A4" w:rsidRDefault="004F65BF" w:rsidP="00F5442C">
            <w:pPr>
              <w:spacing w:before="40" w:after="40"/>
              <w:jc w:val="center"/>
              <w:rPr>
                <w:rFonts w:ascii="Calibri" w:eastAsia="Calibri" w:hAnsi="Calibri"/>
                <w:sz w:val="18"/>
                <w:szCs w:val="18"/>
                <w:highlight w:val="yellow"/>
              </w:rPr>
            </w:pPr>
            <w:r w:rsidRPr="003516A4">
              <w:rPr>
                <w:rFonts w:ascii="Calibri" w:eastAsia="Calibri" w:hAnsi="Calibri"/>
                <w:sz w:val="18"/>
                <w:szCs w:val="18"/>
                <w:highlight w:val="yellow"/>
              </w:rPr>
              <w:t>31.03.21</w:t>
            </w:r>
          </w:p>
        </w:tc>
      </w:tr>
      <w:tr w:rsidR="004F65BF" w:rsidRPr="003516A4" w14:paraId="5A0342C0" w14:textId="77777777" w:rsidTr="00F5442C">
        <w:trPr>
          <w:jc w:val="center"/>
        </w:trPr>
        <w:tc>
          <w:tcPr>
            <w:tcW w:w="10915" w:type="dxa"/>
            <w:gridSpan w:val="5"/>
            <w:shd w:val="clear" w:color="auto" w:fill="BDD6EE" w:themeFill="accent1" w:themeFillTint="66"/>
          </w:tcPr>
          <w:p w14:paraId="3874202D" w14:textId="77777777" w:rsidR="004F65BF" w:rsidRPr="00C5655A" w:rsidRDefault="004F65BF" w:rsidP="00F5442C">
            <w:pPr>
              <w:spacing w:before="40" w:after="40"/>
              <w:rPr>
                <w:rFonts w:ascii="Calibri" w:eastAsia="Calibri" w:hAnsi="Calibri"/>
                <w:sz w:val="18"/>
                <w:szCs w:val="18"/>
              </w:rPr>
            </w:pPr>
            <w:r w:rsidRPr="00C5655A">
              <w:rPr>
                <w:rFonts w:ascii="Calibri" w:eastAsia="Calibri" w:hAnsi="Calibri"/>
                <w:b/>
                <w:caps/>
              </w:rPr>
              <w:t>Issues identified from internal audit 2020-21</w:t>
            </w:r>
          </w:p>
        </w:tc>
      </w:tr>
      <w:tr w:rsidR="004F65BF" w:rsidRPr="003516A4" w14:paraId="4BBF9198" w14:textId="77777777" w:rsidTr="00F5442C">
        <w:trPr>
          <w:jc w:val="center"/>
        </w:trPr>
        <w:tc>
          <w:tcPr>
            <w:tcW w:w="709" w:type="dxa"/>
            <w:gridSpan w:val="2"/>
            <w:shd w:val="clear" w:color="auto" w:fill="auto"/>
          </w:tcPr>
          <w:p w14:paraId="4A24A8E0" w14:textId="77777777" w:rsidR="004F65BF" w:rsidRPr="00C5655A" w:rsidRDefault="004F65BF" w:rsidP="00F5442C">
            <w:pPr>
              <w:spacing w:before="40" w:after="40" w:line="259" w:lineRule="auto"/>
              <w:jc w:val="center"/>
              <w:rPr>
                <w:rFonts w:ascii="Calibri" w:eastAsia="Calibri" w:hAnsi="Calibri"/>
                <w:color w:val="333333"/>
                <w:sz w:val="18"/>
                <w:szCs w:val="18"/>
              </w:rPr>
            </w:pPr>
          </w:p>
        </w:tc>
        <w:tc>
          <w:tcPr>
            <w:tcW w:w="6064" w:type="dxa"/>
            <w:shd w:val="clear" w:color="auto" w:fill="auto"/>
          </w:tcPr>
          <w:p w14:paraId="7B6F6D24" w14:textId="77777777" w:rsidR="004F65BF" w:rsidRDefault="004F65BF" w:rsidP="00F5442C">
            <w:pPr>
              <w:spacing w:before="40" w:after="40"/>
              <w:rPr>
                <w:rFonts w:ascii="Calibri" w:eastAsia="Calibri" w:hAnsi="Calibri" w:cs="Times New Roman"/>
                <w:b/>
                <w:color w:val="002060"/>
                <w:sz w:val="18"/>
                <w:szCs w:val="18"/>
              </w:rPr>
            </w:pPr>
            <w:r>
              <w:rPr>
                <w:rFonts w:ascii="Calibri" w:eastAsia="Calibri" w:hAnsi="Calibri" w:cs="Times New Roman"/>
                <w:b/>
                <w:color w:val="002060"/>
                <w:sz w:val="18"/>
                <w:szCs w:val="18"/>
              </w:rPr>
              <w:t>IT Business Continuity / Disaster Recovery Planning – Limited Assurance</w:t>
            </w:r>
          </w:p>
          <w:p w14:paraId="7CBB0120" w14:textId="77777777" w:rsidR="004F65BF" w:rsidRDefault="004F65BF" w:rsidP="00F5442C">
            <w:pPr>
              <w:spacing w:before="40" w:after="40"/>
              <w:rPr>
                <w:rFonts w:ascii="Calibri" w:hAnsi="Calibri"/>
                <w:sz w:val="18"/>
                <w:szCs w:val="18"/>
              </w:rPr>
            </w:pPr>
            <w:r w:rsidRPr="00267E2F">
              <w:rPr>
                <w:rFonts w:ascii="Calibri" w:hAnsi="Calibri"/>
                <w:sz w:val="18"/>
                <w:szCs w:val="18"/>
              </w:rPr>
              <w:t>1</w:t>
            </w:r>
            <w:r>
              <w:rPr>
                <w:rFonts w:ascii="Calibri" w:hAnsi="Calibri"/>
                <w:sz w:val="18"/>
                <w:szCs w:val="18"/>
              </w:rPr>
              <w:t>0</w:t>
            </w:r>
            <w:r w:rsidRPr="00267E2F">
              <w:rPr>
                <w:rFonts w:ascii="Calibri" w:hAnsi="Calibri"/>
                <w:sz w:val="18"/>
                <w:szCs w:val="18"/>
              </w:rPr>
              <w:t xml:space="preserve"> medium level management actions</w:t>
            </w:r>
          </w:p>
          <w:p w14:paraId="2D271CFD" w14:textId="77777777" w:rsidR="004F65BF" w:rsidRPr="00662C93" w:rsidRDefault="004F65BF" w:rsidP="00F5442C">
            <w:pPr>
              <w:spacing w:before="40" w:after="40"/>
              <w:rPr>
                <w:rFonts w:ascii="Calibri" w:eastAsia="Calibri" w:hAnsi="Calibri" w:cs="Times New Roman"/>
                <w:sz w:val="18"/>
                <w:szCs w:val="18"/>
              </w:rPr>
            </w:pPr>
            <w:r w:rsidRPr="00567832">
              <w:rPr>
                <w:rFonts w:ascii="Calibri" w:eastAsia="Calibri" w:hAnsi="Calibri" w:cs="Times New Roman"/>
                <w:sz w:val="18"/>
                <w:szCs w:val="18"/>
              </w:rPr>
              <w:t xml:space="preserve">Update May-21: </w:t>
            </w:r>
            <w:r>
              <w:rPr>
                <w:rFonts w:ascii="Calibri" w:eastAsia="Calibri" w:hAnsi="Calibri" w:cs="Times New Roman"/>
                <w:sz w:val="18"/>
                <w:szCs w:val="18"/>
              </w:rPr>
              <w:t>6</w:t>
            </w:r>
            <w:r w:rsidRPr="00567832">
              <w:rPr>
                <w:rFonts w:ascii="Calibri" w:eastAsia="Calibri" w:hAnsi="Calibri" w:cs="Times New Roman"/>
                <w:sz w:val="18"/>
                <w:szCs w:val="18"/>
              </w:rPr>
              <w:t xml:space="preserve"> overdue actions remain open</w:t>
            </w:r>
          </w:p>
        </w:tc>
        <w:tc>
          <w:tcPr>
            <w:tcW w:w="1823" w:type="dxa"/>
            <w:shd w:val="clear" w:color="auto" w:fill="auto"/>
          </w:tcPr>
          <w:p w14:paraId="508FF332" w14:textId="77777777" w:rsidR="004F65BF" w:rsidRPr="00C5655A" w:rsidRDefault="004F65BF" w:rsidP="00F5442C">
            <w:pPr>
              <w:tabs>
                <w:tab w:val="left" w:pos="0"/>
              </w:tabs>
              <w:overflowPunct w:val="0"/>
              <w:autoSpaceDE w:val="0"/>
              <w:autoSpaceDN w:val="0"/>
              <w:adjustRightInd w:val="0"/>
              <w:spacing w:before="40" w:after="40"/>
              <w:textAlignment w:val="baseline"/>
              <w:rPr>
                <w:rFonts w:ascii="Calibri" w:eastAsia="Calibri" w:hAnsi="Calibri"/>
                <w:sz w:val="18"/>
                <w:szCs w:val="18"/>
              </w:rPr>
            </w:pPr>
            <w:r>
              <w:rPr>
                <w:rFonts w:ascii="Calibri" w:eastAsia="Calibri" w:hAnsi="Calibri"/>
                <w:sz w:val="18"/>
                <w:szCs w:val="18"/>
              </w:rPr>
              <w:t>Chief Digital and Information Officer</w:t>
            </w:r>
          </w:p>
        </w:tc>
        <w:tc>
          <w:tcPr>
            <w:tcW w:w="2319" w:type="dxa"/>
          </w:tcPr>
          <w:p w14:paraId="3D71A479" w14:textId="77777777" w:rsidR="004F65BF" w:rsidRPr="00C5655A" w:rsidRDefault="004F65BF" w:rsidP="00F5442C">
            <w:pPr>
              <w:spacing w:before="40" w:after="40"/>
              <w:jc w:val="center"/>
              <w:rPr>
                <w:rFonts w:ascii="Calibri" w:eastAsia="Calibri" w:hAnsi="Calibri"/>
                <w:sz w:val="18"/>
                <w:szCs w:val="18"/>
              </w:rPr>
            </w:pPr>
            <w:r>
              <w:rPr>
                <w:rFonts w:ascii="Calibri" w:eastAsia="Calibri" w:hAnsi="Calibri"/>
                <w:sz w:val="18"/>
                <w:szCs w:val="18"/>
              </w:rPr>
              <w:t>30.04.21</w:t>
            </w:r>
          </w:p>
        </w:tc>
      </w:tr>
      <w:tr w:rsidR="004F65BF" w:rsidRPr="003516A4" w14:paraId="497F235F" w14:textId="77777777" w:rsidTr="00F5442C">
        <w:trPr>
          <w:jc w:val="center"/>
        </w:trPr>
        <w:tc>
          <w:tcPr>
            <w:tcW w:w="709" w:type="dxa"/>
            <w:gridSpan w:val="2"/>
            <w:shd w:val="clear" w:color="auto" w:fill="auto"/>
          </w:tcPr>
          <w:p w14:paraId="0F4153AE" w14:textId="77777777" w:rsidR="004F65BF" w:rsidRPr="00C5655A" w:rsidRDefault="004F65BF" w:rsidP="00F5442C">
            <w:pPr>
              <w:spacing w:before="40" w:after="40" w:line="259" w:lineRule="auto"/>
              <w:jc w:val="center"/>
              <w:rPr>
                <w:rFonts w:ascii="Calibri" w:eastAsia="Calibri" w:hAnsi="Calibri"/>
                <w:color w:val="333333"/>
                <w:sz w:val="18"/>
                <w:szCs w:val="18"/>
              </w:rPr>
            </w:pPr>
          </w:p>
        </w:tc>
        <w:tc>
          <w:tcPr>
            <w:tcW w:w="6064" w:type="dxa"/>
            <w:shd w:val="clear" w:color="auto" w:fill="auto"/>
          </w:tcPr>
          <w:p w14:paraId="5833FD6C" w14:textId="77777777" w:rsidR="004F65BF" w:rsidRDefault="004F65BF" w:rsidP="00F5442C">
            <w:pPr>
              <w:spacing w:before="40" w:after="40"/>
              <w:rPr>
                <w:rFonts w:ascii="Calibri" w:eastAsia="Calibri" w:hAnsi="Calibri" w:cs="Times New Roman"/>
                <w:b/>
                <w:color w:val="002060"/>
                <w:sz w:val="18"/>
                <w:szCs w:val="18"/>
              </w:rPr>
            </w:pPr>
            <w:r>
              <w:rPr>
                <w:rFonts w:ascii="Calibri" w:eastAsia="Calibri" w:hAnsi="Calibri" w:cs="Times New Roman"/>
                <w:b/>
                <w:color w:val="002060"/>
                <w:sz w:val="18"/>
                <w:szCs w:val="18"/>
              </w:rPr>
              <w:t>Estates Management 2020/21 – Limited Assurance</w:t>
            </w:r>
          </w:p>
          <w:p w14:paraId="5D8DEF73" w14:textId="77777777" w:rsidR="004F65BF" w:rsidRDefault="004F65BF" w:rsidP="00F5442C">
            <w:pPr>
              <w:spacing w:before="40" w:after="40"/>
              <w:rPr>
                <w:rFonts w:ascii="Calibri" w:eastAsia="Calibri" w:hAnsi="Calibri" w:cs="Times New Roman"/>
                <w:sz w:val="18"/>
                <w:szCs w:val="18"/>
              </w:rPr>
            </w:pPr>
            <w:r>
              <w:rPr>
                <w:rFonts w:ascii="Calibri" w:eastAsia="Calibri" w:hAnsi="Calibri" w:cs="Times New Roman"/>
                <w:sz w:val="18"/>
                <w:szCs w:val="18"/>
              </w:rPr>
              <w:t>5 High, 4 Medium level management actions</w:t>
            </w:r>
          </w:p>
          <w:p w14:paraId="2927F91A" w14:textId="77777777" w:rsidR="004F65BF" w:rsidRPr="001D1C33" w:rsidRDefault="004F65BF" w:rsidP="00F5442C">
            <w:pPr>
              <w:spacing w:before="40" w:after="40"/>
              <w:rPr>
                <w:rFonts w:ascii="Calibri" w:eastAsia="Calibri" w:hAnsi="Calibri" w:cs="Times New Roman"/>
                <w:sz w:val="18"/>
                <w:szCs w:val="18"/>
              </w:rPr>
            </w:pPr>
            <w:r>
              <w:rPr>
                <w:rFonts w:ascii="Calibri" w:eastAsia="Calibri" w:hAnsi="Calibri" w:cs="Times New Roman"/>
                <w:sz w:val="18"/>
                <w:szCs w:val="18"/>
              </w:rPr>
              <w:t>Update May-21: 2 overdue actions remain open</w:t>
            </w:r>
          </w:p>
        </w:tc>
        <w:tc>
          <w:tcPr>
            <w:tcW w:w="1823" w:type="dxa"/>
            <w:shd w:val="clear" w:color="auto" w:fill="auto"/>
          </w:tcPr>
          <w:p w14:paraId="7D8C2A9D" w14:textId="77777777" w:rsidR="004F65BF" w:rsidRPr="00C5655A" w:rsidRDefault="004F65BF" w:rsidP="00F5442C">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1D1C33">
              <w:rPr>
                <w:rFonts w:ascii="Calibri" w:eastAsia="Calibri" w:hAnsi="Calibri"/>
                <w:sz w:val="18"/>
                <w:szCs w:val="18"/>
              </w:rPr>
              <w:t>Executive Director of Commercial and Finance Services</w:t>
            </w:r>
          </w:p>
        </w:tc>
        <w:tc>
          <w:tcPr>
            <w:tcW w:w="2319" w:type="dxa"/>
          </w:tcPr>
          <w:p w14:paraId="054BD6E1" w14:textId="77777777" w:rsidR="004F65BF" w:rsidRPr="00C5655A" w:rsidRDefault="004F65BF" w:rsidP="00F5442C">
            <w:pPr>
              <w:spacing w:before="40" w:after="40"/>
              <w:jc w:val="center"/>
              <w:rPr>
                <w:rFonts w:ascii="Calibri" w:eastAsia="Calibri" w:hAnsi="Calibri"/>
                <w:sz w:val="18"/>
                <w:szCs w:val="18"/>
              </w:rPr>
            </w:pPr>
            <w:r>
              <w:rPr>
                <w:rFonts w:ascii="Calibri" w:eastAsia="Calibri" w:hAnsi="Calibri"/>
                <w:sz w:val="18"/>
                <w:szCs w:val="18"/>
              </w:rPr>
              <w:t>31.03.21</w:t>
            </w:r>
          </w:p>
        </w:tc>
      </w:tr>
      <w:tr w:rsidR="004F65BF" w:rsidRPr="003516A4" w14:paraId="67FB3291" w14:textId="77777777" w:rsidTr="00F5442C">
        <w:trPr>
          <w:jc w:val="center"/>
        </w:trPr>
        <w:tc>
          <w:tcPr>
            <w:tcW w:w="709" w:type="dxa"/>
            <w:gridSpan w:val="2"/>
            <w:shd w:val="clear" w:color="auto" w:fill="auto"/>
          </w:tcPr>
          <w:p w14:paraId="2D7CBEBE" w14:textId="77777777" w:rsidR="004F65BF" w:rsidRPr="00C5655A" w:rsidRDefault="004F65BF" w:rsidP="00F5442C">
            <w:pPr>
              <w:spacing w:before="40" w:after="40" w:line="259" w:lineRule="auto"/>
              <w:jc w:val="center"/>
              <w:rPr>
                <w:rFonts w:ascii="Calibri" w:eastAsia="Calibri" w:hAnsi="Calibri"/>
                <w:color w:val="333333"/>
                <w:sz w:val="18"/>
                <w:szCs w:val="18"/>
              </w:rPr>
            </w:pPr>
          </w:p>
        </w:tc>
        <w:tc>
          <w:tcPr>
            <w:tcW w:w="6064" w:type="dxa"/>
            <w:shd w:val="clear" w:color="auto" w:fill="auto"/>
          </w:tcPr>
          <w:p w14:paraId="25AE4096" w14:textId="77777777" w:rsidR="004F65BF" w:rsidRDefault="004F65BF" w:rsidP="00F5442C">
            <w:pPr>
              <w:spacing w:before="40" w:after="40"/>
              <w:rPr>
                <w:rFonts w:ascii="Calibri" w:eastAsia="Calibri" w:hAnsi="Calibri" w:cs="Times New Roman"/>
                <w:b/>
                <w:color w:val="002060"/>
                <w:sz w:val="18"/>
                <w:szCs w:val="18"/>
              </w:rPr>
            </w:pPr>
            <w:r>
              <w:rPr>
                <w:rFonts w:ascii="Calibri" w:eastAsia="Calibri" w:hAnsi="Calibri" w:cs="Times New Roman"/>
                <w:b/>
                <w:color w:val="002060"/>
                <w:sz w:val="18"/>
                <w:szCs w:val="18"/>
              </w:rPr>
              <w:t>Organisational Risk Management Framework 2020/21 – Limited Assurance</w:t>
            </w:r>
          </w:p>
          <w:p w14:paraId="28F091DC" w14:textId="77777777" w:rsidR="004F65BF" w:rsidRPr="001A778B" w:rsidRDefault="004F65BF" w:rsidP="00F5442C">
            <w:pPr>
              <w:spacing w:before="40" w:after="40"/>
              <w:rPr>
                <w:rFonts w:ascii="Calibri" w:eastAsia="Calibri" w:hAnsi="Calibri" w:cs="Times New Roman"/>
                <w:sz w:val="18"/>
                <w:szCs w:val="18"/>
              </w:rPr>
            </w:pPr>
            <w:r>
              <w:rPr>
                <w:rFonts w:ascii="Calibri" w:eastAsia="Calibri" w:hAnsi="Calibri" w:cs="Times New Roman"/>
                <w:sz w:val="18"/>
                <w:szCs w:val="18"/>
              </w:rPr>
              <w:t xml:space="preserve">5 High, 8 Medium level management actions </w:t>
            </w:r>
          </w:p>
        </w:tc>
        <w:tc>
          <w:tcPr>
            <w:tcW w:w="1823" w:type="dxa"/>
            <w:shd w:val="clear" w:color="auto" w:fill="auto"/>
          </w:tcPr>
          <w:p w14:paraId="301876D2" w14:textId="77777777" w:rsidR="004F65BF" w:rsidRPr="00C5655A" w:rsidRDefault="004F65BF" w:rsidP="00F5442C">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1D1C33">
              <w:rPr>
                <w:rFonts w:ascii="Calibri" w:eastAsia="Calibri" w:hAnsi="Calibri"/>
                <w:sz w:val="18"/>
                <w:szCs w:val="18"/>
              </w:rPr>
              <w:t>Executive Director of Commercial and Finance Services</w:t>
            </w:r>
          </w:p>
        </w:tc>
        <w:tc>
          <w:tcPr>
            <w:tcW w:w="2319" w:type="dxa"/>
          </w:tcPr>
          <w:p w14:paraId="35931E39" w14:textId="77777777" w:rsidR="004F65BF" w:rsidRPr="00C5655A" w:rsidRDefault="004F65BF" w:rsidP="00F5442C">
            <w:pPr>
              <w:spacing w:before="40" w:after="40"/>
              <w:jc w:val="center"/>
              <w:rPr>
                <w:rFonts w:ascii="Calibri" w:eastAsia="Calibri" w:hAnsi="Calibri"/>
                <w:sz w:val="18"/>
                <w:szCs w:val="18"/>
              </w:rPr>
            </w:pPr>
            <w:r>
              <w:rPr>
                <w:rFonts w:ascii="Calibri" w:eastAsia="Calibri" w:hAnsi="Calibri"/>
                <w:sz w:val="18"/>
                <w:szCs w:val="18"/>
              </w:rPr>
              <w:t>Complete</w:t>
            </w:r>
          </w:p>
        </w:tc>
      </w:tr>
      <w:tr w:rsidR="00EA7E62" w:rsidRPr="003516A4" w14:paraId="5F564772" w14:textId="77777777" w:rsidTr="00F5442C">
        <w:trPr>
          <w:jc w:val="center"/>
        </w:trPr>
        <w:tc>
          <w:tcPr>
            <w:tcW w:w="709" w:type="dxa"/>
            <w:gridSpan w:val="2"/>
            <w:shd w:val="clear" w:color="auto" w:fill="auto"/>
          </w:tcPr>
          <w:p w14:paraId="429A1AB2" w14:textId="77777777" w:rsidR="00EA7E62" w:rsidRPr="00C5655A" w:rsidRDefault="00EA7E62" w:rsidP="00EA7E62">
            <w:pPr>
              <w:spacing w:before="40" w:after="40" w:line="259" w:lineRule="auto"/>
              <w:jc w:val="center"/>
              <w:rPr>
                <w:rFonts w:ascii="Calibri" w:eastAsia="Calibri" w:hAnsi="Calibri"/>
                <w:color w:val="333333"/>
                <w:sz w:val="18"/>
                <w:szCs w:val="18"/>
              </w:rPr>
            </w:pPr>
          </w:p>
        </w:tc>
        <w:tc>
          <w:tcPr>
            <w:tcW w:w="6064" w:type="dxa"/>
            <w:shd w:val="clear" w:color="auto" w:fill="auto"/>
          </w:tcPr>
          <w:p w14:paraId="09F9779E" w14:textId="77777777" w:rsidR="00EA7E62" w:rsidRDefault="00EA7E62" w:rsidP="00EA7E62">
            <w:pPr>
              <w:spacing w:before="40" w:after="40"/>
              <w:rPr>
                <w:rFonts w:ascii="Calibri" w:eastAsia="Calibri" w:hAnsi="Calibri" w:cs="Times New Roman"/>
                <w:b/>
                <w:color w:val="002060"/>
                <w:sz w:val="18"/>
                <w:szCs w:val="18"/>
              </w:rPr>
            </w:pPr>
            <w:r>
              <w:rPr>
                <w:rFonts w:ascii="Calibri" w:eastAsia="Calibri" w:hAnsi="Calibri" w:cs="Times New Roman"/>
                <w:b/>
                <w:color w:val="002060"/>
                <w:sz w:val="18"/>
                <w:szCs w:val="18"/>
              </w:rPr>
              <w:t>IT Asset Management and Software Licensing 2020/21 – Limited Assurance</w:t>
            </w:r>
          </w:p>
          <w:p w14:paraId="2CFEFBF4" w14:textId="426E91FC" w:rsidR="00EA7E62" w:rsidRDefault="00EA7E62" w:rsidP="00EA7E62">
            <w:pPr>
              <w:spacing w:before="40" w:after="40"/>
              <w:rPr>
                <w:rFonts w:ascii="Calibri" w:eastAsia="Calibri" w:hAnsi="Calibri" w:cs="Times New Roman"/>
                <w:b/>
                <w:color w:val="002060"/>
                <w:sz w:val="18"/>
                <w:szCs w:val="18"/>
              </w:rPr>
            </w:pPr>
            <w:r>
              <w:rPr>
                <w:rFonts w:ascii="Calibri" w:eastAsia="Calibri" w:hAnsi="Calibri" w:cs="Times New Roman"/>
                <w:sz w:val="18"/>
                <w:szCs w:val="18"/>
              </w:rPr>
              <w:t>1 High, 11 Medium level management actions</w:t>
            </w:r>
          </w:p>
        </w:tc>
        <w:tc>
          <w:tcPr>
            <w:tcW w:w="1823" w:type="dxa"/>
            <w:shd w:val="clear" w:color="auto" w:fill="auto"/>
          </w:tcPr>
          <w:p w14:paraId="4D147896" w14:textId="26E3431F" w:rsidR="00EA7E62" w:rsidRPr="001D1C33" w:rsidRDefault="00EA7E62" w:rsidP="00EA7E62">
            <w:pPr>
              <w:tabs>
                <w:tab w:val="left" w:pos="0"/>
              </w:tabs>
              <w:overflowPunct w:val="0"/>
              <w:autoSpaceDE w:val="0"/>
              <w:autoSpaceDN w:val="0"/>
              <w:adjustRightInd w:val="0"/>
              <w:spacing w:before="40" w:after="40"/>
              <w:textAlignment w:val="baseline"/>
              <w:rPr>
                <w:rFonts w:ascii="Calibri" w:eastAsia="Calibri" w:hAnsi="Calibri"/>
                <w:sz w:val="18"/>
                <w:szCs w:val="18"/>
              </w:rPr>
            </w:pPr>
            <w:r>
              <w:rPr>
                <w:rFonts w:ascii="Calibri" w:eastAsia="Calibri" w:hAnsi="Calibri"/>
                <w:sz w:val="18"/>
                <w:szCs w:val="18"/>
              </w:rPr>
              <w:t>Chief Digital and Information Officer</w:t>
            </w:r>
          </w:p>
        </w:tc>
        <w:tc>
          <w:tcPr>
            <w:tcW w:w="2319" w:type="dxa"/>
          </w:tcPr>
          <w:p w14:paraId="2562EE22" w14:textId="7792B62E" w:rsidR="00EA7E62" w:rsidRDefault="00EA7E62" w:rsidP="00EA7E62">
            <w:pPr>
              <w:spacing w:before="40" w:after="40"/>
              <w:jc w:val="center"/>
              <w:rPr>
                <w:rFonts w:ascii="Calibri" w:eastAsia="Calibri" w:hAnsi="Calibri"/>
                <w:sz w:val="18"/>
                <w:szCs w:val="18"/>
              </w:rPr>
            </w:pPr>
            <w:r>
              <w:rPr>
                <w:rFonts w:ascii="Calibri" w:eastAsia="Calibri" w:hAnsi="Calibri"/>
                <w:sz w:val="18"/>
                <w:szCs w:val="18"/>
              </w:rPr>
              <w:t>31.12.21</w:t>
            </w:r>
          </w:p>
        </w:tc>
      </w:tr>
      <w:tr w:rsidR="004F65BF" w:rsidRPr="003516A4" w14:paraId="029B13CA" w14:textId="77777777" w:rsidTr="00F5442C">
        <w:trPr>
          <w:jc w:val="center"/>
        </w:trPr>
        <w:tc>
          <w:tcPr>
            <w:tcW w:w="10915" w:type="dxa"/>
            <w:gridSpan w:val="5"/>
            <w:shd w:val="clear" w:color="auto" w:fill="BDD6EE" w:themeFill="accent1" w:themeFillTint="66"/>
          </w:tcPr>
          <w:p w14:paraId="2ACFD7EB" w14:textId="77777777" w:rsidR="004F65BF" w:rsidRPr="00C5655A" w:rsidRDefault="004F65BF" w:rsidP="00F5442C">
            <w:pPr>
              <w:spacing w:before="40" w:after="40"/>
              <w:rPr>
                <w:rFonts w:ascii="Calibri" w:eastAsia="Calibri" w:hAnsi="Calibri"/>
                <w:sz w:val="18"/>
                <w:szCs w:val="18"/>
              </w:rPr>
            </w:pPr>
            <w:r w:rsidRPr="00C5655A">
              <w:rPr>
                <w:rFonts w:ascii="Calibri" w:eastAsia="Calibri" w:hAnsi="Calibri"/>
                <w:b/>
              </w:rPr>
              <w:t xml:space="preserve">PROPOSED NEW AREAS OF </w:t>
            </w:r>
            <w:r>
              <w:rPr>
                <w:rFonts w:ascii="Calibri" w:eastAsia="Calibri" w:hAnsi="Calibri"/>
                <w:b/>
              </w:rPr>
              <w:t>IMPROVEMENT IDENTIFIED BY FORCE FOR 2021-22 AGS ACTION PLAN</w:t>
            </w:r>
          </w:p>
        </w:tc>
      </w:tr>
      <w:tr w:rsidR="004F65BF" w:rsidRPr="003516A4" w14:paraId="390BB57E" w14:textId="77777777" w:rsidTr="00F5442C">
        <w:trPr>
          <w:jc w:val="center"/>
        </w:trPr>
        <w:tc>
          <w:tcPr>
            <w:tcW w:w="709" w:type="dxa"/>
            <w:gridSpan w:val="2"/>
            <w:shd w:val="clear" w:color="auto" w:fill="auto"/>
          </w:tcPr>
          <w:p w14:paraId="1252CF74" w14:textId="77777777" w:rsidR="004F65BF" w:rsidRPr="00C5655A" w:rsidRDefault="004F65BF" w:rsidP="00F5442C">
            <w:pPr>
              <w:spacing w:before="40" w:after="40" w:line="259" w:lineRule="auto"/>
              <w:jc w:val="center"/>
              <w:rPr>
                <w:rFonts w:ascii="Calibri" w:eastAsia="Calibri" w:hAnsi="Calibri"/>
                <w:color w:val="333333"/>
                <w:sz w:val="18"/>
                <w:szCs w:val="18"/>
              </w:rPr>
            </w:pPr>
          </w:p>
        </w:tc>
        <w:tc>
          <w:tcPr>
            <w:tcW w:w="6064" w:type="dxa"/>
            <w:shd w:val="clear" w:color="auto" w:fill="auto"/>
          </w:tcPr>
          <w:p w14:paraId="0DED48EC" w14:textId="77777777" w:rsidR="004F65BF" w:rsidRDefault="004F65BF" w:rsidP="00F5442C">
            <w:pPr>
              <w:spacing w:before="40" w:after="40"/>
              <w:rPr>
                <w:rFonts w:ascii="Calibri" w:eastAsia="Calibri" w:hAnsi="Calibri" w:cs="Times New Roman"/>
                <w:b/>
                <w:color w:val="002060"/>
                <w:sz w:val="18"/>
                <w:szCs w:val="18"/>
              </w:rPr>
            </w:pPr>
            <w:r>
              <w:rPr>
                <w:rFonts w:ascii="Calibri" w:eastAsia="Calibri" w:hAnsi="Calibri" w:cs="Times New Roman"/>
                <w:b/>
                <w:color w:val="002060"/>
                <w:sz w:val="18"/>
                <w:szCs w:val="18"/>
              </w:rPr>
              <w:t>Establish appropriate governance arrangements to take forward the joint Surrey/Sussex ERP solution.</w:t>
            </w:r>
          </w:p>
          <w:p w14:paraId="63133D8E" w14:textId="77777777" w:rsidR="004F65BF" w:rsidRPr="00DD2220" w:rsidRDefault="004F65BF" w:rsidP="00F5442C">
            <w:pPr>
              <w:spacing w:before="40" w:after="40"/>
              <w:rPr>
                <w:rFonts w:ascii="Calibri" w:eastAsia="Calibri" w:hAnsi="Calibri" w:cs="Times New Roman"/>
                <w:sz w:val="18"/>
                <w:szCs w:val="18"/>
              </w:rPr>
            </w:pPr>
            <w:r>
              <w:rPr>
                <w:rFonts w:ascii="Calibri" w:eastAsia="Calibri" w:hAnsi="Calibri" w:cs="Times New Roman"/>
                <w:sz w:val="18"/>
                <w:szCs w:val="18"/>
              </w:rPr>
              <w:t>Following closure of the Equip programme, work within Surrey and Sussex has continued to remediate data quality issues, whilst business cases are developed with options for the next stage. The focus remains on shoring up legacy systems and ensuring that the skills, expertise and assets gained from the Equip programme are utilized to the fullest extent possible.</w:t>
            </w:r>
          </w:p>
        </w:tc>
        <w:tc>
          <w:tcPr>
            <w:tcW w:w="1823" w:type="dxa"/>
            <w:shd w:val="clear" w:color="auto" w:fill="auto"/>
          </w:tcPr>
          <w:p w14:paraId="742D56C9" w14:textId="77777777" w:rsidR="004F65BF" w:rsidRPr="00C5655A" w:rsidRDefault="004F65BF" w:rsidP="00F5442C">
            <w:pPr>
              <w:tabs>
                <w:tab w:val="left" w:pos="0"/>
              </w:tabs>
              <w:overflowPunct w:val="0"/>
              <w:autoSpaceDE w:val="0"/>
              <w:autoSpaceDN w:val="0"/>
              <w:adjustRightInd w:val="0"/>
              <w:spacing w:before="40" w:after="40"/>
              <w:textAlignment w:val="baseline"/>
              <w:rPr>
                <w:rFonts w:ascii="Calibri" w:eastAsia="Calibri" w:hAnsi="Calibri"/>
                <w:sz w:val="18"/>
                <w:szCs w:val="18"/>
              </w:rPr>
            </w:pPr>
            <w:r>
              <w:rPr>
                <w:rFonts w:ascii="Calibri" w:eastAsia="Calibri" w:hAnsi="Calibri"/>
                <w:sz w:val="18"/>
                <w:szCs w:val="18"/>
              </w:rPr>
              <w:t>ACO SERIP / SRO Surrey &amp; Sussex ERP</w:t>
            </w:r>
          </w:p>
        </w:tc>
        <w:tc>
          <w:tcPr>
            <w:tcW w:w="2319" w:type="dxa"/>
          </w:tcPr>
          <w:p w14:paraId="0A6753EF" w14:textId="77777777" w:rsidR="004F65BF" w:rsidRPr="00C5655A" w:rsidRDefault="004F65BF" w:rsidP="00F5442C">
            <w:pPr>
              <w:spacing w:before="40" w:after="40"/>
              <w:jc w:val="center"/>
              <w:rPr>
                <w:rFonts w:ascii="Calibri" w:eastAsia="Calibri" w:hAnsi="Calibri"/>
                <w:sz w:val="18"/>
                <w:szCs w:val="18"/>
              </w:rPr>
            </w:pPr>
            <w:r>
              <w:rPr>
                <w:rFonts w:ascii="Calibri" w:eastAsia="Calibri" w:hAnsi="Calibri"/>
                <w:sz w:val="18"/>
                <w:szCs w:val="18"/>
              </w:rPr>
              <w:t>Will continue to be progressed through 2021-22</w:t>
            </w:r>
          </w:p>
        </w:tc>
      </w:tr>
      <w:tr w:rsidR="004F65BF" w:rsidRPr="003516A4" w14:paraId="309FA291" w14:textId="77777777" w:rsidTr="00F5442C">
        <w:trPr>
          <w:jc w:val="center"/>
        </w:trPr>
        <w:tc>
          <w:tcPr>
            <w:tcW w:w="709" w:type="dxa"/>
            <w:gridSpan w:val="2"/>
            <w:shd w:val="clear" w:color="auto" w:fill="auto"/>
          </w:tcPr>
          <w:p w14:paraId="113E690F" w14:textId="77777777" w:rsidR="004F65BF" w:rsidRPr="00C5655A" w:rsidRDefault="004F65BF" w:rsidP="00F5442C">
            <w:pPr>
              <w:spacing w:before="40" w:after="40" w:line="259" w:lineRule="auto"/>
              <w:jc w:val="center"/>
              <w:rPr>
                <w:rFonts w:ascii="Calibri" w:eastAsia="Calibri" w:hAnsi="Calibri"/>
                <w:color w:val="333333"/>
                <w:sz w:val="18"/>
                <w:szCs w:val="18"/>
              </w:rPr>
            </w:pPr>
          </w:p>
        </w:tc>
        <w:tc>
          <w:tcPr>
            <w:tcW w:w="6064" w:type="dxa"/>
            <w:shd w:val="clear" w:color="auto" w:fill="auto"/>
          </w:tcPr>
          <w:p w14:paraId="22512677" w14:textId="77777777" w:rsidR="004F65BF" w:rsidRPr="00C5655A" w:rsidRDefault="004F65BF" w:rsidP="00F5442C">
            <w:pPr>
              <w:spacing w:before="40" w:after="40"/>
              <w:rPr>
                <w:rFonts w:ascii="Calibri" w:eastAsia="Calibri" w:hAnsi="Calibri" w:cs="Times New Roman"/>
                <w:b/>
                <w:color w:val="002060"/>
                <w:sz w:val="18"/>
                <w:szCs w:val="18"/>
              </w:rPr>
            </w:pPr>
          </w:p>
        </w:tc>
        <w:tc>
          <w:tcPr>
            <w:tcW w:w="1823" w:type="dxa"/>
            <w:shd w:val="clear" w:color="auto" w:fill="auto"/>
          </w:tcPr>
          <w:p w14:paraId="1E3D57AF" w14:textId="77777777" w:rsidR="004F65BF" w:rsidRPr="00C5655A" w:rsidRDefault="004F65BF" w:rsidP="00F5442C">
            <w:pPr>
              <w:tabs>
                <w:tab w:val="left" w:pos="0"/>
              </w:tabs>
              <w:overflowPunct w:val="0"/>
              <w:autoSpaceDE w:val="0"/>
              <w:autoSpaceDN w:val="0"/>
              <w:adjustRightInd w:val="0"/>
              <w:spacing w:before="40" w:after="40"/>
              <w:textAlignment w:val="baseline"/>
              <w:rPr>
                <w:rFonts w:ascii="Calibri" w:eastAsia="Calibri" w:hAnsi="Calibri"/>
                <w:sz w:val="18"/>
                <w:szCs w:val="18"/>
              </w:rPr>
            </w:pPr>
          </w:p>
        </w:tc>
        <w:tc>
          <w:tcPr>
            <w:tcW w:w="2319" w:type="dxa"/>
          </w:tcPr>
          <w:p w14:paraId="32598DBF" w14:textId="77777777" w:rsidR="004F65BF" w:rsidRPr="00C5655A" w:rsidRDefault="004F65BF" w:rsidP="00F5442C">
            <w:pPr>
              <w:spacing w:before="40" w:after="40"/>
              <w:jc w:val="center"/>
              <w:rPr>
                <w:rFonts w:ascii="Calibri" w:eastAsia="Calibri" w:hAnsi="Calibri"/>
                <w:sz w:val="18"/>
                <w:szCs w:val="18"/>
              </w:rPr>
            </w:pPr>
          </w:p>
        </w:tc>
      </w:tr>
    </w:tbl>
    <w:p w14:paraId="49EC6ADA" w14:textId="77777777" w:rsidR="00E73C9B" w:rsidRPr="00A324B5" w:rsidRDefault="00E73C9B" w:rsidP="00D835CC">
      <w:pPr>
        <w:pStyle w:val="NormalWeb1"/>
        <w:rPr>
          <w:rFonts w:ascii="Calibri" w:hAnsi="Calibri" w:cs="Arial"/>
          <w:b/>
          <w:sz w:val="22"/>
          <w:szCs w:val="22"/>
        </w:rPr>
      </w:pPr>
    </w:p>
    <w:p w14:paraId="68693E77" w14:textId="77777777" w:rsidR="00D835CC" w:rsidRPr="00A324B5" w:rsidRDefault="00D835CC" w:rsidP="00D835CC">
      <w:pPr>
        <w:pStyle w:val="NormalWeb1"/>
        <w:rPr>
          <w:rFonts w:ascii="Calibri" w:hAnsi="Calibri" w:cs="Arial"/>
          <w:b/>
          <w:sz w:val="22"/>
          <w:szCs w:val="22"/>
        </w:rPr>
      </w:pPr>
    </w:p>
    <w:p w14:paraId="05DD7522" w14:textId="77777777" w:rsidR="00D835CC" w:rsidRPr="00DC1077" w:rsidRDefault="00D835CC" w:rsidP="00F227D9">
      <w:pPr>
        <w:pStyle w:val="Heading1"/>
        <w:rPr>
          <w:highlight w:val="yellow"/>
        </w:rPr>
      </w:pPr>
    </w:p>
    <w:p w14:paraId="1BE359A4" w14:textId="77777777" w:rsidR="00F227D9" w:rsidRPr="00DC1077" w:rsidRDefault="00F227D9">
      <w:pPr>
        <w:pStyle w:val="Normal0"/>
        <w:rPr>
          <w:rFonts w:ascii="Verdana" w:hAnsi="Verdana"/>
          <w:sz w:val="22"/>
          <w:szCs w:val="22"/>
          <w:highlight w:val="yellow"/>
        </w:rPr>
        <w:sectPr w:rsidR="00F227D9" w:rsidRPr="00DC1077" w:rsidSect="00B54A0C">
          <w:pgSz w:w="11900" w:h="16840"/>
          <w:pgMar w:top="709" w:right="720" w:bottom="567" w:left="720" w:header="708" w:footer="708" w:gutter="0"/>
          <w:cols w:space="708"/>
          <w:docGrid w:linePitch="360"/>
        </w:sectPr>
      </w:pPr>
    </w:p>
    <w:p w14:paraId="7BF2BC92" w14:textId="77777777" w:rsidR="00F227D9" w:rsidRPr="0007251E" w:rsidRDefault="00F227D9" w:rsidP="00F227D9">
      <w:pPr>
        <w:pStyle w:val="Heading1"/>
        <w:spacing w:line="259" w:lineRule="auto"/>
        <w:rPr>
          <w:lang w:val="pt-BR"/>
        </w:rPr>
      </w:pPr>
      <w:bookmarkStart w:id="5" w:name="_Toc77095556"/>
      <w:r w:rsidRPr="0007251E">
        <w:rPr>
          <w:lang w:val="pt-BR"/>
        </w:rPr>
        <w:t>Movement in Reserves Statement</w:t>
      </w:r>
      <w:bookmarkEnd w:id="5"/>
    </w:p>
    <w:p w14:paraId="2A391EA2" w14:textId="77777777" w:rsidR="00F227D9" w:rsidRPr="0007251E" w:rsidRDefault="00F227D9" w:rsidP="00F227D9">
      <w:pPr>
        <w:pStyle w:val="Normal0"/>
        <w:spacing w:after="160" w:line="259" w:lineRule="auto"/>
        <w:rPr>
          <w:sz w:val="22"/>
          <w:szCs w:val="22"/>
          <w:lang w:val="pt-BR"/>
        </w:rPr>
      </w:pPr>
    </w:p>
    <w:p w14:paraId="6C58EE69" w14:textId="77777777" w:rsidR="00F227D9" w:rsidRDefault="00F227D9" w:rsidP="00080023">
      <w:pPr>
        <w:pStyle w:val="Normal0"/>
        <w:spacing w:after="160" w:line="259" w:lineRule="auto"/>
        <w:jc w:val="both"/>
        <w:rPr>
          <w:rFonts w:ascii="Verdana" w:eastAsia="Calibri" w:hAnsi="Verdana" w:cs="Arial"/>
          <w:sz w:val="22"/>
          <w:szCs w:val="22"/>
          <w:lang w:val="pt-BR"/>
        </w:rPr>
      </w:pPr>
      <w:r w:rsidRPr="0007251E">
        <w:rPr>
          <w:rFonts w:ascii="Verdana" w:eastAsia="Calibri" w:hAnsi="Verdana" w:cs="Arial"/>
          <w:sz w:val="22"/>
          <w:szCs w:val="22"/>
          <w:lang w:val="pt-BR"/>
        </w:rPr>
        <w:t>The Movement in Reserves Statement shows the movement from the start of the year to the end on the different reserves, analysed into ‘usable reserves’ (ie those that can be applied to fund expenditure or reduce local taxation) and other ‘unusable reserves’. The Statement shows how the movements in year of the reserves are broken down between gains and losses incurred in accordance with generally accepted accounting practices and the statutory adjustments required to return to the amounts chargeable to council tax for the year. The Net Increase/Decrease line shows the statutory General Fund Balance movements in the year following those adjustments.</w:t>
      </w:r>
    </w:p>
    <w:tbl>
      <w:tblPr>
        <w:tblW w:w="13354" w:type="dxa"/>
        <w:jc w:val="center"/>
        <w:tblLook w:val="04A0" w:firstRow="1" w:lastRow="0" w:firstColumn="1" w:lastColumn="0" w:noHBand="0" w:noVBand="1"/>
      </w:tblPr>
      <w:tblGrid>
        <w:gridCol w:w="6901"/>
        <w:gridCol w:w="1776"/>
        <w:gridCol w:w="1543"/>
        <w:gridCol w:w="1496"/>
        <w:gridCol w:w="1638"/>
      </w:tblGrid>
      <w:tr w:rsidR="0007251E" w:rsidRPr="0007251E" w14:paraId="62E7FC39" w14:textId="77777777" w:rsidTr="00097018">
        <w:trPr>
          <w:trHeight w:val="127"/>
          <w:jc w:val="center"/>
        </w:trPr>
        <w:tc>
          <w:tcPr>
            <w:tcW w:w="6901" w:type="dxa"/>
            <w:tcBorders>
              <w:top w:val="nil"/>
              <w:left w:val="nil"/>
              <w:bottom w:val="nil"/>
              <w:right w:val="nil"/>
            </w:tcBorders>
            <w:shd w:val="clear" w:color="auto" w:fill="auto"/>
            <w:vAlign w:val="center"/>
            <w:hideMark/>
          </w:tcPr>
          <w:p w14:paraId="2ABF2FE0" w14:textId="77777777" w:rsidR="0007251E" w:rsidRPr="0007251E" w:rsidRDefault="0007251E" w:rsidP="0007251E">
            <w:pPr>
              <w:jc w:val="center"/>
              <w:rPr>
                <w:rFonts w:ascii="Verdana" w:eastAsia="Times New Roman" w:hAnsi="Verdana" w:cs="Calibri"/>
                <w:b/>
                <w:bCs/>
                <w:color w:val="000000"/>
                <w:sz w:val="2"/>
                <w:szCs w:val="2"/>
                <w:lang w:val="en-GB" w:eastAsia="en-GB"/>
              </w:rPr>
            </w:pPr>
          </w:p>
        </w:tc>
        <w:tc>
          <w:tcPr>
            <w:tcW w:w="1776" w:type="dxa"/>
            <w:tcBorders>
              <w:top w:val="nil"/>
              <w:left w:val="nil"/>
              <w:bottom w:val="nil"/>
              <w:right w:val="nil"/>
            </w:tcBorders>
            <w:shd w:val="clear" w:color="auto" w:fill="auto"/>
            <w:vAlign w:val="center"/>
            <w:hideMark/>
          </w:tcPr>
          <w:p w14:paraId="039C766D" w14:textId="77777777" w:rsidR="0007251E" w:rsidRPr="0007251E" w:rsidRDefault="0007251E" w:rsidP="0007251E">
            <w:pPr>
              <w:jc w:val="center"/>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General Fund Balance</w:t>
            </w:r>
          </w:p>
        </w:tc>
        <w:tc>
          <w:tcPr>
            <w:tcW w:w="1543" w:type="dxa"/>
            <w:tcBorders>
              <w:top w:val="nil"/>
              <w:left w:val="nil"/>
              <w:bottom w:val="nil"/>
              <w:right w:val="nil"/>
            </w:tcBorders>
            <w:shd w:val="clear" w:color="auto" w:fill="auto"/>
            <w:vAlign w:val="center"/>
            <w:hideMark/>
          </w:tcPr>
          <w:p w14:paraId="2477E31B" w14:textId="77777777" w:rsidR="0007251E" w:rsidRPr="0007251E" w:rsidRDefault="0007251E" w:rsidP="0007251E">
            <w:pPr>
              <w:jc w:val="center"/>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Total Usable Reserves</w:t>
            </w:r>
          </w:p>
        </w:tc>
        <w:tc>
          <w:tcPr>
            <w:tcW w:w="1496" w:type="dxa"/>
            <w:tcBorders>
              <w:top w:val="nil"/>
              <w:left w:val="nil"/>
              <w:bottom w:val="nil"/>
              <w:right w:val="nil"/>
            </w:tcBorders>
            <w:shd w:val="clear" w:color="auto" w:fill="auto"/>
            <w:vAlign w:val="center"/>
            <w:hideMark/>
          </w:tcPr>
          <w:p w14:paraId="26503C6E" w14:textId="77777777" w:rsidR="0007251E" w:rsidRPr="0007251E" w:rsidRDefault="0007251E" w:rsidP="0007251E">
            <w:pPr>
              <w:jc w:val="center"/>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Unusable Reserves</w:t>
            </w:r>
          </w:p>
        </w:tc>
        <w:tc>
          <w:tcPr>
            <w:tcW w:w="1638" w:type="dxa"/>
            <w:tcBorders>
              <w:top w:val="nil"/>
              <w:left w:val="nil"/>
              <w:bottom w:val="nil"/>
              <w:right w:val="nil"/>
            </w:tcBorders>
            <w:shd w:val="clear" w:color="auto" w:fill="auto"/>
            <w:vAlign w:val="center"/>
            <w:hideMark/>
          </w:tcPr>
          <w:p w14:paraId="6F2B1596" w14:textId="77777777" w:rsidR="0007251E" w:rsidRPr="0007251E" w:rsidRDefault="0007251E" w:rsidP="0007251E">
            <w:pPr>
              <w:jc w:val="center"/>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Total Reserves</w:t>
            </w:r>
          </w:p>
        </w:tc>
      </w:tr>
      <w:tr w:rsidR="0007251E" w:rsidRPr="0007251E" w14:paraId="076BFF12" w14:textId="77777777" w:rsidTr="00097018">
        <w:trPr>
          <w:trHeight w:val="154"/>
          <w:jc w:val="center"/>
        </w:trPr>
        <w:tc>
          <w:tcPr>
            <w:tcW w:w="6901" w:type="dxa"/>
            <w:tcBorders>
              <w:top w:val="nil"/>
              <w:left w:val="nil"/>
              <w:bottom w:val="single" w:sz="8" w:space="0" w:color="000000"/>
              <w:right w:val="nil"/>
            </w:tcBorders>
            <w:shd w:val="clear" w:color="auto" w:fill="auto"/>
            <w:vAlign w:val="center"/>
            <w:hideMark/>
          </w:tcPr>
          <w:p w14:paraId="78C403B9" w14:textId="77777777" w:rsidR="0007251E" w:rsidRPr="0007251E" w:rsidRDefault="0007251E" w:rsidP="0007251E">
            <w:pPr>
              <w:jc w:val="center"/>
              <w:rPr>
                <w:rFonts w:ascii="Verdana" w:eastAsia="Times New Roman" w:hAnsi="Verdana" w:cs="Calibri"/>
                <w:b/>
                <w:bCs/>
                <w:color w:val="000000"/>
                <w:sz w:val="2"/>
                <w:szCs w:val="2"/>
                <w:lang w:val="en-GB" w:eastAsia="en-GB"/>
              </w:rPr>
            </w:pPr>
            <w:r w:rsidRPr="0007251E">
              <w:rPr>
                <w:rFonts w:ascii="Verdana" w:eastAsia="Times New Roman" w:hAnsi="Verdana" w:cs="Calibri"/>
                <w:b/>
                <w:bCs/>
                <w:color w:val="000000"/>
                <w:sz w:val="2"/>
                <w:szCs w:val="2"/>
                <w:lang w:val="pt-BR" w:eastAsia="en-GB"/>
              </w:rPr>
              <w:t xml:space="preserve"> </w:t>
            </w:r>
          </w:p>
        </w:tc>
        <w:tc>
          <w:tcPr>
            <w:tcW w:w="1776" w:type="dxa"/>
            <w:tcBorders>
              <w:top w:val="nil"/>
              <w:left w:val="nil"/>
              <w:bottom w:val="single" w:sz="8" w:space="0" w:color="000000"/>
              <w:right w:val="nil"/>
            </w:tcBorders>
            <w:shd w:val="clear" w:color="auto" w:fill="auto"/>
            <w:vAlign w:val="center"/>
            <w:hideMark/>
          </w:tcPr>
          <w:p w14:paraId="12CFDB6D" w14:textId="293431F3" w:rsidR="0007251E" w:rsidRPr="0007251E" w:rsidRDefault="0007251E">
            <w:pPr>
              <w:jc w:val="right"/>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w:t>
            </w:r>
            <w:r w:rsidR="005B22FA">
              <w:rPr>
                <w:rFonts w:ascii="Verdana" w:eastAsia="Times New Roman" w:hAnsi="Verdana" w:cs="Calibri"/>
                <w:b/>
                <w:bCs/>
                <w:color w:val="000000"/>
                <w:sz w:val="16"/>
                <w:szCs w:val="16"/>
                <w:lang w:val="pt-BR" w:eastAsia="en-GB"/>
              </w:rPr>
              <w:t>0</w:t>
            </w:r>
            <w:r w:rsidRPr="0007251E">
              <w:rPr>
                <w:rFonts w:ascii="Verdana" w:eastAsia="Times New Roman" w:hAnsi="Verdana" w:cs="Calibri"/>
                <w:b/>
                <w:bCs/>
                <w:color w:val="000000"/>
                <w:sz w:val="16"/>
                <w:szCs w:val="16"/>
                <w:lang w:val="pt-BR" w:eastAsia="en-GB"/>
              </w:rPr>
              <w:t>00</w:t>
            </w:r>
          </w:p>
        </w:tc>
        <w:tc>
          <w:tcPr>
            <w:tcW w:w="1543" w:type="dxa"/>
            <w:tcBorders>
              <w:top w:val="nil"/>
              <w:left w:val="nil"/>
              <w:bottom w:val="single" w:sz="8" w:space="0" w:color="000000"/>
              <w:right w:val="nil"/>
            </w:tcBorders>
            <w:shd w:val="clear" w:color="auto" w:fill="auto"/>
            <w:vAlign w:val="center"/>
            <w:hideMark/>
          </w:tcPr>
          <w:p w14:paraId="4B21AAF4" w14:textId="77777777" w:rsidR="0007251E" w:rsidRPr="0007251E" w:rsidRDefault="0007251E" w:rsidP="0007251E">
            <w:pPr>
              <w:jc w:val="right"/>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£000</w:t>
            </w:r>
          </w:p>
        </w:tc>
        <w:tc>
          <w:tcPr>
            <w:tcW w:w="1496" w:type="dxa"/>
            <w:tcBorders>
              <w:top w:val="nil"/>
              <w:left w:val="nil"/>
              <w:bottom w:val="single" w:sz="8" w:space="0" w:color="000000"/>
              <w:right w:val="nil"/>
            </w:tcBorders>
            <w:shd w:val="clear" w:color="auto" w:fill="auto"/>
            <w:vAlign w:val="center"/>
            <w:hideMark/>
          </w:tcPr>
          <w:p w14:paraId="65A841FB" w14:textId="77777777" w:rsidR="0007251E" w:rsidRPr="0007251E" w:rsidRDefault="0007251E" w:rsidP="0007251E">
            <w:pPr>
              <w:jc w:val="right"/>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£000</w:t>
            </w:r>
          </w:p>
        </w:tc>
        <w:tc>
          <w:tcPr>
            <w:tcW w:w="1638" w:type="dxa"/>
            <w:tcBorders>
              <w:top w:val="nil"/>
              <w:left w:val="nil"/>
              <w:bottom w:val="single" w:sz="8" w:space="0" w:color="000000"/>
              <w:right w:val="nil"/>
            </w:tcBorders>
            <w:shd w:val="clear" w:color="auto" w:fill="auto"/>
            <w:vAlign w:val="center"/>
            <w:hideMark/>
          </w:tcPr>
          <w:p w14:paraId="02F8373E" w14:textId="77777777" w:rsidR="0007251E" w:rsidRPr="0007251E" w:rsidRDefault="0007251E" w:rsidP="0007251E">
            <w:pPr>
              <w:jc w:val="right"/>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£000</w:t>
            </w:r>
          </w:p>
        </w:tc>
      </w:tr>
      <w:tr w:rsidR="0007251E" w:rsidRPr="0007251E" w14:paraId="0F10B30B" w14:textId="77777777" w:rsidTr="00097018">
        <w:trPr>
          <w:trHeight w:val="336"/>
          <w:jc w:val="center"/>
        </w:trPr>
        <w:tc>
          <w:tcPr>
            <w:tcW w:w="6901" w:type="dxa"/>
            <w:tcBorders>
              <w:top w:val="nil"/>
              <w:left w:val="nil"/>
              <w:bottom w:val="single" w:sz="8" w:space="0" w:color="000000"/>
              <w:right w:val="nil"/>
            </w:tcBorders>
            <w:shd w:val="clear" w:color="auto" w:fill="auto"/>
            <w:vAlign w:val="center"/>
            <w:hideMark/>
          </w:tcPr>
          <w:p w14:paraId="55251C33" w14:textId="77777777" w:rsidR="0007251E" w:rsidRPr="0007251E" w:rsidRDefault="0007251E" w:rsidP="0007251E">
            <w:pPr>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Balance at 31 March 2020</w:t>
            </w:r>
          </w:p>
        </w:tc>
        <w:tc>
          <w:tcPr>
            <w:tcW w:w="1776" w:type="dxa"/>
            <w:tcBorders>
              <w:top w:val="nil"/>
              <w:left w:val="single" w:sz="8" w:space="0" w:color="000000"/>
              <w:bottom w:val="single" w:sz="8" w:space="0" w:color="000000"/>
              <w:right w:val="nil"/>
            </w:tcBorders>
            <w:shd w:val="clear" w:color="auto" w:fill="auto"/>
            <w:vAlign w:val="center"/>
            <w:hideMark/>
          </w:tcPr>
          <w:p w14:paraId="0BB7A604" w14:textId="77777777" w:rsidR="0007251E" w:rsidRPr="0007251E" w:rsidRDefault="0007251E" w:rsidP="0007251E">
            <w:pPr>
              <w:jc w:val="right"/>
              <w:rPr>
                <w:rFonts w:ascii="Verdana" w:eastAsia="Times New Roman" w:hAnsi="Verdana" w:cs="Calibri"/>
                <w:color w:val="000000"/>
                <w:sz w:val="16"/>
                <w:szCs w:val="16"/>
                <w:lang w:val="en-GB" w:eastAsia="en-GB"/>
              </w:rPr>
            </w:pPr>
            <w:r w:rsidRPr="0007251E">
              <w:rPr>
                <w:rFonts w:ascii="Verdana" w:eastAsia="Times New Roman" w:hAnsi="Verdana" w:cs="Calibri"/>
                <w:color w:val="000000"/>
                <w:sz w:val="16"/>
                <w:szCs w:val="16"/>
                <w:lang w:val="pt-BR" w:eastAsia="en-GB"/>
              </w:rPr>
              <w:t>0</w:t>
            </w:r>
          </w:p>
        </w:tc>
        <w:tc>
          <w:tcPr>
            <w:tcW w:w="1543" w:type="dxa"/>
            <w:tcBorders>
              <w:top w:val="nil"/>
              <w:left w:val="single" w:sz="8" w:space="0" w:color="000000"/>
              <w:bottom w:val="single" w:sz="8" w:space="0" w:color="000000"/>
              <w:right w:val="single" w:sz="8" w:space="0" w:color="000000"/>
            </w:tcBorders>
            <w:shd w:val="clear" w:color="auto" w:fill="auto"/>
            <w:vAlign w:val="center"/>
            <w:hideMark/>
          </w:tcPr>
          <w:p w14:paraId="1F689550" w14:textId="77777777" w:rsidR="0007251E" w:rsidRPr="0007251E" w:rsidRDefault="0007251E" w:rsidP="0007251E">
            <w:pPr>
              <w:jc w:val="right"/>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0</w:t>
            </w:r>
          </w:p>
        </w:tc>
        <w:tc>
          <w:tcPr>
            <w:tcW w:w="1496" w:type="dxa"/>
            <w:tcBorders>
              <w:top w:val="nil"/>
              <w:left w:val="nil"/>
              <w:bottom w:val="single" w:sz="8" w:space="0" w:color="000000"/>
              <w:right w:val="nil"/>
            </w:tcBorders>
            <w:shd w:val="clear" w:color="auto" w:fill="auto"/>
            <w:vAlign w:val="center"/>
            <w:hideMark/>
          </w:tcPr>
          <w:p w14:paraId="0A34D7D6" w14:textId="77777777" w:rsidR="0007251E" w:rsidRPr="0007251E" w:rsidRDefault="0007251E" w:rsidP="0007251E">
            <w:pPr>
              <w:jc w:val="right"/>
              <w:rPr>
                <w:rFonts w:ascii="Verdana" w:eastAsia="Times New Roman" w:hAnsi="Verdana" w:cs="Calibri"/>
                <w:color w:val="000000"/>
                <w:sz w:val="16"/>
                <w:szCs w:val="16"/>
                <w:lang w:val="en-GB" w:eastAsia="en-GB"/>
              </w:rPr>
            </w:pPr>
            <w:r w:rsidRPr="0007251E">
              <w:rPr>
                <w:rFonts w:ascii="Verdana" w:eastAsia="Times New Roman" w:hAnsi="Verdana" w:cs="Calibri"/>
                <w:color w:val="000000"/>
                <w:sz w:val="16"/>
                <w:szCs w:val="16"/>
                <w:lang w:val="pt-BR" w:eastAsia="en-GB"/>
              </w:rPr>
              <w:t>2,027,608</w:t>
            </w:r>
          </w:p>
        </w:tc>
        <w:tc>
          <w:tcPr>
            <w:tcW w:w="1638" w:type="dxa"/>
            <w:tcBorders>
              <w:top w:val="nil"/>
              <w:left w:val="single" w:sz="8" w:space="0" w:color="000000"/>
              <w:bottom w:val="single" w:sz="8" w:space="0" w:color="000000"/>
              <w:right w:val="nil"/>
            </w:tcBorders>
            <w:shd w:val="clear" w:color="auto" w:fill="auto"/>
            <w:vAlign w:val="center"/>
            <w:hideMark/>
          </w:tcPr>
          <w:p w14:paraId="2848E1F1" w14:textId="77777777" w:rsidR="0007251E" w:rsidRPr="0007251E" w:rsidRDefault="0007251E" w:rsidP="0007251E">
            <w:pPr>
              <w:jc w:val="right"/>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2,027,608</w:t>
            </w:r>
          </w:p>
        </w:tc>
      </w:tr>
      <w:tr w:rsidR="0007251E" w:rsidRPr="0007251E" w14:paraId="7784633A" w14:textId="77777777" w:rsidTr="00097018">
        <w:trPr>
          <w:trHeight w:val="320"/>
          <w:jc w:val="center"/>
        </w:trPr>
        <w:tc>
          <w:tcPr>
            <w:tcW w:w="6901" w:type="dxa"/>
            <w:tcBorders>
              <w:top w:val="nil"/>
              <w:left w:val="nil"/>
              <w:bottom w:val="nil"/>
              <w:right w:val="nil"/>
            </w:tcBorders>
            <w:shd w:val="clear" w:color="auto" w:fill="auto"/>
            <w:vAlign w:val="center"/>
            <w:hideMark/>
          </w:tcPr>
          <w:p w14:paraId="0EB17455" w14:textId="77777777" w:rsidR="0007251E" w:rsidRPr="0007251E" w:rsidRDefault="0007251E" w:rsidP="0007251E">
            <w:pPr>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Movement in reserves during 2020/21</w:t>
            </w:r>
          </w:p>
        </w:tc>
        <w:tc>
          <w:tcPr>
            <w:tcW w:w="1776" w:type="dxa"/>
            <w:tcBorders>
              <w:top w:val="nil"/>
              <w:left w:val="single" w:sz="8" w:space="0" w:color="000000"/>
              <w:bottom w:val="nil"/>
              <w:right w:val="nil"/>
            </w:tcBorders>
            <w:shd w:val="clear" w:color="auto" w:fill="auto"/>
            <w:vAlign w:val="center"/>
            <w:hideMark/>
          </w:tcPr>
          <w:p w14:paraId="48C8915B" w14:textId="77777777" w:rsidR="0007251E" w:rsidRPr="0007251E" w:rsidRDefault="0007251E" w:rsidP="0007251E">
            <w:pPr>
              <w:jc w:val="right"/>
              <w:rPr>
                <w:rFonts w:ascii="Verdana" w:eastAsia="Times New Roman" w:hAnsi="Verdana" w:cs="Calibri"/>
                <w:color w:val="000000"/>
                <w:sz w:val="2"/>
                <w:szCs w:val="2"/>
                <w:lang w:val="en-GB" w:eastAsia="en-GB"/>
              </w:rPr>
            </w:pPr>
            <w:r w:rsidRPr="0007251E">
              <w:rPr>
                <w:rFonts w:ascii="Verdana" w:eastAsia="Times New Roman" w:hAnsi="Verdana" w:cs="Calibri"/>
                <w:color w:val="000000"/>
                <w:sz w:val="2"/>
                <w:szCs w:val="2"/>
                <w:lang w:val="pt-BR" w:eastAsia="en-GB"/>
              </w:rPr>
              <w:t xml:space="preserve"> </w:t>
            </w:r>
          </w:p>
        </w:tc>
        <w:tc>
          <w:tcPr>
            <w:tcW w:w="1543" w:type="dxa"/>
            <w:tcBorders>
              <w:top w:val="nil"/>
              <w:left w:val="single" w:sz="8" w:space="0" w:color="000000"/>
              <w:bottom w:val="nil"/>
              <w:right w:val="single" w:sz="8" w:space="0" w:color="000000"/>
            </w:tcBorders>
            <w:shd w:val="clear" w:color="auto" w:fill="auto"/>
            <w:vAlign w:val="center"/>
            <w:hideMark/>
          </w:tcPr>
          <w:p w14:paraId="517D3DE7" w14:textId="77777777" w:rsidR="0007251E" w:rsidRPr="0007251E" w:rsidRDefault="0007251E" w:rsidP="0007251E">
            <w:pPr>
              <w:jc w:val="right"/>
              <w:rPr>
                <w:rFonts w:ascii="Verdana" w:eastAsia="Times New Roman" w:hAnsi="Verdana" w:cs="Calibri"/>
                <w:b/>
                <w:bCs/>
                <w:color w:val="000000"/>
                <w:sz w:val="2"/>
                <w:szCs w:val="2"/>
                <w:lang w:val="en-GB" w:eastAsia="en-GB"/>
              </w:rPr>
            </w:pPr>
            <w:r w:rsidRPr="0007251E">
              <w:rPr>
                <w:rFonts w:ascii="Verdana" w:eastAsia="Times New Roman" w:hAnsi="Verdana" w:cs="Calibri"/>
                <w:b/>
                <w:bCs/>
                <w:color w:val="000000"/>
                <w:sz w:val="2"/>
                <w:szCs w:val="2"/>
                <w:lang w:val="pt-BR" w:eastAsia="en-GB"/>
              </w:rPr>
              <w:t xml:space="preserve"> </w:t>
            </w:r>
          </w:p>
        </w:tc>
        <w:tc>
          <w:tcPr>
            <w:tcW w:w="1496" w:type="dxa"/>
            <w:tcBorders>
              <w:top w:val="nil"/>
              <w:left w:val="nil"/>
              <w:bottom w:val="nil"/>
              <w:right w:val="nil"/>
            </w:tcBorders>
            <w:shd w:val="clear" w:color="auto" w:fill="auto"/>
            <w:vAlign w:val="center"/>
            <w:hideMark/>
          </w:tcPr>
          <w:p w14:paraId="4CBCABB2" w14:textId="77777777" w:rsidR="0007251E" w:rsidRPr="0007251E" w:rsidRDefault="0007251E" w:rsidP="0007251E">
            <w:pPr>
              <w:jc w:val="right"/>
              <w:rPr>
                <w:rFonts w:ascii="Verdana" w:eastAsia="Times New Roman" w:hAnsi="Verdana" w:cs="Calibri"/>
                <w:color w:val="000000"/>
                <w:sz w:val="2"/>
                <w:szCs w:val="2"/>
                <w:lang w:val="en-GB" w:eastAsia="en-GB"/>
              </w:rPr>
            </w:pPr>
            <w:r w:rsidRPr="0007251E">
              <w:rPr>
                <w:rFonts w:ascii="Verdana" w:eastAsia="Times New Roman" w:hAnsi="Verdana" w:cs="Calibri"/>
                <w:color w:val="000000"/>
                <w:sz w:val="2"/>
                <w:szCs w:val="2"/>
                <w:lang w:val="pt-BR" w:eastAsia="en-GB"/>
              </w:rPr>
              <w:t xml:space="preserve"> </w:t>
            </w:r>
          </w:p>
        </w:tc>
        <w:tc>
          <w:tcPr>
            <w:tcW w:w="1638" w:type="dxa"/>
            <w:tcBorders>
              <w:top w:val="nil"/>
              <w:left w:val="single" w:sz="8" w:space="0" w:color="000000"/>
              <w:bottom w:val="nil"/>
              <w:right w:val="nil"/>
            </w:tcBorders>
            <w:shd w:val="clear" w:color="auto" w:fill="auto"/>
            <w:vAlign w:val="center"/>
            <w:hideMark/>
          </w:tcPr>
          <w:p w14:paraId="7D13B143" w14:textId="77777777" w:rsidR="0007251E" w:rsidRPr="0007251E" w:rsidRDefault="0007251E" w:rsidP="0007251E">
            <w:pPr>
              <w:jc w:val="right"/>
              <w:rPr>
                <w:rFonts w:ascii="Verdana" w:eastAsia="Times New Roman" w:hAnsi="Verdana" w:cs="Calibri"/>
                <w:b/>
                <w:bCs/>
                <w:color w:val="000000"/>
                <w:sz w:val="2"/>
                <w:szCs w:val="2"/>
                <w:lang w:val="en-GB" w:eastAsia="en-GB"/>
              </w:rPr>
            </w:pPr>
            <w:r w:rsidRPr="0007251E">
              <w:rPr>
                <w:rFonts w:ascii="Verdana" w:eastAsia="Times New Roman" w:hAnsi="Verdana" w:cs="Calibri"/>
                <w:b/>
                <w:bCs/>
                <w:color w:val="000000"/>
                <w:sz w:val="2"/>
                <w:szCs w:val="2"/>
                <w:lang w:val="pt-BR" w:eastAsia="en-GB"/>
              </w:rPr>
              <w:t xml:space="preserve"> </w:t>
            </w:r>
          </w:p>
        </w:tc>
      </w:tr>
      <w:tr w:rsidR="0007251E" w:rsidRPr="0007251E" w14:paraId="6DC3B730" w14:textId="77777777" w:rsidTr="00097018">
        <w:trPr>
          <w:trHeight w:val="117"/>
          <w:jc w:val="center"/>
        </w:trPr>
        <w:tc>
          <w:tcPr>
            <w:tcW w:w="6901" w:type="dxa"/>
            <w:tcBorders>
              <w:top w:val="nil"/>
              <w:left w:val="nil"/>
              <w:bottom w:val="nil"/>
              <w:right w:val="nil"/>
            </w:tcBorders>
            <w:shd w:val="clear" w:color="auto" w:fill="auto"/>
            <w:vAlign w:val="center"/>
            <w:hideMark/>
          </w:tcPr>
          <w:p w14:paraId="2CDFAD12" w14:textId="77777777" w:rsidR="0007251E" w:rsidRPr="0007251E" w:rsidRDefault="0007251E" w:rsidP="0007251E">
            <w:pPr>
              <w:rPr>
                <w:rFonts w:ascii="Verdana" w:eastAsia="Times New Roman" w:hAnsi="Verdana" w:cs="Calibri"/>
                <w:color w:val="000000"/>
                <w:sz w:val="16"/>
                <w:szCs w:val="16"/>
                <w:lang w:val="en-GB" w:eastAsia="en-GB"/>
              </w:rPr>
            </w:pPr>
            <w:r w:rsidRPr="0007251E">
              <w:rPr>
                <w:rFonts w:ascii="Verdana" w:eastAsia="Times New Roman" w:hAnsi="Verdana" w:cs="Calibri"/>
                <w:color w:val="000000"/>
                <w:sz w:val="16"/>
                <w:szCs w:val="16"/>
                <w:lang w:val="pt-BR" w:eastAsia="en-GB"/>
              </w:rPr>
              <w:t>Surplus or deficit on the provision of services</w:t>
            </w:r>
          </w:p>
        </w:tc>
        <w:tc>
          <w:tcPr>
            <w:tcW w:w="1776" w:type="dxa"/>
            <w:tcBorders>
              <w:top w:val="nil"/>
              <w:left w:val="single" w:sz="8" w:space="0" w:color="000000"/>
              <w:bottom w:val="nil"/>
              <w:right w:val="nil"/>
            </w:tcBorders>
            <w:shd w:val="clear" w:color="auto" w:fill="auto"/>
            <w:vAlign w:val="center"/>
            <w:hideMark/>
          </w:tcPr>
          <w:p w14:paraId="1BFF4EE7" w14:textId="77777777" w:rsidR="0007251E" w:rsidRPr="0007251E" w:rsidRDefault="0007251E" w:rsidP="0007251E">
            <w:pPr>
              <w:jc w:val="right"/>
              <w:rPr>
                <w:rFonts w:ascii="Verdana" w:eastAsia="Times New Roman" w:hAnsi="Verdana" w:cs="Calibri"/>
                <w:color w:val="000000"/>
                <w:sz w:val="16"/>
                <w:szCs w:val="16"/>
                <w:lang w:val="en-GB" w:eastAsia="en-GB"/>
              </w:rPr>
            </w:pPr>
            <w:r w:rsidRPr="0007251E">
              <w:rPr>
                <w:rFonts w:ascii="Verdana" w:eastAsia="Times New Roman" w:hAnsi="Verdana" w:cs="Calibri"/>
                <w:color w:val="000000"/>
                <w:sz w:val="16"/>
                <w:szCs w:val="16"/>
                <w:lang w:val="pt-BR" w:eastAsia="en-GB"/>
              </w:rPr>
              <w:t>68,528</w:t>
            </w:r>
          </w:p>
        </w:tc>
        <w:tc>
          <w:tcPr>
            <w:tcW w:w="1543" w:type="dxa"/>
            <w:tcBorders>
              <w:top w:val="nil"/>
              <w:left w:val="single" w:sz="8" w:space="0" w:color="000000"/>
              <w:bottom w:val="nil"/>
              <w:right w:val="single" w:sz="8" w:space="0" w:color="000000"/>
            </w:tcBorders>
            <w:shd w:val="clear" w:color="auto" w:fill="auto"/>
            <w:vAlign w:val="center"/>
            <w:hideMark/>
          </w:tcPr>
          <w:p w14:paraId="2C82B2B6" w14:textId="77777777" w:rsidR="0007251E" w:rsidRPr="0007251E" w:rsidRDefault="0007251E" w:rsidP="0007251E">
            <w:pPr>
              <w:jc w:val="right"/>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68,528</w:t>
            </w:r>
          </w:p>
        </w:tc>
        <w:tc>
          <w:tcPr>
            <w:tcW w:w="1496" w:type="dxa"/>
            <w:tcBorders>
              <w:top w:val="nil"/>
              <w:left w:val="nil"/>
              <w:bottom w:val="nil"/>
              <w:right w:val="nil"/>
            </w:tcBorders>
            <w:shd w:val="clear" w:color="auto" w:fill="auto"/>
            <w:noWrap/>
            <w:vAlign w:val="bottom"/>
            <w:hideMark/>
          </w:tcPr>
          <w:p w14:paraId="2D0EABD6" w14:textId="77777777" w:rsidR="0007251E" w:rsidRPr="0007251E" w:rsidRDefault="0007251E" w:rsidP="0007251E">
            <w:pPr>
              <w:jc w:val="right"/>
              <w:rPr>
                <w:rFonts w:ascii="Verdana" w:eastAsia="Times New Roman" w:hAnsi="Verdana" w:cs="Calibri"/>
                <w:b/>
                <w:bCs/>
                <w:color w:val="000000"/>
                <w:sz w:val="16"/>
                <w:szCs w:val="16"/>
                <w:lang w:val="en-GB" w:eastAsia="en-GB"/>
              </w:rPr>
            </w:pPr>
          </w:p>
        </w:tc>
        <w:tc>
          <w:tcPr>
            <w:tcW w:w="1638" w:type="dxa"/>
            <w:tcBorders>
              <w:top w:val="nil"/>
              <w:left w:val="single" w:sz="8" w:space="0" w:color="000000"/>
              <w:bottom w:val="nil"/>
              <w:right w:val="nil"/>
            </w:tcBorders>
            <w:shd w:val="clear" w:color="auto" w:fill="auto"/>
            <w:vAlign w:val="center"/>
            <w:hideMark/>
          </w:tcPr>
          <w:p w14:paraId="26E301AB" w14:textId="77777777" w:rsidR="0007251E" w:rsidRPr="0007251E" w:rsidRDefault="0007251E" w:rsidP="0007251E">
            <w:pPr>
              <w:jc w:val="right"/>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68,528</w:t>
            </w:r>
          </w:p>
        </w:tc>
      </w:tr>
      <w:tr w:rsidR="0007251E" w:rsidRPr="0007251E" w14:paraId="6B4C5384" w14:textId="77777777" w:rsidTr="00097018">
        <w:trPr>
          <w:trHeight w:val="348"/>
          <w:jc w:val="center"/>
        </w:trPr>
        <w:tc>
          <w:tcPr>
            <w:tcW w:w="6901" w:type="dxa"/>
            <w:tcBorders>
              <w:top w:val="nil"/>
              <w:left w:val="nil"/>
              <w:bottom w:val="single" w:sz="8" w:space="0" w:color="000000"/>
              <w:right w:val="nil"/>
            </w:tcBorders>
            <w:shd w:val="clear" w:color="auto" w:fill="auto"/>
            <w:vAlign w:val="center"/>
            <w:hideMark/>
          </w:tcPr>
          <w:p w14:paraId="0857A3E0" w14:textId="77777777" w:rsidR="0007251E" w:rsidRPr="0007251E" w:rsidRDefault="0007251E" w:rsidP="0007251E">
            <w:pPr>
              <w:rPr>
                <w:rFonts w:ascii="Verdana" w:eastAsia="Times New Roman" w:hAnsi="Verdana" w:cs="Calibri"/>
                <w:color w:val="000000"/>
                <w:sz w:val="16"/>
                <w:szCs w:val="16"/>
                <w:lang w:val="en-GB" w:eastAsia="en-GB"/>
              </w:rPr>
            </w:pPr>
            <w:r w:rsidRPr="0007251E">
              <w:rPr>
                <w:rFonts w:ascii="Verdana" w:eastAsia="Times New Roman" w:hAnsi="Verdana" w:cs="Calibri"/>
                <w:color w:val="000000"/>
                <w:sz w:val="16"/>
                <w:szCs w:val="16"/>
                <w:lang w:val="pt-BR" w:eastAsia="en-GB"/>
              </w:rPr>
              <w:t>Other Comprehensive Income / Expenditure</w:t>
            </w:r>
          </w:p>
        </w:tc>
        <w:tc>
          <w:tcPr>
            <w:tcW w:w="1776" w:type="dxa"/>
            <w:tcBorders>
              <w:top w:val="nil"/>
              <w:left w:val="single" w:sz="8" w:space="0" w:color="000000"/>
              <w:bottom w:val="single" w:sz="8" w:space="0" w:color="000000"/>
              <w:right w:val="nil"/>
            </w:tcBorders>
            <w:shd w:val="clear" w:color="auto" w:fill="auto"/>
            <w:vAlign w:val="center"/>
            <w:hideMark/>
          </w:tcPr>
          <w:p w14:paraId="25369088" w14:textId="77777777" w:rsidR="0007251E" w:rsidRPr="0007251E" w:rsidRDefault="0007251E" w:rsidP="0007251E">
            <w:pPr>
              <w:jc w:val="right"/>
              <w:rPr>
                <w:rFonts w:ascii="Verdana" w:eastAsia="Times New Roman" w:hAnsi="Verdana" w:cs="Calibri"/>
                <w:color w:val="000000"/>
                <w:sz w:val="2"/>
                <w:szCs w:val="2"/>
                <w:lang w:val="en-GB" w:eastAsia="en-GB"/>
              </w:rPr>
            </w:pPr>
            <w:r w:rsidRPr="0007251E">
              <w:rPr>
                <w:rFonts w:ascii="Verdana" w:eastAsia="Times New Roman" w:hAnsi="Verdana" w:cs="Calibri"/>
                <w:color w:val="000000"/>
                <w:sz w:val="2"/>
                <w:szCs w:val="2"/>
                <w:lang w:val="pt-BR" w:eastAsia="en-GB"/>
              </w:rPr>
              <w:t> </w:t>
            </w:r>
          </w:p>
        </w:tc>
        <w:tc>
          <w:tcPr>
            <w:tcW w:w="1543" w:type="dxa"/>
            <w:tcBorders>
              <w:top w:val="nil"/>
              <w:left w:val="single" w:sz="8" w:space="0" w:color="000000"/>
              <w:bottom w:val="single" w:sz="8" w:space="0" w:color="000000"/>
              <w:right w:val="single" w:sz="8" w:space="0" w:color="000000"/>
            </w:tcBorders>
            <w:shd w:val="clear" w:color="auto" w:fill="auto"/>
            <w:vAlign w:val="center"/>
            <w:hideMark/>
          </w:tcPr>
          <w:p w14:paraId="3953882D" w14:textId="77777777" w:rsidR="0007251E" w:rsidRPr="0007251E" w:rsidRDefault="0007251E" w:rsidP="0007251E">
            <w:pPr>
              <w:jc w:val="right"/>
              <w:rPr>
                <w:rFonts w:ascii="Verdana" w:eastAsia="Times New Roman" w:hAnsi="Verdana" w:cs="Calibri"/>
                <w:b/>
                <w:bCs/>
                <w:color w:val="000000"/>
                <w:sz w:val="2"/>
                <w:szCs w:val="2"/>
                <w:lang w:val="en-GB" w:eastAsia="en-GB"/>
              </w:rPr>
            </w:pPr>
            <w:r w:rsidRPr="0007251E">
              <w:rPr>
                <w:rFonts w:ascii="Verdana" w:eastAsia="Times New Roman" w:hAnsi="Verdana" w:cs="Calibri"/>
                <w:b/>
                <w:bCs/>
                <w:color w:val="000000"/>
                <w:sz w:val="2"/>
                <w:szCs w:val="2"/>
                <w:lang w:val="pt-BR" w:eastAsia="en-GB"/>
              </w:rPr>
              <w:t> </w:t>
            </w:r>
          </w:p>
        </w:tc>
        <w:tc>
          <w:tcPr>
            <w:tcW w:w="1496" w:type="dxa"/>
            <w:tcBorders>
              <w:top w:val="nil"/>
              <w:left w:val="nil"/>
              <w:bottom w:val="single" w:sz="8" w:space="0" w:color="000000"/>
              <w:right w:val="single" w:sz="8" w:space="0" w:color="000000"/>
            </w:tcBorders>
            <w:shd w:val="clear" w:color="auto" w:fill="auto"/>
            <w:vAlign w:val="center"/>
            <w:hideMark/>
          </w:tcPr>
          <w:p w14:paraId="549BE6DC" w14:textId="77777777" w:rsidR="0007251E" w:rsidRPr="0007251E" w:rsidRDefault="0007251E" w:rsidP="0007251E">
            <w:pPr>
              <w:jc w:val="right"/>
              <w:rPr>
                <w:rFonts w:ascii="Verdana" w:eastAsia="Times New Roman" w:hAnsi="Verdana" w:cs="Calibri"/>
                <w:color w:val="000000"/>
                <w:sz w:val="16"/>
                <w:szCs w:val="16"/>
                <w:lang w:val="en-GB" w:eastAsia="en-GB"/>
              </w:rPr>
            </w:pPr>
            <w:r w:rsidRPr="0007251E">
              <w:rPr>
                <w:rFonts w:ascii="Verdana" w:eastAsia="Times New Roman" w:hAnsi="Verdana" w:cs="Calibri"/>
                <w:color w:val="000000"/>
                <w:sz w:val="16"/>
                <w:szCs w:val="16"/>
                <w:lang w:val="pt-BR" w:eastAsia="en-GB"/>
              </w:rPr>
              <w:t>79,860</w:t>
            </w:r>
          </w:p>
        </w:tc>
        <w:tc>
          <w:tcPr>
            <w:tcW w:w="1638" w:type="dxa"/>
            <w:tcBorders>
              <w:top w:val="nil"/>
              <w:left w:val="nil"/>
              <w:bottom w:val="single" w:sz="8" w:space="0" w:color="000000"/>
              <w:right w:val="nil"/>
            </w:tcBorders>
            <w:shd w:val="clear" w:color="auto" w:fill="auto"/>
            <w:vAlign w:val="center"/>
            <w:hideMark/>
          </w:tcPr>
          <w:p w14:paraId="7BF46ED1" w14:textId="77777777" w:rsidR="0007251E" w:rsidRPr="0007251E" w:rsidRDefault="0007251E" w:rsidP="0007251E">
            <w:pPr>
              <w:jc w:val="right"/>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79,860</w:t>
            </w:r>
          </w:p>
        </w:tc>
      </w:tr>
      <w:tr w:rsidR="0007251E" w:rsidRPr="0007251E" w14:paraId="495F1539" w14:textId="77777777" w:rsidTr="00097018">
        <w:trPr>
          <w:trHeight w:val="320"/>
          <w:jc w:val="center"/>
        </w:trPr>
        <w:tc>
          <w:tcPr>
            <w:tcW w:w="6901" w:type="dxa"/>
            <w:tcBorders>
              <w:top w:val="nil"/>
              <w:left w:val="nil"/>
              <w:bottom w:val="nil"/>
              <w:right w:val="nil"/>
            </w:tcBorders>
            <w:shd w:val="clear" w:color="auto" w:fill="auto"/>
            <w:vAlign w:val="center"/>
            <w:hideMark/>
          </w:tcPr>
          <w:p w14:paraId="6A2CD813" w14:textId="77777777" w:rsidR="0007251E" w:rsidRPr="0007251E" w:rsidRDefault="0007251E" w:rsidP="0007251E">
            <w:pPr>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Total Comprehensive Income and Expenditure</w:t>
            </w:r>
          </w:p>
        </w:tc>
        <w:tc>
          <w:tcPr>
            <w:tcW w:w="1776" w:type="dxa"/>
            <w:tcBorders>
              <w:top w:val="nil"/>
              <w:left w:val="single" w:sz="8" w:space="0" w:color="000000"/>
              <w:bottom w:val="nil"/>
              <w:right w:val="nil"/>
            </w:tcBorders>
            <w:shd w:val="clear" w:color="auto" w:fill="auto"/>
            <w:vAlign w:val="center"/>
            <w:hideMark/>
          </w:tcPr>
          <w:p w14:paraId="556A4B1C" w14:textId="77777777" w:rsidR="0007251E" w:rsidRPr="0007251E" w:rsidRDefault="0007251E" w:rsidP="0007251E">
            <w:pPr>
              <w:jc w:val="right"/>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68,528</w:t>
            </w:r>
          </w:p>
        </w:tc>
        <w:tc>
          <w:tcPr>
            <w:tcW w:w="1543" w:type="dxa"/>
            <w:tcBorders>
              <w:top w:val="nil"/>
              <w:left w:val="single" w:sz="8" w:space="0" w:color="000000"/>
              <w:bottom w:val="nil"/>
              <w:right w:val="single" w:sz="8" w:space="0" w:color="000000"/>
            </w:tcBorders>
            <w:shd w:val="clear" w:color="auto" w:fill="auto"/>
            <w:vAlign w:val="center"/>
            <w:hideMark/>
          </w:tcPr>
          <w:p w14:paraId="69D054D3" w14:textId="77777777" w:rsidR="0007251E" w:rsidRPr="0007251E" w:rsidRDefault="0007251E" w:rsidP="0007251E">
            <w:pPr>
              <w:jc w:val="right"/>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68,528</w:t>
            </w:r>
          </w:p>
        </w:tc>
        <w:tc>
          <w:tcPr>
            <w:tcW w:w="1496" w:type="dxa"/>
            <w:tcBorders>
              <w:top w:val="nil"/>
              <w:left w:val="nil"/>
              <w:bottom w:val="nil"/>
              <w:right w:val="single" w:sz="8" w:space="0" w:color="000000"/>
            </w:tcBorders>
            <w:shd w:val="clear" w:color="auto" w:fill="auto"/>
            <w:vAlign w:val="center"/>
            <w:hideMark/>
          </w:tcPr>
          <w:p w14:paraId="785312D1" w14:textId="77777777" w:rsidR="0007251E" w:rsidRPr="0007251E" w:rsidRDefault="0007251E" w:rsidP="0007251E">
            <w:pPr>
              <w:jc w:val="right"/>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79,860</w:t>
            </w:r>
          </w:p>
        </w:tc>
        <w:tc>
          <w:tcPr>
            <w:tcW w:w="1638" w:type="dxa"/>
            <w:tcBorders>
              <w:top w:val="nil"/>
              <w:left w:val="nil"/>
              <w:bottom w:val="nil"/>
              <w:right w:val="nil"/>
            </w:tcBorders>
            <w:shd w:val="clear" w:color="auto" w:fill="auto"/>
            <w:vAlign w:val="center"/>
            <w:hideMark/>
          </w:tcPr>
          <w:p w14:paraId="2605D8E8" w14:textId="77777777" w:rsidR="0007251E" w:rsidRPr="0007251E" w:rsidRDefault="0007251E" w:rsidP="0007251E">
            <w:pPr>
              <w:jc w:val="right"/>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148,388</w:t>
            </w:r>
          </w:p>
        </w:tc>
      </w:tr>
      <w:tr w:rsidR="0007251E" w:rsidRPr="0007251E" w14:paraId="05375F6C" w14:textId="77777777" w:rsidTr="00097018">
        <w:trPr>
          <w:trHeight w:val="74"/>
          <w:jc w:val="center"/>
        </w:trPr>
        <w:tc>
          <w:tcPr>
            <w:tcW w:w="6901" w:type="dxa"/>
            <w:tcBorders>
              <w:top w:val="nil"/>
              <w:left w:val="nil"/>
              <w:bottom w:val="single" w:sz="8" w:space="0" w:color="auto"/>
              <w:right w:val="nil"/>
            </w:tcBorders>
            <w:shd w:val="clear" w:color="auto" w:fill="auto"/>
            <w:vAlign w:val="center"/>
            <w:hideMark/>
          </w:tcPr>
          <w:p w14:paraId="5FBDF67C" w14:textId="77777777" w:rsidR="0007251E" w:rsidRPr="0007251E" w:rsidRDefault="0007251E" w:rsidP="0007251E">
            <w:pPr>
              <w:rPr>
                <w:rFonts w:ascii="Verdana" w:eastAsia="Times New Roman" w:hAnsi="Verdana" w:cs="Calibri"/>
                <w:color w:val="000000"/>
                <w:sz w:val="16"/>
                <w:szCs w:val="16"/>
                <w:lang w:val="en-GB" w:eastAsia="en-GB"/>
              </w:rPr>
            </w:pPr>
            <w:r w:rsidRPr="0007251E">
              <w:rPr>
                <w:rFonts w:ascii="Verdana" w:eastAsia="Times New Roman" w:hAnsi="Verdana" w:cs="Calibri"/>
                <w:color w:val="000000"/>
                <w:sz w:val="16"/>
                <w:szCs w:val="16"/>
                <w:lang w:val="pt-BR" w:eastAsia="en-GB"/>
              </w:rPr>
              <w:t>Adjustments between accounting basis and funding basis under regulations</w:t>
            </w:r>
          </w:p>
        </w:tc>
        <w:tc>
          <w:tcPr>
            <w:tcW w:w="1776" w:type="dxa"/>
            <w:tcBorders>
              <w:top w:val="nil"/>
              <w:left w:val="single" w:sz="8" w:space="0" w:color="000000"/>
              <w:bottom w:val="single" w:sz="8" w:space="0" w:color="000000"/>
              <w:right w:val="single" w:sz="8" w:space="0" w:color="000000"/>
            </w:tcBorders>
            <w:shd w:val="clear" w:color="auto" w:fill="auto"/>
            <w:vAlign w:val="center"/>
            <w:hideMark/>
          </w:tcPr>
          <w:p w14:paraId="15A5D787" w14:textId="77777777" w:rsidR="0007251E" w:rsidRPr="0007251E" w:rsidRDefault="0007251E" w:rsidP="0007251E">
            <w:pPr>
              <w:jc w:val="right"/>
              <w:rPr>
                <w:rFonts w:ascii="Verdana" w:eastAsia="Times New Roman" w:hAnsi="Verdana" w:cs="Calibri"/>
                <w:color w:val="000000"/>
                <w:sz w:val="16"/>
                <w:szCs w:val="16"/>
                <w:lang w:val="en-GB" w:eastAsia="en-GB"/>
              </w:rPr>
            </w:pPr>
            <w:r w:rsidRPr="0007251E">
              <w:rPr>
                <w:rFonts w:ascii="Verdana" w:eastAsia="Times New Roman" w:hAnsi="Verdana" w:cs="Calibri"/>
                <w:color w:val="000000"/>
                <w:sz w:val="16"/>
                <w:szCs w:val="16"/>
                <w:lang w:val="pt-BR" w:eastAsia="en-GB"/>
              </w:rPr>
              <w:t>(68,528)</w:t>
            </w:r>
          </w:p>
        </w:tc>
        <w:tc>
          <w:tcPr>
            <w:tcW w:w="1543" w:type="dxa"/>
            <w:tcBorders>
              <w:top w:val="nil"/>
              <w:left w:val="nil"/>
              <w:bottom w:val="single" w:sz="8" w:space="0" w:color="auto"/>
              <w:right w:val="single" w:sz="8" w:space="0" w:color="000000"/>
            </w:tcBorders>
            <w:shd w:val="clear" w:color="auto" w:fill="auto"/>
            <w:vAlign w:val="center"/>
            <w:hideMark/>
          </w:tcPr>
          <w:p w14:paraId="164A1FC6" w14:textId="77777777" w:rsidR="0007251E" w:rsidRPr="0007251E" w:rsidRDefault="0007251E" w:rsidP="0007251E">
            <w:pPr>
              <w:jc w:val="right"/>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(68,528)</w:t>
            </w:r>
          </w:p>
        </w:tc>
        <w:tc>
          <w:tcPr>
            <w:tcW w:w="1496" w:type="dxa"/>
            <w:tcBorders>
              <w:top w:val="nil"/>
              <w:left w:val="nil"/>
              <w:bottom w:val="single" w:sz="8" w:space="0" w:color="auto"/>
              <w:right w:val="nil"/>
            </w:tcBorders>
            <w:shd w:val="clear" w:color="auto" w:fill="auto"/>
            <w:vAlign w:val="center"/>
            <w:hideMark/>
          </w:tcPr>
          <w:p w14:paraId="34B1BE94" w14:textId="726C577D" w:rsidR="0007251E" w:rsidRPr="0007251E" w:rsidRDefault="0007251E" w:rsidP="0007251E">
            <w:pPr>
              <w:jc w:val="right"/>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68</w:t>
            </w:r>
            <w:r w:rsidR="00D13699">
              <w:rPr>
                <w:rFonts w:ascii="Verdana" w:eastAsia="Times New Roman" w:hAnsi="Verdana" w:cs="Calibri"/>
                <w:b/>
                <w:bCs/>
                <w:color w:val="000000"/>
                <w:sz w:val="16"/>
                <w:szCs w:val="16"/>
                <w:lang w:val="pt-BR" w:eastAsia="en-GB"/>
              </w:rPr>
              <w:t>,</w:t>
            </w:r>
            <w:r w:rsidRPr="0007251E">
              <w:rPr>
                <w:rFonts w:ascii="Verdana" w:eastAsia="Times New Roman" w:hAnsi="Verdana" w:cs="Calibri"/>
                <w:b/>
                <w:bCs/>
                <w:color w:val="000000"/>
                <w:sz w:val="16"/>
                <w:szCs w:val="16"/>
                <w:lang w:val="pt-BR" w:eastAsia="en-GB"/>
              </w:rPr>
              <w:t>528</w:t>
            </w:r>
          </w:p>
        </w:tc>
        <w:tc>
          <w:tcPr>
            <w:tcW w:w="1638" w:type="dxa"/>
            <w:tcBorders>
              <w:top w:val="nil"/>
              <w:left w:val="single" w:sz="8" w:space="0" w:color="000000"/>
              <w:bottom w:val="single" w:sz="8" w:space="0" w:color="auto"/>
              <w:right w:val="nil"/>
            </w:tcBorders>
            <w:shd w:val="clear" w:color="auto" w:fill="auto"/>
            <w:vAlign w:val="center"/>
            <w:hideMark/>
          </w:tcPr>
          <w:p w14:paraId="21E910D4" w14:textId="77777777" w:rsidR="0007251E" w:rsidRPr="0007251E" w:rsidRDefault="0007251E" w:rsidP="0007251E">
            <w:pPr>
              <w:jc w:val="right"/>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0</w:t>
            </w:r>
          </w:p>
        </w:tc>
      </w:tr>
      <w:tr w:rsidR="0007251E" w:rsidRPr="0007251E" w14:paraId="49632BD0" w14:textId="77777777" w:rsidTr="00097018">
        <w:trPr>
          <w:trHeight w:val="336"/>
          <w:jc w:val="center"/>
        </w:trPr>
        <w:tc>
          <w:tcPr>
            <w:tcW w:w="6901" w:type="dxa"/>
            <w:tcBorders>
              <w:top w:val="nil"/>
              <w:left w:val="nil"/>
              <w:bottom w:val="single" w:sz="8" w:space="0" w:color="auto"/>
              <w:right w:val="nil"/>
            </w:tcBorders>
            <w:shd w:val="clear" w:color="auto" w:fill="auto"/>
            <w:vAlign w:val="center"/>
            <w:hideMark/>
          </w:tcPr>
          <w:p w14:paraId="385473DF" w14:textId="77777777" w:rsidR="0007251E" w:rsidRPr="0007251E" w:rsidRDefault="0007251E" w:rsidP="0007251E">
            <w:pPr>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Increase or Decrease in 2020/21</w:t>
            </w:r>
          </w:p>
        </w:tc>
        <w:tc>
          <w:tcPr>
            <w:tcW w:w="1776" w:type="dxa"/>
            <w:tcBorders>
              <w:top w:val="nil"/>
              <w:left w:val="single" w:sz="8" w:space="0" w:color="000000"/>
              <w:bottom w:val="single" w:sz="8" w:space="0" w:color="auto"/>
              <w:right w:val="nil"/>
            </w:tcBorders>
            <w:shd w:val="clear" w:color="auto" w:fill="auto"/>
            <w:vAlign w:val="center"/>
            <w:hideMark/>
          </w:tcPr>
          <w:p w14:paraId="1AEE1059" w14:textId="77777777" w:rsidR="0007251E" w:rsidRPr="0007251E" w:rsidRDefault="0007251E" w:rsidP="0007251E">
            <w:pPr>
              <w:jc w:val="right"/>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0</w:t>
            </w:r>
          </w:p>
        </w:tc>
        <w:tc>
          <w:tcPr>
            <w:tcW w:w="1543" w:type="dxa"/>
            <w:tcBorders>
              <w:top w:val="nil"/>
              <w:left w:val="single" w:sz="8" w:space="0" w:color="000000"/>
              <w:bottom w:val="single" w:sz="8" w:space="0" w:color="auto"/>
              <w:right w:val="nil"/>
            </w:tcBorders>
            <w:shd w:val="clear" w:color="auto" w:fill="auto"/>
            <w:vAlign w:val="center"/>
            <w:hideMark/>
          </w:tcPr>
          <w:p w14:paraId="39F5F41C" w14:textId="77777777" w:rsidR="0007251E" w:rsidRPr="0007251E" w:rsidRDefault="0007251E" w:rsidP="0007251E">
            <w:pPr>
              <w:jc w:val="right"/>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0</w:t>
            </w:r>
          </w:p>
        </w:tc>
        <w:tc>
          <w:tcPr>
            <w:tcW w:w="1496" w:type="dxa"/>
            <w:tcBorders>
              <w:top w:val="nil"/>
              <w:left w:val="single" w:sz="8" w:space="0" w:color="000000"/>
              <w:bottom w:val="single" w:sz="8" w:space="0" w:color="auto"/>
              <w:right w:val="nil"/>
            </w:tcBorders>
            <w:shd w:val="clear" w:color="auto" w:fill="auto"/>
            <w:vAlign w:val="center"/>
            <w:hideMark/>
          </w:tcPr>
          <w:p w14:paraId="2BA29E7B" w14:textId="77777777" w:rsidR="0007251E" w:rsidRPr="0007251E" w:rsidRDefault="0007251E" w:rsidP="0007251E">
            <w:pPr>
              <w:jc w:val="right"/>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148,388</w:t>
            </w:r>
          </w:p>
        </w:tc>
        <w:tc>
          <w:tcPr>
            <w:tcW w:w="1638" w:type="dxa"/>
            <w:tcBorders>
              <w:top w:val="nil"/>
              <w:left w:val="single" w:sz="8" w:space="0" w:color="000000"/>
              <w:bottom w:val="single" w:sz="8" w:space="0" w:color="auto"/>
              <w:right w:val="nil"/>
            </w:tcBorders>
            <w:shd w:val="clear" w:color="auto" w:fill="auto"/>
            <w:vAlign w:val="center"/>
            <w:hideMark/>
          </w:tcPr>
          <w:p w14:paraId="18A69307" w14:textId="77777777" w:rsidR="0007251E" w:rsidRPr="0007251E" w:rsidRDefault="0007251E" w:rsidP="0007251E">
            <w:pPr>
              <w:jc w:val="right"/>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148,388</w:t>
            </w:r>
          </w:p>
        </w:tc>
      </w:tr>
      <w:tr w:rsidR="0007251E" w:rsidRPr="0007251E" w14:paraId="5E948BA8" w14:textId="77777777" w:rsidTr="00097018">
        <w:trPr>
          <w:trHeight w:val="336"/>
          <w:jc w:val="center"/>
        </w:trPr>
        <w:tc>
          <w:tcPr>
            <w:tcW w:w="6901" w:type="dxa"/>
            <w:tcBorders>
              <w:top w:val="single" w:sz="8" w:space="0" w:color="auto"/>
              <w:left w:val="nil"/>
              <w:bottom w:val="single" w:sz="4" w:space="0" w:color="auto"/>
              <w:right w:val="nil"/>
            </w:tcBorders>
            <w:shd w:val="clear" w:color="auto" w:fill="auto"/>
            <w:vAlign w:val="center"/>
            <w:hideMark/>
          </w:tcPr>
          <w:p w14:paraId="7C94B435" w14:textId="77777777" w:rsidR="0007251E" w:rsidRPr="0007251E" w:rsidRDefault="0007251E" w:rsidP="0007251E">
            <w:pPr>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Balance at 31 March 2021</w:t>
            </w:r>
          </w:p>
        </w:tc>
        <w:tc>
          <w:tcPr>
            <w:tcW w:w="1776" w:type="dxa"/>
            <w:tcBorders>
              <w:top w:val="single" w:sz="8" w:space="0" w:color="auto"/>
              <w:left w:val="single" w:sz="8" w:space="0" w:color="000000"/>
              <w:bottom w:val="single" w:sz="4" w:space="0" w:color="auto"/>
              <w:right w:val="nil"/>
            </w:tcBorders>
            <w:shd w:val="clear" w:color="auto" w:fill="auto"/>
            <w:vAlign w:val="center"/>
            <w:hideMark/>
          </w:tcPr>
          <w:p w14:paraId="6FD259CD" w14:textId="77777777" w:rsidR="0007251E" w:rsidRPr="0007251E" w:rsidRDefault="0007251E" w:rsidP="0007251E">
            <w:pPr>
              <w:jc w:val="right"/>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0</w:t>
            </w:r>
          </w:p>
        </w:tc>
        <w:tc>
          <w:tcPr>
            <w:tcW w:w="1543" w:type="dxa"/>
            <w:tcBorders>
              <w:top w:val="single" w:sz="8" w:space="0" w:color="auto"/>
              <w:left w:val="single" w:sz="8" w:space="0" w:color="000000"/>
              <w:bottom w:val="single" w:sz="4" w:space="0" w:color="auto"/>
              <w:right w:val="nil"/>
            </w:tcBorders>
            <w:shd w:val="clear" w:color="auto" w:fill="auto"/>
            <w:vAlign w:val="center"/>
            <w:hideMark/>
          </w:tcPr>
          <w:p w14:paraId="73CBF3BF" w14:textId="77777777" w:rsidR="0007251E" w:rsidRPr="0007251E" w:rsidRDefault="0007251E" w:rsidP="0007251E">
            <w:pPr>
              <w:jc w:val="right"/>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0</w:t>
            </w:r>
          </w:p>
        </w:tc>
        <w:tc>
          <w:tcPr>
            <w:tcW w:w="1496" w:type="dxa"/>
            <w:tcBorders>
              <w:top w:val="single" w:sz="8" w:space="0" w:color="auto"/>
              <w:left w:val="single" w:sz="8" w:space="0" w:color="000000"/>
              <w:bottom w:val="single" w:sz="4" w:space="0" w:color="auto"/>
              <w:right w:val="nil"/>
            </w:tcBorders>
            <w:shd w:val="clear" w:color="auto" w:fill="auto"/>
            <w:vAlign w:val="center"/>
            <w:hideMark/>
          </w:tcPr>
          <w:p w14:paraId="7252E457" w14:textId="77777777" w:rsidR="0007251E" w:rsidRPr="0007251E" w:rsidRDefault="0007251E" w:rsidP="0007251E">
            <w:pPr>
              <w:jc w:val="right"/>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2,175,996</w:t>
            </w:r>
          </w:p>
        </w:tc>
        <w:tc>
          <w:tcPr>
            <w:tcW w:w="1638" w:type="dxa"/>
            <w:tcBorders>
              <w:top w:val="single" w:sz="8" w:space="0" w:color="auto"/>
              <w:left w:val="single" w:sz="8" w:space="0" w:color="000000"/>
              <w:bottom w:val="single" w:sz="4" w:space="0" w:color="auto"/>
              <w:right w:val="nil"/>
            </w:tcBorders>
            <w:shd w:val="clear" w:color="auto" w:fill="auto"/>
            <w:vAlign w:val="center"/>
            <w:hideMark/>
          </w:tcPr>
          <w:p w14:paraId="710EC47B" w14:textId="77777777" w:rsidR="0007251E" w:rsidRPr="0007251E" w:rsidRDefault="0007251E" w:rsidP="0007251E">
            <w:pPr>
              <w:jc w:val="right"/>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2,175,996</w:t>
            </w:r>
          </w:p>
        </w:tc>
      </w:tr>
      <w:tr w:rsidR="0007251E" w:rsidRPr="0007251E" w14:paraId="565DC9E3" w14:textId="77777777" w:rsidTr="00097018">
        <w:trPr>
          <w:trHeight w:val="74"/>
          <w:jc w:val="center"/>
        </w:trPr>
        <w:tc>
          <w:tcPr>
            <w:tcW w:w="6901" w:type="dxa"/>
            <w:tcBorders>
              <w:top w:val="single" w:sz="4" w:space="0" w:color="auto"/>
              <w:left w:val="nil"/>
              <w:bottom w:val="nil"/>
              <w:right w:val="nil"/>
            </w:tcBorders>
            <w:shd w:val="clear" w:color="auto" w:fill="auto"/>
            <w:vAlign w:val="center"/>
            <w:hideMark/>
          </w:tcPr>
          <w:p w14:paraId="106042AD" w14:textId="77777777" w:rsidR="0007251E" w:rsidRPr="0007251E" w:rsidRDefault="0007251E" w:rsidP="0007251E">
            <w:pPr>
              <w:jc w:val="center"/>
              <w:rPr>
                <w:rFonts w:ascii="Verdana" w:eastAsia="Times New Roman" w:hAnsi="Verdana" w:cs="Calibri"/>
                <w:b/>
                <w:bCs/>
                <w:color w:val="000000"/>
                <w:sz w:val="2"/>
                <w:szCs w:val="2"/>
                <w:lang w:val="en-GB" w:eastAsia="en-GB"/>
              </w:rPr>
            </w:pPr>
            <w:r w:rsidRPr="0007251E">
              <w:rPr>
                <w:rFonts w:ascii="Verdana" w:eastAsia="Times New Roman" w:hAnsi="Verdana" w:cs="Calibri"/>
                <w:b/>
                <w:bCs/>
                <w:color w:val="000000"/>
                <w:sz w:val="2"/>
                <w:szCs w:val="2"/>
                <w:lang w:val="en-GB" w:eastAsia="en-GB"/>
              </w:rPr>
              <w:t xml:space="preserve"> </w:t>
            </w:r>
          </w:p>
        </w:tc>
        <w:tc>
          <w:tcPr>
            <w:tcW w:w="1776" w:type="dxa"/>
            <w:tcBorders>
              <w:top w:val="single" w:sz="4" w:space="0" w:color="auto"/>
              <w:left w:val="nil"/>
              <w:bottom w:val="nil"/>
              <w:right w:val="nil"/>
            </w:tcBorders>
            <w:shd w:val="clear" w:color="auto" w:fill="auto"/>
            <w:vAlign w:val="center"/>
            <w:hideMark/>
          </w:tcPr>
          <w:p w14:paraId="665C5F2B" w14:textId="77777777" w:rsidR="00097018" w:rsidRDefault="00097018" w:rsidP="0007251E">
            <w:pPr>
              <w:jc w:val="center"/>
              <w:rPr>
                <w:rFonts w:ascii="Verdana" w:eastAsia="Times New Roman" w:hAnsi="Verdana" w:cs="Calibri"/>
                <w:b/>
                <w:bCs/>
                <w:color w:val="000000"/>
                <w:sz w:val="16"/>
                <w:szCs w:val="16"/>
                <w:lang w:val="pt-BR" w:eastAsia="en-GB"/>
              </w:rPr>
            </w:pPr>
          </w:p>
          <w:p w14:paraId="57EA9B39" w14:textId="77777777" w:rsidR="0007251E" w:rsidRPr="0007251E" w:rsidRDefault="0007251E" w:rsidP="0007251E">
            <w:pPr>
              <w:jc w:val="center"/>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General Fund Balance</w:t>
            </w:r>
          </w:p>
        </w:tc>
        <w:tc>
          <w:tcPr>
            <w:tcW w:w="1543" w:type="dxa"/>
            <w:tcBorders>
              <w:top w:val="single" w:sz="4" w:space="0" w:color="auto"/>
              <w:left w:val="nil"/>
              <w:bottom w:val="nil"/>
              <w:right w:val="nil"/>
            </w:tcBorders>
            <w:shd w:val="clear" w:color="auto" w:fill="auto"/>
            <w:vAlign w:val="center"/>
            <w:hideMark/>
          </w:tcPr>
          <w:p w14:paraId="4BECA0D5" w14:textId="77777777" w:rsidR="00097018" w:rsidRDefault="00097018" w:rsidP="0007251E">
            <w:pPr>
              <w:jc w:val="center"/>
              <w:rPr>
                <w:rFonts w:ascii="Verdana" w:eastAsia="Times New Roman" w:hAnsi="Verdana" w:cs="Calibri"/>
                <w:b/>
                <w:bCs/>
                <w:color w:val="000000"/>
                <w:sz w:val="16"/>
                <w:szCs w:val="16"/>
                <w:lang w:val="pt-BR" w:eastAsia="en-GB"/>
              </w:rPr>
            </w:pPr>
          </w:p>
          <w:p w14:paraId="5E51B245" w14:textId="77777777" w:rsidR="0007251E" w:rsidRPr="0007251E" w:rsidRDefault="0007251E" w:rsidP="0007251E">
            <w:pPr>
              <w:jc w:val="center"/>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Total Usable Reserves</w:t>
            </w:r>
          </w:p>
        </w:tc>
        <w:tc>
          <w:tcPr>
            <w:tcW w:w="1496" w:type="dxa"/>
            <w:tcBorders>
              <w:top w:val="single" w:sz="4" w:space="0" w:color="auto"/>
              <w:left w:val="nil"/>
              <w:bottom w:val="nil"/>
              <w:right w:val="nil"/>
            </w:tcBorders>
            <w:shd w:val="clear" w:color="auto" w:fill="auto"/>
            <w:vAlign w:val="center"/>
            <w:hideMark/>
          </w:tcPr>
          <w:p w14:paraId="4FE2DC00" w14:textId="77777777" w:rsidR="00097018" w:rsidRDefault="00097018" w:rsidP="0007251E">
            <w:pPr>
              <w:jc w:val="center"/>
              <w:rPr>
                <w:rFonts w:ascii="Verdana" w:eastAsia="Times New Roman" w:hAnsi="Verdana" w:cs="Calibri"/>
                <w:b/>
                <w:bCs/>
                <w:color w:val="000000"/>
                <w:sz w:val="16"/>
                <w:szCs w:val="16"/>
                <w:lang w:val="pt-BR" w:eastAsia="en-GB"/>
              </w:rPr>
            </w:pPr>
          </w:p>
          <w:p w14:paraId="7F30F5BA" w14:textId="77777777" w:rsidR="0007251E" w:rsidRPr="0007251E" w:rsidRDefault="0007251E" w:rsidP="0007251E">
            <w:pPr>
              <w:jc w:val="center"/>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Unusable Reserves</w:t>
            </w:r>
          </w:p>
        </w:tc>
        <w:tc>
          <w:tcPr>
            <w:tcW w:w="1638" w:type="dxa"/>
            <w:tcBorders>
              <w:top w:val="single" w:sz="4" w:space="0" w:color="auto"/>
              <w:left w:val="nil"/>
              <w:bottom w:val="nil"/>
              <w:right w:val="nil"/>
            </w:tcBorders>
            <w:shd w:val="clear" w:color="auto" w:fill="auto"/>
            <w:vAlign w:val="center"/>
            <w:hideMark/>
          </w:tcPr>
          <w:p w14:paraId="4D1ED6EC" w14:textId="77777777" w:rsidR="00097018" w:rsidRDefault="00097018" w:rsidP="0007251E">
            <w:pPr>
              <w:jc w:val="center"/>
              <w:rPr>
                <w:rFonts w:ascii="Verdana" w:eastAsia="Times New Roman" w:hAnsi="Verdana" w:cs="Calibri"/>
                <w:b/>
                <w:bCs/>
                <w:color w:val="000000"/>
                <w:sz w:val="16"/>
                <w:szCs w:val="16"/>
                <w:lang w:val="pt-BR" w:eastAsia="en-GB"/>
              </w:rPr>
            </w:pPr>
          </w:p>
          <w:p w14:paraId="144FD9A8" w14:textId="77777777" w:rsidR="0007251E" w:rsidRPr="0007251E" w:rsidRDefault="0007251E" w:rsidP="0007251E">
            <w:pPr>
              <w:jc w:val="center"/>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Total Reserves</w:t>
            </w:r>
          </w:p>
        </w:tc>
      </w:tr>
      <w:tr w:rsidR="0007251E" w:rsidRPr="0007251E" w14:paraId="690C6BD3" w14:textId="77777777" w:rsidTr="00097018">
        <w:trPr>
          <w:trHeight w:val="336"/>
          <w:jc w:val="center"/>
        </w:trPr>
        <w:tc>
          <w:tcPr>
            <w:tcW w:w="6901" w:type="dxa"/>
            <w:tcBorders>
              <w:top w:val="nil"/>
              <w:left w:val="nil"/>
              <w:bottom w:val="single" w:sz="8" w:space="0" w:color="000000"/>
              <w:right w:val="nil"/>
            </w:tcBorders>
            <w:shd w:val="clear" w:color="auto" w:fill="auto"/>
            <w:vAlign w:val="center"/>
            <w:hideMark/>
          </w:tcPr>
          <w:p w14:paraId="6716EAB8" w14:textId="77777777" w:rsidR="0007251E" w:rsidRPr="0007251E" w:rsidRDefault="0007251E" w:rsidP="0007251E">
            <w:pPr>
              <w:rPr>
                <w:rFonts w:ascii="Verdana" w:eastAsia="Times New Roman" w:hAnsi="Verdana" w:cs="Calibri"/>
                <w:b/>
                <w:bCs/>
                <w:color w:val="000000"/>
                <w:sz w:val="2"/>
                <w:szCs w:val="2"/>
                <w:lang w:val="en-GB" w:eastAsia="en-GB"/>
              </w:rPr>
            </w:pPr>
            <w:r w:rsidRPr="0007251E">
              <w:rPr>
                <w:rFonts w:ascii="Verdana" w:eastAsia="Times New Roman" w:hAnsi="Verdana" w:cs="Calibri"/>
                <w:b/>
                <w:bCs/>
                <w:color w:val="000000"/>
                <w:sz w:val="2"/>
                <w:szCs w:val="2"/>
                <w:lang w:val="pt-BR" w:eastAsia="en-GB"/>
              </w:rPr>
              <w:t> </w:t>
            </w:r>
          </w:p>
        </w:tc>
        <w:tc>
          <w:tcPr>
            <w:tcW w:w="1776" w:type="dxa"/>
            <w:tcBorders>
              <w:top w:val="nil"/>
              <w:left w:val="nil"/>
              <w:bottom w:val="single" w:sz="8" w:space="0" w:color="000000"/>
              <w:right w:val="nil"/>
            </w:tcBorders>
            <w:shd w:val="clear" w:color="auto" w:fill="auto"/>
            <w:vAlign w:val="center"/>
            <w:hideMark/>
          </w:tcPr>
          <w:p w14:paraId="75378C34" w14:textId="1366FB67" w:rsidR="0007251E" w:rsidRPr="0007251E" w:rsidRDefault="0007251E" w:rsidP="0007251E">
            <w:pPr>
              <w:jc w:val="right"/>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w:t>
            </w:r>
            <w:r w:rsidR="00097018">
              <w:rPr>
                <w:rFonts w:ascii="Verdana" w:eastAsia="Times New Roman" w:hAnsi="Verdana" w:cs="Calibri"/>
                <w:b/>
                <w:bCs/>
                <w:color w:val="000000"/>
                <w:sz w:val="16"/>
                <w:szCs w:val="16"/>
                <w:lang w:val="pt-BR" w:eastAsia="en-GB"/>
              </w:rPr>
              <w:t>00</w:t>
            </w:r>
            <w:r w:rsidRPr="0007251E">
              <w:rPr>
                <w:rFonts w:ascii="Verdana" w:eastAsia="Times New Roman" w:hAnsi="Verdana" w:cs="Calibri"/>
                <w:b/>
                <w:bCs/>
                <w:color w:val="000000"/>
                <w:sz w:val="16"/>
                <w:szCs w:val="16"/>
                <w:lang w:val="pt-BR" w:eastAsia="en-GB"/>
              </w:rPr>
              <w:t>0</w:t>
            </w:r>
          </w:p>
        </w:tc>
        <w:tc>
          <w:tcPr>
            <w:tcW w:w="1543" w:type="dxa"/>
            <w:tcBorders>
              <w:top w:val="nil"/>
              <w:left w:val="nil"/>
              <w:bottom w:val="single" w:sz="8" w:space="0" w:color="000000"/>
              <w:right w:val="nil"/>
            </w:tcBorders>
            <w:shd w:val="clear" w:color="auto" w:fill="auto"/>
            <w:vAlign w:val="center"/>
            <w:hideMark/>
          </w:tcPr>
          <w:p w14:paraId="6F0A8E4A" w14:textId="70C765F9" w:rsidR="0007251E" w:rsidRPr="0007251E" w:rsidRDefault="0007251E" w:rsidP="0007251E">
            <w:pPr>
              <w:jc w:val="right"/>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w:t>
            </w:r>
            <w:r w:rsidR="00097018">
              <w:rPr>
                <w:rFonts w:ascii="Verdana" w:eastAsia="Times New Roman" w:hAnsi="Verdana" w:cs="Calibri"/>
                <w:b/>
                <w:bCs/>
                <w:color w:val="000000"/>
                <w:sz w:val="16"/>
                <w:szCs w:val="16"/>
                <w:lang w:val="pt-BR" w:eastAsia="en-GB"/>
              </w:rPr>
              <w:t>00</w:t>
            </w:r>
            <w:r w:rsidRPr="0007251E">
              <w:rPr>
                <w:rFonts w:ascii="Verdana" w:eastAsia="Times New Roman" w:hAnsi="Verdana" w:cs="Calibri"/>
                <w:b/>
                <w:bCs/>
                <w:color w:val="000000"/>
                <w:sz w:val="16"/>
                <w:szCs w:val="16"/>
                <w:lang w:val="pt-BR" w:eastAsia="en-GB"/>
              </w:rPr>
              <w:t>0</w:t>
            </w:r>
          </w:p>
        </w:tc>
        <w:tc>
          <w:tcPr>
            <w:tcW w:w="1496" w:type="dxa"/>
            <w:tcBorders>
              <w:top w:val="nil"/>
              <w:left w:val="nil"/>
              <w:bottom w:val="single" w:sz="8" w:space="0" w:color="000000"/>
              <w:right w:val="nil"/>
            </w:tcBorders>
            <w:shd w:val="clear" w:color="auto" w:fill="auto"/>
            <w:vAlign w:val="center"/>
            <w:hideMark/>
          </w:tcPr>
          <w:p w14:paraId="0301A034" w14:textId="2C9FED35" w:rsidR="0007251E" w:rsidRPr="0007251E" w:rsidRDefault="0007251E" w:rsidP="0007251E">
            <w:pPr>
              <w:jc w:val="right"/>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w:t>
            </w:r>
            <w:r w:rsidR="00097018">
              <w:rPr>
                <w:rFonts w:ascii="Verdana" w:eastAsia="Times New Roman" w:hAnsi="Verdana" w:cs="Calibri"/>
                <w:b/>
                <w:bCs/>
                <w:color w:val="000000"/>
                <w:sz w:val="16"/>
                <w:szCs w:val="16"/>
                <w:lang w:val="pt-BR" w:eastAsia="en-GB"/>
              </w:rPr>
              <w:t>00</w:t>
            </w:r>
            <w:r w:rsidRPr="0007251E">
              <w:rPr>
                <w:rFonts w:ascii="Verdana" w:eastAsia="Times New Roman" w:hAnsi="Verdana" w:cs="Calibri"/>
                <w:b/>
                <w:bCs/>
                <w:color w:val="000000"/>
                <w:sz w:val="16"/>
                <w:szCs w:val="16"/>
                <w:lang w:val="pt-BR" w:eastAsia="en-GB"/>
              </w:rPr>
              <w:t>0</w:t>
            </w:r>
          </w:p>
        </w:tc>
        <w:tc>
          <w:tcPr>
            <w:tcW w:w="1638" w:type="dxa"/>
            <w:tcBorders>
              <w:top w:val="nil"/>
              <w:left w:val="nil"/>
              <w:bottom w:val="single" w:sz="8" w:space="0" w:color="000000"/>
              <w:right w:val="nil"/>
            </w:tcBorders>
            <w:shd w:val="clear" w:color="auto" w:fill="auto"/>
            <w:vAlign w:val="center"/>
            <w:hideMark/>
          </w:tcPr>
          <w:p w14:paraId="706B8CFB" w14:textId="0E5BC587" w:rsidR="0007251E" w:rsidRPr="0007251E" w:rsidRDefault="0007251E" w:rsidP="0007251E">
            <w:pPr>
              <w:jc w:val="right"/>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w:t>
            </w:r>
            <w:r w:rsidR="00097018">
              <w:rPr>
                <w:rFonts w:ascii="Verdana" w:eastAsia="Times New Roman" w:hAnsi="Verdana" w:cs="Calibri"/>
                <w:b/>
                <w:bCs/>
                <w:color w:val="000000"/>
                <w:sz w:val="16"/>
                <w:szCs w:val="16"/>
                <w:lang w:val="pt-BR" w:eastAsia="en-GB"/>
              </w:rPr>
              <w:t>00</w:t>
            </w:r>
            <w:r w:rsidRPr="0007251E">
              <w:rPr>
                <w:rFonts w:ascii="Verdana" w:eastAsia="Times New Roman" w:hAnsi="Verdana" w:cs="Calibri"/>
                <w:b/>
                <w:bCs/>
                <w:color w:val="000000"/>
                <w:sz w:val="16"/>
                <w:szCs w:val="16"/>
                <w:lang w:val="pt-BR" w:eastAsia="en-GB"/>
              </w:rPr>
              <w:t>0</w:t>
            </w:r>
          </w:p>
        </w:tc>
      </w:tr>
      <w:tr w:rsidR="0007251E" w:rsidRPr="0007251E" w14:paraId="1A76F625" w14:textId="77777777" w:rsidTr="00097018">
        <w:trPr>
          <w:trHeight w:val="336"/>
          <w:jc w:val="center"/>
        </w:trPr>
        <w:tc>
          <w:tcPr>
            <w:tcW w:w="6901" w:type="dxa"/>
            <w:tcBorders>
              <w:top w:val="nil"/>
              <w:left w:val="nil"/>
              <w:bottom w:val="single" w:sz="8" w:space="0" w:color="000000"/>
              <w:right w:val="nil"/>
            </w:tcBorders>
            <w:shd w:val="clear" w:color="auto" w:fill="auto"/>
            <w:vAlign w:val="center"/>
            <w:hideMark/>
          </w:tcPr>
          <w:p w14:paraId="1C916B20" w14:textId="77777777" w:rsidR="0007251E" w:rsidRPr="0007251E" w:rsidRDefault="0007251E" w:rsidP="0007251E">
            <w:pPr>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Balance at 31 March 2019</w:t>
            </w:r>
          </w:p>
        </w:tc>
        <w:tc>
          <w:tcPr>
            <w:tcW w:w="1776" w:type="dxa"/>
            <w:tcBorders>
              <w:top w:val="nil"/>
              <w:left w:val="single" w:sz="8" w:space="0" w:color="000000"/>
              <w:bottom w:val="single" w:sz="8" w:space="0" w:color="000000"/>
              <w:right w:val="nil"/>
            </w:tcBorders>
            <w:shd w:val="clear" w:color="auto" w:fill="auto"/>
            <w:vAlign w:val="center"/>
            <w:hideMark/>
          </w:tcPr>
          <w:p w14:paraId="11C76C91" w14:textId="77777777" w:rsidR="0007251E" w:rsidRPr="0007251E" w:rsidRDefault="0007251E" w:rsidP="0007251E">
            <w:pPr>
              <w:jc w:val="right"/>
              <w:rPr>
                <w:rFonts w:ascii="Verdana" w:eastAsia="Times New Roman" w:hAnsi="Verdana" w:cs="Calibri"/>
                <w:color w:val="000000"/>
                <w:sz w:val="16"/>
                <w:szCs w:val="16"/>
                <w:lang w:val="en-GB" w:eastAsia="en-GB"/>
              </w:rPr>
            </w:pPr>
            <w:r w:rsidRPr="0007251E">
              <w:rPr>
                <w:rFonts w:ascii="Verdana" w:eastAsia="Times New Roman" w:hAnsi="Verdana" w:cs="Calibri"/>
                <w:color w:val="000000"/>
                <w:sz w:val="16"/>
                <w:szCs w:val="16"/>
                <w:lang w:val="pt-BR" w:eastAsia="en-GB"/>
              </w:rPr>
              <w:t>0</w:t>
            </w:r>
          </w:p>
        </w:tc>
        <w:tc>
          <w:tcPr>
            <w:tcW w:w="1543" w:type="dxa"/>
            <w:tcBorders>
              <w:top w:val="nil"/>
              <w:left w:val="single" w:sz="8" w:space="0" w:color="000000"/>
              <w:bottom w:val="single" w:sz="8" w:space="0" w:color="000000"/>
              <w:right w:val="single" w:sz="8" w:space="0" w:color="000000"/>
            </w:tcBorders>
            <w:shd w:val="clear" w:color="auto" w:fill="auto"/>
            <w:vAlign w:val="center"/>
            <w:hideMark/>
          </w:tcPr>
          <w:p w14:paraId="2A9CA429" w14:textId="77777777" w:rsidR="0007251E" w:rsidRPr="0007251E" w:rsidRDefault="0007251E" w:rsidP="0007251E">
            <w:pPr>
              <w:jc w:val="right"/>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0</w:t>
            </w:r>
          </w:p>
        </w:tc>
        <w:tc>
          <w:tcPr>
            <w:tcW w:w="1496" w:type="dxa"/>
            <w:tcBorders>
              <w:top w:val="nil"/>
              <w:left w:val="nil"/>
              <w:bottom w:val="single" w:sz="8" w:space="0" w:color="000000"/>
              <w:right w:val="nil"/>
            </w:tcBorders>
            <w:shd w:val="clear" w:color="auto" w:fill="auto"/>
            <w:vAlign w:val="center"/>
            <w:hideMark/>
          </w:tcPr>
          <w:p w14:paraId="5652762F" w14:textId="77777777" w:rsidR="0007251E" w:rsidRPr="0007251E" w:rsidRDefault="0007251E" w:rsidP="0007251E">
            <w:pPr>
              <w:jc w:val="right"/>
              <w:rPr>
                <w:rFonts w:ascii="Verdana" w:eastAsia="Times New Roman" w:hAnsi="Verdana" w:cs="Calibri"/>
                <w:color w:val="000000"/>
                <w:sz w:val="16"/>
                <w:szCs w:val="16"/>
                <w:lang w:val="en-GB" w:eastAsia="en-GB"/>
              </w:rPr>
            </w:pPr>
            <w:r w:rsidRPr="0007251E">
              <w:rPr>
                <w:rFonts w:ascii="Verdana" w:eastAsia="Times New Roman" w:hAnsi="Verdana" w:cs="Calibri"/>
                <w:color w:val="000000"/>
                <w:sz w:val="16"/>
                <w:szCs w:val="16"/>
                <w:lang w:val="pt-BR" w:eastAsia="en-GB"/>
              </w:rPr>
              <w:t>1,928,827</w:t>
            </w:r>
          </w:p>
        </w:tc>
        <w:tc>
          <w:tcPr>
            <w:tcW w:w="1638" w:type="dxa"/>
            <w:tcBorders>
              <w:top w:val="nil"/>
              <w:left w:val="single" w:sz="8" w:space="0" w:color="000000"/>
              <w:bottom w:val="single" w:sz="8" w:space="0" w:color="000000"/>
              <w:right w:val="nil"/>
            </w:tcBorders>
            <w:shd w:val="clear" w:color="auto" w:fill="auto"/>
            <w:vAlign w:val="center"/>
            <w:hideMark/>
          </w:tcPr>
          <w:p w14:paraId="348CD93E" w14:textId="77777777" w:rsidR="0007251E" w:rsidRPr="0007251E" w:rsidRDefault="0007251E" w:rsidP="0007251E">
            <w:pPr>
              <w:jc w:val="right"/>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1,928,827</w:t>
            </w:r>
          </w:p>
        </w:tc>
      </w:tr>
      <w:tr w:rsidR="0007251E" w:rsidRPr="0007251E" w14:paraId="68E1ABAF" w14:textId="77777777" w:rsidTr="00097018">
        <w:trPr>
          <w:trHeight w:val="54"/>
          <w:jc w:val="center"/>
        </w:trPr>
        <w:tc>
          <w:tcPr>
            <w:tcW w:w="6901" w:type="dxa"/>
            <w:tcBorders>
              <w:top w:val="nil"/>
              <w:left w:val="nil"/>
              <w:bottom w:val="nil"/>
              <w:right w:val="nil"/>
            </w:tcBorders>
            <w:shd w:val="clear" w:color="auto" w:fill="auto"/>
            <w:vAlign w:val="center"/>
            <w:hideMark/>
          </w:tcPr>
          <w:p w14:paraId="60CD9C04" w14:textId="77777777" w:rsidR="0007251E" w:rsidRPr="0007251E" w:rsidRDefault="0007251E" w:rsidP="0007251E">
            <w:pPr>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Movement in reserves during 2019/20</w:t>
            </w:r>
          </w:p>
        </w:tc>
        <w:tc>
          <w:tcPr>
            <w:tcW w:w="1776" w:type="dxa"/>
            <w:tcBorders>
              <w:top w:val="nil"/>
              <w:left w:val="single" w:sz="8" w:space="0" w:color="000000"/>
              <w:bottom w:val="nil"/>
              <w:right w:val="nil"/>
            </w:tcBorders>
            <w:shd w:val="clear" w:color="auto" w:fill="auto"/>
            <w:vAlign w:val="center"/>
            <w:hideMark/>
          </w:tcPr>
          <w:p w14:paraId="4AE73698" w14:textId="77777777" w:rsidR="0007251E" w:rsidRPr="0007251E" w:rsidRDefault="0007251E" w:rsidP="0007251E">
            <w:pPr>
              <w:jc w:val="right"/>
              <w:rPr>
                <w:rFonts w:ascii="Verdana" w:eastAsia="Times New Roman" w:hAnsi="Verdana" w:cs="Calibri"/>
                <w:color w:val="000000"/>
                <w:sz w:val="2"/>
                <w:szCs w:val="2"/>
                <w:lang w:val="en-GB" w:eastAsia="en-GB"/>
              </w:rPr>
            </w:pPr>
            <w:r w:rsidRPr="0007251E">
              <w:rPr>
                <w:rFonts w:ascii="Verdana" w:eastAsia="Times New Roman" w:hAnsi="Verdana" w:cs="Calibri"/>
                <w:color w:val="000000"/>
                <w:sz w:val="2"/>
                <w:szCs w:val="2"/>
                <w:lang w:val="pt-BR" w:eastAsia="en-GB"/>
              </w:rPr>
              <w:t xml:space="preserve"> </w:t>
            </w:r>
          </w:p>
        </w:tc>
        <w:tc>
          <w:tcPr>
            <w:tcW w:w="1543" w:type="dxa"/>
            <w:tcBorders>
              <w:top w:val="nil"/>
              <w:left w:val="single" w:sz="8" w:space="0" w:color="000000"/>
              <w:bottom w:val="nil"/>
              <w:right w:val="single" w:sz="8" w:space="0" w:color="000000"/>
            </w:tcBorders>
            <w:shd w:val="clear" w:color="auto" w:fill="auto"/>
            <w:vAlign w:val="center"/>
            <w:hideMark/>
          </w:tcPr>
          <w:p w14:paraId="232649B3" w14:textId="77777777" w:rsidR="0007251E" w:rsidRPr="0007251E" w:rsidRDefault="0007251E" w:rsidP="0007251E">
            <w:pPr>
              <w:jc w:val="right"/>
              <w:rPr>
                <w:rFonts w:ascii="Verdana" w:eastAsia="Times New Roman" w:hAnsi="Verdana" w:cs="Calibri"/>
                <w:b/>
                <w:bCs/>
                <w:color w:val="000000"/>
                <w:sz w:val="2"/>
                <w:szCs w:val="2"/>
                <w:lang w:val="en-GB" w:eastAsia="en-GB"/>
              </w:rPr>
            </w:pPr>
            <w:r w:rsidRPr="0007251E">
              <w:rPr>
                <w:rFonts w:ascii="Verdana" w:eastAsia="Times New Roman" w:hAnsi="Verdana" w:cs="Calibri"/>
                <w:b/>
                <w:bCs/>
                <w:color w:val="000000"/>
                <w:sz w:val="2"/>
                <w:szCs w:val="2"/>
                <w:lang w:val="pt-BR" w:eastAsia="en-GB"/>
              </w:rPr>
              <w:t xml:space="preserve"> </w:t>
            </w:r>
          </w:p>
        </w:tc>
        <w:tc>
          <w:tcPr>
            <w:tcW w:w="1496" w:type="dxa"/>
            <w:tcBorders>
              <w:top w:val="nil"/>
              <w:left w:val="nil"/>
              <w:bottom w:val="nil"/>
              <w:right w:val="nil"/>
            </w:tcBorders>
            <w:shd w:val="clear" w:color="auto" w:fill="auto"/>
            <w:vAlign w:val="center"/>
            <w:hideMark/>
          </w:tcPr>
          <w:p w14:paraId="0EE621C3" w14:textId="77777777" w:rsidR="0007251E" w:rsidRPr="0007251E" w:rsidRDefault="0007251E" w:rsidP="0007251E">
            <w:pPr>
              <w:jc w:val="right"/>
              <w:rPr>
                <w:rFonts w:ascii="Verdana" w:eastAsia="Times New Roman" w:hAnsi="Verdana" w:cs="Calibri"/>
                <w:color w:val="000000"/>
                <w:sz w:val="2"/>
                <w:szCs w:val="2"/>
                <w:lang w:val="en-GB" w:eastAsia="en-GB"/>
              </w:rPr>
            </w:pPr>
            <w:r w:rsidRPr="0007251E">
              <w:rPr>
                <w:rFonts w:ascii="Verdana" w:eastAsia="Times New Roman" w:hAnsi="Verdana" w:cs="Calibri"/>
                <w:color w:val="000000"/>
                <w:sz w:val="2"/>
                <w:szCs w:val="2"/>
                <w:lang w:val="pt-BR" w:eastAsia="en-GB"/>
              </w:rPr>
              <w:t xml:space="preserve"> </w:t>
            </w:r>
          </w:p>
        </w:tc>
        <w:tc>
          <w:tcPr>
            <w:tcW w:w="1638" w:type="dxa"/>
            <w:tcBorders>
              <w:top w:val="nil"/>
              <w:left w:val="single" w:sz="8" w:space="0" w:color="000000"/>
              <w:bottom w:val="nil"/>
              <w:right w:val="nil"/>
            </w:tcBorders>
            <w:shd w:val="clear" w:color="auto" w:fill="auto"/>
            <w:vAlign w:val="center"/>
            <w:hideMark/>
          </w:tcPr>
          <w:p w14:paraId="2DA9DF20" w14:textId="77777777" w:rsidR="0007251E" w:rsidRPr="0007251E" w:rsidRDefault="0007251E" w:rsidP="0007251E">
            <w:pPr>
              <w:jc w:val="right"/>
              <w:rPr>
                <w:rFonts w:ascii="Verdana" w:eastAsia="Times New Roman" w:hAnsi="Verdana" w:cs="Calibri"/>
                <w:b/>
                <w:bCs/>
                <w:color w:val="000000"/>
                <w:sz w:val="2"/>
                <w:szCs w:val="2"/>
                <w:lang w:val="en-GB" w:eastAsia="en-GB"/>
              </w:rPr>
            </w:pPr>
            <w:r w:rsidRPr="0007251E">
              <w:rPr>
                <w:rFonts w:ascii="Verdana" w:eastAsia="Times New Roman" w:hAnsi="Verdana" w:cs="Calibri"/>
                <w:b/>
                <w:bCs/>
                <w:color w:val="000000"/>
                <w:sz w:val="2"/>
                <w:szCs w:val="2"/>
                <w:lang w:val="pt-BR" w:eastAsia="en-GB"/>
              </w:rPr>
              <w:t xml:space="preserve"> </w:t>
            </w:r>
          </w:p>
        </w:tc>
      </w:tr>
      <w:tr w:rsidR="0007251E" w:rsidRPr="0007251E" w14:paraId="490C7282" w14:textId="77777777" w:rsidTr="00097018">
        <w:trPr>
          <w:trHeight w:val="377"/>
          <w:jc w:val="center"/>
        </w:trPr>
        <w:tc>
          <w:tcPr>
            <w:tcW w:w="6901" w:type="dxa"/>
            <w:tcBorders>
              <w:top w:val="nil"/>
              <w:left w:val="nil"/>
              <w:bottom w:val="nil"/>
              <w:right w:val="single" w:sz="8" w:space="0" w:color="000000"/>
            </w:tcBorders>
            <w:shd w:val="clear" w:color="auto" w:fill="auto"/>
            <w:vAlign w:val="center"/>
            <w:hideMark/>
          </w:tcPr>
          <w:p w14:paraId="34844958" w14:textId="77777777" w:rsidR="0007251E" w:rsidRPr="0007251E" w:rsidRDefault="0007251E" w:rsidP="0007251E">
            <w:pPr>
              <w:rPr>
                <w:rFonts w:ascii="Verdana" w:eastAsia="Times New Roman" w:hAnsi="Verdana" w:cs="Calibri"/>
                <w:color w:val="000000"/>
                <w:sz w:val="16"/>
                <w:szCs w:val="16"/>
                <w:lang w:val="en-GB" w:eastAsia="en-GB"/>
              </w:rPr>
            </w:pPr>
            <w:r w:rsidRPr="0007251E">
              <w:rPr>
                <w:rFonts w:ascii="Verdana" w:eastAsia="Times New Roman" w:hAnsi="Verdana" w:cs="Calibri"/>
                <w:color w:val="000000"/>
                <w:sz w:val="16"/>
                <w:szCs w:val="16"/>
                <w:lang w:val="pt-BR" w:eastAsia="en-GB"/>
              </w:rPr>
              <w:t>Surplus or deficit on the provision of services</w:t>
            </w:r>
          </w:p>
        </w:tc>
        <w:tc>
          <w:tcPr>
            <w:tcW w:w="1776" w:type="dxa"/>
            <w:tcBorders>
              <w:top w:val="nil"/>
              <w:left w:val="nil"/>
              <w:bottom w:val="nil"/>
              <w:right w:val="nil"/>
            </w:tcBorders>
            <w:shd w:val="clear" w:color="auto" w:fill="auto"/>
            <w:vAlign w:val="center"/>
            <w:hideMark/>
          </w:tcPr>
          <w:p w14:paraId="51FE769B" w14:textId="77777777" w:rsidR="0007251E" w:rsidRPr="0007251E" w:rsidRDefault="0007251E" w:rsidP="0007251E">
            <w:pPr>
              <w:jc w:val="right"/>
              <w:rPr>
                <w:rFonts w:ascii="Verdana" w:eastAsia="Times New Roman" w:hAnsi="Verdana" w:cs="Calibri"/>
                <w:color w:val="000000"/>
                <w:sz w:val="16"/>
                <w:szCs w:val="16"/>
                <w:lang w:val="en-GB" w:eastAsia="en-GB"/>
              </w:rPr>
            </w:pPr>
            <w:r w:rsidRPr="0007251E">
              <w:rPr>
                <w:rFonts w:ascii="Verdana" w:eastAsia="Times New Roman" w:hAnsi="Verdana" w:cs="Calibri"/>
                <w:color w:val="000000"/>
                <w:sz w:val="16"/>
                <w:szCs w:val="16"/>
                <w:lang w:val="pt-BR" w:eastAsia="en-GB"/>
              </w:rPr>
              <w:t>63,031</w:t>
            </w:r>
          </w:p>
        </w:tc>
        <w:tc>
          <w:tcPr>
            <w:tcW w:w="1543" w:type="dxa"/>
            <w:tcBorders>
              <w:top w:val="nil"/>
              <w:left w:val="single" w:sz="8" w:space="0" w:color="000000"/>
              <w:bottom w:val="nil"/>
              <w:right w:val="single" w:sz="8" w:space="0" w:color="000000"/>
            </w:tcBorders>
            <w:shd w:val="clear" w:color="auto" w:fill="auto"/>
            <w:vAlign w:val="center"/>
            <w:hideMark/>
          </w:tcPr>
          <w:p w14:paraId="2A18F6A5" w14:textId="77777777" w:rsidR="0007251E" w:rsidRPr="0007251E" w:rsidRDefault="0007251E" w:rsidP="0007251E">
            <w:pPr>
              <w:jc w:val="right"/>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63,031</w:t>
            </w:r>
          </w:p>
        </w:tc>
        <w:tc>
          <w:tcPr>
            <w:tcW w:w="1496" w:type="dxa"/>
            <w:tcBorders>
              <w:top w:val="nil"/>
              <w:left w:val="nil"/>
              <w:bottom w:val="nil"/>
              <w:right w:val="nil"/>
            </w:tcBorders>
            <w:shd w:val="clear" w:color="auto" w:fill="auto"/>
            <w:noWrap/>
            <w:vAlign w:val="bottom"/>
            <w:hideMark/>
          </w:tcPr>
          <w:p w14:paraId="1ABAE5B8" w14:textId="665897CA" w:rsidR="0007251E" w:rsidRPr="0007251E" w:rsidRDefault="0007251E" w:rsidP="0007251E">
            <w:pPr>
              <w:rPr>
                <w:rFonts w:ascii="Calibri" w:eastAsia="Times New Roman" w:hAnsi="Calibri" w:cs="Calibri"/>
                <w:color w:val="000000"/>
                <w:sz w:val="22"/>
                <w:szCs w:val="22"/>
                <w:lang w:val="en-GB" w:eastAsia="en-GB"/>
              </w:rPr>
            </w:pPr>
          </w:p>
        </w:tc>
        <w:tc>
          <w:tcPr>
            <w:tcW w:w="1638" w:type="dxa"/>
            <w:tcBorders>
              <w:top w:val="nil"/>
              <w:left w:val="single" w:sz="8" w:space="0" w:color="000000"/>
              <w:bottom w:val="nil"/>
              <w:right w:val="nil"/>
            </w:tcBorders>
            <w:shd w:val="clear" w:color="auto" w:fill="auto"/>
            <w:vAlign w:val="center"/>
            <w:hideMark/>
          </w:tcPr>
          <w:p w14:paraId="0F0B8C27" w14:textId="77777777" w:rsidR="0007251E" w:rsidRPr="0007251E" w:rsidRDefault="0007251E" w:rsidP="0007251E">
            <w:pPr>
              <w:jc w:val="right"/>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63,031</w:t>
            </w:r>
          </w:p>
        </w:tc>
      </w:tr>
      <w:tr w:rsidR="0007251E" w:rsidRPr="0007251E" w14:paraId="74576DE6" w14:textId="77777777" w:rsidTr="00097018">
        <w:trPr>
          <w:trHeight w:val="74"/>
          <w:jc w:val="center"/>
        </w:trPr>
        <w:tc>
          <w:tcPr>
            <w:tcW w:w="6901" w:type="dxa"/>
            <w:tcBorders>
              <w:top w:val="nil"/>
              <w:left w:val="nil"/>
              <w:bottom w:val="single" w:sz="8" w:space="0" w:color="000000"/>
              <w:right w:val="nil"/>
            </w:tcBorders>
            <w:shd w:val="clear" w:color="auto" w:fill="auto"/>
            <w:vAlign w:val="center"/>
            <w:hideMark/>
          </w:tcPr>
          <w:p w14:paraId="7D91C3DC" w14:textId="77777777" w:rsidR="0007251E" w:rsidRPr="0007251E" w:rsidRDefault="0007251E" w:rsidP="0007251E">
            <w:pPr>
              <w:rPr>
                <w:rFonts w:ascii="Verdana" w:eastAsia="Times New Roman" w:hAnsi="Verdana" w:cs="Calibri"/>
                <w:color w:val="000000"/>
                <w:sz w:val="16"/>
                <w:szCs w:val="16"/>
                <w:lang w:val="en-GB" w:eastAsia="en-GB"/>
              </w:rPr>
            </w:pPr>
            <w:r w:rsidRPr="0007251E">
              <w:rPr>
                <w:rFonts w:ascii="Verdana" w:eastAsia="Times New Roman" w:hAnsi="Verdana" w:cs="Calibri"/>
                <w:color w:val="000000"/>
                <w:sz w:val="16"/>
                <w:szCs w:val="16"/>
                <w:lang w:val="pt-BR" w:eastAsia="en-GB"/>
              </w:rPr>
              <w:t>Other Comprehensive Income / Expenditure</w:t>
            </w:r>
          </w:p>
        </w:tc>
        <w:tc>
          <w:tcPr>
            <w:tcW w:w="1776" w:type="dxa"/>
            <w:tcBorders>
              <w:top w:val="nil"/>
              <w:left w:val="single" w:sz="8" w:space="0" w:color="000000"/>
              <w:bottom w:val="single" w:sz="8" w:space="0" w:color="000000"/>
              <w:right w:val="nil"/>
            </w:tcBorders>
            <w:shd w:val="clear" w:color="auto" w:fill="auto"/>
            <w:vAlign w:val="center"/>
            <w:hideMark/>
          </w:tcPr>
          <w:p w14:paraId="5C13B892" w14:textId="77777777" w:rsidR="0007251E" w:rsidRPr="0007251E" w:rsidRDefault="0007251E" w:rsidP="0007251E">
            <w:pPr>
              <w:jc w:val="right"/>
              <w:rPr>
                <w:rFonts w:ascii="Verdana" w:eastAsia="Times New Roman" w:hAnsi="Verdana" w:cs="Calibri"/>
                <w:color w:val="000000"/>
                <w:sz w:val="2"/>
                <w:szCs w:val="2"/>
                <w:lang w:val="en-GB" w:eastAsia="en-GB"/>
              </w:rPr>
            </w:pPr>
            <w:r w:rsidRPr="0007251E">
              <w:rPr>
                <w:rFonts w:ascii="Verdana" w:eastAsia="Times New Roman" w:hAnsi="Verdana" w:cs="Calibri"/>
                <w:color w:val="000000"/>
                <w:sz w:val="2"/>
                <w:szCs w:val="2"/>
                <w:lang w:val="pt-BR" w:eastAsia="en-GB"/>
              </w:rPr>
              <w:t xml:space="preserve"> </w:t>
            </w:r>
          </w:p>
        </w:tc>
        <w:tc>
          <w:tcPr>
            <w:tcW w:w="1543" w:type="dxa"/>
            <w:tcBorders>
              <w:top w:val="nil"/>
              <w:left w:val="single" w:sz="8" w:space="0" w:color="000000"/>
              <w:bottom w:val="single" w:sz="8" w:space="0" w:color="000000"/>
              <w:right w:val="single" w:sz="8" w:space="0" w:color="000000"/>
            </w:tcBorders>
            <w:shd w:val="clear" w:color="auto" w:fill="auto"/>
            <w:vAlign w:val="center"/>
            <w:hideMark/>
          </w:tcPr>
          <w:p w14:paraId="7B9C975F" w14:textId="77777777" w:rsidR="0007251E" w:rsidRPr="0007251E" w:rsidRDefault="0007251E" w:rsidP="0007251E">
            <w:pPr>
              <w:jc w:val="right"/>
              <w:rPr>
                <w:rFonts w:ascii="Verdana" w:eastAsia="Times New Roman" w:hAnsi="Verdana" w:cs="Calibri"/>
                <w:b/>
                <w:bCs/>
                <w:color w:val="000000"/>
                <w:sz w:val="2"/>
                <w:szCs w:val="2"/>
                <w:lang w:val="en-GB" w:eastAsia="en-GB"/>
              </w:rPr>
            </w:pPr>
            <w:r w:rsidRPr="0007251E">
              <w:rPr>
                <w:rFonts w:ascii="Verdana" w:eastAsia="Times New Roman" w:hAnsi="Verdana" w:cs="Calibri"/>
                <w:b/>
                <w:bCs/>
                <w:color w:val="000000"/>
                <w:sz w:val="2"/>
                <w:szCs w:val="2"/>
                <w:lang w:val="pt-BR" w:eastAsia="en-GB"/>
              </w:rPr>
              <w:t xml:space="preserve"> </w:t>
            </w:r>
          </w:p>
        </w:tc>
        <w:tc>
          <w:tcPr>
            <w:tcW w:w="1496" w:type="dxa"/>
            <w:tcBorders>
              <w:top w:val="nil"/>
              <w:left w:val="nil"/>
              <w:bottom w:val="single" w:sz="8" w:space="0" w:color="000000"/>
              <w:right w:val="single" w:sz="8" w:space="0" w:color="000000"/>
            </w:tcBorders>
            <w:shd w:val="clear" w:color="auto" w:fill="auto"/>
            <w:vAlign w:val="center"/>
            <w:hideMark/>
          </w:tcPr>
          <w:p w14:paraId="41680BA7" w14:textId="77777777" w:rsidR="0007251E" w:rsidRPr="0007251E" w:rsidRDefault="0007251E" w:rsidP="0007251E">
            <w:pPr>
              <w:jc w:val="right"/>
              <w:rPr>
                <w:rFonts w:ascii="Verdana" w:eastAsia="Times New Roman" w:hAnsi="Verdana" w:cs="Calibri"/>
                <w:color w:val="000000"/>
                <w:sz w:val="16"/>
                <w:szCs w:val="16"/>
                <w:lang w:val="en-GB" w:eastAsia="en-GB"/>
              </w:rPr>
            </w:pPr>
            <w:r w:rsidRPr="0007251E">
              <w:rPr>
                <w:rFonts w:ascii="Verdana" w:eastAsia="Times New Roman" w:hAnsi="Verdana" w:cs="Calibri"/>
                <w:color w:val="000000"/>
                <w:sz w:val="16"/>
                <w:szCs w:val="16"/>
                <w:lang w:val="pt-BR" w:eastAsia="en-GB"/>
              </w:rPr>
              <w:t>(193,261)</w:t>
            </w:r>
          </w:p>
        </w:tc>
        <w:tc>
          <w:tcPr>
            <w:tcW w:w="1638" w:type="dxa"/>
            <w:tcBorders>
              <w:top w:val="nil"/>
              <w:left w:val="nil"/>
              <w:bottom w:val="single" w:sz="8" w:space="0" w:color="000000"/>
              <w:right w:val="nil"/>
            </w:tcBorders>
            <w:shd w:val="clear" w:color="auto" w:fill="auto"/>
            <w:vAlign w:val="center"/>
            <w:hideMark/>
          </w:tcPr>
          <w:p w14:paraId="4F93CE1F" w14:textId="77777777" w:rsidR="0007251E" w:rsidRPr="0007251E" w:rsidRDefault="0007251E" w:rsidP="0007251E">
            <w:pPr>
              <w:jc w:val="right"/>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(193,261)</w:t>
            </w:r>
          </w:p>
        </w:tc>
      </w:tr>
      <w:tr w:rsidR="0007251E" w:rsidRPr="0007251E" w14:paraId="1679A227" w14:textId="77777777" w:rsidTr="00097018">
        <w:trPr>
          <w:trHeight w:val="320"/>
          <w:jc w:val="center"/>
        </w:trPr>
        <w:tc>
          <w:tcPr>
            <w:tcW w:w="6901" w:type="dxa"/>
            <w:tcBorders>
              <w:top w:val="nil"/>
              <w:left w:val="nil"/>
              <w:bottom w:val="nil"/>
              <w:right w:val="nil"/>
            </w:tcBorders>
            <w:shd w:val="clear" w:color="auto" w:fill="auto"/>
            <w:vAlign w:val="center"/>
            <w:hideMark/>
          </w:tcPr>
          <w:p w14:paraId="59200D4F" w14:textId="77777777" w:rsidR="0007251E" w:rsidRPr="0007251E" w:rsidRDefault="0007251E" w:rsidP="0007251E">
            <w:pPr>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Total Comprehensive Income and Expenditure</w:t>
            </w:r>
          </w:p>
        </w:tc>
        <w:tc>
          <w:tcPr>
            <w:tcW w:w="1776" w:type="dxa"/>
            <w:tcBorders>
              <w:top w:val="nil"/>
              <w:left w:val="single" w:sz="8" w:space="0" w:color="000000"/>
              <w:bottom w:val="nil"/>
              <w:right w:val="nil"/>
            </w:tcBorders>
            <w:shd w:val="clear" w:color="auto" w:fill="auto"/>
            <w:vAlign w:val="center"/>
            <w:hideMark/>
          </w:tcPr>
          <w:p w14:paraId="3DAB7A2C" w14:textId="77777777" w:rsidR="0007251E" w:rsidRPr="0007251E" w:rsidRDefault="0007251E" w:rsidP="0007251E">
            <w:pPr>
              <w:jc w:val="right"/>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63,031</w:t>
            </w:r>
          </w:p>
        </w:tc>
        <w:tc>
          <w:tcPr>
            <w:tcW w:w="1543" w:type="dxa"/>
            <w:tcBorders>
              <w:top w:val="nil"/>
              <w:left w:val="single" w:sz="8" w:space="0" w:color="000000"/>
              <w:bottom w:val="nil"/>
              <w:right w:val="single" w:sz="8" w:space="0" w:color="000000"/>
            </w:tcBorders>
            <w:shd w:val="clear" w:color="auto" w:fill="auto"/>
            <w:vAlign w:val="center"/>
            <w:hideMark/>
          </w:tcPr>
          <w:p w14:paraId="767AC817" w14:textId="77777777" w:rsidR="0007251E" w:rsidRPr="0007251E" w:rsidRDefault="0007251E" w:rsidP="0007251E">
            <w:pPr>
              <w:jc w:val="right"/>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63,031</w:t>
            </w:r>
          </w:p>
        </w:tc>
        <w:tc>
          <w:tcPr>
            <w:tcW w:w="1496" w:type="dxa"/>
            <w:tcBorders>
              <w:top w:val="nil"/>
              <w:left w:val="nil"/>
              <w:bottom w:val="nil"/>
              <w:right w:val="single" w:sz="8" w:space="0" w:color="000000"/>
            </w:tcBorders>
            <w:shd w:val="clear" w:color="auto" w:fill="auto"/>
            <w:vAlign w:val="center"/>
            <w:hideMark/>
          </w:tcPr>
          <w:p w14:paraId="5F5B1FF3" w14:textId="77777777" w:rsidR="0007251E" w:rsidRPr="0007251E" w:rsidRDefault="0007251E" w:rsidP="0007251E">
            <w:pPr>
              <w:jc w:val="right"/>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(193,261)</w:t>
            </w:r>
          </w:p>
        </w:tc>
        <w:tc>
          <w:tcPr>
            <w:tcW w:w="1638" w:type="dxa"/>
            <w:tcBorders>
              <w:top w:val="nil"/>
              <w:left w:val="nil"/>
              <w:bottom w:val="nil"/>
              <w:right w:val="nil"/>
            </w:tcBorders>
            <w:shd w:val="clear" w:color="auto" w:fill="auto"/>
            <w:vAlign w:val="center"/>
            <w:hideMark/>
          </w:tcPr>
          <w:p w14:paraId="45E5A862" w14:textId="77777777" w:rsidR="0007251E" w:rsidRPr="0007251E" w:rsidRDefault="0007251E" w:rsidP="0007251E">
            <w:pPr>
              <w:jc w:val="right"/>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(130,230)</w:t>
            </w:r>
          </w:p>
        </w:tc>
      </w:tr>
      <w:tr w:rsidR="0007251E" w:rsidRPr="0007251E" w14:paraId="7A18E705" w14:textId="77777777" w:rsidTr="00097018">
        <w:trPr>
          <w:trHeight w:val="74"/>
          <w:jc w:val="center"/>
        </w:trPr>
        <w:tc>
          <w:tcPr>
            <w:tcW w:w="6901" w:type="dxa"/>
            <w:tcBorders>
              <w:top w:val="nil"/>
              <w:left w:val="nil"/>
              <w:bottom w:val="nil"/>
              <w:right w:val="nil"/>
            </w:tcBorders>
            <w:shd w:val="clear" w:color="auto" w:fill="auto"/>
            <w:vAlign w:val="center"/>
            <w:hideMark/>
          </w:tcPr>
          <w:p w14:paraId="534E70E2" w14:textId="77777777" w:rsidR="0007251E" w:rsidRPr="0007251E" w:rsidRDefault="0007251E" w:rsidP="0007251E">
            <w:pPr>
              <w:rPr>
                <w:rFonts w:ascii="Verdana" w:eastAsia="Times New Roman" w:hAnsi="Verdana" w:cs="Calibri"/>
                <w:color w:val="000000"/>
                <w:sz w:val="16"/>
                <w:szCs w:val="16"/>
                <w:lang w:val="en-GB" w:eastAsia="en-GB"/>
              </w:rPr>
            </w:pPr>
            <w:r w:rsidRPr="0007251E">
              <w:rPr>
                <w:rFonts w:ascii="Verdana" w:eastAsia="Times New Roman" w:hAnsi="Verdana" w:cs="Calibri"/>
                <w:color w:val="000000"/>
                <w:sz w:val="16"/>
                <w:szCs w:val="16"/>
                <w:lang w:val="pt-BR" w:eastAsia="en-GB"/>
              </w:rPr>
              <w:t>Adjustments between accounting basis and funding basis under regulations</w:t>
            </w:r>
          </w:p>
        </w:tc>
        <w:tc>
          <w:tcPr>
            <w:tcW w:w="1776" w:type="dxa"/>
            <w:tcBorders>
              <w:top w:val="nil"/>
              <w:left w:val="single" w:sz="8" w:space="0" w:color="000000"/>
              <w:bottom w:val="single" w:sz="8" w:space="0" w:color="000000"/>
              <w:right w:val="single" w:sz="8" w:space="0" w:color="000000"/>
            </w:tcBorders>
            <w:shd w:val="clear" w:color="auto" w:fill="auto"/>
            <w:vAlign w:val="center"/>
            <w:hideMark/>
          </w:tcPr>
          <w:p w14:paraId="034D6938" w14:textId="77777777" w:rsidR="0007251E" w:rsidRPr="0007251E" w:rsidRDefault="0007251E" w:rsidP="0007251E">
            <w:pPr>
              <w:jc w:val="right"/>
              <w:rPr>
                <w:rFonts w:ascii="Verdana" w:eastAsia="Times New Roman" w:hAnsi="Verdana" w:cs="Calibri"/>
                <w:color w:val="000000"/>
                <w:sz w:val="16"/>
                <w:szCs w:val="16"/>
                <w:lang w:val="en-GB" w:eastAsia="en-GB"/>
              </w:rPr>
            </w:pPr>
            <w:r w:rsidRPr="0007251E">
              <w:rPr>
                <w:rFonts w:ascii="Verdana" w:eastAsia="Times New Roman" w:hAnsi="Verdana" w:cs="Calibri"/>
                <w:color w:val="000000"/>
                <w:sz w:val="16"/>
                <w:szCs w:val="16"/>
                <w:lang w:val="pt-BR" w:eastAsia="en-GB"/>
              </w:rPr>
              <w:t>(63,031)</w:t>
            </w:r>
          </w:p>
        </w:tc>
        <w:tc>
          <w:tcPr>
            <w:tcW w:w="1543" w:type="dxa"/>
            <w:tcBorders>
              <w:top w:val="nil"/>
              <w:left w:val="nil"/>
              <w:bottom w:val="single" w:sz="8" w:space="0" w:color="auto"/>
              <w:right w:val="single" w:sz="8" w:space="0" w:color="000000"/>
            </w:tcBorders>
            <w:shd w:val="clear" w:color="auto" w:fill="auto"/>
            <w:vAlign w:val="center"/>
            <w:hideMark/>
          </w:tcPr>
          <w:p w14:paraId="4BCA3806" w14:textId="77777777" w:rsidR="0007251E" w:rsidRPr="0007251E" w:rsidRDefault="0007251E" w:rsidP="0007251E">
            <w:pPr>
              <w:jc w:val="right"/>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(63,031)</w:t>
            </w:r>
          </w:p>
        </w:tc>
        <w:tc>
          <w:tcPr>
            <w:tcW w:w="1496" w:type="dxa"/>
            <w:tcBorders>
              <w:top w:val="nil"/>
              <w:left w:val="nil"/>
              <w:bottom w:val="single" w:sz="8" w:space="0" w:color="auto"/>
              <w:right w:val="nil"/>
            </w:tcBorders>
            <w:shd w:val="clear" w:color="auto" w:fill="auto"/>
            <w:vAlign w:val="center"/>
            <w:hideMark/>
          </w:tcPr>
          <w:p w14:paraId="27D41E3E" w14:textId="6FC40D53" w:rsidR="0007251E" w:rsidRPr="0007251E" w:rsidRDefault="0007251E" w:rsidP="0007251E">
            <w:pPr>
              <w:jc w:val="right"/>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63</w:t>
            </w:r>
            <w:r w:rsidR="00097018">
              <w:rPr>
                <w:rFonts w:ascii="Verdana" w:eastAsia="Times New Roman" w:hAnsi="Verdana" w:cs="Calibri"/>
                <w:b/>
                <w:bCs/>
                <w:color w:val="000000"/>
                <w:sz w:val="16"/>
                <w:szCs w:val="16"/>
                <w:lang w:val="pt-BR" w:eastAsia="en-GB"/>
              </w:rPr>
              <w:t>,</w:t>
            </w:r>
            <w:r w:rsidRPr="0007251E">
              <w:rPr>
                <w:rFonts w:ascii="Verdana" w:eastAsia="Times New Roman" w:hAnsi="Verdana" w:cs="Calibri"/>
                <w:b/>
                <w:bCs/>
                <w:color w:val="000000"/>
                <w:sz w:val="16"/>
                <w:szCs w:val="16"/>
                <w:lang w:val="pt-BR" w:eastAsia="en-GB"/>
              </w:rPr>
              <w:t>031</w:t>
            </w:r>
          </w:p>
        </w:tc>
        <w:tc>
          <w:tcPr>
            <w:tcW w:w="1638" w:type="dxa"/>
            <w:tcBorders>
              <w:top w:val="nil"/>
              <w:left w:val="single" w:sz="8" w:space="0" w:color="000000"/>
              <w:bottom w:val="single" w:sz="8" w:space="0" w:color="auto"/>
              <w:right w:val="nil"/>
            </w:tcBorders>
            <w:shd w:val="clear" w:color="auto" w:fill="auto"/>
            <w:vAlign w:val="center"/>
            <w:hideMark/>
          </w:tcPr>
          <w:p w14:paraId="0F98F5C3" w14:textId="77777777" w:rsidR="0007251E" w:rsidRPr="0007251E" w:rsidRDefault="0007251E" w:rsidP="0007251E">
            <w:pPr>
              <w:jc w:val="right"/>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0</w:t>
            </w:r>
          </w:p>
        </w:tc>
      </w:tr>
      <w:tr w:rsidR="0007251E" w:rsidRPr="0007251E" w14:paraId="5A9BBDFF" w14:textId="77777777" w:rsidTr="00097018">
        <w:trPr>
          <w:trHeight w:val="336"/>
          <w:jc w:val="center"/>
        </w:trPr>
        <w:tc>
          <w:tcPr>
            <w:tcW w:w="6901" w:type="dxa"/>
            <w:tcBorders>
              <w:top w:val="single" w:sz="8" w:space="0" w:color="000000"/>
              <w:left w:val="nil"/>
              <w:bottom w:val="single" w:sz="8" w:space="0" w:color="000000"/>
              <w:right w:val="nil"/>
            </w:tcBorders>
            <w:shd w:val="clear" w:color="auto" w:fill="auto"/>
            <w:vAlign w:val="center"/>
            <w:hideMark/>
          </w:tcPr>
          <w:p w14:paraId="286398F6" w14:textId="77777777" w:rsidR="0007251E" w:rsidRPr="0007251E" w:rsidRDefault="0007251E" w:rsidP="0007251E">
            <w:pPr>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Increase or Decrease in 2019/20</w:t>
            </w:r>
          </w:p>
        </w:tc>
        <w:tc>
          <w:tcPr>
            <w:tcW w:w="1776" w:type="dxa"/>
            <w:tcBorders>
              <w:top w:val="nil"/>
              <w:left w:val="single" w:sz="8" w:space="0" w:color="000000"/>
              <w:bottom w:val="single" w:sz="8" w:space="0" w:color="auto"/>
              <w:right w:val="nil"/>
            </w:tcBorders>
            <w:shd w:val="clear" w:color="auto" w:fill="auto"/>
            <w:vAlign w:val="center"/>
            <w:hideMark/>
          </w:tcPr>
          <w:p w14:paraId="0FEFEFCF" w14:textId="77777777" w:rsidR="0007251E" w:rsidRPr="0007251E" w:rsidRDefault="0007251E" w:rsidP="0007251E">
            <w:pPr>
              <w:jc w:val="right"/>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0</w:t>
            </w:r>
          </w:p>
        </w:tc>
        <w:tc>
          <w:tcPr>
            <w:tcW w:w="1543" w:type="dxa"/>
            <w:tcBorders>
              <w:top w:val="nil"/>
              <w:left w:val="single" w:sz="8" w:space="0" w:color="000000"/>
              <w:bottom w:val="single" w:sz="8" w:space="0" w:color="auto"/>
              <w:right w:val="nil"/>
            </w:tcBorders>
            <w:shd w:val="clear" w:color="auto" w:fill="auto"/>
            <w:vAlign w:val="center"/>
            <w:hideMark/>
          </w:tcPr>
          <w:p w14:paraId="02CF94E5" w14:textId="77777777" w:rsidR="0007251E" w:rsidRPr="0007251E" w:rsidRDefault="0007251E" w:rsidP="0007251E">
            <w:pPr>
              <w:jc w:val="right"/>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0</w:t>
            </w:r>
          </w:p>
        </w:tc>
        <w:tc>
          <w:tcPr>
            <w:tcW w:w="1496" w:type="dxa"/>
            <w:tcBorders>
              <w:top w:val="nil"/>
              <w:left w:val="single" w:sz="8" w:space="0" w:color="000000"/>
              <w:bottom w:val="single" w:sz="8" w:space="0" w:color="auto"/>
              <w:right w:val="nil"/>
            </w:tcBorders>
            <w:shd w:val="clear" w:color="auto" w:fill="auto"/>
            <w:vAlign w:val="center"/>
            <w:hideMark/>
          </w:tcPr>
          <w:p w14:paraId="708FCD9C" w14:textId="77777777" w:rsidR="0007251E" w:rsidRPr="0007251E" w:rsidRDefault="0007251E" w:rsidP="0007251E">
            <w:pPr>
              <w:jc w:val="right"/>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(130,230)</w:t>
            </w:r>
          </w:p>
        </w:tc>
        <w:tc>
          <w:tcPr>
            <w:tcW w:w="1638" w:type="dxa"/>
            <w:tcBorders>
              <w:top w:val="nil"/>
              <w:left w:val="single" w:sz="8" w:space="0" w:color="000000"/>
              <w:bottom w:val="single" w:sz="8" w:space="0" w:color="auto"/>
              <w:right w:val="nil"/>
            </w:tcBorders>
            <w:shd w:val="clear" w:color="auto" w:fill="auto"/>
            <w:vAlign w:val="center"/>
            <w:hideMark/>
          </w:tcPr>
          <w:p w14:paraId="57CFD142" w14:textId="77777777" w:rsidR="0007251E" w:rsidRPr="0007251E" w:rsidRDefault="0007251E" w:rsidP="0007251E">
            <w:pPr>
              <w:jc w:val="right"/>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(130,230)</w:t>
            </w:r>
          </w:p>
        </w:tc>
      </w:tr>
      <w:tr w:rsidR="0007251E" w:rsidRPr="0007251E" w14:paraId="5F25AE32" w14:textId="77777777" w:rsidTr="00097018">
        <w:trPr>
          <w:trHeight w:val="54"/>
          <w:jc w:val="center"/>
        </w:trPr>
        <w:tc>
          <w:tcPr>
            <w:tcW w:w="6901" w:type="dxa"/>
            <w:tcBorders>
              <w:top w:val="single" w:sz="8" w:space="0" w:color="000000"/>
              <w:left w:val="nil"/>
              <w:bottom w:val="single" w:sz="4" w:space="0" w:color="auto"/>
              <w:right w:val="nil"/>
            </w:tcBorders>
            <w:shd w:val="clear" w:color="auto" w:fill="auto"/>
            <w:vAlign w:val="center"/>
            <w:hideMark/>
          </w:tcPr>
          <w:p w14:paraId="23D4C47E" w14:textId="77777777" w:rsidR="0007251E" w:rsidRPr="0007251E" w:rsidRDefault="0007251E" w:rsidP="0007251E">
            <w:pPr>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Balance at 31 March 2020</w:t>
            </w:r>
          </w:p>
        </w:tc>
        <w:tc>
          <w:tcPr>
            <w:tcW w:w="1776" w:type="dxa"/>
            <w:tcBorders>
              <w:top w:val="nil"/>
              <w:left w:val="single" w:sz="8" w:space="0" w:color="000000"/>
              <w:bottom w:val="single" w:sz="8" w:space="0" w:color="auto"/>
              <w:right w:val="nil"/>
            </w:tcBorders>
            <w:shd w:val="clear" w:color="auto" w:fill="auto"/>
            <w:vAlign w:val="center"/>
            <w:hideMark/>
          </w:tcPr>
          <w:p w14:paraId="3482DBFB" w14:textId="77777777" w:rsidR="0007251E" w:rsidRPr="0007251E" w:rsidRDefault="0007251E" w:rsidP="0007251E">
            <w:pPr>
              <w:jc w:val="right"/>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0</w:t>
            </w:r>
          </w:p>
        </w:tc>
        <w:tc>
          <w:tcPr>
            <w:tcW w:w="1543" w:type="dxa"/>
            <w:tcBorders>
              <w:top w:val="nil"/>
              <w:left w:val="single" w:sz="8" w:space="0" w:color="000000"/>
              <w:bottom w:val="single" w:sz="8" w:space="0" w:color="auto"/>
              <w:right w:val="nil"/>
            </w:tcBorders>
            <w:shd w:val="clear" w:color="auto" w:fill="auto"/>
            <w:vAlign w:val="center"/>
            <w:hideMark/>
          </w:tcPr>
          <w:p w14:paraId="1B3E0D98" w14:textId="77777777" w:rsidR="0007251E" w:rsidRPr="0007251E" w:rsidRDefault="0007251E" w:rsidP="0007251E">
            <w:pPr>
              <w:jc w:val="right"/>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0</w:t>
            </w:r>
          </w:p>
        </w:tc>
        <w:tc>
          <w:tcPr>
            <w:tcW w:w="1496" w:type="dxa"/>
            <w:tcBorders>
              <w:top w:val="nil"/>
              <w:left w:val="single" w:sz="8" w:space="0" w:color="000000"/>
              <w:bottom w:val="single" w:sz="8" w:space="0" w:color="auto"/>
              <w:right w:val="nil"/>
            </w:tcBorders>
            <w:shd w:val="clear" w:color="auto" w:fill="auto"/>
            <w:vAlign w:val="center"/>
            <w:hideMark/>
          </w:tcPr>
          <w:p w14:paraId="369C38CA" w14:textId="77777777" w:rsidR="0007251E" w:rsidRPr="0007251E" w:rsidRDefault="0007251E" w:rsidP="0007251E">
            <w:pPr>
              <w:jc w:val="right"/>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2,027,608</w:t>
            </w:r>
          </w:p>
        </w:tc>
        <w:tc>
          <w:tcPr>
            <w:tcW w:w="1638" w:type="dxa"/>
            <w:tcBorders>
              <w:top w:val="nil"/>
              <w:left w:val="single" w:sz="8" w:space="0" w:color="000000"/>
              <w:bottom w:val="single" w:sz="8" w:space="0" w:color="auto"/>
              <w:right w:val="nil"/>
            </w:tcBorders>
            <w:shd w:val="clear" w:color="auto" w:fill="auto"/>
            <w:vAlign w:val="center"/>
            <w:hideMark/>
          </w:tcPr>
          <w:p w14:paraId="223B7C8B" w14:textId="77777777" w:rsidR="0007251E" w:rsidRPr="0007251E" w:rsidRDefault="0007251E" w:rsidP="0007251E">
            <w:pPr>
              <w:jc w:val="right"/>
              <w:rPr>
                <w:rFonts w:ascii="Verdana" w:eastAsia="Times New Roman" w:hAnsi="Verdana" w:cs="Calibri"/>
                <w:b/>
                <w:bCs/>
                <w:color w:val="000000"/>
                <w:sz w:val="16"/>
                <w:szCs w:val="16"/>
                <w:lang w:val="en-GB" w:eastAsia="en-GB"/>
              </w:rPr>
            </w:pPr>
            <w:r w:rsidRPr="0007251E">
              <w:rPr>
                <w:rFonts w:ascii="Verdana" w:eastAsia="Times New Roman" w:hAnsi="Verdana" w:cs="Calibri"/>
                <w:b/>
                <w:bCs/>
                <w:color w:val="000000"/>
                <w:sz w:val="16"/>
                <w:szCs w:val="16"/>
                <w:lang w:val="pt-BR" w:eastAsia="en-GB"/>
              </w:rPr>
              <w:t>2,027,608</w:t>
            </w:r>
          </w:p>
        </w:tc>
      </w:tr>
    </w:tbl>
    <w:p w14:paraId="43989BDD" w14:textId="77777777" w:rsidR="0007251E" w:rsidRDefault="0007251E" w:rsidP="00080023">
      <w:pPr>
        <w:pStyle w:val="Normal0"/>
        <w:spacing w:after="160" w:line="259" w:lineRule="auto"/>
        <w:jc w:val="both"/>
        <w:rPr>
          <w:rFonts w:ascii="Verdana" w:eastAsia="Calibri" w:hAnsi="Verdana" w:cs="Arial"/>
          <w:sz w:val="22"/>
          <w:szCs w:val="22"/>
          <w:lang w:val="pt-BR"/>
        </w:rPr>
      </w:pPr>
    </w:p>
    <w:p w14:paraId="50A0561C" w14:textId="77777777" w:rsidR="00F227D9" w:rsidRPr="00DC1077" w:rsidRDefault="00BD4D89" w:rsidP="001A0AA1">
      <w:pPr>
        <w:pStyle w:val="T1TableStyle"/>
        <w:rPr>
          <w:rFonts w:ascii="Verdana" w:hAnsi="Verdana"/>
          <w:sz w:val="22"/>
          <w:szCs w:val="22"/>
          <w:highlight w:val="yellow"/>
          <w:lang w:val="pt-BR"/>
        </w:rPr>
        <w:sectPr w:rsidR="00F227D9" w:rsidRPr="00DC1077" w:rsidSect="00B54A0C">
          <w:pgSz w:w="16840" w:h="11900" w:orient="landscape"/>
          <w:pgMar w:top="709" w:right="720" w:bottom="567" w:left="720" w:header="708" w:footer="708" w:gutter="0"/>
          <w:cols w:space="708"/>
          <w:docGrid w:linePitch="360"/>
        </w:sectPr>
      </w:pPr>
      <w:r w:rsidRPr="00DC1077">
        <w:rPr>
          <w:rFonts w:ascii="Verdana" w:hAnsi="Verdana"/>
          <w:sz w:val="22"/>
          <w:szCs w:val="22"/>
          <w:highlight w:val="yellow"/>
          <w:lang w:val="pt-BR"/>
        </w:rPr>
        <w:br w:type="textWrapping" w:clear="all"/>
      </w:r>
    </w:p>
    <w:p w14:paraId="32144E6F" w14:textId="77777777" w:rsidR="00F227D9" w:rsidRPr="00A0232C" w:rsidRDefault="00F227D9" w:rsidP="00F227D9">
      <w:pPr>
        <w:pStyle w:val="Heading1"/>
        <w:spacing w:after="240"/>
        <w:rPr>
          <w:lang w:val="pt-BR"/>
        </w:rPr>
      </w:pPr>
      <w:bookmarkStart w:id="6" w:name="_Toc77095557"/>
      <w:r w:rsidRPr="00A0232C">
        <w:rPr>
          <w:lang w:val="pt-BR"/>
        </w:rPr>
        <w:t>Comprehensive Income and Expenditure Statement</w:t>
      </w:r>
      <w:bookmarkEnd w:id="6"/>
      <w:r w:rsidRPr="00A0232C">
        <w:rPr>
          <w:lang w:val="pt-BR"/>
        </w:rPr>
        <w:t xml:space="preserve"> </w:t>
      </w:r>
    </w:p>
    <w:p w14:paraId="6045AEAB" w14:textId="526D0D25" w:rsidR="00097018" w:rsidRPr="00A0232C" w:rsidRDefault="00F227D9" w:rsidP="00080023">
      <w:pPr>
        <w:pStyle w:val="Normal0"/>
        <w:spacing w:after="160"/>
        <w:jc w:val="both"/>
        <w:rPr>
          <w:rFonts w:ascii="Verdana" w:eastAsia="Verdana" w:hAnsi="Verdana" w:cs="Verdana"/>
          <w:sz w:val="22"/>
          <w:szCs w:val="22"/>
          <w:lang w:val="en-GB"/>
        </w:rPr>
      </w:pPr>
      <w:r w:rsidRPr="00A0232C">
        <w:rPr>
          <w:rFonts w:ascii="Verdana" w:eastAsia="Verdana" w:hAnsi="Verdana" w:cs="Verdana"/>
          <w:sz w:val="22"/>
          <w:szCs w:val="22"/>
          <w:lang w:val="en-GB"/>
        </w:rPr>
        <w:t>The Comprehensive Income and Expenditure Statement shows the accounting cost in the year of providing services in accordance with generally accepted accounting practices, rather than the amount to be funded from taxation. Police and Crime Commissioners raise taxation to cover expenditure in accordance with statutory requirements; this may be different from the accounting cost. The taxation position is shown in both the Expenditure and Funding Analysis and the Movement in Reserves Statement.</w:t>
      </w:r>
    </w:p>
    <w:tbl>
      <w:tblPr>
        <w:tblW w:w="15206" w:type="dxa"/>
        <w:tblLayout w:type="fixed"/>
        <w:tblLook w:val="04A0" w:firstRow="1" w:lastRow="0" w:firstColumn="1" w:lastColumn="0" w:noHBand="0" w:noVBand="1"/>
      </w:tblPr>
      <w:tblGrid>
        <w:gridCol w:w="1304"/>
        <w:gridCol w:w="1425"/>
        <w:gridCol w:w="1281"/>
        <w:gridCol w:w="1139"/>
        <w:gridCol w:w="4214"/>
        <w:gridCol w:w="1811"/>
        <w:gridCol w:w="1880"/>
        <w:gridCol w:w="1688"/>
        <w:gridCol w:w="464"/>
      </w:tblGrid>
      <w:tr w:rsidR="00A0232C" w:rsidRPr="00A0232C" w14:paraId="40B3CE62" w14:textId="77777777" w:rsidTr="0073748E">
        <w:trPr>
          <w:trHeight w:val="212"/>
        </w:trPr>
        <w:tc>
          <w:tcPr>
            <w:tcW w:w="4010" w:type="dxa"/>
            <w:gridSpan w:val="3"/>
            <w:tcBorders>
              <w:top w:val="nil"/>
              <w:left w:val="nil"/>
              <w:bottom w:val="nil"/>
              <w:right w:val="nil"/>
            </w:tcBorders>
            <w:shd w:val="clear" w:color="auto" w:fill="auto"/>
            <w:vAlign w:val="center"/>
            <w:hideMark/>
          </w:tcPr>
          <w:p w14:paraId="3D9D92EB" w14:textId="77777777" w:rsidR="00A0232C" w:rsidRPr="00A0232C" w:rsidRDefault="00A0232C" w:rsidP="00A0232C">
            <w:pPr>
              <w:jc w:val="center"/>
              <w:rPr>
                <w:rFonts w:ascii="Verdana" w:eastAsia="Times New Roman" w:hAnsi="Verdana" w:cs="Calibri"/>
                <w:b/>
                <w:bCs/>
                <w:color w:val="000000"/>
                <w:sz w:val="16"/>
                <w:szCs w:val="16"/>
                <w:lang w:val="en-GB" w:eastAsia="en-GB"/>
              </w:rPr>
            </w:pPr>
            <w:r w:rsidRPr="00A0232C">
              <w:rPr>
                <w:rFonts w:ascii="Verdana" w:eastAsia="Times New Roman" w:hAnsi="Verdana" w:cs="Calibri"/>
                <w:b/>
                <w:bCs/>
                <w:color w:val="000000"/>
                <w:sz w:val="16"/>
                <w:szCs w:val="16"/>
                <w:lang w:val="en-GB" w:eastAsia="en-GB"/>
              </w:rPr>
              <w:t>2019/20</w:t>
            </w:r>
          </w:p>
        </w:tc>
        <w:tc>
          <w:tcPr>
            <w:tcW w:w="1139" w:type="dxa"/>
            <w:tcBorders>
              <w:top w:val="nil"/>
              <w:left w:val="nil"/>
              <w:bottom w:val="nil"/>
              <w:right w:val="nil"/>
            </w:tcBorders>
            <w:shd w:val="clear" w:color="auto" w:fill="auto"/>
            <w:vAlign w:val="center"/>
            <w:hideMark/>
          </w:tcPr>
          <w:p w14:paraId="611A1943" w14:textId="77777777" w:rsidR="00A0232C" w:rsidRPr="00A0232C" w:rsidRDefault="00A0232C" w:rsidP="00A0232C">
            <w:pPr>
              <w:jc w:val="center"/>
              <w:rPr>
                <w:rFonts w:ascii="Calibri" w:eastAsia="Times New Roman" w:hAnsi="Calibri" w:cs="Calibri"/>
                <w:b/>
                <w:bCs/>
                <w:color w:val="000000"/>
                <w:sz w:val="2"/>
                <w:szCs w:val="2"/>
                <w:lang w:val="en-GB" w:eastAsia="en-GB"/>
              </w:rPr>
            </w:pPr>
            <w:r w:rsidRPr="00A0232C">
              <w:rPr>
                <w:rFonts w:ascii="Calibri" w:eastAsia="Times New Roman" w:hAnsi="Calibri" w:cs="Calibri"/>
                <w:b/>
                <w:bCs/>
                <w:color w:val="000000"/>
                <w:sz w:val="2"/>
                <w:szCs w:val="2"/>
                <w:lang w:val="en-GB" w:eastAsia="en-GB"/>
              </w:rPr>
              <w:t xml:space="preserve"> </w:t>
            </w:r>
          </w:p>
        </w:tc>
        <w:tc>
          <w:tcPr>
            <w:tcW w:w="4214" w:type="dxa"/>
            <w:tcBorders>
              <w:top w:val="nil"/>
              <w:left w:val="nil"/>
              <w:bottom w:val="nil"/>
              <w:right w:val="nil"/>
            </w:tcBorders>
            <w:shd w:val="clear" w:color="auto" w:fill="auto"/>
            <w:vAlign w:val="center"/>
            <w:hideMark/>
          </w:tcPr>
          <w:p w14:paraId="4147FBA7" w14:textId="77777777" w:rsidR="00A0232C" w:rsidRPr="00A0232C" w:rsidRDefault="00A0232C" w:rsidP="00A0232C">
            <w:pPr>
              <w:jc w:val="center"/>
              <w:rPr>
                <w:rFonts w:ascii="Verdana" w:eastAsia="Times New Roman" w:hAnsi="Verdana" w:cs="Calibri"/>
                <w:b/>
                <w:bCs/>
                <w:color w:val="000000"/>
                <w:sz w:val="2"/>
                <w:szCs w:val="2"/>
                <w:lang w:val="en-GB" w:eastAsia="en-GB"/>
              </w:rPr>
            </w:pPr>
            <w:r w:rsidRPr="00A0232C">
              <w:rPr>
                <w:rFonts w:ascii="Verdana" w:eastAsia="Times New Roman" w:hAnsi="Verdana" w:cs="Calibri"/>
                <w:b/>
                <w:bCs/>
                <w:color w:val="000000"/>
                <w:sz w:val="2"/>
                <w:szCs w:val="2"/>
                <w:lang w:val="en-GB" w:eastAsia="en-GB"/>
              </w:rPr>
              <w:t xml:space="preserve"> </w:t>
            </w:r>
          </w:p>
        </w:tc>
        <w:tc>
          <w:tcPr>
            <w:tcW w:w="5843" w:type="dxa"/>
            <w:gridSpan w:val="4"/>
            <w:tcBorders>
              <w:top w:val="nil"/>
              <w:left w:val="nil"/>
              <w:bottom w:val="nil"/>
              <w:right w:val="nil"/>
            </w:tcBorders>
            <w:shd w:val="clear" w:color="auto" w:fill="auto"/>
            <w:vAlign w:val="center"/>
            <w:hideMark/>
          </w:tcPr>
          <w:p w14:paraId="018E071F" w14:textId="77777777" w:rsidR="00A0232C" w:rsidRPr="00A0232C" w:rsidRDefault="00A0232C" w:rsidP="00A0232C">
            <w:pPr>
              <w:jc w:val="center"/>
              <w:rPr>
                <w:rFonts w:ascii="Verdana" w:eastAsia="Times New Roman" w:hAnsi="Verdana" w:cs="Calibri"/>
                <w:b/>
                <w:bCs/>
                <w:color w:val="000000"/>
                <w:sz w:val="16"/>
                <w:szCs w:val="16"/>
                <w:lang w:val="en-GB" w:eastAsia="en-GB"/>
              </w:rPr>
            </w:pPr>
            <w:r w:rsidRPr="00A0232C">
              <w:rPr>
                <w:rFonts w:ascii="Verdana" w:eastAsia="Times New Roman" w:hAnsi="Verdana" w:cs="Calibri"/>
                <w:b/>
                <w:bCs/>
                <w:color w:val="000000"/>
                <w:sz w:val="16"/>
                <w:szCs w:val="16"/>
                <w:lang w:val="en-GB" w:eastAsia="en-GB"/>
              </w:rPr>
              <w:t>2020/21</w:t>
            </w:r>
          </w:p>
        </w:tc>
      </w:tr>
      <w:tr w:rsidR="00A0232C" w:rsidRPr="00A0232C" w14:paraId="31B775B4" w14:textId="77777777" w:rsidTr="0073748E">
        <w:trPr>
          <w:gridAfter w:val="1"/>
          <w:wAfter w:w="464" w:type="dxa"/>
          <w:cantSplit/>
          <w:trHeight w:val="283"/>
        </w:trPr>
        <w:tc>
          <w:tcPr>
            <w:tcW w:w="1304" w:type="dxa"/>
            <w:tcBorders>
              <w:top w:val="nil"/>
              <w:left w:val="nil"/>
              <w:bottom w:val="nil"/>
              <w:right w:val="nil"/>
            </w:tcBorders>
            <w:shd w:val="clear" w:color="auto" w:fill="auto"/>
            <w:vAlign w:val="center"/>
            <w:hideMark/>
          </w:tcPr>
          <w:p w14:paraId="4D016031" w14:textId="77777777" w:rsidR="00A0232C" w:rsidRPr="00A0232C" w:rsidRDefault="00A0232C" w:rsidP="00A0232C">
            <w:pPr>
              <w:jc w:val="center"/>
              <w:rPr>
                <w:rFonts w:ascii="Verdana" w:eastAsia="Times New Roman" w:hAnsi="Verdana" w:cs="Calibri"/>
                <w:b/>
                <w:bCs/>
                <w:color w:val="000000"/>
                <w:sz w:val="16"/>
                <w:szCs w:val="16"/>
                <w:lang w:val="en-GB" w:eastAsia="en-GB"/>
              </w:rPr>
            </w:pPr>
            <w:r w:rsidRPr="00A0232C">
              <w:rPr>
                <w:rFonts w:ascii="Verdana" w:eastAsia="Times New Roman" w:hAnsi="Verdana" w:cs="Calibri"/>
                <w:b/>
                <w:bCs/>
                <w:color w:val="000000"/>
                <w:sz w:val="16"/>
                <w:szCs w:val="16"/>
                <w:lang w:val="en-GB" w:eastAsia="en-GB"/>
              </w:rPr>
              <w:t>Expenditure</w:t>
            </w:r>
          </w:p>
        </w:tc>
        <w:tc>
          <w:tcPr>
            <w:tcW w:w="1425" w:type="dxa"/>
            <w:tcBorders>
              <w:top w:val="nil"/>
              <w:left w:val="nil"/>
              <w:bottom w:val="nil"/>
              <w:right w:val="nil"/>
            </w:tcBorders>
            <w:shd w:val="clear" w:color="auto" w:fill="auto"/>
            <w:vAlign w:val="center"/>
            <w:hideMark/>
          </w:tcPr>
          <w:p w14:paraId="48D40DE5" w14:textId="77777777" w:rsidR="00A0232C" w:rsidRPr="00A0232C" w:rsidRDefault="00A0232C" w:rsidP="00A0232C">
            <w:pPr>
              <w:jc w:val="center"/>
              <w:rPr>
                <w:rFonts w:ascii="Verdana" w:eastAsia="Times New Roman" w:hAnsi="Verdana" w:cs="Calibri"/>
                <w:b/>
                <w:bCs/>
                <w:color w:val="000000"/>
                <w:sz w:val="16"/>
                <w:szCs w:val="16"/>
                <w:lang w:val="en-GB" w:eastAsia="en-GB"/>
              </w:rPr>
            </w:pPr>
            <w:r w:rsidRPr="00A0232C">
              <w:rPr>
                <w:rFonts w:ascii="Verdana" w:eastAsia="Times New Roman" w:hAnsi="Verdana" w:cs="Calibri"/>
                <w:b/>
                <w:bCs/>
                <w:color w:val="000000"/>
                <w:sz w:val="16"/>
                <w:szCs w:val="16"/>
                <w:lang w:val="en-GB" w:eastAsia="en-GB"/>
              </w:rPr>
              <w:t>Income</w:t>
            </w:r>
          </w:p>
        </w:tc>
        <w:tc>
          <w:tcPr>
            <w:tcW w:w="1281" w:type="dxa"/>
            <w:tcBorders>
              <w:top w:val="nil"/>
              <w:left w:val="nil"/>
              <w:bottom w:val="nil"/>
              <w:right w:val="nil"/>
            </w:tcBorders>
            <w:shd w:val="clear" w:color="auto" w:fill="auto"/>
            <w:vAlign w:val="center"/>
            <w:hideMark/>
          </w:tcPr>
          <w:p w14:paraId="0A25D8B8" w14:textId="77777777" w:rsidR="00A0232C" w:rsidRPr="00A0232C" w:rsidRDefault="00A0232C" w:rsidP="00A0232C">
            <w:pPr>
              <w:jc w:val="center"/>
              <w:rPr>
                <w:rFonts w:ascii="Verdana" w:eastAsia="Times New Roman" w:hAnsi="Verdana" w:cs="Calibri"/>
                <w:b/>
                <w:bCs/>
                <w:color w:val="000000"/>
                <w:sz w:val="16"/>
                <w:szCs w:val="16"/>
                <w:lang w:val="en-GB" w:eastAsia="en-GB"/>
              </w:rPr>
            </w:pPr>
            <w:r w:rsidRPr="00A0232C">
              <w:rPr>
                <w:rFonts w:ascii="Verdana" w:eastAsia="Times New Roman" w:hAnsi="Verdana" w:cs="Calibri"/>
                <w:b/>
                <w:bCs/>
                <w:color w:val="000000"/>
                <w:sz w:val="16"/>
                <w:szCs w:val="16"/>
                <w:lang w:val="en-GB" w:eastAsia="en-GB"/>
              </w:rPr>
              <w:t>Net</w:t>
            </w:r>
          </w:p>
        </w:tc>
        <w:tc>
          <w:tcPr>
            <w:tcW w:w="1139" w:type="dxa"/>
            <w:tcBorders>
              <w:top w:val="nil"/>
              <w:left w:val="nil"/>
              <w:bottom w:val="nil"/>
              <w:right w:val="nil"/>
            </w:tcBorders>
            <w:shd w:val="clear" w:color="auto" w:fill="auto"/>
            <w:vAlign w:val="center"/>
            <w:hideMark/>
          </w:tcPr>
          <w:p w14:paraId="68F7CC1B" w14:textId="77777777" w:rsidR="00A0232C" w:rsidRPr="00A0232C" w:rsidRDefault="00A0232C" w:rsidP="00A0232C">
            <w:pPr>
              <w:rPr>
                <w:rFonts w:ascii="Verdana" w:eastAsia="Times New Roman" w:hAnsi="Verdana" w:cs="Calibri"/>
                <w:b/>
                <w:bCs/>
                <w:color w:val="000000"/>
                <w:sz w:val="2"/>
                <w:szCs w:val="2"/>
                <w:lang w:val="en-GB" w:eastAsia="en-GB"/>
              </w:rPr>
            </w:pPr>
            <w:r w:rsidRPr="00A0232C">
              <w:rPr>
                <w:rFonts w:ascii="Verdana" w:eastAsia="Times New Roman" w:hAnsi="Verdana" w:cs="Calibri"/>
                <w:b/>
                <w:bCs/>
                <w:color w:val="000000"/>
                <w:sz w:val="2"/>
                <w:szCs w:val="2"/>
                <w:lang w:val="en-GB" w:eastAsia="en-GB"/>
              </w:rPr>
              <w:t xml:space="preserve"> </w:t>
            </w:r>
          </w:p>
        </w:tc>
        <w:tc>
          <w:tcPr>
            <w:tcW w:w="4214" w:type="dxa"/>
            <w:tcBorders>
              <w:top w:val="nil"/>
              <w:left w:val="nil"/>
              <w:bottom w:val="nil"/>
              <w:right w:val="nil"/>
            </w:tcBorders>
            <w:shd w:val="clear" w:color="auto" w:fill="auto"/>
            <w:vAlign w:val="center"/>
            <w:hideMark/>
          </w:tcPr>
          <w:p w14:paraId="055E09AB" w14:textId="77777777" w:rsidR="00A0232C" w:rsidRPr="00A0232C" w:rsidRDefault="00A0232C" w:rsidP="00A0232C">
            <w:pPr>
              <w:jc w:val="center"/>
              <w:rPr>
                <w:rFonts w:ascii="Verdana" w:eastAsia="Times New Roman" w:hAnsi="Verdana" w:cs="Calibri"/>
                <w:b/>
                <w:bCs/>
                <w:color w:val="000000"/>
                <w:sz w:val="2"/>
                <w:szCs w:val="2"/>
                <w:lang w:val="en-GB" w:eastAsia="en-GB"/>
              </w:rPr>
            </w:pPr>
            <w:r w:rsidRPr="00A0232C">
              <w:rPr>
                <w:rFonts w:ascii="Verdana" w:eastAsia="Times New Roman" w:hAnsi="Verdana" w:cs="Calibri"/>
                <w:b/>
                <w:bCs/>
                <w:color w:val="000000"/>
                <w:sz w:val="2"/>
                <w:szCs w:val="2"/>
                <w:lang w:val="en-GB" w:eastAsia="en-GB"/>
              </w:rPr>
              <w:t xml:space="preserve"> </w:t>
            </w:r>
          </w:p>
        </w:tc>
        <w:tc>
          <w:tcPr>
            <w:tcW w:w="1811" w:type="dxa"/>
            <w:tcBorders>
              <w:top w:val="nil"/>
              <w:left w:val="nil"/>
              <w:bottom w:val="nil"/>
              <w:right w:val="nil"/>
            </w:tcBorders>
            <w:shd w:val="clear" w:color="auto" w:fill="auto"/>
            <w:vAlign w:val="center"/>
            <w:hideMark/>
          </w:tcPr>
          <w:p w14:paraId="03A5A125" w14:textId="77777777" w:rsidR="00A0232C" w:rsidRPr="00A0232C" w:rsidRDefault="00A0232C" w:rsidP="00A0232C">
            <w:pPr>
              <w:jc w:val="center"/>
              <w:rPr>
                <w:rFonts w:ascii="Verdana" w:eastAsia="Times New Roman" w:hAnsi="Verdana" w:cs="Calibri"/>
                <w:b/>
                <w:bCs/>
                <w:color w:val="000000"/>
                <w:sz w:val="16"/>
                <w:szCs w:val="16"/>
                <w:lang w:val="en-GB" w:eastAsia="en-GB"/>
              </w:rPr>
            </w:pPr>
            <w:r w:rsidRPr="00A0232C">
              <w:rPr>
                <w:rFonts w:ascii="Verdana" w:eastAsia="Times New Roman" w:hAnsi="Verdana" w:cs="Calibri"/>
                <w:b/>
                <w:bCs/>
                <w:color w:val="000000"/>
                <w:sz w:val="16"/>
                <w:szCs w:val="16"/>
                <w:lang w:val="en-GB" w:eastAsia="en-GB"/>
              </w:rPr>
              <w:t>Expenditure</w:t>
            </w:r>
          </w:p>
        </w:tc>
        <w:tc>
          <w:tcPr>
            <w:tcW w:w="1880" w:type="dxa"/>
            <w:tcBorders>
              <w:top w:val="nil"/>
              <w:left w:val="nil"/>
              <w:bottom w:val="nil"/>
              <w:right w:val="nil"/>
            </w:tcBorders>
            <w:shd w:val="clear" w:color="auto" w:fill="auto"/>
            <w:vAlign w:val="center"/>
            <w:hideMark/>
          </w:tcPr>
          <w:p w14:paraId="0423A884" w14:textId="77777777" w:rsidR="00A0232C" w:rsidRPr="00A0232C" w:rsidRDefault="00A0232C" w:rsidP="00A0232C">
            <w:pPr>
              <w:jc w:val="center"/>
              <w:rPr>
                <w:rFonts w:ascii="Verdana" w:eastAsia="Times New Roman" w:hAnsi="Verdana" w:cs="Calibri"/>
                <w:b/>
                <w:bCs/>
                <w:color w:val="000000"/>
                <w:sz w:val="16"/>
                <w:szCs w:val="16"/>
                <w:lang w:val="en-GB" w:eastAsia="en-GB"/>
              </w:rPr>
            </w:pPr>
            <w:r w:rsidRPr="00A0232C">
              <w:rPr>
                <w:rFonts w:ascii="Verdana" w:eastAsia="Times New Roman" w:hAnsi="Verdana" w:cs="Calibri"/>
                <w:b/>
                <w:bCs/>
                <w:color w:val="000000"/>
                <w:sz w:val="16"/>
                <w:szCs w:val="16"/>
                <w:lang w:val="en-GB" w:eastAsia="en-GB"/>
              </w:rPr>
              <w:t>Income</w:t>
            </w:r>
          </w:p>
        </w:tc>
        <w:tc>
          <w:tcPr>
            <w:tcW w:w="1688" w:type="dxa"/>
            <w:tcBorders>
              <w:top w:val="nil"/>
              <w:left w:val="nil"/>
              <w:bottom w:val="nil"/>
              <w:right w:val="nil"/>
            </w:tcBorders>
            <w:shd w:val="clear" w:color="auto" w:fill="auto"/>
            <w:vAlign w:val="center"/>
            <w:hideMark/>
          </w:tcPr>
          <w:p w14:paraId="67047989" w14:textId="77777777" w:rsidR="00A0232C" w:rsidRPr="00A0232C" w:rsidRDefault="00A0232C" w:rsidP="00A0232C">
            <w:pPr>
              <w:jc w:val="center"/>
              <w:rPr>
                <w:rFonts w:ascii="Verdana" w:eastAsia="Times New Roman" w:hAnsi="Verdana" w:cs="Calibri"/>
                <w:b/>
                <w:bCs/>
                <w:color w:val="000000"/>
                <w:sz w:val="16"/>
                <w:szCs w:val="16"/>
                <w:lang w:val="en-GB" w:eastAsia="en-GB"/>
              </w:rPr>
            </w:pPr>
            <w:r w:rsidRPr="00A0232C">
              <w:rPr>
                <w:rFonts w:ascii="Verdana" w:eastAsia="Times New Roman" w:hAnsi="Verdana" w:cs="Calibri"/>
                <w:b/>
                <w:bCs/>
                <w:color w:val="000000"/>
                <w:sz w:val="16"/>
                <w:szCs w:val="16"/>
                <w:lang w:val="en-GB" w:eastAsia="en-GB"/>
              </w:rPr>
              <w:t>Net</w:t>
            </w:r>
          </w:p>
        </w:tc>
      </w:tr>
      <w:tr w:rsidR="00A0232C" w:rsidRPr="00A0232C" w14:paraId="5E61086B" w14:textId="77777777" w:rsidTr="0073748E">
        <w:trPr>
          <w:gridAfter w:val="1"/>
          <w:wAfter w:w="464" w:type="dxa"/>
          <w:cantSplit/>
          <w:trHeight w:val="223"/>
        </w:trPr>
        <w:tc>
          <w:tcPr>
            <w:tcW w:w="1304" w:type="dxa"/>
            <w:tcBorders>
              <w:top w:val="nil"/>
              <w:left w:val="nil"/>
              <w:bottom w:val="single" w:sz="8" w:space="0" w:color="000000"/>
              <w:right w:val="nil"/>
            </w:tcBorders>
            <w:shd w:val="clear" w:color="auto" w:fill="auto"/>
            <w:vAlign w:val="center"/>
            <w:hideMark/>
          </w:tcPr>
          <w:p w14:paraId="662B5AAC" w14:textId="77777777" w:rsidR="00A0232C" w:rsidRPr="00A0232C" w:rsidRDefault="00A0232C" w:rsidP="00A0232C">
            <w:pPr>
              <w:jc w:val="right"/>
              <w:rPr>
                <w:rFonts w:ascii="Verdana" w:eastAsia="Times New Roman" w:hAnsi="Verdana" w:cs="Calibri"/>
                <w:b/>
                <w:bCs/>
                <w:color w:val="000000"/>
                <w:sz w:val="16"/>
                <w:szCs w:val="16"/>
                <w:lang w:val="en-GB" w:eastAsia="en-GB"/>
              </w:rPr>
            </w:pPr>
            <w:r w:rsidRPr="00A0232C">
              <w:rPr>
                <w:rFonts w:ascii="Verdana" w:eastAsia="Times New Roman" w:hAnsi="Verdana" w:cs="Calibri"/>
                <w:b/>
                <w:bCs/>
                <w:color w:val="000000"/>
                <w:sz w:val="16"/>
                <w:szCs w:val="16"/>
                <w:lang w:val="en-GB" w:eastAsia="en-GB"/>
              </w:rPr>
              <w:t>£000</w:t>
            </w:r>
          </w:p>
        </w:tc>
        <w:tc>
          <w:tcPr>
            <w:tcW w:w="1425" w:type="dxa"/>
            <w:tcBorders>
              <w:top w:val="nil"/>
              <w:left w:val="nil"/>
              <w:bottom w:val="single" w:sz="8" w:space="0" w:color="000000"/>
              <w:right w:val="nil"/>
            </w:tcBorders>
            <w:shd w:val="clear" w:color="auto" w:fill="auto"/>
            <w:vAlign w:val="center"/>
            <w:hideMark/>
          </w:tcPr>
          <w:p w14:paraId="284261FC" w14:textId="77777777" w:rsidR="00A0232C" w:rsidRPr="00A0232C" w:rsidRDefault="00A0232C" w:rsidP="00A0232C">
            <w:pPr>
              <w:jc w:val="right"/>
              <w:rPr>
                <w:rFonts w:ascii="Verdana" w:eastAsia="Times New Roman" w:hAnsi="Verdana" w:cs="Calibri"/>
                <w:b/>
                <w:bCs/>
                <w:color w:val="000000"/>
                <w:sz w:val="16"/>
                <w:szCs w:val="16"/>
                <w:lang w:val="en-GB" w:eastAsia="en-GB"/>
              </w:rPr>
            </w:pPr>
            <w:r w:rsidRPr="00A0232C">
              <w:rPr>
                <w:rFonts w:ascii="Verdana" w:eastAsia="Times New Roman" w:hAnsi="Verdana" w:cs="Calibri"/>
                <w:b/>
                <w:bCs/>
                <w:color w:val="000000"/>
                <w:sz w:val="16"/>
                <w:szCs w:val="16"/>
                <w:lang w:val="en-GB" w:eastAsia="en-GB"/>
              </w:rPr>
              <w:t>£000</w:t>
            </w:r>
          </w:p>
        </w:tc>
        <w:tc>
          <w:tcPr>
            <w:tcW w:w="1281" w:type="dxa"/>
            <w:tcBorders>
              <w:top w:val="nil"/>
              <w:left w:val="nil"/>
              <w:bottom w:val="single" w:sz="8" w:space="0" w:color="000000"/>
              <w:right w:val="nil"/>
            </w:tcBorders>
            <w:shd w:val="clear" w:color="auto" w:fill="auto"/>
            <w:vAlign w:val="center"/>
            <w:hideMark/>
          </w:tcPr>
          <w:p w14:paraId="15B5D0CC" w14:textId="77777777" w:rsidR="00A0232C" w:rsidRPr="00A0232C" w:rsidRDefault="00A0232C" w:rsidP="00A0232C">
            <w:pPr>
              <w:jc w:val="right"/>
              <w:rPr>
                <w:rFonts w:ascii="Verdana" w:eastAsia="Times New Roman" w:hAnsi="Verdana" w:cs="Calibri"/>
                <w:b/>
                <w:bCs/>
                <w:color w:val="000000"/>
                <w:sz w:val="16"/>
                <w:szCs w:val="16"/>
                <w:lang w:val="en-GB" w:eastAsia="en-GB"/>
              </w:rPr>
            </w:pPr>
            <w:r w:rsidRPr="00A0232C">
              <w:rPr>
                <w:rFonts w:ascii="Verdana" w:eastAsia="Times New Roman" w:hAnsi="Verdana" w:cs="Calibri"/>
                <w:b/>
                <w:bCs/>
                <w:color w:val="000000"/>
                <w:sz w:val="16"/>
                <w:szCs w:val="16"/>
                <w:lang w:val="en-GB" w:eastAsia="en-GB"/>
              </w:rPr>
              <w:t>£000</w:t>
            </w:r>
          </w:p>
        </w:tc>
        <w:tc>
          <w:tcPr>
            <w:tcW w:w="1139" w:type="dxa"/>
            <w:tcBorders>
              <w:top w:val="nil"/>
              <w:left w:val="nil"/>
              <w:bottom w:val="single" w:sz="8" w:space="0" w:color="000000"/>
              <w:right w:val="nil"/>
            </w:tcBorders>
            <w:shd w:val="clear" w:color="auto" w:fill="auto"/>
            <w:vAlign w:val="center"/>
            <w:hideMark/>
          </w:tcPr>
          <w:p w14:paraId="7B17EA30" w14:textId="77777777" w:rsidR="00A0232C" w:rsidRPr="00A0232C" w:rsidRDefault="00A0232C" w:rsidP="00A0232C">
            <w:pPr>
              <w:jc w:val="center"/>
              <w:rPr>
                <w:rFonts w:ascii="Verdana" w:eastAsia="Times New Roman" w:hAnsi="Verdana" w:cs="Calibri"/>
                <w:b/>
                <w:bCs/>
                <w:color w:val="000000"/>
                <w:sz w:val="16"/>
                <w:szCs w:val="16"/>
                <w:lang w:val="en-GB" w:eastAsia="en-GB"/>
              </w:rPr>
            </w:pPr>
            <w:r w:rsidRPr="00A0232C">
              <w:rPr>
                <w:rFonts w:ascii="Verdana" w:eastAsia="Times New Roman" w:hAnsi="Verdana" w:cs="Calibri"/>
                <w:b/>
                <w:bCs/>
                <w:color w:val="000000"/>
                <w:sz w:val="16"/>
                <w:szCs w:val="16"/>
                <w:lang w:val="en-GB" w:eastAsia="en-GB"/>
              </w:rPr>
              <w:t>Notes</w:t>
            </w:r>
          </w:p>
        </w:tc>
        <w:tc>
          <w:tcPr>
            <w:tcW w:w="4214" w:type="dxa"/>
            <w:tcBorders>
              <w:top w:val="nil"/>
              <w:left w:val="nil"/>
              <w:bottom w:val="single" w:sz="8" w:space="0" w:color="000000"/>
              <w:right w:val="nil"/>
            </w:tcBorders>
            <w:shd w:val="clear" w:color="auto" w:fill="auto"/>
            <w:vAlign w:val="center"/>
            <w:hideMark/>
          </w:tcPr>
          <w:p w14:paraId="5F802999" w14:textId="77777777" w:rsidR="00A0232C" w:rsidRPr="00A0232C" w:rsidRDefault="00A0232C" w:rsidP="00A0232C">
            <w:pPr>
              <w:jc w:val="right"/>
              <w:rPr>
                <w:rFonts w:ascii="Verdana" w:eastAsia="Times New Roman" w:hAnsi="Verdana" w:cs="Calibri"/>
                <w:b/>
                <w:bCs/>
                <w:color w:val="000000"/>
                <w:sz w:val="2"/>
                <w:szCs w:val="2"/>
                <w:lang w:val="en-GB" w:eastAsia="en-GB"/>
              </w:rPr>
            </w:pPr>
            <w:r w:rsidRPr="00A0232C">
              <w:rPr>
                <w:rFonts w:ascii="Verdana" w:eastAsia="Times New Roman" w:hAnsi="Verdana" w:cs="Calibri"/>
                <w:b/>
                <w:bCs/>
                <w:color w:val="000000"/>
                <w:sz w:val="2"/>
                <w:szCs w:val="2"/>
                <w:lang w:val="en-GB" w:eastAsia="en-GB"/>
              </w:rPr>
              <w:t xml:space="preserve"> </w:t>
            </w:r>
          </w:p>
        </w:tc>
        <w:tc>
          <w:tcPr>
            <w:tcW w:w="1811" w:type="dxa"/>
            <w:tcBorders>
              <w:top w:val="nil"/>
              <w:left w:val="nil"/>
              <w:bottom w:val="single" w:sz="8" w:space="0" w:color="000000"/>
              <w:right w:val="nil"/>
            </w:tcBorders>
            <w:shd w:val="clear" w:color="auto" w:fill="auto"/>
            <w:vAlign w:val="center"/>
            <w:hideMark/>
          </w:tcPr>
          <w:p w14:paraId="52C8BDA7" w14:textId="77777777" w:rsidR="00A0232C" w:rsidRPr="00A0232C" w:rsidRDefault="00A0232C" w:rsidP="00A0232C">
            <w:pPr>
              <w:jc w:val="right"/>
              <w:rPr>
                <w:rFonts w:ascii="Verdana" w:eastAsia="Times New Roman" w:hAnsi="Verdana" w:cs="Calibri"/>
                <w:b/>
                <w:bCs/>
                <w:color w:val="000000"/>
                <w:sz w:val="16"/>
                <w:szCs w:val="16"/>
                <w:lang w:val="en-GB" w:eastAsia="en-GB"/>
              </w:rPr>
            </w:pPr>
            <w:r w:rsidRPr="00A0232C">
              <w:rPr>
                <w:rFonts w:ascii="Verdana" w:eastAsia="Times New Roman" w:hAnsi="Verdana" w:cs="Calibri"/>
                <w:b/>
                <w:bCs/>
                <w:color w:val="000000"/>
                <w:sz w:val="16"/>
                <w:szCs w:val="16"/>
                <w:lang w:val="en-GB" w:eastAsia="en-GB"/>
              </w:rPr>
              <w:t>£000</w:t>
            </w:r>
          </w:p>
        </w:tc>
        <w:tc>
          <w:tcPr>
            <w:tcW w:w="1880" w:type="dxa"/>
            <w:tcBorders>
              <w:top w:val="nil"/>
              <w:left w:val="nil"/>
              <w:bottom w:val="single" w:sz="8" w:space="0" w:color="000000"/>
              <w:right w:val="nil"/>
            </w:tcBorders>
            <w:shd w:val="clear" w:color="auto" w:fill="auto"/>
            <w:vAlign w:val="center"/>
            <w:hideMark/>
          </w:tcPr>
          <w:p w14:paraId="7A209F28" w14:textId="77777777" w:rsidR="00A0232C" w:rsidRPr="00A0232C" w:rsidRDefault="00A0232C" w:rsidP="00A0232C">
            <w:pPr>
              <w:jc w:val="right"/>
              <w:rPr>
                <w:rFonts w:ascii="Verdana" w:eastAsia="Times New Roman" w:hAnsi="Verdana" w:cs="Calibri"/>
                <w:b/>
                <w:bCs/>
                <w:color w:val="000000"/>
                <w:sz w:val="16"/>
                <w:szCs w:val="16"/>
                <w:lang w:val="en-GB" w:eastAsia="en-GB"/>
              </w:rPr>
            </w:pPr>
            <w:r w:rsidRPr="00A0232C">
              <w:rPr>
                <w:rFonts w:ascii="Verdana" w:eastAsia="Times New Roman" w:hAnsi="Verdana" w:cs="Calibri"/>
                <w:b/>
                <w:bCs/>
                <w:color w:val="000000"/>
                <w:sz w:val="16"/>
                <w:szCs w:val="16"/>
                <w:lang w:val="en-GB" w:eastAsia="en-GB"/>
              </w:rPr>
              <w:t>£000</w:t>
            </w:r>
          </w:p>
        </w:tc>
        <w:tc>
          <w:tcPr>
            <w:tcW w:w="1688" w:type="dxa"/>
            <w:tcBorders>
              <w:top w:val="nil"/>
              <w:left w:val="nil"/>
              <w:bottom w:val="single" w:sz="8" w:space="0" w:color="000000"/>
              <w:right w:val="nil"/>
            </w:tcBorders>
            <w:shd w:val="clear" w:color="auto" w:fill="auto"/>
            <w:vAlign w:val="center"/>
            <w:hideMark/>
          </w:tcPr>
          <w:p w14:paraId="5086CC86" w14:textId="77777777" w:rsidR="00A0232C" w:rsidRPr="00A0232C" w:rsidRDefault="00A0232C" w:rsidP="00A0232C">
            <w:pPr>
              <w:jc w:val="right"/>
              <w:rPr>
                <w:rFonts w:ascii="Verdana" w:eastAsia="Times New Roman" w:hAnsi="Verdana" w:cs="Calibri"/>
                <w:b/>
                <w:bCs/>
                <w:color w:val="000000"/>
                <w:sz w:val="16"/>
                <w:szCs w:val="16"/>
                <w:lang w:val="en-GB" w:eastAsia="en-GB"/>
              </w:rPr>
            </w:pPr>
            <w:r w:rsidRPr="00A0232C">
              <w:rPr>
                <w:rFonts w:ascii="Verdana" w:eastAsia="Times New Roman" w:hAnsi="Verdana" w:cs="Calibri"/>
                <w:b/>
                <w:bCs/>
                <w:color w:val="000000"/>
                <w:sz w:val="16"/>
                <w:szCs w:val="16"/>
                <w:lang w:val="en-GB" w:eastAsia="en-GB"/>
              </w:rPr>
              <w:t>£000</w:t>
            </w:r>
          </w:p>
        </w:tc>
      </w:tr>
      <w:tr w:rsidR="00A0232C" w:rsidRPr="00A0232C" w14:paraId="6BE3DE84" w14:textId="77777777" w:rsidTr="0073748E">
        <w:trPr>
          <w:gridAfter w:val="1"/>
          <w:wAfter w:w="464" w:type="dxa"/>
          <w:cantSplit/>
          <w:trHeight w:val="212"/>
        </w:trPr>
        <w:tc>
          <w:tcPr>
            <w:tcW w:w="1304" w:type="dxa"/>
            <w:tcBorders>
              <w:top w:val="nil"/>
              <w:left w:val="nil"/>
              <w:bottom w:val="nil"/>
              <w:right w:val="nil"/>
            </w:tcBorders>
            <w:shd w:val="clear" w:color="auto" w:fill="auto"/>
            <w:vAlign w:val="center"/>
            <w:hideMark/>
          </w:tcPr>
          <w:p w14:paraId="4B8CE59C"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130,232</w:t>
            </w:r>
          </w:p>
        </w:tc>
        <w:tc>
          <w:tcPr>
            <w:tcW w:w="1425" w:type="dxa"/>
            <w:tcBorders>
              <w:top w:val="nil"/>
              <w:left w:val="nil"/>
              <w:bottom w:val="nil"/>
              <w:right w:val="nil"/>
            </w:tcBorders>
            <w:shd w:val="clear" w:color="auto" w:fill="auto"/>
            <w:vAlign w:val="center"/>
            <w:hideMark/>
          </w:tcPr>
          <w:p w14:paraId="77516B5C"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0</w:t>
            </w:r>
          </w:p>
        </w:tc>
        <w:tc>
          <w:tcPr>
            <w:tcW w:w="1281" w:type="dxa"/>
            <w:tcBorders>
              <w:top w:val="nil"/>
              <w:left w:val="nil"/>
              <w:bottom w:val="nil"/>
              <w:right w:val="nil"/>
            </w:tcBorders>
            <w:shd w:val="clear" w:color="auto" w:fill="auto"/>
            <w:vAlign w:val="center"/>
            <w:hideMark/>
          </w:tcPr>
          <w:p w14:paraId="09909286"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130,232</w:t>
            </w:r>
          </w:p>
        </w:tc>
        <w:tc>
          <w:tcPr>
            <w:tcW w:w="1139" w:type="dxa"/>
            <w:tcBorders>
              <w:top w:val="nil"/>
              <w:left w:val="nil"/>
              <w:bottom w:val="nil"/>
              <w:right w:val="nil"/>
            </w:tcBorders>
            <w:shd w:val="clear" w:color="auto" w:fill="auto"/>
            <w:vAlign w:val="center"/>
            <w:hideMark/>
          </w:tcPr>
          <w:p w14:paraId="0A51D9F4" w14:textId="77777777" w:rsidR="00A0232C" w:rsidRPr="00A0232C" w:rsidRDefault="00A0232C" w:rsidP="00A0232C">
            <w:pPr>
              <w:jc w:val="center"/>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 xml:space="preserve">  </w:t>
            </w:r>
          </w:p>
        </w:tc>
        <w:tc>
          <w:tcPr>
            <w:tcW w:w="4214" w:type="dxa"/>
            <w:tcBorders>
              <w:top w:val="nil"/>
              <w:left w:val="nil"/>
              <w:bottom w:val="nil"/>
              <w:right w:val="nil"/>
            </w:tcBorders>
            <w:shd w:val="clear" w:color="auto" w:fill="auto"/>
            <w:vAlign w:val="center"/>
            <w:hideMark/>
          </w:tcPr>
          <w:p w14:paraId="01230CC2" w14:textId="77777777" w:rsidR="00A0232C" w:rsidRPr="00A0232C" w:rsidRDefault="00A0232C" w:rsidP="00A0232C">
            <w:pPr>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Police Payroll</w:t>
            </w:r>
          </w:p>
        </w:tc>
        <w:tc>
          <w:tcPr>
            <w:tcW w:w="1811" w:type="dxa"/>
            <w:tcBorders>
              <w:top w:val="nil"/>
              <w:left w:val="nil"/>
              <w:bottom w:val="nil"/>
              <w:right w:val="nil"/>
            </w:tcBorders>
            <w:shd w:val="clear" w:color="auto" w:fill="auto"/>
            <w:vAlign w:val="center"/>
            <w:hideMark/>
          </w:tcPr>
          <w:p w14:paraId="38AD1AE9"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148,424</w:t>
            </w:r>
          </w:p>
        </w:tc>
        <w:tc>
          <w:tcPr>
            <w:tcW w:w="1880" w:type="dxa"/>
            <w:tcBorders>
              <w:top w:val="nil"/>
              <w:left w:val="nil"/>
              <w:bottom w:val="nil"/>
              <w:right w:val="nil"/>
            </w:tcBorders>
            <w:shd w:val="clear" w:color="auto" w:fill="auto"/>
            <w:vAlign w:val="center"/>
            <w:hideMark/>
          </w:tcPr>
          <w:p w14:paraId="63EE2B78"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0</w:t>
            </w:r>
          </w:p>
        </w:tc>
        <w:tc>
          <w:tcPr>
            <w:tcW w:w="1688" w:type="dxa"/>
            <w:tcBorders>
              <w:top w:val="nil"/>
              <w:left w:val="nil"/>
              <w:bottom w:val="nil"/>
              <w:right w:val="nil"/>
            </w:tcBorders>
            <w:shd w:val="clear" w:color="auto" w:fill="auto"/>
            <w:vAlign w:val="center"/>
            <w:hideMark/>
          </w:tcPr>
          <w:p w14:paraId="43068332"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148,424</w:t>
            </w:r>
          </w:p>
        </w:tc>
      </w:tr>
      <w:tr w:rsidR="00A0232C" w:rsidRPr="00A0232C" w14:paraId="3659416C" w14:textId="77777777" w:rsidTr="0073748E">
        <w:trPr>
          <w:gridAfter w:val="1"/>
          <w:wAfter w:w="464" w:type="dxa"/>
          <w:cantSplit/>
          <w:trHeight w:val="212"/>
        </w:trPr>
        <w:tc>
          <w:tcPr>
            <w:tcW w:w="1304" w:type="dxa"/>
            <w:tcBorders>
              <w:top w:val="nil"/>
              <w:left w:val="nil"/>
              <w:bottom w:val="nil"/>
              <w:right w:val="nil"/>
            </w:tcBorders>
            <w:shd w:val="clear" w:color="auto" w:fill="auto"/>
            <w:vAlign w:val="center"/>
            <w:hideMark/>
          </w:tcPr>
          <w:p w14:paraId="1FDC677D"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5,377</w:t>
            </w:r>
          </w:p>
        </w:tc>
        <w:tc>
          <w:tcPr>
            <w:tcW w:w="1425" w:type="dxa"/>
            <w:tcBorders>
              <w:top w:val="nil"/>
              <w:left w:val="nil"/>
              <w:bottom w:val="nil"/>
              <w:right w:val="nil"/>
            </w:tcBorders>
            <w:shd w:val="clear" w:color="auto" w:fill="auto"/>
            <w:vAlign w:val="center"/>
            <w:hideMark/>
          </w:tcPr>
          <w:p w14:paraId="657AF1DC"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0</w:t>
            </w:r>
          </w:p>
        </w:tc>
        <w:tc>
          <w:tcPr>
            <w:tcW w:w="1281" w:type="dxa"/>
            <w:tcBorders>
              <w:top w:val="nil"/>
              <w:left w:val="nil"/>
              <w:bottom w:val="nil"/>
              <w:right w:val="nil"/>
            </w:tcBorders>
            <w:shd w:val="clear" w:color="auto" w:fill="auto"/>
            <w:vAlign w:val="center"/>
            <w:hideMark/>
          </w:tcPr>
          <w:p w14:paraId="389D81C1"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5,377</w:t>
            </w:r>
          </w:p>
        </w:tc>
        <w:tc>
          <w:tcPr>
            <w:tcW w:w="1139" w:type="dxa"/>
            <w:tcBorders>
              <w:top w:val="nil"/>
              <w:left w:val="nil"/>
              <w:bottom w:val="nil"/>
              <w:right w:val="nil"/>
            </w:tcBorders>
            <w:shd w:val="clear" w:color="auto" w:fill="auto"/>
            <w:vAlign w:val="center"/>
            <w:hideMark/>
          </w:tcPr>
          <w:p w14:paraId="0D87941F" w14:textId="77777777" w:rsidR="00A0232C" w:rsidRPr="00A0232C" w:rsidRDefault="00A0232C" w:rsidP="00A0232C">
            <w:pPr>
              <w:jc w:val="center"/>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 xml:space="preserve"> </w:t>
            </w:r>
          </w:p>
        </w:tc>
        <w:tc>
          <w:tcPr>
            <w:tcW w:w="4214" w:type="dxa"/>
            <w:tcBorders>
              <w:top w:val="nil"/>
              <w:left w:val="nil"/>
              <w:bottom w:val="nil"/>
              <w:right w:val="nil"/>
            </w:tcBorders>
            <w:shd w:val="clear" w:color="auto" w:fill="auto"/>
            <w:vAlign w:val="center"/>
            <w:hideMark/>
          </w:tcPr>
          <w:p w14:paraId="254A15EC" w14:textId="77777777" w:rsidR="00A0232C" w:rsidRPr="00A0232C" w:rsidRDefault="00A0232C" w:rsidP="00A0232C">
            <w:pPr>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Police Overtime</w:t>
            </w:r>
          </w:p>
        </w:tc>
        <w:tc>
          <w:tcPr>
            <w:tcW w:w="1811" w:type="dxa"/>
            <w:tcBorders>
              <w:top w:val="nil"/>
              <w:left w:val="nil"/>
              <w:bottom w:val="nil"/>
              <w:right w:val="nil"/>
            </w:tcBorders>
            <w:shd w:val="clear" w:color="auto" w:fill="auto"/>
            <w:vAlign w:val="center"/>
            <w:hideMark/>
          </w:tcPr>
          <w:p w14:paraId="2637BC1A"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6,269</w:t>
            </w:r>
          </w:p>
        </w:tc>
        <w:tc>
          <w:tcPr>
            <w:tcW w:w="1880" w:type="dxa"/>
            <w:tcBorders>
              <w:top w:val="nil"/>
              <w:left w:val="nil"/>
              <w:bottom w:val="nil"/>
              <w:right w:val="nil"/>
            </w:tcBorders>
            <w:shd w:val="clear" w:color="auto" w:fill="auto"/>
            <w:vAlign w:val="center"/>
            <w:hideMark/>
          </w:tcPr>
          <w:p w14:paraId="43380238"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0</w:t>
            </w:r>
          </w:p>
        </w:tc>
        <w:tc>
          <w:tcPr>
            <w:tcW w:w="1688" w:type="dxa"/>
            <w:tcBorders>
              <w:top w:val="nil"/>
              <w:left w:val="nil"/>
              <w:bottom w:val="nil"/>
              <w:right w:val="nil"/>
            </w:tcBorders>
            <w:shd w:val="clear" w:color="auto" w:fill="auto"/>
            <w:vAlign w:val="center"/>
            <w:hideMark/>
          </w:tcPr>
          <w:p w14:paraId="56B9F0D7"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6,269</w:t>
            </w:r>
          </w:p>
        </w:tc>
      </w:tr>
      <w:tr w:rsidR="00A0232C" w:rsidRPr="00A0232C" w14:paraId="68BEA083" w14:textId="77777777" w:rsidTr="0073748E">
        <w:trPr>
          <w:gridAfter w:val="1"/>
          <w:wAfter w:w="464" w:type="dxa"/>
          <w:cantSplit/>
          <w:trHeight w:val="212"/>
        </w:trPr>
        <w:tc>
          <w:tcPr>
            <w:tcW w:w="1304" w:type="dxa"/>
            <w:tcBorders>
              <w:top w:val="nil"/>
              <w:left w:val="nil"/>
              <w:bottom w:val="nil"/>
              <w:right w:val="nil"/>
            </w:tcBorders>
            <w:shd w:val="clear" w:color="auto" w:fill="auto"/>
            <w:vAlign w:val="center"/>
            <w:hideMark/>
          </w:tcPr>
          <w:p w14:paraId="192F937E"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75,797</w:t>
            </w:r>
          </w:p>
        </w:tc>
        <w:tc>
          <w:tcPr>
            <w:tcW w:w="1425" w:type="dxa"/>
            <w:tcBorders>
              <w:top w:val="nil"/>
              <w:left w:val="nil"/>
              <w:bottom w:val="nil"/>
              <w:right w:val="nil"/>
            </w:tcBorders>
            <w:shd w:val="clear" w:color="auto" w:fill="auto"/>
            <w:vAlign w:val="center"/>
            <w:hideMark/>
          </w:tcPr>
          <w:p w14:paraId="513A18A5"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0</w:t>
            </w:r>
          </w:p>
        </w:tc>
        <w:tc>
          <w:tcPr>
            <w:tcW w:w="1281" w:type="dxa"/>
            <w:tcBorders>
              <w:top w:val="nil"/>
              <w:left w:val="nil"/>
              <w:bottom w:val="nil"/>
              <w:right w:val="nil"/>
            </w:tcBorders>
            <w:shd w:val="clear" w:color="auto" w:fill="auto"/>
            <w:vAlign w:val="center"/>
            <w:hideMark/>
          </w:tcPr>
          <w:p w14:paraId="3CD063E8"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75,797</w:t>
            </w:r>
          </w:p>
        </w:tc>
        <w:tc>
          <w:tcPr>
            <w:tcW w:w="1139" w:type="dxa"/>
            <w:tcBorders>
              <w:top w:val="nil"/>
              <w:left w:val="nil"/>
              <w:bottom w:val="nil"/>
              <w:right w:val="nil"/>
            </w:tcBorders>
            <w:shd w:val="clear" w:color="auto" w:fill="auto"/>
            <w:vAlign w:val="center"/>
            <w:hideMark/>
          </w:tcPr>
          <w:p w14:paraId="21959FB0" w14:textId="77777777" w:rsidR="00A0232C" w:rsidRPr="00A0232C" w:rsidRDefault="00A0232C" w:rsidP="00A0232C">
            <w:pPr>
              <w:jc w:val="center"/>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 xml:space="preserve"> </w:t>
            </w:r>
          </w:p>
        </w:tc>
        <w:tc>
          <w:tcPr>
            <w:tcW w:w="4214" w:type="dxa"/>
            <w:tcBorders>
              <w:top w:val="nil"/>
              <w:left w:val="nil"/>
              <w:bottom w:val="nil"/>
              <w:right w:val="nil"/>
            </w:tcBorders>
            <w:shd w:val="clear" w:color="auto" w:fill="auto"/>
            <w:vAlign w:val="center"/>
            <w:hideMark/>
          </w:tcPr>
          <w:p w14:paraId="041BE5B4" w14:textId="77777777" w:rsidR="00A0232C" w:rsidRPr="00A0232C" w:rsidRDefault="00A0232C" w:rsidP="00A0232C">
            <w:pPr>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Staff Payroll</w:t>
            </w:r>
          </w:p>
        </w:tc>
        <w:tc>
          <w:tcPr>
            <w:tcW w:w="1811" w:type="dxa"/>
            <w:tcBorders>
              <w:top w:val="nil"/>
              <w:left w:val="nil"/>
              <w:bottom w:val="nil"/>
              <w:right w:val="nil"/>
            </w:tcBorders>
            <w:shd w:val="clear" w:color="auto" w:fill="auto"/>
            <w:vAlign w:val="center"/>
            <w:hideMark/>
          </w:tcPr>
          <w:p w14:paraId="3D47D7CC"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80,737</w:t>
            </w:r>
          </w:p>
        </w:tc>
        <w:tc>
          <w:tcPr>
            <w:tcW w:w="1880" w:type="dxa"/>
            <w:tcBorders>
              <w:top w:val="nil"/>
              <w:left w:val="nil"/>
              <w:bottom w:val="nil"/>
              <w:right w:val="nil"/>
            </w:tcBorders>
            <w:shd w:val="clear" w:color="auto" w:fill="auto"/>
            <w:vAlign w:val="center"/>
            <w:hideMark/>
          </w:tcPr>
          <w:p w14:paraId="082E89CD"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0</w:t>
            </w:r>
          </w:p>
        </w:tc>
        <w:tc>
          <w:tcPr>
            <w:tcW w:w="1688" w:type="dxa"/>
            <w:tcBorders>
              <w:top w:val="nil"/>
              <w:left w:val="nil"/>
              <w:bottom w:val="nil"/>
              <w:right w:val="nil"/>
            </w:tcBorders>
            <w:shd w:val="clear" w:color="auto" w:fill="auto"/>
            <w:vAlign w:val="center"/>
            <w:hideMark/>
          </w:tcPr>
          <w:p w14:paraId="7C692508"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80,737</w:t>
            </w:r>
          </w:p>
        </w:tc>
      </w:tr>
      <w:tr w:rsidR="00A0232C" w:rsidRPr="00A0232C" w14:paraId="382925A3" w14:textId="77777777" w:rsidTr="0073748E">
        <w:trPr>
          <w:gridAfter w:val="1"/>
          <w:wAfter w:w="464" w:type="dxa"/>
          <w:cantSplit/>
          <w:trHeight w:val="202"/>
        </w:trPr>
        <w:tc>
          <w:tcPr>
            <w:tcW w:w="1304" w:type="dxa"/>
            <w:tcBorders>
              <w:top w:val="nil"/>
              <w:left w:val="nil"/>
              <w:bottom w:val="nil"/>
              <w:right w:val="nil"/>
            </w:tcBorders>
            <w:shd w:val="clear" w:color="auto" w:fill="auto"/>
            <w:vAlign w:val="center"/>
            <w:hideMark/>
          </w:tcPr>
          <w:p w14:paraId="74209E20"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1,695</w:t>
            </w:r>
          </w:p>
        </w:tc>
        <w:tc>
          <w:tcPr>
            <w:tcW w:w="1425" w:type="dxa"/>
            <w:tcBorders>
              <w:top w:val="nil"/>
              <w:left w:val="nil"/>
              <w:bottom w:val="nil"/>
              <w:right w:val="nil"/>
            </w:tcBorders>
            <w:shd w:val="clear" w:color="auto" w:fill="auto"/>
            <w:vAlign w:val="center"/>
            <w:hideMark/>
          </w:tcPr>
          <w:p w14:paraId="225F17FB"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0</w:t>
            </w:r>
          </w:p>
        </w:tc>
        <w:tc>
          <w:tcPr>
            <w:tcW w:w="1281" w:type="dxa"/>
            <w:tcBorders>
              <w:top w:val="nil"/>
              <w:left w:val="nil"/>
              <w:bottom w:val="nil"/>
              <w:right w:val="nil"/>
            </w:tcBorders>
            <w:shd w:val="clear" w:color="auto" w:fill="auto"/>
            <w:vAlign w:val="center"/>
            <w:hideMark/>
          </w:tcPr>
          <w:p w14:paraId="3527B075"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1,695</w:t>
            </w:r>
          </w:p>
        </w:tc>
        <w:tc>
          <w:tcPr>
            <w:tcW w:w="1139" w:type="dxa"/>
            <w:tcBorders>
              <w:top w:val="nil"/>
              <w:left w:val="nil"/>
              <w:bottom w:val="nil"/>
              <w:right w:val="nil"/>
            </w:tcBorders>
            <w:shd w:val="clear" w:color="auto" w:fill="auto"/>
            <w:vAlign w:val="center"/>
            <w:hideMark/>
          </w:tcPr>
          <w:p w14:paraId="4EA93BCA" w14:textId="77777777" w:rsidR="00A0232C" w:rsidRPr="00A0232C" w:rsidRDefault="00A0232C" w:rsidP="00A0232C">
            <w:pPr>
              <w:jc w:val="center"/>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 xml:space="preserve"> </w:t>
            </w:r>
          </w:p>
        </w:tc>
        <w:tc>
          <w:tcPr>
            <w:tcW w:w="4214" w:type="dxa"/>
            <w:tcBorders>
              <w:top w:val="nil"/>
              <w:left w:val="nil"/>
              <w:bottom w:val="nil"/>
              <w:right w:val="nil"/>
            </w:tcBorders>
            <w:shd w:val="clear" w:color="auto" w:fill="auto"/>
            <w:vAlign w:val="center"/>
            <w:hideMark/>
          </w:tcPr>
          <w:p w14:paraId="4D679291" w14:textId="77777777" w:rsidR="00A0232C" w:rsidRPr="00A0232C" w:rsidRDefault="00A0232C" w:rsidP="00A0232C">
            <w:pPr>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Staff Overtime</w:t>
            </w:r>
          </w:p>
        </w:tc>
        <w:tc>
          <w:tcPr>
            <w:tcW w:w="1811" w:type="dxa"/>
            <w:tcBorders>
              <w:top w:val="nil"/>
              <w:left w:val="nil"/>
              <w:bottom w:val="nil"/>
              <w:right w:val="nil"/>
            </w:tcBorders>
            <w:shd w:val="clear" w:color="auto" w:fill="auto"/>
            <w:vAlign w:val="center"/>
            <w:hideMark/>
          </w:tcPr>
          <w:p w14:paraId="196EAAE1"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1,904</w:t>
            </w:r>
          </w:p>
        </w:tc>
        <w:tc>
          <w:tcPr>
            <w:tcW w:w="1880" w:type="dxa"/>
            <w:tcBorders>
              <w:top w:val="nil"/>
              <w:left w:val="nil"/>
              <w:bottom w:val="nil"/>
              <w:right w:val="nil"/>
            </w:tcBorders>
            <w:shd w:val="clear" w:color="auto" w:fill="auto"/>
            <w:vAlign w:val="center"/>
            <w:hideMark/>
          </w:tcPr>
          <w:p w14:paraId="459E4A49"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0</w:t>
            </w:r>
          </w:p>
        </w:tc>
        <w:tc>
          <w:tcPr>
            <w:tcW w:w="1688" w:type="dxa"/>
            <w:tcBorders>
              <w:top w:val="nil"/>
              <w:left w:val="nil"/>
              <w:bottom w:val="nil"/>
              <w:right w:val="nil"/>
            </w:tcBorders>
            <w:shd w:val="clear" w:color="auto" w:fill="auto"/>
            <w:vAlign w:val="center"/>
            <w:hideMark/>
          </w:tcPr>
          <w:p w14:paraId="6494B679"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1,904</w:t>
            </w:r>
          </w:p>
        </w:tc>
      </w:tr>
      <w:tr w:rsidR="00A0232C" w:rsidRPr="00A0232C" w14:paraId="03F30025" w14:textId="77777777" w:rsidTr="0073748E">
        <w:trPr>
          <w:gridAfter w:val="1"/>
          <w:wAfter w:w="464" w:type="dxa"/>
          <w:cantSplit/>
          <w:trHeight w:val="212"/>
        </w:trPr>
        <w:tc>
          <w:tcPr>
            <w:tcW w:w="1304" w:type="dxa"/>
            <w:tcBorders>
              <w:top w:val="nil"/>
              <w:left w:val="nil"/>
              <w:bottom w:val="nil"/>
              <w:right w:val="nil"/>
            </w:tcBorders>
            <w:shd w:val="clear" w:color="auto" w:fill="auto"/>
            <w:vAlign w:val="center"/>
            <w:hideMark/>
          </w:tcPr>
          <w:p w14:paraId="1D95A45A"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2,014</w:t>
            </w:r>
          </w:p>
        </w:tc>
        <w:tc>
          <w:tcPr>
            <w:tcW w:w="1425" w:type="dxa"/>
            <w:tcBorders>
              <w:top w:val="nil"/>
              <w:left w:val="nil"/>
              <w:bottom w:val="nil"/>
              <w:right w:val="nil"/>
            </w:tcBorders>
            <w:shd w:val="clear" w:color="auto" w:fill="auto"/>
            <w:vAlign w:val="center"/>
            <w:hideMark/>
          </w:tcPr>
          <w:p w14:paraId="10CEC4C6"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0</w:t>
            </w:r>
          </w:p>
        </w:tc>
        <w:tc>
          <w:tcPr>
            <w:tcW w:w="1281" w:type="dxa"/>
            <w:tcBorders>
              <w:top w:val="nil"/>
              <w:left w:val="nil"/>
              <w:bottom w:val="nil"/>
              <w:right w:val="nil"/>
            </w:tcBorders>
            <w:shd w:val="clear" w:color="auto" w:fill="auto"/>
            <w:vAlign w:val="center"/>
            <w:hideMark/>
          </w:tcPr>
          <w:p w14:paraId="675F9C9F"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2,014</w:t>
            </w:r>
          </w:p>
        </w:tc>
        <w:tc>
          <w:tcPr>
            <w:tcW w:w="1139" w:type="dxa"/>
            <w:tcBorders>
              <w:top w:val="nil"/>
              <w:left w:val="nil"/>
              <w:bottom w:val="nil"/>
              <w:right w:val="nil"/>
            </w:tcBorders>
            <w:shd w:val="clear" w:color="auto" w:fill="auto"/>
            <w:vAlign w:val="center"/>
            <w:hideMark/>
          </w:tcPr>
          <w:p w14:paraId="5A085E8B" w14:textId="77777777" w:rsidR="00A0232C" w:rsidRPr="00A0232C" w:rsidRDefault="00A0232C" w:rsidP="00A0232C">
            <w:pPr>
              <w:jc w:val="center"/>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 xml:space="preserve"> </w:t>
            </w:r>
          </w:p>
        </w:tc>
        <w:tc>
          <w:tcPr>
            <w:tcW w:w="4214" w:type="dxa"/>
            <w:tcBorders>
              <w:top w:val="nil"/>
              <w:left w:val="nil"/>
              <w:bottom w:val="nil"/>
              <w:right w:val="nil"/>
            </w:tcBorders>
            <w:shd w:val="clear" w:color="auto" w:fill="auto"/>
            <w:vAlign w:val="center"/>
            <w:hideMark/>
          </w:tcPr>
          <w:p w14:paraId="0E1FF216" w14:textId="77777777" w:rsidR="00A0232C" w:rsidRPr="00A0232C" w:rsidRDefault="00A0232C" w:rsidP="00A0232C">
            <w:pPr>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Agency</w:t>
            </w:r>
          </w:p>
        </w:tc>
        <w:tc>
          <w:tcPr>
            <w:tcW w:w="1811" w:type="dxa"/>
            <w:tcBorders>
              <w:top w:val="nil"/>
              <w:left w:val="nil"/>
              <w:bottom w:val="nil"/>
              <w:right w:val="nil"/>
            </w:tcBorders>
            <w:shd w:val="clear" w:color="auto" w:fill="auto"/>
            <w:vAlign w:val="center"/>
            <w:hideMark/>
          </w:tcPr>
          <w:p w14:paraId="7A96E592"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3,414</w:t>
            </w:r>
          </w:p>
        </w:tc>
        <w:tc>
          <w:tcPr>
            <w:tcW w:w="1880" w:type="dxa"/>
            <w:tcBorders>
              <w:top w:val="nil"/>
              <w:left w:val="nil"/>
              <w:bottom w:val="nil"/>
              <w:right w:val="nil"/>
            </w:tcBorders>
            <w:shd w:val="clear" w:color="auto" w:fill="auto"/>
            <w:vAlign w:val="center"/>
            <w:hideMark/>
          </w:tcPr>
          <w:p w14:paraId="09F1F8FF"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0</w:t>
            </w:r>
          </w:p>
        </w:tc>
        <w:tc>
          <w:tcPr>
            <w:tcW w:w="1688" w:type="dxa"/>
            <w:tcBorders>
              <w:top w:val="nil"/>
              <w:left w:val="nil"/>
              <w:bottom w:val="nil"/>
              <w:right w:val="nil"/>
            </w:tcBorders>
            <w:shd w:val="clear" w:color="auto" w:fill="auto"/>
            <w:vAlign w:val="center"/>
            <w:hideMark/>
          </w:tcPr>
          <w:p w14:paraId="22E9F1EE"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3,414</w:t>
            </w:r>
          </w:p>
        </w:tc>
      </w:tr>
      <w:tr w:rsidR="00A0232C" w:rsidRPr="00A0232C" w14:paraId="37849668" w14:textId="77777777" w:rsidTr="0073748E">
        <w:trPr>
          <w:gridAfter w:val="1"/>
          <w:wAfter w:w="464" w:type="dxa"/>
          <w:cantSplit/>
          <w:trHeight w:val="212"/>
        </w:trPr>
        <w:tc>
          <w:tcPr>
            <w:tcW w:w="1304" w:type="dxa"/>
            <w:tcBorders>
              <w:top w:val="nil"/>
              <w:left w:val="nil"/>
              <w:bottom w:val="nil"/>
              <w:right w:val="nil"/>
            </w:tcBorders>
            <w:shd w:val="clear" w:color="auto" w:fill="auto"/>
            <w:vAlign w:val="center"/>
            <w:hideMark/>
          </w:tcPr>
          <w:p w14:paraId="1C594643"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1,144</w:t>
            </w:r>
          </w:p>
        </w:tc>
        <w:tc>
          <w:tcPr>
            <w:tcW w:w="1425" w:type="dxa"/>
            <w:tcBorders>
              <w:top w:val="nil"/>
              <w:left w:val="nil"/>
              <w:bottom w:val="nil"/>
              <w:right w:val="nil"/>
            </w:tcBorders>
            <w:shd w:val="clear" w:color="auto" w:fill="auto"/>
            <w:vAlign w:val="center"/>
            <w:hideMark/>
          </w:tcPr>
          <w:p w14:paraId="27E9425F"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0</w:t>
            </w:r>
          </w:p>
        </w:tc>
        <w:tc>
          <w:tcPr>
            <w:tcW w:w="1281" w:type="dxa"/>
            <w:tcBorders>
              <w:top w:val="nil"/>
              <w:left w:val="nil"/>
              <w:bottom w:val="nil"/>
              <w:right w:val="nil"/>
            </w:tcBorders>
            <w:shd w:val="clear" w:color="auto" w:fill="auto"/>
            <w:vAlign w:val="center"/>
            <w:hideMark/>
          </w:tcPr>
          <w:p w14:paraId="3AA3FBAC"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1,144</w:t>
            </w:r>
          </w:p>
        </w:tc>
        <w:tc>
          <w:tcPr>
            <w:tcW w:w="1139" w:type="dxa"/>
            <w:tcBorders>
              <w:top w:val="nil"/>
              <w:left w:val="nil"/>
              <w:bottom w:val="nil"/>
              <w:right w:val="nil"/>
            </w:tcBorders>
            <w:shd w:val="clear" w:color="auto" w:fill="auto"/>
            <w:vAlign w:val="center"/>
            <w:hideMark/>
          </w:tcPr>
          <w:p w14:paraId="3FFAC210" w14:textId="77777777" w:rsidR="00A0232C" w:rsidRPr="00A0232C" w:rsidRDefault="00A0232C" w:rsidP="00A0232C">
            <w:pPr>
              <w:jc w:val="center"/>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 xml:space="preserve"> </w:t>
            </w:r>
          </w:p>
        </w:tc>
        <w:tc>
          <w:tcPr>
            <w:tcW w:w="4214" w:type="dxa"/>
            <w:tcBorders>
              <w:top w:val="nil"/>
              <w:left w:val="nil"/>
              <w:bottom w:val="nil"/>
              <w:right w:val="nil"/>
            </w:tcBorders>
            <w:shd w:val="clear" w:color="auto" w:fill="auto"/>
            <w:vAlign w:val="center"/>
            <w:hideMark/>
          </w:tcPr>
          <w:p w14:paraId="11F3ABB8" w14:textId="77777777" w:rsidR="00A0232C" w:rsidRPr="00A0232C" w:rsidRDefault="00A0232C" w:rsidP="00A0232C">
            <w:pPr>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Training</w:t>
            </w:r>
          </w:p>
        </w:tc>
        <w:tc>
          <w:tcPr>
            <w:tcW w:w="1811" w:type="dxa"/>
            <w:tcBorders>
              <w:top w:val="nil"/>
              <w:left w:val="nil"/>
              <w:bottom w:val="nil"/>
              <w:right w:val="nil"/>
            </w:tcBorders>
            <w:shd w:val="clear" w:color="auto" w:fill="auto"/>
            <w:vAlign w:val="center"/>
            <w:hideMark/>
          </w:tcPr>
          <w:p w14:paraId="4C0F6565"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2,366</w:t>
            </w:r>
          </w:p>
        </w:tc>
        <w:tc>
          <w:tcPr>
            <w:tcW w:w="1880" w:type="dxa"/>
            <w:tcBorders>
              <w:top w:val="nil"/>
              <w:left w:val="nil"/>
              <w:bottom w:val="nil"/>
              <w:right w:val="nil"/>
            </w:tcBorders>
            <w:shd w:val="clear" w:color="auto" w:fill="auto"/>
            <w:vAlign w:val="center"/>
            <w:hideMark/>
          </w:tcPr>
          <w:p w14:paraId="05B1AC56"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0</w:t>
            </w:r>
          </w:p>
        </w:tc>
        <w:tc>
          <w:tcPr>
            <w:tcW w:w="1688" w:type="dxa"/>
            <w:tcBorders>
              <w:top w:val="nil"/>
              <w:left w:val="nil"/>
              <w:bottom w:val="nil"/>
              <w:right w:val="nil"/>
            </w:tcBorders>
            <w:shd w:val="clear" w:color="auto" w:fill="auto"/>
            <w:vAlign w:val="center"/>
            <w:hideMark/>
          </w:tcPr>
          <w:p w14:paraId="0C2D0E27"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2,366</w:t>
            </w:r>
          </w:p>
        </w:tc>
      </w:tr>
      <w:tr w:rsidR="00A0232C" w:rsidRPr="00A0232C" w14:paraId="5E8FE52D" w14:textId="77777777" w:rsidTr="0073748E">
        <w:trPr>
          <w:gridAfter w:val="1"/>
          <w:wAfter w:w="464" w:type="dxa"/>
          <w:cantSplit/>
          <w:trHeight w:val="212"/>
        </w:trPr>
        <w:tc>
          <w:tcPr>
            <w:tcW w:w="1304" w:type="dxa"/>
            <w:tcBorders>
              <w:top w:val="nil"/>
              <w:left w:val="nil"/>
              <w:bottom w:val="nil"/>
              <w:right w:val="nil"/>
            </w:tcBorders>
            <w:shd w:val="clear" w:color="auto" w:fill="auto"/>
            <w:vAlign w:val="center"/>
            <w:hideMark/>
          </w:tcPr>
          <w:p w14:paraId="748ADC02"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1,736</w:t>
            </w:r>
          </w:p>
        </w:tc>
        <w:tc>
          <w:tcPr>
            <w:tcW w:w="1425" w:type="dxa"/>
            <w:tcBorders>
              <w:top w:val="nil"/>
              <w:left w:val="nil"/>
              <w:bottom w:val="nil"/>
              <w:right w:val="nil"/>
            </w:tcBorders>
            <w:shd w:val="clear" w:color="auto" w:fill="auto"/>
            <w:vAlign w:val="center"/>
            <w:hideMark/>
          </w:tcPr>
          <w:p w14:paraId="0E273CD4"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0</w:t>
            </w:r>
          </w:p>
        </w:tc>
        <w:tc>
          <w:tcPr>
            <w:tcW w:w="1281" w:type="dxa"/>
            <w:tcBorders>
              <w:top w:val="nil"/>
              <w:left w:val="nil"/>
              <w:bottom w:val="nil"/>
              <w:right w:val="nil"/>
            </w:tcBorders>
            <w:shd w:val="clear" w:color="auto" w:fill="auto"/>
            <w:vAlign w:val="center"/>
            <w:hideMark/>
          </w:tcPr>
          <w:p w14:paraId="12554D7C"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1,736</w:t>
            </w:r>
          </w:p>
        </w:tc>
        <w:tc>
          <w:tcPr>
            <w:tcW w:w="1139" w:type="dxa"/>
            <w:tcBorders>
              <w:top w:val="nil"/>
              <w:left w:val="nil"/>
              <w:bottom w:val="nil"/>
              <w:right w:val="nil"/>
            </w:tcBorders>
            <w:shd w:val="clear" w:color="auto" w:fill="auto"/>
            <w:vAlign w:val="center"/>
            <w:hideMark/>
          </w:tcPr>
          <w:p w14:paraId="6D8A57EC" w14:textId="77777777" w:rsidR="00A0232C" w:rsidRPr="00A0232C" w:rsidRDefault="00A0232C" w:rsidP="00A0232C">
            <w:pPr>
              <w:jc w:val="center"/>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 xml:space="preserve"> </w:t>
            </w:r>
          </w:p>
        </w:tc>
        <w:tc>
          <w:tcPr>
            <w:tcW w:w="4214" w:type="dxa"/>
            <w:tcBorders>
              <w:top w:val="nil"/>
              <w:left w:val="nil"/>
              <w:bottom w:val="nil"/>
              <w:right w:val="nil"/>
            </w:tcBorders>
            <w:shd w:val="clear" w:color="auto" w:fill="auto"/>
            <w:vAlign w:val="center"/>
            <w:hideMark/>
          </w:tcPr>
          <w:p w14:paraId="6F5BFCAE" w14:textId="77777777" w:rsidR="00A0232C" w:rsidRPr="00A0232C" w:rsidRDefault="00A0232C" w:rsidP="00A0232C">
            <w:pPr>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Other Payroll Costs</w:t>
            </w:r>
          </w:p>
        </w:tc>
        <w:tc>
          <w:tcPr>
            <w:tcW w:w="1811" w:type="dxa"/>
            <w:tcBorders>
              <w:top w:val="nil"/>
              <w:left w:val="nil"/>
              <w:bottom w:val="nil"/>
              <w:right w:val="nil"/>
            </w:tcBorders>
            <w:shd w:val="clear" w:color="auto" w:fill="auto"/>
            <w:vAlign w:val="center"/>
            <w:hideMark/>
          </w:tcPr>
          <w:p w14:paraId="36F99A78"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2,298</w:t>
            </w:r>
          </w:p>
        </w:tc>
        <w:tc>
          <w:tcPr>
            <w:tcW w:w="1880" w:type="dxa"/>
            <w:tcBorders>
              <w:top w:val="nil"/>
              <w:left w:val="nil"/>
              <w:bottom w:val="nil"/>
              <w:right w:val="nil"/>
            </w:tcBorders>
            <w:shd w:val="clear" w:color="auto" w:fill="auto"/>
            <w:vAlign w:val="center"/>
            <w:hideMark/>
          </w:tcPr>
          <w:p w14:paraId="20A7BFCB"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0</w:t>
            </w:r>
          </w:p>
        </w:tc>
        <w:tc>
          <w:tcPr>
            <w:tcW w:w="1688" w:type="dxa"/>
            <w:tcBorders>
              <w:top w:val="nil"/>
              <w:left w:val="nil"/>
              <w:bottom w:val="nil"/>
              <w:right w:val="nil"/>
            </w:tcBorders>
            <w:shd w:val="clear" w:color="auto" w:fill="auto"/>
            <w:vAlign w:val="center"/>
            <w:hideMark/>
          </w:tcPr>
          <w:p w14:paraId="5E758C30"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2,298</w:t>
            </w:r>
          </w:p>
        </w:tc>
      </w:tr>
      <w:tr w:rsidR="00A0232C" w:rsidRPr="00A0232C" w14:paraId="13F70D09" w14:textId="77777777" w:rsidTr="0073748E">
        <w:trPr>
          <w:gridAfter w:val="1"/>
          <w:wAfter w:w="464" w:type="dxa"/>
          <w:cantSplit/>
          <w:trHeight w:val="202"/>
        </w:trPr>
        <w:tc>
          <w:tcPr>
            <w:tcW w:w="1304" w:type="dxa"/>
            <w:tcBorders>
              <w:top w:val="nil"/>
              <w:left w:val="nil"/>
              <w:bottom w:val="nil"/>
              <w:right w:val="nil"/>
            </w:tcBorders>
            <w:shd w:val="clear" w:color="auto" w:fill="auto"/>
            <w:vAlign w:val="center"/>
            <w:hideMark/>
          </w:tcPr>
          <w:p w14:paraId="5157E416"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12,643</w:t>
            </w:r>
          </w:p>
        </w:tc>
        <w:tc>
          <w:tcPr>
            <w:tcW w:w="1425" w:type="dxa"/>
            <w:tcBorders>
              <w:top w:val="nil"/>
              <w:left w:val="nil"/>
              <w:bottom w:val="nil"/>
              <w:right w:val="nil"/>
            </w:tcBorders>
            <w:shd w:val="clear" w:color="auto" w:fill="auto"/>
            <w:vAlign w:val="center"/>
            <w:hideMark/>
          </w:tcPr>
          <w:p w14:paraId="33D5F9AF"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0</w:t>
            </w:r>
          </w:p>
        </w:tc>
        <w:tc>
          <w:tcPr>
            <w:tcW w:w="1281" w:type="dxa"/>
            <w:tcBorders>
              <w:top w:val="nil"/>
              <w:left w:val="nil"/>
              <w:bottom w:val="nil"/>
              <w:right w:val="nil"/>
            </w:tcBorders>
            <w:shd w:val="clear" w:color="auto" w:fill="auto"/>
            <w:vAlign w:val="center"/>
            <w:hideMark/>
          </w:tcPr>
          <w:p w14:paraId="32D8724F"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12,643</w:t>
            </w:r>
          </w:p>
        </w:tc>
        <w:tc>
          <w:tcPr>
            <w:tcW w:w="1139" w:type="dxa"/>
            <w:tcBorders>
              <w:top w:val="nil"/>
              <w:left w:val="nil"/>
              <w:bottom w:val="nil"/>
              <w:right w:val="nil"/>
            </w:tcBorders>
            <w:shd w:val="clear" w:color="auto" w:fill="auto"/>
            <w:vAlign w:val="center"/>
            <w:hideMark/>
          </w:tcPr>
          <w:p w14:paraId="34A62255" w14:textId="77777777" w:rsidR="00A0232C" w:rsidRPr="00A0232C" w:rsidRDefault="00A0232C" w:rsidP="00A0232C">
            <w:pPr>
              <w:jc w:val="center"/>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 xml:space="preserve"> </w:t>
            </w:r>
          </w:p>
        </w:tc>
        <w:tc>
          <w:tcPr>
            <w:tcW w:w="4214" w:type="dxa"/>
            <w:tcBorders>
              <w:top w:val="nil"/>
              <w:left w:val="nil"/>
              <w:bottom w:val="nil"/>
              <w:right w:val="nil"/>
            </w:tcBorders>
            <w:shd w:val="clear" w:color="auto" w:fill="auto"/>
            <w:vAlign w:val="center"/>
            <w:hideMark/>
          </w:tcPr>
          <w:p w14:paraId="647FE45A" w14:textId="77777777" w:rsidR="00A0232C" w:rsidRPr="00A0232C" w:rsidRDefault="00A0232C" w:rsidP="00A0232C">
            <w:pPr>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Premises</w:t>
            </w:r>
          </w:p>
        </w:tc>
        <w:tc>
          <w:tcPr>
            <w:tcW w:w="1811" w:type="dxa"/>
            <w:tcBorders>
              <w:top w:val="nil"/>
              <w:left w:val="nil"/>
              <w:bottom w:val="nil"/>
              <w:right w:val="nil"/>
            </w:tcBorders>
            <w:shd w:val="clear" w:color="auto" w:fill="auto"/>
            <w:vAlign w:val="center"/>
            <w:hideMark/>
          </w:tcPr>
          <w:p w14:paraId="196849DB"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9,435</w:t>
            </w:r>
          </w:p>
        </w:tc>
        <w:tc>
          <w:tcPr>
            <w:tcW w:w="1880" w:type="dxa"/>
            <w:tcBorders>
              <w:top w:val="nil"/>
              <w:left w:val="nil"/>
              <w:bottom w:val="nil"/>
              <w:right w:val="nil"/>
            </w:tcBorders>
            <w:shd w:val="clear" w:color="auto" w:fill="auto"/>
            <w:vAlign w:val="center"/>
            <w:hideMark/>
          </w:tcPr>
          <w:p w14:paraId="50E62562"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0</w:t>
            </w:r>
          </w:p>
        </w:tc>
        <w:tc>
          <w:tcPr>
            <w:tcW w:w="1688" w:type="dxa"/>
            <w:tcBorders>
              <w:top w:val="nil"/>
              <w:left w:val="nil"/>
              <w:bottom w:val="nil"/>
              <w:right w:val="nil"/>
            </w:tcBorders>
            <w:shd w:val="clear" w:color="auto" w:fill="auto"/>
            <w:vAlign w:val="center"/>
            <w:hideMark/>
          </w:tcPr>
          <w:p w14:paraId="2834FDBD"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9,435</w:t>
            </w:r>
          </w:p>
        </w:tc>
      </w:tr>
      <w:tr w:rsidR="00A0232C" w:rsidRPr="00A0232C" w14:paraId="5B029274" w14:textId="77777777" w:rsidTr="0073748E">
        <w:trPr>
          <w:gridAfter w:val="1"/>
          <w:wAfter w:w="464" w:type="dxa"/>
          <w:cantSplit/>
          <w:trHeight w:val="212"/>
        </w:trPr>
        <w:tc>
          <w:tcPr>
            <w:tcW w:w="1304" w:type="dxa"/>
            <w:tcBorders>
              <w:top w:val="nil"/>
              <w:left w:val="nil"/>
              <w:bottom w:val="nil"/>
              <w:right w:val="nil"/>
            </w:tcBorders>
            <w:shd w:val="clear" w:color="auto" w:fill="auto"/>
            <w:vAlign w:val="center"/>
            <w:hideMark/>
          </w:tcPr>
          <w:p w14:paraId="07BBCFCA"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26,876</w:t>
            </w:r>
          </w:p>
        </w:tc>
        <w:tc>
          <w:tcPr>
            <w:tcW w:w="1425" w:type="dxa"/>
            <w:tcBorders>
              <w:top w:val="nil"/>
              <w:left w:val="nil"/>
              <w:bottom w:val="nil"/>
              <w:right w:val="nil"/>
            </w:tcBorders>
            <w:shd w:val="clear" w:color="auto" w:fill="auto"/>
            <w:vAlign w:val="center"/>
            <w:hideMark/>
          </w:tcPr>
          <w:p w14:paraId="4B1F30BB"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0</w:t>
            </w:r>
          </w:p>
        </w:tc>
        <w:tc>
          <w:tcPr>
            <w:tcW w:w="1281" w:type="dxa"/>
            <w:tcBorders>
              <w:top w:val="nil"/>
              <w:left w:val="nil"/>
              <w:bottom w:val="nil"/>
              <w:right w:val="nil"/>
            </w:tcBorders>
            <w:shd w:val="clear" w:color="auto" w:fill="auto"/>
            <w:vAlign w:val="center"/>
            <w:hideMark/>
          </w:tcPr>
          <w:p w14:paraId="069D4031"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26,876</w:t>
            </w:r>
          </w:p>
        </w:tc>
        <w:tc>
          <w:tcPr>
            <w:tcW w:w="1139" w:type="dxa"/>
            <w:tcBorders>
              <w:top w:val="nil"/>
              <w:left w:val="nil"/>
              <w:bottom w:val="nil"/>
              <w:right w:val="nil"/>
            </w:tcBorders>
            <w:shd w:val="clear" w:color="auto" w:fill="auto"/>
            <w:vAlign w:val="center"/>
            <w:hideMark/>
          </w:tcPr>
          <w:p w14:paraId="59B44B80" w14:textId="77777777" w:rsidR="00A0232C" w:rsidRPr="00A0232C" w:rsidRDefault="00A0232C" w:rsidP="00A0232C">
            <w:pPr>
              <w:jc w:val="center"/>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 xml:space="preserve"> </w:t>
            </w:r>
          </w:p>
        </w:tc>
        <w:tc>
          <w:tcPr>
            <w:tcW w:w="4214" w:type="dxa"/>
            <w:tcBorders>
              <w:top w:val="nil"/>
              <w:left w:val="nil"/>
              <w:bottom w:val="nil"/>
              <w:right w:val="nil"/>
            </w:tcBorders>
            <w:shd w:val="clear" w:color="auto" w:fill="auto"/>
            <w:vAlign w:val="center"/>
            <w:hideMark/>
          </w:tcPr>
          <w:p w14:paraId="74C15413" w14:textId="77777777" w:rsidR="00A0232C" w:rsidRPr="00A0232C" w:rsidRDefault="00A0232C" w:rsidP="00A0232C">
            <w:pPr>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Supplies and Services</w:t>
            </w:r>
          </w:p>
        </w:tc>
        <w:tc>
          <w:tcPr>
            <w:tcW w:w="1811" w:type="dxa"/>
            <w:tcBorders>
              <w:top w:val="nil"/>
              <w:left w:val="nil"/>
              <w:bottom w:val="nil"/>
              <w:right w:val="nil"/>
            </w:tcBorders>
            <w:shd w:val="clear" w:color="auto" w:fill="auto"/>
            <w:vAlign w:val="center"/>
            <w:hideMark/>
          </w:tcPr>
          <w:p w14:paraId="37C3504B" w14:textId="3C9E246D" w:rsidR="00A0232C" w:rsidRPr="00A0232C" w:rsidRDefault="00DB179E">
            <w:pPr>
              <w:jc w:val="right"/>
              <w:rPr>
                <w:rFonts w:ascii="Verdana" w:eastAsia="Times New Roman" w:hAnsi="Verdana" w:cs="Calibri"/>
                <w:color w:val="000000"/>
                <w:sz w:val="16"/>
                <w:szCs w:val="16"/>
                <w:lang w:val="en-GB" w:eastAsia="en-GB"/>
              </w:rPr>
            </w:pPr>
            <w:r>
              <w:rPr>
                <w:rFonts w:ascii="Verdana" w:eastAsia="Times New Roman" w:hAnsi="Verdana" w:cs="Calibri"/>
                <w:color w:val="000000"/>
                <w:sz w:val="16"/>
                <w:szCs w:val="16"/>
                <w:lang w:val="en-GB" w:eastAsia="en-GB"/>
              </w:rPr>
              <w:t>29,579</w:t>
            </w:r>
          </w:p>
        </w:tc>
        <w:tc>
          <w:tcPr>
            <w:tcW w:w="1880" w:type="dxa"/>
            <w:tcBorders>
              <w:top w:val="nil"/>
              <w:left w:val="nil"/>
              <w:bottom w:val="nil"/>
              <w:right w:val="nil"/>
            </w:tcBorders>
            <w:shd w:val="clear" w:color="auto" w:fill="auto"/>
            <w:vAlign w:val="center"/>
            <w:hideMark/>
          </w:tcPr>
          <w:p w14:paraId="5AEC1C98"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0</w:t>
            </w:r>
          </w:p>
        </w:tc>
        <w:tc>
          <w:tcPr>
            <w:tcW w:w="1688" w:type="dxa"/>
            <w:tcBorders>
              <w:top w:val="nil"/>
              <w:left w:val="nil"/>
              <w:bottom w:val="nil"/>
              <w:right w:val="nil"/>
            </w:tcBorders>
            <w:shd w:val="clear" w:color="auto" w:fill="auto"/>
            <w:vAlign w:val="center"/>
            <w:hideMark/>
          </w:tcPr>
          <w:p w14:paraId="2F11DAC5" w14:textId="19E8373A" w:rsidR="00A0232C" w:rsidRPr="00A0232C" w:rsidRDefault="00DB179E">
            <w:pPr>
              <w:jc w:val="right"/>
              <w:rPr>
                <w:rFonts w:ascii="Verdana" w:eastAsia="Times New Roman" w:hAnsi="Verdana" w:cs="Calibri"/>
                <w:color w:val="000000"/>
                <w:sz w:val="16"/>
                <w:szCs w:val="16"/>
                <w:lang w:val="en-GB" w:eastAsia="en-GB"/>
              </w:rPr>
            </w:pPr>
            <w:r>
              <w:rPr>
                <w:rFonts w:ascii="Verdana" w:eastAsia="Times New Roman" w:hAnsi="Verdana" w:cs="Calibri"/>
                <w:color w:val="000000"/>
                <w:sz w:val="16"/>
                <w:szCs w:val="16"/>
                <w:lang w:val="en-GB" w:eastAsia="en-GB"/>
              </w:rPr>
              <w:t>29,579</w:t>
            </w:r>
          </w:p>
        </w:tc>
      </w:tr>
      <w:tr w:rsidR="00A0232C" w:rsidRPr="00A0232C" w14:paraId="1032431E" w14:textId="77777777" w:rsidTr="0073748E">
        <w:trPr>
          <w:gridAfter w:val="1"/>
          <w:wAfter w:w="464" w:type="dxa"/>
          <w:cantSplit/>
          <w:trHeight w:val="212"/>
        </w:trPr>
        <w:tc>
          <w:tcPr>
            <w:tcW w:w="1304" w:type="dxa"/>
            <w:tcBorders>
              <w:top w:val="nil"/>
              <w:left w:val="nil"/>
              <w:bottom w:val="nil"/>
              <w:right w:val="nil"/>
            </w:tcBorders>
            <w:shd w:val="clear" w:color="auto" w:fill="auto"/>
            <w:vAlign w:val="center"/>
            <w:hideMark/>
          </w:tcPr>
          <w:p w14:paraId="0CB952A5"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5,273</w:t>
            </w:r>
          </w:p>
        </w:tc>
        <w:tc>
          <w:tcPr>
            <w:tcW w:w="1425" w:type="dxa"/>
            <w:tcBorders>
              <w:top w:val="nil"/>
              <w:left w:val="nil"/>
              <w:bottom w:val="nil"/>
              <w:right w:val="nil"/>
            </w:tcBorders>
            <w:shd w:val="clear" w:color="auto" w:fill="auto"/>
            <w:vAlign w:val="center"/>
            <w:hideMark/>
          </w:tcPr>
          <w:p w14:paraId="3CA44A00"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0</w:t>
            </w:r>
          </w:p>
        </w:tc>
        <w:tc>
          <w:tcPr>
            <w:tcW w:w="1281" w:type="dxa"/>
            <w:tcBorders>
              <w:top w:val="nil"/>
              <w:left w:val="nil"/>
              <w:bottom w:val="nil"/>
              <w:right w:val="nil"/>
            </w:tcBorders>
            <w:shd w:val="clear" w:color="auto" w:fill="auto"/>
            <w:vAlign w:val="center"/>
            <w:hideMark/>
          </w:tcPr>
          <w:p w14:paraId="05B7B579"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5,273</w:t>
            </w:r>
          </w:p>
        </w:tc>
        <w:tc>
          <w:tcPr>
            <w:tcW w:w="1139" w:type="dxa"/>
            <w:tcBorders>
              <w:top w:val="nil"/>
              <w:left w:val="nil"/>
              <w:bottom w:val="nil"/>
              <w:right w:val="nil"/>
            </w:tcBorders>
            <w:shd w:val="clear" w:color="auto" w:fill="auto"/>
            <w:vAlign w:val="center"/>
            <w:hideMark/>
          </w:tcPr>
          <w:p w14:paraId="73B9A3C4" w14:textId="77777777" w:rsidR="00A0232C" w:rsidRPr="00A0232C" w:rsidRDefault="00A0232C" w:rsidP="00A0232C">
            <w:pPr>
              <w:jc w:val="center"/>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 xml:space="preserve"> </w:t>
            </w:r>
          </w:p>
        </w:tc>
        <w:tc>
          <w:tcPr>
            <w:tcW w:w="4214" w:type="dxa"/>
            <w:tcBorders>
              <w:top w:val="nil"/>
              <w:left w:val="nil"/>
              <w:bottom w:val="nil"/>
              <w:right w:val="nil"/>
            </w:tcBorders>
            <w:shd w:val="clear" w:color="auto" w:fill="auto"/>
            <w:vAlign w:val="center"/>
            <w:hideMark/>
          </w:tcPr>
          <w:p w14:paraId="33CC9AFA" w14:textId="77777777" w:rsidR="00A0232C" w:rsidRPr="00A0232C" w:rsidRDefault="00A0232C" w:rsidP="00A0232C">
            <w:pPr>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Transport</w:t>
            </w:r>
          </w:p>
        </w:tc>
        <w:tc>
          <w:tcPr>
            <w:tcW w:w="1811" w:type="dxa"/>
            <w:tcBorders>
              <w:top w:val="nil"/>
              <w:left w:val="nil"/>
              <w:bottom w:val="nil"/>
              <w:right w:val="nil"/>
            </w:tcBorders>
            <w:shd w:val="clear" w:color="auto" w:fill="auto"/>
            <w:vAlign w:val="center"/>
            <w:hideMark/>
          </w:tcPr>
          <w:p w14:paraId="4B623D90"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5,756</w:t>
            </w:r>
          </w:p>
        </w:tc>
        <w:tc>
          <w:tcPr>
            <w:tcW w:w="1880" w:type="dxa"/>
            <w:tcBorders>
              <w:top w:val="nil"/>
              <w:left w:val="nil"/>
              <w:bottom w:val="nil"/>
              <w:right w:val="nil"/>
            </w:tcBorders>
            <w:shd w:val="clear" w:color="auto" w:fill="auto"/>
            <w:vAlign w:val="center"/>
            <w:hideMark/>
          </w:tcPr>
          <w:p w14:paraId="12E0A7DD"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0</w:t>
            </w:r>
          </w:p>
        </w:tc>
        <w:tc>
          <w:tcPr>
            <w:tcW w:w="1688" w:type="dxa"/>
            <w:tcBorders>
              <w:top w:val="nil"/>
              <w:left w:val="nil"/>
              <w:bottom w:val="nil"/>
              <w:right w:val="nil"/>
            </w:tcBorders>
            <w:shd w:val="clear" w:color="auto" w:fill="auto"/>
            <w:vAlign w:val="center"/>
            <w:hideMark/>
          </w:tcPr>
          <w:p w14:paraId="4F948800"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5,756</w:t>
            </w:r>
          </w:p>
        </w:tc>
      </w:tr>
      <w:tr w:rsidR="00A0232C" w:rsidRPr="00A0232C" w14:paraId="6740E5C8" w14:textId="77777777" w:rsidTr="0073748E">
        <w:trPr>
          <w:gridAfter w:val="1"/>
          <w:wAfter w:w="464" w:type="dxa"/>
          <w:cantSplit/>
          <w:trHeight w:val="202"/>
        </w:trPr>
        <w:tc>
          <w:tcPr>
            <w:tcW w:w="1304" w:type="dxa"/>
            <w:tcBorders>
              <w:top w:val="nil"/>
              <w:left w:val="nil"/>
              <w:bottom w:val="nil"/>
              <w:right w:val="nil"/>
            </w:tcBorders>
            <w:shd w:val="clear" w:color="auto" w:fill="auto"/>
            <w:vAlign w:val="center"/>
            <w:hideMark/>
          </w:tcPr>
          <w:p w14:paraId="73458493"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11,196</w:t>
            </w:r>
          </w:p>
        </w:tc>
        <w:tc>
          <w:tcPr>
            <w:tcW w:w="1425" w:type="dxa"/>
            <w:tcBorders>
              <w:top w:val="nil"/>
              <w:left w:val="nil"/>
              <w:bottom w:val="nil"/>
              <w:right w:val="nil"/>
            </w:tcBorders>
            <w:shd w:val="clear" w:color="auto" w:fill="auto"/>
            <w:vAlign w:val="center"/>
            <w:hideMark/>
          </w:tcPr>
          <w:p w14:paraId="4CFC01D3"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0</w:t>
            </w:r>
          </w:p>
        </w:tc>
        <w:tc>
          <w:tcPr>
            <w:tcW w:w="1281" w:type="dxa"/>
            <w:tcBorders>
              <w:top w:val="nil"/>
              <w:left w:val="nil"/>
              <w:bottom w:val="nil"/>
              <w:right w:val="nil"/>
            </w:tcBorders>
            <w:shd w:val="clear" w:color="auto" w:fill="auto"/>
            <w:vAlign w:val="center"/>
            <w:hideMark/>
          </w:tcPr>
          <w:p w14:paraId="7ADED065"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11,196</w:t>
            </w:r>
          </w:p>
        </w:tc>
        <w:tc>
          <w:tcPr>
            <w:tcW w:w="1139" w:type="dxa"/>
            <w:vMerge w:val="restart"/>
            <w:tcBorders>
              <w:top w:val="nil"/>
              <w:left w:val="nil"/>
              <w:bottom w:val="nil"/>
              <w:right w:val="nil"/>
            </w:tcBorders>
            <w:shd w:val="clear" w:color="auto" w:fill="auto"/>
            <w:vAlign w:val="center"/>
            <w:hideMark/>
          </w:tcPr>
          <w:p w14:paraId="50ED9D3D" w14:textId="77777777" w:rsidR="00A0232C" w:rsidRPr="00A0232C" w:rsidRDefault="00A0232C" w:rsidP="00A0232C">
            <w:pPr>
              <w:jc w:val="center"/>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 xml:space="preserve"> </w:t>
            </w:r>
          </w:p>
        </w:tc>
        <w:tc>
          <w:tcPr>
            <w:tcW w:w="4214" w:type="dxa"/>
            <w:tcBorders>
              <w:top w:val="nil"/>
              <w:left w:val="nil"/>
              <w:bottom w:val="nil"/>
              <w:right w:val="nil"/>
            </w:tcBorders>
            <w:shd w:val="clear" w:color="auto" w:fill="auto"/>
            <w:vAlign w:val="center"/>
            <w:hideMark/>
          </w:tcPr>
          <w:p w14:paraId="46B61263" w14:textId="77777777" w:rsidR="00A0232C" w:rsidRPr="00A0232C" w:rsidRDefault="00A0232C" w:rsidP="00A0232C">
            <w:pPr>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*Depreciation/Amortisation</w:t>
            </w:r>
          </w:p>
        </w:tc>
        <w:tc>
          <w:tcPr>
            <w:tcW w:w="1811" w:type="dxa"/>
            <w:tcBorders>
              <w:top w:val="nil"/>
              <w:left w:val="nil"/>
              <w:bottom w:val="nil"/>
              <w:right w:val="nil"/>
            </w:tcBorders>
            <w:shd w:val="clear" w:color="auto" w:fill="auto"/>
            <w:vAlign w:val="center"/>
            <w:hideMark/>
          </w:tcPr>
          <w:p w14:paraId="51EC4903"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10,521</w:t>
            </w:r>
          </w:p>
        </w:tc>
        <w:tc>
          <w:tcPr>
            <w:tcW w:w="1880" w:type="dxa"/>
            <w:tcBorders>
              <w:top w:val="nil"/>
              <w:left w:val="nil"/>
              <w:bottom w:val="nil"/>
              <w:right w:val="nil"/>
            </w:tcBorders>
            <w:shd w:val="clear" w:color="auto" w:fill="auto"/>
            <w:vAlign w:val="center"/>
            <w:hideMark/>
          </w:tcPr>
          <w:p w14:paraId="70B9EB41"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0</w:t>
            </w:r>
          </w:p>
        </w:tc>
        <w:tc>
          <w:tcPr>
            <w:tcW w:w="1688" w:type="dxa"/>
            <w:tcBorders>
              <w:top w:val="nil"/>
              <w:left w:val="nil"/>
              <w:bottom w:val="nil"/>
              <w:right w:val="nil"/>
            </w:tcBorders>
            <w:shd w:val="clear" w:color="auto" w:fill="auto"/>
            <w:vAlign w:val="center"/>
            <w:hideMark/>
          </w:tcPr>
          <w:p w14:paraId="2782FD6C"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10,521</w:t>
            </w:r>
          </w:p>
        </w:tc>
      </w:tr>
      <w:tr w:rsidR="00A0232C" w:rsidRPr="00A0232C" w14:paraId="043AD389" w14:textId="77777777" w:rsidTr="0073748E">
        <w:trPr>
          <w:gridBefore w:val="1"/>
          <w:gridAfter w:val="1"/>
          <w:wBefore w:w="1304" w:type="dxa"/>
          <w:wAfter w:w="464" w:type="dxa"/>
          <w:trHeight w:val="202"/>
        </w:trPr>
        <w:tc>
          <w:tcPr>
            <w:tcW w:w="1425" w:type="dxa"/>
            <w:tcBorders>
              <w:top w:val="nil"/>
              <w:left w:val="nil"/>
              <w:bottom w:val="nil"/>
              <w:right w:val="nil"/>
            </w:tcBorders>
            <w:shd w:val="clear" w:color="auto" w:fill="auto"/>
            <w:vAlign w:val="center"/>
            <w:hideMark/>
          </w:tcPr>
          <w:p w14:paraId="3FBC29C9" w14:textId="77777777" w:rsidR="00A0232C" w:rsidRPr="00A0232C" w:rsidRDefault="00A0232C" w:rsidP="00A0232C">
            <w:pPr>
              <w:jc w:val="right"/>
              <w:rPr>
                <w:rFonts w:ascii="Times New Roman" w:eastAsia="Times New Roman" w:hAnsi="Times New Roman" w:cs="Times New Roman"/>
                <w:sz w:val="20"/>
                <w:szCs w:val="20"/>
                <w:lang w:val="en-GB" w:eastAsia="en-GB"/>
              </w:rPr>
            </w:pPr>
          </w:p>
        </w:tc>
        <w:tc>
          <w:tcPr>
            <w:tcW w:w="1281" w:type="dxa"/>
            <w:tcBorders>
              <w:top w:val="nil"/>
              <w:left w:val="nil"/>
              <w:bottom w:val="nil"/>
              <w:right w:val="nil"/>
            </w:tcBorders>
            <w:shd w:val="clear" w:color="auto" w:fill="auto"/>
            <w:vAlign w:val="center"/>
            <w:hideMark/>
          </w:tcPr>
          <w:p w14:paraId="309BCEB9" w14:textId="77777777" w:rsidR="00A0232C" w:rsidRPr="00A0232C" w:rsidRDefault="00A0232C" w:rsidP="00A0232C">
            <w:pPr>
              <w:jc w:val="right"/>
              <w:rPr>
                <w:rFonts w:ascii="Times New Roman" w:eastAsia="Times New Roman" w:hAnsi="Times New Roman" w:cs="Times New Roman"/>
                <w:sz w:val="20"/>
                <w:szCs w:val="20"/>
                <w:lang w:val="en-GB" w:eastAsia="en-GB"/>
              </w:rPr>
            </w:pPr>
          </w:p>
        </w:tc>
        <w:tc>
          <w:tcPr>
            <w:tcW w:w="1139" w:type="dxa"/>
            <w:vMerge/>
            <w:tcBorders>
              <w:top w:val="nil"/>
              <w:left w:val="nil"/>
              <w:bottom w:val="nil"/>
              <w:right w:val="nil"/>
            </w:tcBorders>
            <w:vAlign w:val="center"/>
            <w:hideMark/>
          </w:tcPr>
          <w:p w14:paraId="64566CB7" w14:textId="77777777" w:rsidR="00A0232C" w:rsidRPr="00A0232C" w:rsidRDefault="00A0232C" w:rsidP="00A0232C">
            <w:pPr>
              <w:rPr>
                <w:rFonts w:ascii="Verdana" w:eastAsia="Times New Roman" w:hAnsi="Verdana" w:cs="Calibri"/>
                <w:color w:val="000000"/>
                <w:sz w:val="16"/>
                <w:szCs w:val="16"/>
                <w:lang w:val="en-GB" w:eastAsia="en-GB"/>
              </w:rPr>
            </w:pPr>
          </w:p>
        </w:tc>
        <w:tc>
          <w:tcPr>
            <w:tcW w:w="4214" w:type="dxa"/>
            <w:tcBorders>
              <w:top w:val="nil"/>
              <w:left w:val="nil"/>
              <w:bottom w:val="nil"/>
              <w:right w:val="nil"/>
            </w:tcBorders>
            <w:shd w:val="clear" w:color="auto" w:fill="auto"/>
            <w:vAlign w:val="center"/>
            <w:hideMark/>
          </w:tcPr>
          <w:p w14:paraId="62959CB1" w14:textId="77777777" w:rsidR="00A0232C" w:rsidRPr="00A0232C" w:rsidRDefault="00A0232C" w:rsidP="00A0232C">
            <w:pPr>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(Proxy)</w:t>
            </w:r>
          </w:p>
        </w:tc>
        <w:tc>
          <w:tcPr>
            <w:tcW w:w="1811" w:type="dxa"/>
            <w:tcBorders>
              <w:top w:val="nil"/>
              <w:left w:val="nil"/>
              <w:bottom w:val="nil"/>
              <w:right w:val="nil"/>
            </w:tcBorders>
            <w:shd w:val="clear" w:color="auto" w:fill="auto"/>
            <w:vAlign w:val="center"/>
            <w:hideMark/>
          </w:tcPr>
          <w:p w14:paraId="20A927F1" w14:textId="77777777" w:rsidR="00A0232C" w:rsidRPr="00A0232C" w:rsidRDefault="00A0232C" w:rsidP="00A0232C">
            <w:pPr>
              <w:rPr>
                <w:rFonts w:ascii="Verdana" w:eastAsia="Times New Roman" w:hAnsi="Verdana" w:cs="Calibri"/>
                <w:color w:val="000000"/>
                <w:sz w:val="16"/>
                <w:szCs w:val="16"/>
                <w:lang w:val="en-GB" w:eastAsia="en-GB"/>
              </w:rPr>
            </w:pPr>
          </w:p>
        </w:tc>
        <w:tc>
          <w:tcPr>
            <w:tcW w:w="1880" w:type="dxa"/>
            <w:tcBorders>
              <w:top w:val="nil"/>
              <w:left w:val="nil"/>
              <w:bottom w:val="nil"/>
              <w:right w:val="nil"/>
            </w:tcBorders>
            <w:shd w:val="clear" w:color="auto" w:fill="auto"/>
            <w:vAlign w:val="center"/>
            <w:hideMark/>
          </w:tcPr>
          <w:p w14:paraId="146E02C6" w14:textId="77777777" w:rsidR="00A0232C" w:rsidRPr="00A0232C" w:rsidRDefault="00A0232C" w:rsidP="00A0232C">
            <w:pPr>
              <w:jc w:val="right"/>
              <w:rPr>
                <w:rFonts w:ascii="Times New Roman" w:eastAsia="Times New Roman" w:hAnsi="Times New Roman" w:cs="Times New Roman"/>
                <w:sz w:val="20"/>
                <w:szCs w:val="20"/>
                <w:lang w:val="en-GB" w:eastAsia="en-GB"/>
              </w:rPr>
            </w:pPr>
          </w:p>
        </w:tc>
        <w:tc>
          <w:tcPr>
            <w:tcW w:w="1688" w:type="dxa"/>
            <w:tcBorders>
              <w:top w:val="nil"/>
              <w:left w:val="nil"/>
              <w:bottom w:val="nil"/>
              <w:right w:val="nil"/>
            </w:tcBorders>
            <w:shd w:val="clear" w:color="auto" w:fill="auto"/>
            <w:vAlign w:val="center"/>
            <w:hideMark/>
          </w:tcPr>
          <w:p w14:paraId="5B6D1E93" w14:textId="77777777" w:rsidR="00A0232C" w:rsidRPr="00A0232C" w:rsidRDefault="00A0232C" w:rsidP="00A0232C">
            <w:pPr>
              <w:jc w:val="right"/>
              <w:rPr>
                <w:rFonts w:ascii="Times New Roman" w:eastAsia="Times New Roman" w:hAnsi="Times New Roman" w:cs="Times New Roman"/>
                <w:sz w:val="20"/>
                <w:szCs w:val="20"/>
                <w:lang w:val="en-GB" w:eastAsia="en-GB"/>
              </w:rPr>
            </w:pPr>
          </w:p>
        </w:tc>
      </w:tr>
      <w:tr w:rsidR="00A0232C" w:rsidRPr="00A0232C" w14:paraId="585DD5CE" w14:textId="77777777" w:rsidTr="0073748E">
        <w:trPr>
          <w:gridAfter w:val="1"/>
          <w:wAfter w:w="464" w:type="dxa"/>
          <w:trHeight w:val="283"/>
        </w:trPr>
        <w:tc>
          <w:tcPr>
            <w:tcW w:w="1304" w:type="dxa"/>
            <w:tcBorders>
              <w:top w:val="nil"/>
              <w:left w:val="nil"/>
              <w:bottom w:val="nil"/>
              <w:right w:val="nil"/>
            </w:tcBorders>
            <w:shd w:val="clear" w:color="auto" w:fill="auto"/>
            <w:vAlign w:val="center"/>
            <w:hideMark/>
          </w:tcPr>
          <w:p w14:paraId="5FD1D1FC"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0</w:t>
            </w:r>
          </w:p>
        </w:tc>
        <w:tc>
          <w:tcPr>
            <w:tcW w:w="1425" w:type="dxa"/>
            <w:tcBorders>
              <w:top w:val="nil"/>
              <w:left w:val="nil"/>
              <w:bottom w:val="nil"/>
              <w:right w:val="nil"/>
            </w:tcBorders>
            <w:shd w:val="clear" w:color="auto" w:fill="auto"/>
            <w:vAlign w:val="center"/>
            <w:hideMark/>
          </w:tcPr>
          <w:p w14:paraId="0F7198A0"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(13,233)</w:t>
            </w:r>
          </w:p>
        </w:tc>
        <w:tc>
          <w:tcPr>
            <w:tcW w:w="1281" w:type="dxa"/>
            <w:tcBorders>
              <w:top w:val="nil"/>
              <w:left w:val="nil"/>
              <w:bottom w:val="nil"/>
              <w:right w:val="nil"/>
            </w:tcBorders>
            <w:shd w:val="clear" w:color="auto" w:fill="auto"/>
            <w:vAlign w:val="center"/>
            <w:hideMark/>
          </w:tcPr>
          <w:p w14:paraId="13F8F111"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(13,233)</w:t>
            </w:r>
          </w:p>
        </w:tc>
        <w:tc>
          <w:tcPr>
            <w:tcW w:w="1139" w:type="dxa"/>
            <w:tcBorders>
              <w:top w:val="nil"/>
              <w:left w:val="nil"/>
              <w:bottom w:val="nil"/>
              <w:right w:val="nil"/>
            </w:tcBorders>
            <w:shd w:val="clear" w:color="auto" w:fill="auto"/>
            <w:vAlign w:val="center"/>
            <w:hideMark/>
          </w:tcPr>
          <w:p w14:paraId="5044E2D4" w14:textId="77777777" w:rsidR="00A0232C" w:rsidRPr="00A0232C" w:rsidRDefault="00A0232C" w:rsidP="00A0232C">
            <w:pPr>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 xml:space="preserve"> </w:t>
            </w:r>
          </w:p>
        </w:tc>
        <w:tc>
          <w:tcPr>
            <w:tcW w:w="4214" w:type="dxa"/>
            <w:tcBorders>
              <w:top w:val="nil"/>
              <w:left w:val="nil"/>
              <w:bottom w:val="nil"/>
              <w:right w:val="nil"/>
            </w:tcBorders>
            <w:shd w:val="clear" w:color="auto" w:fill="auto"/>
            <w:vAlign w:val="center"/>
            <w:hideMark/>
          </w:tcPr>
          <w:p w14:paraId="7DBECE0E" w14:textId="77777777" w:rsidR="00A0232C" w:rsidRPr="00A0232C" w:rsidRDefault="00A0232C" w:rsidP="00A0232C">
            <w:pPr>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Income for Services provided by The Chief Constable</w:t>
            </w:r>
          </w:p>
        </w:tc>
        <w:tc>
          <w:tcPr>
            <w:tcW w:w="1811" w:type="dxa"/>
            <w:tcBorders>
              <w:top w:val="nil"/>
              <w:left w:val="nil"/>
              <w:bottom w:val="nil"/>
              <w:right w:val="nil"/>
            </w:tcBorders>
            <w:shd w:val="clear" w:color="auto" w:fill="auto"/>
            <w:vAlign w:val="center"/>
            <w:hideMark/>
          </w:tcPr>
          <w:p w14:paraId="1BF3F6A2"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0</w:t>
            </w:r>
          </w:p>
        </w:tc>
        <w:tc>
          <w:tcPr>
            <w:tcW w:w="1880" w:type="dxa"/>
            <w:tcBorders>
              <w:top w:val="nil"/>
              <w:left w:val="nil"/>
              <w:bottom w:val="nil"/>
              <w:right w:val="nil"/>
            </w:tcBorders>
            <w:shd w:val="clear" w:color="auto" w:fill="auto"/>
            <w:vAlign w:val="center"/>
            <w:hideMark/>
          </w:tcPr>
          <w:p w14:paraId="79496EF4" w14:textId="70B5C3A1" w:rsidR="00A0232C" w:rsidRPr="00A0232C" w:rsidRDefault="00A0232C" w:rsidP="0032137A">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(1</w:t>
            </w:r>
            <w:r w:rsidR="0032137A">
              <w:rPr>
                <w:rFonts w:ascii="Verdana" w:eastAsia="Times New Roman" w:hAnsi="Verdana" w:cs="Calibri"/>
                <w:color w:val="000000"/>
                <w:sz w:val="16"/>
                <w:szCs w:val="16"/>
                <w:lang w:val="en-GB" w:eastAsia="en-GB"/>
              </w:rPr>
              <w:t>7</w:t>
            </w:r>
            <w:r w:rsidRPr="00A0232C">
              <w:rPr>
                <w:rFonts w:ascii="Verdana" w:eastAsia="Times New Roman" w:hAnsi="Verdana" w:cs="Calibri"/>
                <w:color w:val="000000"/>
                <w:sz w:val="16"/>
                <w:szCs w:val="16"/>
                <w:lang w:val="en-GB" w:eastAsia="en-GB"/>
              </w:rPr>
              <w:t>,1</w:t>
            </w:r>
            <w:r w:rsidR="0032137A">
              <w:rPr>
                <w:rFonts w:ascii="Verdana" w:eastAsia="Times New Roman" w:hAnsi="Verdana" w:cs="Calibri"/>
                <w:color w:val="000000"/>
                <w:sz w:val="16"/>
                <w:szCs w:val="16"/>
                <w:lang w:val="en-GB" w:eastAsia="en-GB"/>
              </w:rPr>
              <w:t>97</w:t>
            </w:r>
            <w:r w:rsidRPr="00A0232C">
              <w:rPr>
                <w:rFonts w:ascii="Verdana" w:eastAsia="Times New Roman" w:hAnsi="Verdana" w:cs="Calibri"/>
                <w:color w:val="000000"/>
                <w:sz w:val="16"/>
                <w:szCs w:val="16"/>
                <w:lang w:val="en-GB" w:eastAsia="en-GB"/>
              </w:rPr>
              <w:t>)</w:t>
            </w:r>
          </w:p>
        </w:tc>
        <w:tc>
          <w:tcPr>
            <w:tcW w:w="1688" w:type="dxa"/>
            <w:tcBorders>
              <w:top w:val="nil"/>
              <w:left w:val="nil"/>
              <w:bottom w:val="nil"/>
              <w:right w:val="nil"/>
            </w:tcBorders>
            <w:shd w:val="clear" w:color="auto" w:fill="auto"/>
            <w:vAlign w:val="center"/>
            <w:hideMark/>
          </w:tcPr>
          <w:p w14:paraId="11327922" w14:textId="27B20BCF" w:rsidR="00A0232C" w:rsidRPr="00A0232C" w:rsidRDefault="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(1</w:t>
            </w:r>
            <w:r w:rsidR="0032137A">
              <w:rPr>
                <w:rFonts w:ascii="Verdana" w:eastAsia="Times New Roman" w:hAnsi="Verdana" w:cs="Calibri"/>
                <w:color w:val="000000"/>
                <w:sz w:val="16"/>
                <w:szCs w:val="16"/>
                <w:lang w:val="en-GB" w:eastAsia="en-GB"/>
              </w:rPr>
              <w:t>7</w:t>
            </w:r>
            <w:r w:rsidRPr="00A0232C">
              <w:rPr>
                <w:rFonts w:ascii="Verdana" w:eastAsia="Times New Roman" w:hAnsi="Verdana" w:cs="Calibri"/>
                <w:color w:val="000000"/>
                <w:sz w:val="16"/>
                <w:szCs w:val="16"/>
                <w:lang w:val="en-GB" w:eastAsia="en-GB"/>
              </w:rPr>
              <w:t>,1</w:t>
            </w:r>
            <w:r w:rsidR="0032137A">
              <w:rPr>
                <w:rFonts w:ascii="Verdana" w:eastAsia="Times New Roman" w:hAnsi="Verdana" w:cs="Calibri"/>
                <w:color w:val="000000"/>
                <w:sz w:val="16"/>
                <w:szCs w:val="16"/>
                <w:lang w:val="en-GB" w:eastAsia="en-GB"/>
              </w:rPr>
              <w:t>97</w:t>
            </w:r>
            <w:r w:rsidRPr="00A0232C">
              <w:rPr>
                <w:rFonts w:ascii="Verdana" w:eastAsia="Times New Roman" w:hAnsi="Verdana" w:cs="Calibri"/>
                <w:color w:val="000000"/>
                <w:sz w:val="16"/>
                <w:szCs w:val="16"/>
                <w:lang w:val="en-GB" w:eastAsia="en-GB"/>
              </w:rPr>
              <w:t>)</w:t>
            </w:r>
          </w:p>
        </w:tc>
      </w:tr>
      <w:tr w:rsidR="00A0232C" w:rsidRPr="00A0232C" w14:paraId="52E70161" w14:textId="77777777" w:rsidTr="0073748E">
        <w:trPr>
          <w:gridAfter w:val="1"/>
          <w:wAfter w:w="464" w:type="dxa"/>
          <w:trHeight w:val="283"/>
        </w:trPr>
        <w:tc>
          <w:tcPr>
            <w:tcW w:w="1304" w:type="dxa"/>
            <w:tcBorders>
              <w:top w:val="nil"/>
              <w:left w:val="nil"/>
              <w:bottom w:val="nil"/>
              <w:right w:val="nil"/>
            </w:tcBorders>
            <w:shd w:val="clear" w:color="auto" w:fill="auto"/>
            <w:vAlign w:val="center"/>
          </w:tcPr>
          <w:p w14:paraId="22E0327A" w14:textId="77777777" w:rsidR="00A0232C" w:rsidRPr="00A0232C" w:rsidRDefault="00A0232C" w:rsidP="00A0232C">
            <w:pPr>
              <w:jc w:val="right"/>
              <w:rPr>
                <w:rFonts w:ascii="Verdana" w:eastAsia="Times New Roman" w:hAnsi="Verdana" w:cs="Calibri"/>
                <w:color w:val="000000"/>
                <w:sz w:val="16"/>
                <w:szCs w:val="16"/>
                <w:lang w:val="en-GB" w:eastAsia="en-GB"/>
              </w:rPr>
            </w:pPr>
            <w:r>
              <w:rPr>
                <w:rFonts w:ascii="Verdana" w:eastAsia="Times New Roman" w:hAnsi="Verdana" w:cs="Calibri"/>
                <w:color w:val="000000"/>
                <w:sz w:val="16"/>
                <w:szCs w:val="16"/>
                <w:lang w:val="en-GB" w:eastAsia="en-GB"/>
              </w:rPr>
              <w:t>(1)</w:t>
            </w:r>
          </w:p>
        </w:tc>
        <w:tc>
          <w:tcPr>
            <w:tcW w:w="1425" w:type="dxa"/>
            <w:tcBorders>
              <w:top w:val="nil"/>
              <w:left w:val="nil"/>
              <w:bottom w:val="nil"/>
              <w:right w:val="nil"/>
            </w:tcBorders>
            <w:shd w:val="clear" w:color="auto" w:fill="auto"/>
            <w:vAlign w:val="center"/>
          </w:tcPr>
          <w:p w14:paraId="0DFD48B7" w14:textId="77777777" w:rsidR="00A0232C" w:rsidRPr="00A0232C" w:rsidRDefault="00A0232C" w:rsidP="00A0232C">
            <w:pPr>
              <w:jc w:val="right"/>
              <w:rPr>
                <w:rFonts w:ascii="Verdana" w:eastAsia="Times New Roman" w:hAnsi="Verdana" w:cs="Calibri"/>
                <w:color w:val="000000"/>
                <w:sz w:val="16"/>
                <w:szCs w:val="16"/>
                <w:lang w:val="en-GB" w:eastAsia="en-GB"/>
              </w:rPr>
            </w:pPr>
            <w:r>
              <w:rPr>
                <w:rFonts w:ascii="Verdana" w:eastAsia="Times New Roman" w:hAnsi="Verdana" w:cs="Calibri"/>
                <w:color w:val="000000"/>
                <w:sz w:val="16"/>
                <w:szCs w:val="16"/>
                <w:lang w:val="en-GB" w:eastAsia="en-GB"/>
              </w:rPr>
              <w:t>0</w:t>
            </w:r>
          </w:p>
        </w:tc>
        <w:tc>
          <w:tcPr>
            <w:tcW w:w="1281" w:type="dxa"/>
            <w:tcBorders>
              <w:top w:val="nil"/>
              <w:left w:val="nil"/>
              <w:bottom w:val="nil"/>
              <w:right w:val="nil"/>
            </w:tcBorders>
            <w:shd w:val="clear" w:color="auto" w:fill="auto"/>
            <w:vAlign w:val="center"/>
          </w:tcPr>
          <w:p w14:paraId="48DB5884" w14:textId="77777777" w:rsidR="00A0232C" w:rsidRPr="00A0232C" w:rsidRDefault="00A0232C" w:rsidP="00A0232C">
            <w:pPr>
              <w:jc w:val="right"/>
              <w:rPr>
                <w:rFonts w:ascii="Verdana" w:eastAsia="Times New Roman" w:hAnsi="Verdana" w:cs="Calibri"/>
                <w:color w:val="000000"/>
                <w:sz w:val="16"/>
                <w:szCs w:val="16"/>
                <w:lang w:val="en-GB" w:eastAsia="en-GB"/>
              </w:rPr>
            </w:pPr>
            <w:r>
              <w:rPr>
                <w:rFonts w:ascii="Verdana" w:eastAsia="Times New Roman" w:hAnsi="Verdana" w:cs="Calibri"/>
                <w:color w:val="000000"/>
                <w:sz w:val="16"/>
                <w:szCs w:val="16"/>
                <w:lang w:val="en-GB" w:eastAsia="en-GB"/>
              </w:rPr>
              <w:t>(1)</w:t>
            </w:r>
          </w:p>
        </w:tc>
        <w:tc>
          <w:tcPr>
            <w:tcW w:w="1139" w:type="dxa"/>
            <w:tcBorders>
              <w:top w:val="nil"/>
              <w:left w:val="nil"/>
              <w:bottom w:val="nil"/>
              <w:right w:val="nil"/>
            </w:tcBorders>
            <w:shd w:val="clear" w:color="auto" w:fill="auto"/>
            <w:vAlign w:val="center"/>
          </w:tcPr>
          <w:p w14:paraId="21DF9719" w14:textId="77777777" w:rsidR="00A0232C" w:rsidRPr="00A0232C" w:rsidRDefault="00A0232C" w:rsidP="00A0232C">
            <w:pPr>
              <w:rPr>
                <w:rFonts w:ascii="Verdana" w:eastAsia="Times New Roman" w:hAnsi="Verdana" w:cs="Calibri"/>
                <w:color w:val="000000"/>
                <w:sz w:val="16"/>
                <w:szCs w:val="16"/>
                <w:lang w:val="en-GB" w:eastAsia="en-GB"/>
              </w:rPr>
            </w:pPr>
          </w:p>
        </w:tc>
        <w:tc>
          <w:tcPr>
            <w:tcW w:w="4214" w:type="dxa"/>
            <w:tcBorders>
              <w:top w:val="nil"/>
              <w:left w:val="nil"/>
              <w:bottom w:val="nil"/>
              <w:right w:val="nil"/>
            </w:tcBorders>
            <w:shd w:val="clear" w:color="auto" w:fill="auto"/>
            <w:vAlign w:val="center"/>
          </w:tcPr>
          <w:p w14:paraId="19B45714" w14:textId="77777777" w:rsidR="00A0232C" w:rsidRPr="00A0232C" w:rsidRDefault="00A0232C" w:rsidP="00A0232C">
            <w:pPr>
              <w:rPr>
                <w:rFonts w:ascii="Verdana" w:eastAsia="Times New Roman" w:hAnsi="Verdana" w:cs="Calibri"/>
                <w:color w:val="000000"/>
                <w:sz w:val="16"/>
                <w:szCs w:val="16"/>
                <w:lang w:val="en-GB" w:eastAsia="en-GB"/>
              </w:rPr>
            </w:pPr>
            <w:r>
              <w:rPr>
                <w:rFonts w:ascii="Verdana" w:eastAsia="Times New Roman" w:hAnsi="Verdana" w:cs="Calibri"/>
                <w:color w:val="000000"/>
                <w:sz w:val="16"/>
                <w:szCs w:val="16"/>
                <w:lang w:val="en-GB" w:eastAsia="en-GB"/>
              </w:rPr>
              <w:t>Rounding</w:t>
            </w:r>
          </w:p>
        </w:tc>
        <w:tc>
          <w:tcPr>
            <w:tcW w:w="1811" w:type="dxa"/>
            <w:tcBorders>
              <w:top w:val="nil"/>
              <w:left w:val="nil"/>
              <w:bottom w:val="nil"/>
              <w:right w:val="nil"/>
            </w:tcBorders>
            <w:shd w:val="clear" w:color="auto" w:fill="auto"/>
            <w:vAlign w:val="center"/>
          </w:tcPr>
          <w:p w14:paraId="367D4833" w14:textId="747BBD97" w:rsidR="00A0232C" w:rsidRPr="00A0232C" w:rsidRDefault="0032137A" w:rsidP="00A0232C">
            <w:pPr>
              <w:jc w:val="right"/>
              <w:rPr>
                <w:rFonts w:ascii="Verdana" w:eastAsia="Times New Roman" w:hAnsi="Verdana" w:cs="Calibri"/>
                <w:color w:val="000000"/>
                <w:sz w:val="16"/>
                <w:szCs w:val="16"/>
                <w:lang w:val="en-GB" w:eastAsia="en-GB"/>
              </w:rPr>
            </w:pPr>
            <w:r>
              <w:rPr>
                <w:rFonts w:ascii="Verdana" w:eastAsia="Times New Roman" w:hAnsi="Verdana" w:cs="Calibri"/>
                <w:color w:val="000000"/>
                <w:sz w:val="16"/>
                <w:szCs w:val="16"/>
                <w:lang w:val="en-GB" w:eastAsia="en-GB"/>
              </w:rPr>
              <w:t>0</w:t>
            </w:r>
          </w:p>
        </w:tc>
        <w:tc>
          <w:tcPr>
            <w:tcW w:w="1880" w:type="dxa"/>
            <w:tcBorders>
              <w:top w:val="nil"/>
              <w:left w:val="nil"/>
              <w:bottom w:val="nil"/>
              <w:right w:val="nil"/>
            </w:tcBorders>
            <w:shd w:val="clear" w:color="auto" w:fill="auto"/>
            <w:vAlign w:val="center"/>
          </w:tcPr>
          <w:p w14:paraId="7F478D43" w14:textId="77777777" w:rsidR="00A0232C" w:rsidRPr="00A0232C" w:rsidRDefault="00A0232C" w:rsidP="00A0232C">
            <w:pPr>
              <w:jc w:val="right"/>
              <w:rPr>
                <w:rFonts w:ascii="Verdana" w:eastAsia="Times New Roman" w:hAnsi="Verdana" w:cs="Calibri"/>
                <w:color w:val="000000"/>
                <w:sz w:val="16"/>
                <w:szCs w:val="16"/>
                <w:lang w:val="en-GB" w:eastAsia="en-GB"/>
              </w:rPr>
            </w:pPr>
            <w:r>
              <w:rPr>
                <w:rFonts w:ascii="Verdana" w:eastAsia="Times New Roman" w:hAnsi="Verdana" w:cs="Calibri"/>
                <w:color w:val="000000"/>
                <w:sz w:val="16"/>
                <w:szCs w:val="16"/>
                <w:lang w:val="en-GB" w:eastAsia="en-GB"/>
              </w:rPr>
              <w:t>0</w:t>
            </w:r>
          </w:p>
        </w:tc>
        <w:tc>
          <w:tcPr>
            <w:tcW w:w="1688" w:type="dxa"/>
            <w:tcBorders>
              <w:top w:val="nil"/>
              <w:left w:val="nil"/>
              <w:bottom w:val="nil"/>
              <w:right w:val="nil"/>
            </w:tcBorders>
            <w:shd w:val="clear" w:color="auto" w:fill="auto"/>
            <w:vAlign w:val="center"/>
          </w:tcPr>
          <w:p w14:paraId="77034124" w14:textId="4A254F4D" w:rsidR="00A0232C" w:rsidRPr="00A0232C" w:rsidRDefault="0032137A" w:rsidP="00A0232C">
            <w:pPr>
              <w:jc w:val="right"/>
              <w:rPr>
                <w:rFonts w:ascii="Verdana" w:eastAsia="Times New Roman" w:hAnsi="Verdana" w:cs="Calibri"/>
                <w:color w:val="000000"/>
                <w:sz w:val="16"/>
                <w:szCs w:val="16"/>
                <w:lang w:val="en-GB" w:eastAsia="en-GB"/>
              </w:rPr>
            </w:pPr>
            <w:r>
              <w:rPr>
                <w:rFonts w:ascii="Verdana" w:eastAsia="Times New Roman" w:hAnsi="Verdana" w:cs="Calibri"/>
                <w:color w:val="000000"/>
                <w:sz w:val="16"/>
                <w:szCs w:val="16"/>
                <w:lang w:val="en-GB" w:eastAsia="en-GB"/>
              </w:rPr>
              <w:t>0</w:t>
            </w:r>
          </w:p>
        </w:tc>
      </w:tr>
      <w:tr w:rsidR="00A0232C" w:rsidRPr="00A0232C" w14:paraId="6CAF9592" w14:textId="77777777" w:rsidTr="0073748E">
        <w:trPr>
          <w:gridAfter w:val="1"/>
          <w:wAfter w:w="464" w:type="dxa"/>
          <w:cantSplit/>
          <w:trHeight w:val="223"/>
        </w:trPr>
        <w:tc>
          <w:tcPr>
            <w:tcW w:w="1304" w:type="dxa"/>
            <w:tcBorders>
              <w:top w:val="single" w:sz="8" w:space="0" w:color="000000"/>
              <w:left w:val="nil"/>
              <w:bottom w:val="single" w:sz="12" w:space="0" w:color="000000"/>
              <w:right w:val="nil"/>
            </w:tcBorders>
            <w:shd w:val="clear" w:color="auto" w:fill="auto"/>
            <w:vAlign w:val="center"/>
            <w:hideMark/>
          </w:tcPr>
          <w:p w14:paraId="032CD775" w14:textId="77777777" w:rsidR="00A0232C" w:rsidRPr="00A0232C" w:rsidRDefault="00A0232C" w:rsidP="00A0232C">
            <w:pPr>
              <w:jc w:val="right"/>
              <w:rPr>
                <w:rFonts w:ascii="Verdana" w:eastAsia="Times New Roman" w:hAnsi="Verdana" w:cs="Calibri"/>
                <w:b/>
                <w:bCs/>
                <w:color w:val="000000"/>
                <w:sz w:val="16"/>
                <w:szCs w:val="16"/>
                <w:lang w:val="en-GB" w:eastAsia="en-GB"/>
              </w:rPr>
            </w:pPr>
            <w:r w:rsidRPr="00A0232C">
              <w:rPr>
                <w:rFonts w:ascii="Verdana" w:eastAsia="Times New Roman" w:hAnsi="Verdana" w:cs="Calibri"/>
                <w:b/>
                <w:bCs/>
                <w:color w:val="000000"/>
                <w:sz w:val="16"/>
                <w:szCs w:val="16"/>
                <w:lang w:val="en-GB" w:eastAsia="en-GB"/>
              </w:rPr>
              <w:t>273,982</w:t>
            </w:r>
          </w:p>
        </w:tc>
        <w:tc>
          <w:tcPr>
            <w:tcW w:w="1425" w:type="dxa"/>
            <w:tcBorders>
              <w:top w:val="single" w:sz="8" w:space="0" w:color="000000"/>
              <w:left w:val="nil"/>
              <w:bottom w:val="single" w:sz="12" w:space="0" w:color="000000"/>
              <w:right w:val="nil"/>
            </w:tcBorders>
            <w:shd w:val="clear" w:color="auto" w:fill="auto"/>
            <w:vAlign w:val="center"/>
            <w:hideMark/>
          </w:tcPr>
          <w:p w14:paraId="6A526896" w14:textId="77777777" w:rsidR="00A0232C" w:rsidRPr="00A0232C" w:rsidRDefault="00A0232C" w:rsidP="00A0232C">
            <w:pPr>
              <w:jc w:val="right"/>
              <w:rPr>
                <w:rFonts w:ascii="Verdana" w:eastAsia="Times New Roman" w:hAnsi="Verdana" w:cs="Calibri"/>
                <w:b/>
                <w:bCs/>
                <w:color w:val="000000"/>
                <w:sz w:val="16"/>
                <w:szCs w:val="16"/>
                <w:lang w:val="en-GB" w:eastAsia="en-GB"/>
              </w:rPr>
            </w:pPr>
            <w:r w:rsidRPr="00A0232C">
              <w:rPr>
                <w:rFonts w:ascii="Verdana" w:eastAsia="Times New Roman" w:hAnsi="Verdana" w:cs="Calibri"/>
                <w:b/>
                <w:bCs/>
                <w:color w:val="000000"/>
                <w:sz w:val="16"/>
                <w:szCs w:val="16"/>
                <w:lang w:val="en-GB" w:eastAsia="en-GB"/>
              </w:rPr>
              <w:t>(13,233)</w:t>
            </w:r>
          </w:p>
        </w:tc>
        <w:tc>
          <w:tcPr>
            <w:tcW w:w="1281" w:type="dxa"/>
            <w:tcBorders>
              <w:top w:val="single" w:sz="8" w:space="0" w:color="000000"/>
              <w:left w:val="nil"/>
              <w:bottom w:val="single" w:sz="12" w:space="0" w:color="000000"/>
              <w:right w:val="nil"/>
            </w:tcBorders>
            <w:shd w:val="clear" w:color="auto" w:fill="auto"/>
            <w:vAlign w:val="center"/>
            <w:hideMark/>
          </w:tcPr>
          <w:p w14:paraId="76832E77" w14:textId="77777777" w:rsidR="00A0232C" w:rsidRPr="00A0232C" w:rsidRDefault="00A0232C" w:rsidP="00A0232C">
            <w:pPr>
              <w:jc w:val="right"/>
              <w:rPr>
                <w:rFonts w:ascii="Verdana" w:eastAsia="Times New Roman" w:hAnsi="Verdana" w:cs="Calibri"/>
                <w:b/>
                <w:bCs/>
                <w:color w:val="000000"/>
                <w:sz w:val="16"/>
                <w:szCs w:val="16"/>
                <w:lang w:val="en-GB" w:eastAsia="en-GB"/>
              </w:rPr>
            </w:pPr>
            <w:r w:rsidRPr="00A0232C">
              <w:rPr>
                <w:rFonts w:ascii="Verdana" w:eastAsia="Times New Roman" w:hAnsi="Verdana" w:cs="Calibri"/>
                <w:b/>
                <w:bCs/>
                <w:color w:val="000000"/>
                <w:sz w:val="16"/>
                <w:szCs w:val="16"/>
                <w:lang w:val="en-GB" w:eastAsia="en-GB"/>
              </w:rPr>
              <w:t>260,749</w:t>
            </w:r>
          </w:p>
        </w:tc>
        <w:tc>
          <w:tcPr>
            <w:tcW w:w="1139" w:type="dxa"/>
            <w:tcBorders>
              <w:top w:val="single" w:sz="8" w:space="0" w:color="000000"/>
              <w:left w:val="nil"/>
              <w:bottom w:val="single" w:sz="12" w:space="0" w:color="000000"/>
              <w:right w:val="nil"/>
            </w:tcBorders>
            <w:shd w:val="clear" w:color="auto" w:fill="auto"/>
            <w:vAlign w:val="center"/>
            <w:hideMark/>
          </w:tcPr>
          <w:p w14:paraId="219A7242" w14:textId="77777777" w:rsidR="00A0232C" w:rsidRPr="00A0232C" w:rsidRDefault="00A0232C" w:rsidP="00A0232C">
            <w:pPr>
              <w:jc w:val="center"/>
              <w:rPr>
                <w:rFonts w:ascii="Verdana" w:eastAsia="Times New Roman" w:hAnsi="Verdana" w:cs="Calibri"/>
                <w:b/>
                <w:bCs/>
                <w:color w:val="000000"/>
                <w:sz w:val="16"/>
                <w:szCs w:val="16"/>
                <w:lang w:val="en-GB" w:eastAsia="en-GB"/>
              </w:rPr>
            </w:pPr>
            <w:r w:rsidRPr="00A0232C">
              <w:rPr>
                <w:rFonts w:ascii="Verdana" w:eastAsia="Times New Roman" w:hAnsi="Verdana" w:cs="Calibri"/>
                <w:b/>
                <w:bCs/>
                <w:color w:val="000000"/>
                <w:sz w:val="16"/>
                <w:szCs w:val="16"/>
                <w:lang w:val="en-GB" w:eastAsia="en-GB"/>
              </w:rPr>
              <w:t xml:space="preserve"> </w:t>
            </w:r>
          </w:p>
        </w:tc>
        <w:tc>
          <w:tcPr>
            <w:tcW w:w="4214" w:type="dxa"/>
            <w:tcBorders>
              <w:top w:val="single" w:sz="8" w:space="0" w:color="000000"/>
              <w:left w:val="nil"/>
              <w:bottom w:val="single" w:sz="12" w:space="0" w:color="000000"/>
              <w:right w:val="nil"/>
            </w:tcBorders>
            <w:shd w:val="clear" w:color="auto" w:fill="auto"/>
            <w:vAlign w:val="center"/>
            <w:hideMark/>
          </w:tcPr>
          <w:p w14:paraId="3D1E1E86" w14:textId="77777777" w:rsidR="00A0232C" w:rsidRPr="00A0232C" w:rsidRDefault="00A0232C" w:rsidP="00A0232C">
            <w:pPr>
              <w:rPr>
                <w:rFonts w:ascii="Verdana" w:eastAsia="Times New Roman" w:hAnsi="Verdana" w:cs="Calibri"/>
                <w:b/>
                <w:bCs/>
                <w:color w:val="000000"/>
                <w:sz w:val="16"/>
                <w:szCs w:val="16"/>
                <w:lang w:val="en-GB" w:eastAsia="en-GB"/>
              </w:rPr>
            </w:pPr>
            <w:r w:rsidRPr="00A0232C">
              <w:rPr>
                <w:rFonts w:ascii="Verdana" w:eastAsia="Times New Roman" w:hAnsi="Verdana" w:cs="Calibri"/>
                <w:b/>
                <w:bCs/>
                <w:color w:val="000000"/>
                <w:sz w:val="16"/>
                <w:szCs w:val="16"/>
                <w:lang w:val="en-GB" w:eastAsia="en-GB"/>
              </w:rPr>
              <w:t>Cost of Services</w:t>
            </w:r>
          </w:p>
        </w:tc>
        <w:tc>
          <w:tcPr>
            <w:tcW w:w="1811" w:type="dxa"/>
            <w:tcBorders>
              <w:top w:val="single" w:sz="8" w:space="0" w:color="000000"/>
              <w:left w:val="nil"/>
              <w:bottom w:val="single" w:sz="12" w:space="0" w:color="000000"/>
              <w:right w:val="nil"/>
            </w:tcBorders>
            <w:shd w:val="clear" w:color="auto" w:fill="auto"/>
            <w:vAlign w:val="center"/>
            <w:hideMark/>
          </w:tcPr>
          <w:p w14:paraId="4785DEA2" w14:textId="7E44BDF9" w:rsidR="00A0232C" w:rsidRPr="00A0232C" w:rsidRDefault="00DB179E">
            <w:pPr>
              <w:jc w:val="right"/>
              <w:rPr>
                <w:rFonts w:ascii="Verdana" w:eastAsia="Times New Roman" w:hAnsi="Verdana" w:cs="Calibri"/>
                <w:b/>
                <w:bCs/>
                <w:color w:val="000000"/>
                <w:sz w:val="16"/>
                <w:szCs w:val="16"/>
                <w:lang w:val="en-GB" w:eastAsia="en-GB"/>
              </w:rPr>
            </w:pPr>
            <w:r>
              <w:rPr>
                <w:rFonts w:ascii="Verdana" w:eastAsia="Times New Roman" w:hAnsi="Verdana" w:cs="Calibri"/>
                <w:b/>
                <w:bCs/>
                <w:color w:val="000000"/>
                <w:sz w:val="16"/>
                <w:szCs w:val="16"/>
                <w:lang w:val="en-GB" w:eastAsia="en-GB"/>
              </w:rPr>
              <w:t>300,703</w:t>
            </w:r>
          </w:p>
        </w:tc>
        <w:tc>
          <w:tcPr>
            <w:tcW w:w="1880" w:type="dxa"/>
            <w:tcBorders>
              <w:top w:val="single" w:sz="8" w:space="0" w:color="000000"/>
              <w:left w:val="nil"/>
              <w:bottom w:val="single" w:sz="12" w:space="0" w:color="000000"/>
              <w:right w:val="nil"/>
            </w:tcBorders>
            <w:shd w:val="clear" w:color="auto" w:fill="auto"/>
            <w:vAlign w:val="center"/>
            <w:hideMark/>
          </w:tcPr>
          <w:p w14:paraId="75BAD287" w14:textId="5C0DABDC" w:rsidR="00A0232C" w:rsidRPr="00A0232C" w:rsidRDefault="00A0232C" w:rsidP="00A0232C">
            <w:pPr>
              <w:jc w:val="right"/>
              <w:rPr>
                <w:rFonts w:ascii="Verdana" w:eastAsia="Times New Roman" w:hAnsi="Verdana" w:cs="Calibri"/>
                <w:b/>
                <w:bCs/>
                <w:color w:val="000000"/>
                <w:sz w:val="16"/>
                <w:szCs w:val="16"/>
                <w:lang w:val="en-GB" w:eastAsia="en-GB"/>
              </w:rPr>
            </w:pPr>
            <w:r w:rsidRPr="00A0232C">
              <w:rPr>
                <w:rFonts w:ascii="Verdana" w:eastAsia="Times New Roman" w:hAnsi="Verdana" w:cs="Calibri"/>
                <w:b/>
                <w:bCs/>
                <w:color w:val="000000"/>
                <w:sz w:val="16"/>
                <w:szCs w:val="16"/>
                <w:lang w:val="en-GB" w:eastAsia="en-GB"/>
              </w:rPr>
              <w:t>(1</w:t>
            </w:r>
            <w:r w:rsidR="0032137A">
              <w:rPr>
                <w:rFonts w:ascii="Verdana" w:eastAsia="Times New Roman" w:hAnsi="Verdana" w:cs="Calibri"/>
                <w:b/>
                <w:bCs/>
                <w:color w:val="000000"/>
                <w:sz w:val="16"/>
                <w:szCs w:val="16"/>
                <w:lang w:val="en-GB" w:eastAsia="en-GB"/>
              </w:rPr>
              <w:t>7</w:t>
            </w:r>
            <w:r w:rsidRPr="00A0232C">
              <w:rPr>
                <w:rFonts w:ascii="Verdana" w:eastAsia="Times New Roman" w:hAnsi="Verdana" w:cs="Calibri"/>
                <w:b/>
                <w:bCs/>
                <w:color w:val="000000"/>
                <w:sz w:val="16"/>
                <w:szCs w:val="16"/>
                <w:lang w:val="en-GB" w:eastAsia="en-GB"/>
              </w:rPr>
              <w:t>,1</w:t>
            </w:r>
            <w:r w:rsidR="0032137A">
              <w:rPr>
                <w:rFonts w:ascii="Verdana" w:eastAsia="Times New Roman" w:hAnsi="Verdana" w:cs="Calibri"/>
                <w:b/>
                <w:bCs/>
                <w:color w:val="000000"/>
                <w:sz w:val="16"/>
                <w:szCs w:val="16"/>
                <w:lang w:val="en-GB" w:eastAsia="en-GB"/>
              </w:rPr>
              <w:t>97</w:t>
            </w:r>
            <w:r w:rsidRPr="00A0232C">
              <w:rPr>
                <w:rFonts w:ascii="Verdana" w:eastAsia="Times New Roman" w:hAnsi="Verdana" w:cs="Calibri"/>
                <w:b/>
                <w:bCs/>
                <w:color w:val="000000"/>
                <w:sz w:val="16"/>
                <w:szCs w:val="16"/>
                <w:lang w:val="en-GB" w:eastAsia="en-GB"/>
              </w:rPr>
              <w:t>)</w:t>
            </w:r>
          </w:p>
        </w:tc>
        <w:tc>
          <w:tcPr>
            <w:tcW w:w="1688" w:type="dxa"/>
            <w:tcBorders>
              <w:top w:val="single" w:sz="8" w:space="0" w:color="000000"/>
              <w:left w:val="nil"/>
              <w:bottom w:val="single" w:sz="12" w:space="0" w:color="000000"/>
              <w:right w:val="nil"/>
            </w:tcBorders>
            <w:shd w:val="clear" w:color="auto" w:fill="auto"/>
            <w:vAlign w:val="center"/>
            <w:hideMark/>
          </w:tcPr>
          <w:p w14:paraId="1B2B718B" w14:textId="7BAE5D1C" w:rsidR="00A0232C" w:rsidRPr="00A0232C" w:rsidRDefault="00DB179E">
            <w:pPr>
              <w:jc w:val="right"/>
              <w:rPr>
                <w:rFonts w:ascii="Verdana" w:eastAsia="Times New Roman" w:hAnsi="Verdana" w:cs="Calibri"/>
                <w:b/>
                <w:bCs/>
                <w:color w:val="000000"/>
                <w:sz w:val="16"/>
                <w:szCs w:val="16"/>
                <w:lang w:val="en-GB" w:eastAsia="en-GB"/>
              </w:rPr>
            </w:pPr>
            <w:r>
              <w:rPr>
                <w:rFonts w:ascii="Verdana" w:eastAsia="Times New Roman" w:hAnsi="Verdana" w:cs="Calibri"/>
                <w:b/>
                <w:bCs/>
                <w:color w:val="000000"/>
                <w:sz w:val="16"/>
                <w:szCs w:val="16"/>
                <w:lang w:val="en-GB" w:eastAsia="en-GB"/>
              </w:rPr>
              <w:t>283,506</w:t>
            </w:r>
          </w:p>
        </w:tc>
      </w:tr>
      <w:tr w:rsidR="00A0232C" w:rsidRPr="00A0232C" w14:paraId="47BEA7E8" w14:textId="77777777" w:rsidTr="0073748E">
        <w:trPr>
          <w:gridAfter w:val="1"/>
          <w:wAfter w:w="464" w:type="dxa"/>
          <w:cantSplit/>
          <w:trHeight w:val="233"/>
        </w:trPr>
        <w:tc>
          <w:tcPr>
            <w:tcW w:w="1304" w:type="dxa"/>
            <w:tcBorders>
              <w:top w:val="nil"/>
              <w:left w:val="nil"/>
              <w:bottom w:val="nil"/>
              <w:right w:val="nil"/>
            </w:tcBorders>
            <w:shd w:val="clear" w:color="auto" w:fill="auto"/>
            <w:vAlign w:val="center"/>
            <w:hideMark/>
          </w:tcPr>
          <w:p w14:paraId="2709E519"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0</w:t>
            </w:r>
          </w:p>
        </w:tc>
        <w:tc>
          <w:tcPr>
            <w:tcW w:w="1425" w:type="dxa"/>
            <w:tcBorders>
              <w:top w:val="nil"/>
              <w:left w:val="nil"/>
              <w:bottom w:val="nil"/>
              <w:right w:val="nil"/>
            </w:tcBorders>
            <w:shd w:val="clear" w:color="auto" w:fill="auto"/>
            <w:vAlign w:val="center"/>
            <w:hideMark/>
          </w:tcPr>
          <w:p w14:paraId="41A6A8A7"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(251,349)</w:t>
            </w:r>
          </w:p>
        </w:tc>
        <w:tc>
          <w:tcPr>
            <w:tcW w:w="1281" w:type="dxa"/>
            <w:tcBorders>
              <w:top w:val="nil"/>
              <w:left w:val="nil"/>
              <w:bottom w:val="nil"/>
              <w:right w:val="nil"/>
            </w:tcBorders>
            <w:shd w:val="clear" w:color="auto" w:fill="auto"/>
            <w:vAlign w:val="center"/>
            <w:hideMark/>
          </w:tcPr>
          <w:p w14:paraId="31A0EDD4"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(251,349)</w:t>
            </w:r>
          </w:p>
        </w:tc>
        <w:tc>
          <w:tcPr>
            <w:tcW w:w="1139" w:type="dxa"/>
            <w:tcBorders>
              <w:top w:val="nil"/>
              <w:left w:val="nil"/>
              <w:bottom w:val="nil"/>
              <w:right w:val="nil"/>
            </w:tcBorders>
            <w:shd w:val="clear" w:color="auto" w:fill="auto"/>
            <w:vAlign w:val="center"/>
            <w:hideMark/>
          </w:tcPr>
          <w:p w14:paraId="05D0ABB8" w14:textId="77777777" w:rsidR="00A0232C" w:rsidRPr="00A0232C" w:rsidRDefault="00A0232C" w:rsidP="00A0232C">
            <w:pPr>
              <w:jc w:val="center"/>
              <w:rPr>
                <w:rFonts w:ascii="Verdana" w:eastAsia="Times New Roman" w:hAnsi="Verdana" w:cs="Calibri"/>
                <w:b/>
                <w:bCs/>
                <w:color w:val="000000"/>
                <w:sz w:val="16"/>
                <w:szCs w:val="16"/>
                <w:lang w:val="en-GB" w:eastAsia="en-GB"/>
              </w:rPr>
            </w:pPr>
            <w:r w:rsidRPr="00A0232C">
              <w:rPr>
                <w:rFonts w:ascii="Verdana" w:eastAsia="Times New Roman" w:hAnsi="Verdana" w:cs="Calibri"/>
                <w:b/>
                <w:bCs/>
                <w:color w:val="000000"/>
                <w:sz w:val="16"/>
                <w:szCs w:val="16"/>
                <w:lang w:val="en-GB" w:eastAsia="en-GB"/>
              </w:rPr>
              <w:t xml:space="preserve"> </w:t>
            </w:r>
          </w:p>
        </w:tc>
        <w:tc>
          <w:tcPr>
            <w:tcW w:w="4214" w:type="dxa"/>
            <w:tcBorders>
              <w:top w:val="nil"/>
              <w:left w:val="nil"/>
              <w:bottom w:val="nil"/>
              <w:right w:val="nil"/>
            </w:tcBorders>
            <w:shd w:val="clear" w:color="auto" w:fill="auto"/>
            <w:vAlign w:val="center"/>
            <w:hideMark/>
          </w:tcPr>
          <w:p w14:paraId="3158732F" w14:textId="77777777" w:rsidR="00A0232C" w:rsidRPr="00A0232C" w:rsidRDefault="00A0232C" w:rsidP="00A0232C">
            <w:pPr>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Intra-Group Funding Transfer</w:t>
            </w:r>
          </w:p>
        </w:tc>
        <w:tc>
          <w:tcPr>
            <w:tcW w:w="1811" w:type="dxa"/>
            <w:tcBorders>
              <w:top w:val="nil"/>
              <w:left w:val="nil"/>
              <w:bottom w:val="nil"/>
              <w:right w:val="nil"/>
            </w:tcBorders>
            <w:shd w:val="clear" w:color="auto" w:fill="auto"/>
            <w:vAlign w:val="center"/>
            <w:hideMark/>
          </w:tcPr>
          <w:p w14:paraId="2947948A"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0</w:t>
            </w:r>
          </w:p>
        </w:tc>
        <w:tc>
          <w:tcPr>
            <w:tcW w:w="1880" w:type="dxa"/>
            <w:tcBorders>
              <w:top w:val="nil"/>
              <w:left w:val="nil"/>
              <w:bottom w:val="nil"/>
              <w:right w:val="nil"/>
            </w:tcBorders>
            <w:shd w:val="clear" w:color="auto" w:fill="auto"/>
            <w:vAlign w:val="center"/>
            <w:hideMark/>
          </w:tcPr>
          <w:p w14:paraId="3A1A2A08" w14:textId="0B5853FD" w:rsidR="00A0232C" w:rsidRPr="00A0232C" w:rsidRDefault="0020651E">
            <w:pPr>
              <w:jc w:val="right"/>
              <w:rPr>
                <w:rFonts w:ascii="Verdana" w:eastAsia="Times New Roman" w:hAnsi="Verdana" w:cs="Calibri"/>
                <w:color w:val="000000"/>
                <w:sz w:val="16"/>
                <w:szCs w:val="16"/>
                <w:lang w:val="en-GB" w:eastAsia="en-GB"/>
              </w:rPr>
            </w:pPr>
            <w:r>
              <w:rPr>
                <w:rFonts w:ascii="Verdana" w:eastAsia="Times New Roman" w:hAnsi="Verdana" w:cs="Calibri"/>
                <w:color w:val="000000"/>
                <w:sz w:val="16"/>
                <w:szCs w:val="16"/>
                <w:lang w:val="en-GB" w:eastAsia="en-GB"/>
              </w:rPr>
              <w:t>(</w:t>
            </w:r>
            <w:r w:rsidR="00DB179E">
              <w:rPr>
                <w:rFonts w:ascii="Verdana" w:eastAsia="Times New Roman" w:hAnsi="Verdana" w:cs="Calibri"/>
                <w:color w:val="000000"/>
                <w:sz w:val="16"/>
                <w:szCs w:val="16"/>
                <w:lang w:val="en-GB" w:eastAsia="en-GB"/>
              </w:rPr>
              <w:t>260,875</w:t>
            </w:r>
            <w:r>
              <w:rPr>
                <w:rFonts w:ascii="Verdana" w:eastAsia="Times New Roman" w:hAnsi="Verdana" w:cs="Calibri"/>
                <w:color w:val="000000"/>
                <w:sz w:val="16"/>
                <w:szCs w:val="16"/>
                <w:lang w:val="en-GB" w:eastAsia="en-GB"/>
              </w:rPr>
              <w:t>)</w:t>
            </w:r>
          </w:p>
        </w:tc>
        <w:tc>
          <w:tcPr>
            <w:tcW w:w="1688" w:type="dxa"/>
            <w:tcBorders>
              <w:top w:val="nil"/>
              <w:left w:val="nil"/>
              <w:bottom w:val="nil"/>
              <w:right w:val="nil"/>
            </w:tcBorders>
            <w:shd w:val="clear" w:color="auto" w:fill="auto"/>
            <w:vAlign w:val="center"/>
            <w:hideMark/>
          </w:tcPr>
          <w:p w14:paraId="18CB3BB7" w14:textId="6CE138F1" w:rsidR="00A0232C" w:rsidRPr="00A0232C" w:rsidRDefault="007F44AB">
            <w:pPr>
              <w:jc w:val="right"/>
              <w:rPr>
                <w:rFonts w:ascii="Verdana" w:eastAsia="Times New Roman" w:hAnsi="Verdana" w:cs="Calibri"/>
                <w:color w:val="000000"/>
                <w:sz w:val="16"/>
                <w:szCs w:val="16"/>
                <w:lang w:val="en-GB" w:eastAsia="en-GB"/>
              </w:rPr>
            </w:pPr>
            <w:r>
              <w:rPr>
                <w:rFonts w:ascii="Verdana" w:eastAsia="Times New Roman" w:hAnsi="Verdana" w:cs="Calibri"/>
                <w:color w:val="000000"/>
                <w:sz w:val="16"/>
                <w:szCs w:val="16"/>
                <w:lang w:val="en-GB" w:eastAsia="en-GB"/>
              </w:rPr>
              <w:t>(</w:t>
            </w:r>
            <w:r w:rsidR="00DB179E">
              <w:rPr>
                <w:rFonts w:ascii="Verdana" w:eastAsia="Times New Roman" w:hAnsi="Verdana" w:cs="Calibri"/>
                <w:color w:val="000000"/>
                <w:sz w:val="16"/>
                <w:szCs w:val="16"/>
                <w:lang w:val="en-GB" w:eastAsia="en-GB"/>
              </w:rPr>
              <w:t>260,875</w:t>
            </w:r>
            <w:r w:rsidR="00A0232C" w:rsidRPr="00A0232C">
              <w:rPr>
                <w:rFonts w:ascii="Verdana" w:eastAsia="Times New Roman" w:hAnsi="Verdana" w:cs="Calibri"/>
                <w:color w:val="000000"/>
                <w:sz w:val="16"/>
                <w:szCs w:val="16"/>
                <w:lang w:val="en-GB" w:eastAsia="en-GB"/>
              </w:rPr>
              <w:t>)</w:t>
            </w:r>
          </w:p>
        </w:tc>
      </w:tr>
      <w:tr w:rsidR="00A0232C" w:rsidRPr="00A0232C" w14:paraId="5F651513" w14:textId="77777777" w:rsidTr="0073748E">
        <w:trPr>
          <w:gridAfter w:val="1"/>
          <w:wAfter w:w="464" w:type="dxa"/>
          <w:cantSplit/>
          <w:trHeight w:val="212"/>
        </w:trPr>
        <w:tc>
          <w:tcPr>
            <w:tcW w:w="1304" w:type="dxa"/>
            <w:tcBorders>
              <w:top w:val="single" w:sz="8" w:space="0" w:color="000000"/>
              <w:left w:val="nil"/>
              <w:bottom w:val="single" w:sz="12" w:space="0" w:color="000000"/>
              <w:right w:val="nil"/>
            </w:tcBorders>
            <w:shd w:val="clear" w:color="auto" w:fill="auto"/>
            <w:vAlign w:val="center"/>
            <w:hideMark/>
          </w:tcPr>
          <w:p w14:paraId="783C539B" w14:textId="77777777" w:rsidR="00A0232C" w:rsidRPr="00A0232C" w:rsidRDefault="00A0232C" w:rsidP="00A0232C">
            <w:pPr>
              <w:jc w:val="right"/>
              <w:rPr>
                <w:rFonts w:ascii="Verdana" w:eastAsia="Times New Roman" w:hAnsi="Verdana" w:cs="Calibri"/>
                <w:b/>
                <w:bCs/>
                <w:color w:val="000000"/>
                <w:sz w:val="16"/>
                <w:szCs w:val="16"/>
                <w:lang w:val="en-GB" w:eastAsia="en-GB"/>
              </w:rPr>
            </w:pPr>
            <w:r w:rsidRPr="00A0232C">
              <w:rPr>
                <w:rFonts w:ascii="Verdana" w:eastAsia="Times New Roman" w:hAnsi="Verdana" w:cs="Calibri"/>
                <w:b/>
                <w:bCs/>
                <w:color w:val="000000"/>
                <w:sz w:val="16"/>
                <w:szCs w:val="16"/>
                <w:lang w:val="en-GB" w:eastAsia="en-GB"/>
              </w:rPr>
              <w:t>273,982</w:t>
            </w:r>
          </w:p>
        </w:tc>
        <w:tc>
          <w:tcPr>
            <w:tcW w:w="1425" w:type="dxa"/>
            <w:tcBorders>
              <w:top w:val="single" w:sz="8" w:space="0" w:color="000000"/>
              <w:left w:val="nil"/>
              <w:bottom w:val="single" w:sz="12" w:space="0" w:color="000000"/>
              <w:right w:val="nil"/>
            </w:tcBorders>
            <w:shd w:val="clear" w:color="auto" w:fill="auto"/>
            <w:vAlign w:val="center"/>
            <w:hideMark/>
          </w:tcPr>
          <w:p w14:paraId="3D6069D4" w14:textId="77777777" w:rsidR="00A0232C" w:rsidRPr="00A0232C" w:rsidRDefault="00A0232C" w:rsidP="00A0232C">
            <w:pPr>
              <w:jc w:val="right"/>
              <w:rPr>
                <w:rFonts w:ascii="Verdana" w:eastAsia="Times New Roman" w:hAnsi="Verdana" w:cs="Calibri"/>
                <w:b/>
                <w:bCs/>
                <w:color w:val="000000"/>
                <w:sz w:val="16"/>
                <w:szCs w:val="16"/>
                <w:lang w:val="en-GB" w:eastAsia="en-GB"/>
              </w:rPr>
            </w:pPr>
            <w:r w:rsidRPr="00A0232C">
              <w:rPr>
                <w:rFonts w:ascii="Verdana" w:eastAsia="Times New Roman" w:hAnsi="Verdana" w:cs="Calibri"/>
                <w:b/>
                <w:bCs/>
                <w:color w:val="000000"/>
                <w:sz w:val="16"/>
                <w:szCs w:val="16"/>
                <w:lang w:val="en-GB" w:eastAsia="en-GB"/>
              </w:rPr>
              <w:t>(264,582)</w:t>
            </w:r>
          </w:p>
        </w:tc>
        <w:tc>
          <w:tcPr>
            <w:tcW w:w="1281" w:type="dxa"/>
            <w:tcBorders>
              <w:top w:val="single" w:sz="8" w:space="0" w:color="000000"/>
              <w:left w:val="nil"/>
              <w:bottom w:val="single" w:sz="12" w:space="0" w:color="000000"/>
              <w:right w:val="nil"/>
            </w:tcBorders>
            <w:shd w:val="clear" w:color="auto" w:fill="auto"/>
            <w:vAlign w:val="center"/>
            <w:hideMark/>
          </w:tcPr>
          <w:p w14:paraId="36C8C20F" w14:textId="77777777" w:rsidR="00A0232C" w:rsidRPr="00A0232C" w:rsidRDefault="00A0232C" w:rsidP="00A0232C">
            <w:pPr>
              <w:jc w:val="right"/>
              <w:rPr>
                <w:rFonts w:ascii="Verdana" w:eastAsia="Times New Roman" w:hAnsi="Verdana" w:cs="Calibri"/>
                <w:b/>
                <w:bCs/>
                <w:color w:val="000000"/>
                <w:sz w:val="16"/>
                <w:szCs w:val="16"/>
                <w:lang w:val="en-GB" w:eastAsia="en-GB"/>
              </w:rPr>
            </w:pPr>
            <w:r w:rsidRPr="00A0232C">
              <w:rPr>
                <w:rFonts w:ascii="Verdana" w:eastAsia="Times New Roman" w:hAnsi="Verdana" w:cs="Calibri"/>
                <w:b/>
                <w:bCs/>
                <w:color w:val="000000"/>
                <w:sz w:val="16"/>
                <w:szCs w:val="16"/>
                <w:lang w:val="en-GB" w:eastAsia="en-GB"/>
              </w:rPr>
              <w:t>9,400</w:t>
            </w:r>
          </w:p>
        </w:tc>
        <w:tc>
          <w:tcPr>
            <w:tcW w:w="1139" w:type="dxa"/>
            <w:tcBorders>
              <w:top w:val="single" w:sz="8" w:space="0" w:color="000000"/>
              <w:left w:val="nil"/>
              <w:bottom w:val="single" w:sz="12" w:space="0" w:color="000000"/>
              <w:right w:val="nil"/>
            </w:tcBorders>
            <w:shd w:val="clear" w:color="auto" w:fill="auto"/>
            <w:vAlign w:val="center"/>
            <w:hideMark/>
          </w:tcPr>
          <w:p w14:paraId="4EC97D55" w14:textId="77777777" w:rsidR="00A0232C" w:rsidRPr="00A0232C" w:rsidRDefault="00A0232C" w:rsidP="00A0232C">
            <w:pPr>
              <w:jc w:val="center"/>
              <w:rPr>
                <w:rFonts w:ascii="Verdana" w:eastAsia="Times New Roman" w:hAnsi="Verdana" w:cs="Calibri"/>
                <w:b/>
                <w:bCs/>
                <w:color w:val="000000"/>
                <w:sz w:val="16"/>
                <w:szCs w:val="16"/>
                <w:lang w:val="en-GB" w:eastAsia="en-GB"/>
              </w:rPr>
            </w:pPr>
            <w:r w:rsidRPr="00A0232C">
              <w:rPr>
                <w:rFonts w:ascii="Verdana" w:eastAsia="Times New Roman" w:hAnsi="Verdana" w:cs="Calibri"/>
                <w:b/>
                <w:bCs/>
                <w:color w:val="000000"/>
                <w:sz w:val="16"/>
                <w:szCs w:val="16"/>
                <w:lang w:val="en-GB" w:eastAsia="en-GB"/>
              </w:rPr>
              <w:t xml:space="preserve"> </w:t>
            </w:r>
          </w:p>
        </w:tc>
        <w:tc>
          <w:tcPr>
            <w:tcW w:w="4214" w:type="dxa"/>
            <w:tcBorders>
              <w:top w:val="single" w:sz="8" w:space="0" w:color="000000"/>
              <w:left w:val="nil"/>
              <w:bottom w:val="single" w:sz="12" w:space="0" w:color="000000"/>
              <w:right w:val="nil"/>
            </w:tcBorders>
            <w:shd w:val="clear" w:color="auto" w:fill="auto"/>
            <w:vAlign w:val="center"/>
            <w:hideMark/>
          </w:tcPr>
          <w:p w14:paraId="22DA1573" w14:textId="77777777" w:rsidR="00A0232C" w:rsidRPr="00A0232C" w:rsidRDefault="00A0232C" w:rsidP="00A0232C">
            <w:pPr>
              <w:rPr>
                <w:rFonts w:ascii="Verdana" w:eastAsia="Times New Roman" w:hAnsi="Verdana" w:cs="Calibri"/>
                <w:b/>
                <w:bCs/>
                <w:color w:val="000000"/>
                <w:sz w:val="16"/>
                <w:szCs w:val="16"/>
                <w:lang w:val="en-GB" w:eastAsia="en-GB"/>
              </w:rPr>
            </w:pPr>
            <w:r w:rsidRPr="00A0232C">
              <w:rPr>
                <w:rFonts w:ascii="Verdana" w:eastAsia="Times New Roman" w:hAnsi="Verdana" w:cs="Calibri"/>
                <w:b/>
                <w:bCs/>
                <w:color w:val="000000"/>
                <w:sz w:val="16"/>
                <w:szCs w:val="16"/>
                <w:lang w:val="en-GB" w:eastAsia="en-GB"/>
              </w:rPr>
              <w:t>Net Cost of Services</w:t>
            </w:r>
          </w:p>
        </w:tc>
        <w:tc>
          <w:tcPr>
            <w:tcW w:w="1811" w:type="dxa"/>
            <w:tcBorders>
              <w:top w:val="single" w:sz="8" w:space="0" w:color="000000"/>
              <w:left w:val="nil"/>
              <w:bottom w:val="single" w:sz="12" w:space="0" w:color="000000"/>
              <w:right w:val="nil"/>
            </w:tcBorders>
            <w:shd w:val="clear" w:color="auto" w:fill="auto"/>
            <w:vAlign w:val="center"/>
            <w:hideMark/>
          </w:tcPr>
          <w:p w14:paraId="2375A203" w14:textId="561B9186" w:rsidR="00A0232C" w:rsidRPr="00A0232C" w:rsidRDefault="00DB179E">
            <w:pPr>
              <w:jc w:val="right"/>
              <w:rPr>
                <w:rFonts w:ascii="Verdana" w:eastAsia="Times New Roman" w:hAnsi="Verdana" w:cs="Calibri"/>
                <w:b/>
                <w:bCs/>
                <w:color w:val="000000"/>
                <w:sz w:val="16"/>
                <w:szCs w:val="16"/>
                <w:lang w:val="en-GB" w:eastAsia="en-GB"/>
              </w:rPr>
            </w:pPr>
            <w:r>
              <w:rPr>
                <w:rFonts w:ascii="Verdana" w:eastAsia="Times New Roman" w:hAnsi="Verdana" w:cs="Calibri"/>
                <w:b/>
                <w:bCs/>
                <w:color w:val="000000"/>
                <w:sz w:val="16"/>
                <w:szCs w:val="16"/>
                <w:lang w:val="en-GB" w:eastAsia="en-GB"/>
              </w:rPr>
              <w:t>300,703</w:t>
            </w:r>
          </w:p>
        </w:tc>
        <w:tc>
          <w:tcPr>
            <w:tcW w:w="1880" w:type="dxa"/>
            <w:tcBorders>
              <w:top w:val="single" w:sz="8" w:space="0" w:color="000000"/>
              <w:left w:val="nil"/>
              <w:bottom w:val="single" w:sz="12" w:space="0" w:color="000000"/>
              <w:right w:val="nil"/>
            </w:tcBorders>
            <w:shd w:val="clear" w:color="auto" w:fill="auto"/>
            <w:vAlign w:val="center"/>
            <w:hideMark/>
          </w:tcPr>
          <w:p w14:paraId="72D520A2" w14:textId="5FDB22CC" w:rsidR="00A0232C" w:rsidRPr="00A0232C" w:rsidRDefault="0020651E">
            <w:pPr>
              <w:jc w:val="right"/>
              <w:rPr>
                <w:rFonts w:ascii="Verdana" w:eastAsia="Times New Roman" w:hAnsi="Verdana" w:cs="Calibri"/>
                <w:b/>
                <w:bCs/>
                <w:color w:val="000000"/>
                <w:sz w:val="16"/>
                <w:szCs w:val="16"/>
                <w:lang w:val="en-GB" w:eastAsia="en-GB"/>
              </w:rPr>
            </w:pPr>
            <w:r>
              <w:rPr>
                <w:rFonts w:ascii="Verdana" w:eastAsia="Times New Roman" w:hAnsi="Verdana" w:cs="Calibri"/>
                <w:b/>
                <w:bCs/>
                <w:color w:val="000000"/>
                <w:sz w:val="16"/>
                <w:szCs w:val="16"/>
                <w:lang w:val="en-GB" w:eastAsia="en-GB"/>
              </w:rPr>
              <w:t>(</w:t>
            </w:r>
            <w:r w:rsidR="00DB179E">
              <w:rPr>
                <w:rFonts w:ascii="Verdana" w:eastAsia="Times New Roman" w:hAnsi="Verdana" w:cs="Calibri"/>
                <w:b/>
                <w:bCs/>
                <w:color w:val="000000"/>
                <w:sz w:val="16"/>
                <w:szCs w:val="16"/>
                <w:lang w:val="en-GB" w:eastAsia="en-GB"/>
              </w:rPr>
              <w:t>278,072</w:t>
            </w:r>
            <w:r>
              <w:rPr>
                <w:rFonts w:ascii="Verdana" w:eastAsia="Times New Roman" w:hAnsi="Verdana" w:cs="Calibri"/>
                <w:b/>
                <w:bCs/>
                <w:color w:val="000000"/>
                <w:sz w:val="16"/>
                <w:szCs w:val="16"/>
                <w:lang w:val="en-GB" w:eastAsia="en-GB"/>
              </w:rPr>
              <w:t>)</w:t>
            </w:r>
          </w:p>
        </w:tc>
        <w:tc>
          <w:tcPr>
            <w:tcW w:w="1688" w:type="dxa"/>
            <w:tcBorders>
              <w:top w:val="single" w:sz="8" w:space="0" w:color="000000"/>
              <w:left w:val="nil"/>
              <w:bottom w:val="single" w:sz="12" w:space="0" w:color="000000"/>
              <w:right w:val="nil"/>
            </w:tcBorders>
            <w:shd w:val="clear" w:color="auto" w:fill="auto"/>
            <w:vAlign w:val="center"/>
            <w:hideMark/>
          </w:tcPr>
          <w:p w14:paraId="7551D4FE" w14:textId="74D2C532" w:rsidR="00A0232C" w:rsidRPr="00A0232C" w:rsidRDefault="007F44AB">
            <w:pPr>
              <w:jc w:val="right"/>
              <w:rPr>
                <w:rFonts w:ascii="Verdana" w:eastAsia="Times New Roman" w:hAnsi="Verdana" w:cs="Calibri"/>
                <w:b/>
                <w:bCs/>
                <w:color w:val="000000"/>
                <w:sz w:val="16"/>
                <w:szCs w:val="16"/>
                <w:lang w:val="en-GB" w:eastAsia="en-GB"/>
              </w:rPr>
            </w:pPr>
            <w:r>
              <w:rPr>
                <w:rFonts w:ascii="Verdana" w:eastAsia="Times New Roman" w:hAnsi="Verdana" w:cs="Calibri"/>
                <w:b/>
                <w:bCs/>
                <w:color w:val="000000"/>
                <w:sz w:val="16"/>
                <w:szCs w:val="16"/>
                <w:lang w:val="en-GB" w:eastAsia="en-GB"/>
              </w:rPr>
              <w:t>22,</w:t>
            </w:r>
            <w:r w:rsidR="0032137A">
              <w:rPr>
                <w:rFonts w:ascii="Verdana" w:eastAsia="Times New Roman" w:hAnsi="Verdana" w:cs="Calibri"/>
                <w:b/>
                <w:bCs/>
                <w:color w:val="000000"/>
                <w:sz w:val="16"/>
                <w:szCs w:val="16"/>
                <w:lang w:val="en-GB" w:eastAsia="en-GB"/>
              </w:rPr>
              <w:t>631</w:t>
            </w:r>
          </w:p>
        </w:tc>
      </w:tr>
      <w:tr w:rsidR="00A0232C" w:rsidRPr="00A0232C" w14:paraId="2D0150D5" w14:textId="77777777" w:rsidTr="0073748E">
        <w:trPr>
          <w:gridAfter w:val="1"/>
          <w:wAfter w:w="464" w:type="dxa"/>
          <w:trHeight w:val="40"/>
        </w:trPr>
        <w:tc>
          <w:tcPr>
            <w:tcW w:w="1304" w:type="dxa"/>
            <w:tcBorders>
              <w:top w:val="nil"/>
              <w:left w:val="nil"/>
              <w:bottom w:val="nil"/>
              <w:right w:val="nil"/>
            </w:tcBorders>
            <w:shd w:val="clear" w:color="auto" w:fill="auto"/>
            <w:vAlign w:val="center"/>
            <w:hideMark/>
          </w:tcPr>
          <w:p w14:paraId="43E65D08" w14:textId="77777777" w:rsidR="00A0232C" w:rsidRPr="00A0232C" w:rsidRDefault="00A0232C" w:rsidP="00A0232C">
            <w:pPr>
              <w:jc w:val="right"/>
              <w:rPr>
                <w:rFonts w:ascii="Verdana" w:eastAsia="Times New Roman" w:hAnsi="Verdana" w:cs="Calibri"/>
                <w:b/>
                <w:bCs/>
                <w:color w:val="000000"/>
                <w:sz w:val="16"/>
                <w:szCs w:val="16"/>
                <w:lang w:val="en-GB" w:eastAsia="en-GB"/>
              </w:rPr>
            </w:pPr>
          </w:p>
        </w:tc>
        <w:tc>
          <w:tcPr>
            <w:tcW w:w="1425" w:type="dxa"/>
            <w:tcBorders>
              <w:top w:val="nil"/>
              <w:left w:val="nil"/>
              <w:bottom w:val="nil"/>
              <w:right w:val="nil"/>
            </w:tcBorders>
            <w:shd w:val="clear" w:color="auto" w:fill="auto"/>
            <w:vAlign w:val="center"/>
            <w:hideMark/>
          </w:tcPr>
          <w:p w14:paraId="778BE1A8" w14:textId="77777777" w:rsidR="00A0232C" w:rsidRPr="00A0232C" w:rsidRDefault="00A0232C" w:rsidP="00A0232C">
            <w:pPr>
              <w:jc w:val="center"/>
              <w:rPr>
                <w:rFonts w:ascii="Verdana" w:eastAsia="Times New Roman" w:hAnsi="Verdana" w:cs="Calibri"/>
                <w:color w:val="000000"/>
                <w:sz w:val="2"/>
                <w:szCs w:val="2"/>
                <w:lang w:val="en-GB" w:eastAsia="en-GB"/>
              </w:rPr>
            </w:pPr>
            <w:r w:rsidRPr="00A0232C">
              <w:rPr>
                <w:rFonts w:ascii="Verdana" w:eastAsia="Times New Roman" w:hAnsi="Verdana" w:cs="Calibri"/>
                <w:color w:val="000000"/>
                <w:sz w:val="2"/>
                <w:szCs w:val="2"/>
                <w:lang w:val="en-GB" w:eastAsia="en-GB"/>
              </w:rPr>
              <w:t xml:space="preserve"> </w:t>
            </w:r>
          </w:p>
        </w:tc>
        <w:tc>
          <w:tcPr>
            <w:tcW w:w="1281" w:type="dxa"/>
            <w:tcBorders>
              <w:top w:val="nil"/>
              <w:left w:val="nil"/>
              <w:bottom w:val="nil"/>
              <w:right w:val="nil"/>
            </w:tcBorders>
            <w:shd w:val="clear" w:color="auto" w:fill="auto"/>
            <w:vAlign w:val="center"/>
            <w:hideMark/>
          </w:tcPr>
          <w:p w14:paraId="4C5CDD7F" w14:textId="77777777" w:rsidR="00A0232C" w:rsidRPr="00A0232C" w:rsidRDefault="00A0232C" w:rsidP="00A0232C">
            <w:pPr>
              <w:jc w:val="center"/>
              <w:rPr>
                <w:rFonts w:ascii="Verdana" w:eastAsia="Times New Roman" w:hAnsi="Verdana" w:cs="Calibri"/>
                <w:color w:val="000000"/>
                <w:sz w:val="2"/>
                <w:szCs w:val="2"/>
                <w:lang w:val="en-GB" w:eastAsia="en-GB"/>
              </w:rPr>
            </w:pPr>
            <w:r w:rsidRPr="00A0232C">
              <w:rPr>
                <w:rFonts w:ascii="Verdana" w:eastAsia="Times New Roman" w:hAnsi="Verdana" w:cs="Calibri"/>
                <w:color w:val="000000"/>
                <w:sz w:val="2"/>
                <w:szCs w:val="2"/>
                <w:lang w:val="en-GB" w:eastAsia="en-GB"/>
              </w:rPr>
              <w:t xml:space="preserve"> </w:t>
            </w:r>
          </w:p>
        </w:tc>
        <w:tc>
          <w:tcPr>
            <w:tcW w:w="1139" w:type="dxa"/>
            <w:tcBorders>
              <w:top w:val="nil"/>
              <w:left w:val="nil"/>
              <w:bottom w:val="nil"/>
              <w:right w:val="nil"/>
            </w:tcBorders>
            <w:shd w:val="clear" w:color="auto" w:fill="auto"/>
            <w:vAlign w:val="center"/>
            <w:hideMark/>
          </w:tcPr>
          <w:p w14:paraId="21AA2788" w14:textId="77777777" w:rsidR="00A0232C" w:rsidRPr="00A0232C" w:rsidRDefault="00A0232C" w:rsidP="00A0232C">
            <w:pPr>
              <w:jc w:val="center"/>
              <w:rPr>
                <w:rFonts w:ascii="Calibri" w:eastAsia="Times New Roman" w:hAnsi="Calibri" w:cs="Calibri"/>
                <w:color w:val="000000"/>
                <w:sz w:val="2"/>
                <w:szCs w:val="2"/>
                <w:lang w:val="en-GB" w:eastAsia="en-GB"/>
              </w:rPr>
            </w:pPr>
            <w:r w:rsidRPr="00A0232C">
              <w:rPr>
                <w:rFonts w:ascii="Calibri" w:eastAsia="Times New Roman" w:hAnsi="Calibri" w:cs="Calibri"/>
                <w:color w:val="000000"/>
                <w:sz w:val="2"/>
                <w:szCs w:val="2"/>
                <w:lang w:val="en-GB" w:eastAsia="en-GB"/>
              </w:rPr>
              <w:t xml:space="preserve"> </w:t>
            </w:r>
          </w:p>
        </w:tc>
        <w:tc>
          <w:tcPr>
            <w:tcW w:w="4214" w:type="dxa"/>
            <w:tcBorders>
              <w:top w:val="nil"/>
              <w:left w:val="nil"/>
              <w:bottom w:val="nil"/>
              <w:right w:val="nil"/>
            </w:tcBorders>
            <w:shd w:val="clear" w:color="auto" w:fill="auto"/>
            <w:vAlign w:val="center"/>
          </w:tcPr>
          <w:p w14:paraId="17BB5072" w14:textId="6E77DA60" w:rsidR="00A0232C" w:rsidRPr="00A0232C" w:rsidRDefault="00A0232C" w:rsidP="00A0232C">
            <w:pPr>
              <w:jc w:val="center"/>
              <w:rPr>
                <w:rFonts w:ascii="Verdana" w:eastAsia="Times New Roman" w:hAnsi="Verdana" w:cs="Calibri"/>
                <w:color w:val="000000"/>
                <w:sz w:val="2"/>
                <w:szCs w:val="2"/>
                <w:lang w:val="en-GB" w:eastAsia="en-GB"/>
              </w:rPr>
            </w:pPr>
          </w:p>
        </w:tc>
        <w:tc>
          <w:tcPr>
            <w:tcW w:w="1811" w:type="dxa"/>
            <w:tcBorders>
              <w:top w:val="nil"/>
              <w:left w:val="nil"/>
              <w:bottom w:val="nil"/>
              <w:right w:val="nil"/>
            </w:tcBorders>
            <w:shd w:val="clear" w:color="auto" w:fill="auto"/>
            <w:vAlign w:val="center"/>
            <w:hideMark/>
          </w:tcPr>
          <w:p w14:paraId="0809D632" w14:textId="77777777" w:rsidR="00A0232C" w:rsidRPr="00A0232C" w:rsidRDefault="00A0232C" w:rsidP="00A0232C">
            <w:pPr>
              <w:jc w:val="center"/>
              <w:rPr>
                <w:rFonts w:ascii="Verdana" w:eastAsia="Times New Roman" w:hAnsi="Verdana" w:cs="Calibri"/>
                <w:color w:val="000000"/>
                <w:sz w:val="2"/>
                <w:szCs w:val="2"/>
                <w:lang w:val="en-GB" w:eastAsia="en-GB"/>
              </w:rPr>
            </w:pPr>
          </w:p>
        </w:tc>
        <w:tc>
          <w:tcPr>
            <w:tcW w:w="1880" w:type="dxa"/>
            <w:tcBorders>
              <w:top w:val="nil"/>
              <w:left w:val="nil"/>
              <w:bottom w:val="nil"/>
              <w:right w:val="nil"/>
            </w:tcBorders>
            <w:shd w:val="clear" w:color="auto" w:fill="auto"/>
            <w:vAlign w:val="center"/>
            <w:hideMark/>
          </w:tcPr>
          <w:p w14:paraId="7C6AF927" w14:textId="77777777" w:rsidR="00A0232C" w:rsidRPr="00A0232C" w:rsidRDefault="00A0232C" w:rsidP="00A0232C">
            <w:pPr>
              <w:jc w:val="center"/>
              <w:rPr>
                <w:rFonts w:ascii="Times New Roman" w:eastAsia="Times New Roman" w:hAnsi="Times New Roman" w:cs="Times New Roman"/>
                <w:sz w:val="20"/>
                <w:szCs w:val="20"/>
                <w:lang w:val="en-GB" w:eastAsia="en-GB"/>
              </w:rPr>
            </w:pPr>
          </w:p>
        </w:tc>
        <w:tc>
          <w:tcPr>
            <w:tcW w:w="1688" w:type="dxa"/>
            <w:tcBorders>
              <w:top w:val="nil"/>
              <w:left w:val="nil"/>
              <w:bottom w:val="nil"/>
              <w:right w:val="nil"/>
            </w:tcBorders>
            <w:shd w:val="clear" w:color="auto" w:fill="auto"/>
            <w:vAlign w:val="center"/>
            <w:hideMark/>
          </w:tcPr>
          <w:p w14:paraId="2EE547D4" w14:textId="77777777" w:rsidR="00A0232C" w:rsidRPr="00A0232C" w:rsidRDefault="00A0232C" w:rsidP="00A0232C">
            <w:pPr>
              <w:jc w:val="center"/>
              <w:rPr>
                <w:rFonts w:ascii="Times New Roman" w:eastAsia="Times New Roman" w:hAnsi="Times New Roman" w:cs="Times New Roman"/>
                <w:sz w:val="20"/>
                <w:szCs w:val="20"/>
                <w:lang w:val="en-GB" w:eastAsia="en-GB"/>
              </w:rPr>
            </w:pPr>
          </w:p>
        </w:tc>
      </w:tr>
      <w:tr w:rsidR="00A0232C" w:rsidRPr="00A0232C" w14:paraId="698D45D2" w14:textId="77777777" w:rsidTr="0073748E">
        <w:trPr>
          <w:gridAfter w:val="1"/>
          <w:wAfter w:w="464" w:type="dxa"/>
          <w:cantSplit/>
          <w:trHeight w:val="212"/>
        </w:trPr>
        <w:tc>
          <w:tcPr>
            <w:tcW w:w="1304" w:type="dxa"/>
            <w:tcBorders>
              <w:top w:val="nil"/>
              <w:left w:val="nil"/>
              <w:bottom w:val="nil"/>
              <w:right w:val="nil"/>
            </w:tcBorders>
            <w:shd w:val="clear" w:color="auto" w:fill="auto"/>
            <w:vAlign w:val="center"/>
            <w:hideMark/>
          </w:tcPr>
          <w:p w14:paraId="2686B36D"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522</w:t>
            </w:r>
          </w:p>
        </w:tc>
        <w:tc>
          <w:tcPr>
            <w:tcW w:w="1425" w:type="dxa"/>
            <w:tcBorders>
              <w:top w:val="nil"/>
              <w:left w:val="nil"/>
              <w:bottom w:val="nil"/>
              <w:right w:val="nil"/>
            </w:tcBorders>
            <w:shd w:val="clear" w:color="auto" w:fill="auto"/>
            <w:vAlign w:val="center"/>
            <w:hideMark/>
          </w:tcPr>
          <w:p w14:paraId="189E3158"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0</w:t>
            </w:r>
          </w:p>
        </w:tc>
        <w:tc>
          <w:tcPr>
            <w:tcW w:w="1281" w:type="dxa"/>
            <w:tcBorders>
              <w:top w:val="nil"/>
              <w:left w:val="nil"/>
              <w:bottom w:val="nil"/>
              <w:right w:val="nil"/>
            </w:tcBorders>
            <w:shd w:val="clear" w:color="auto" w:fill="auto"/>
            <w:vAlign w:val="center"/>
            <w:hideMark/>
          </w:tcPr>
          <w:p w14:paraId="07D7C128"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522</w:t>
            </w:r>
          </w:p>
        </w:tc>
        <w:tc>
          <w:tcPr>
            <w:tcW w:w="1139" w:type="dxa"/>
            <w:tcBorders>
              <w:top w:val="nil"/>
              <w:left w:val="nil"/>
              <w:bottom w:val="nil"/>
              <w:right w:val="nil"/>
            </w:tcBorders>
            <w:shd w:val="clear" w:color="auto" w:fill="auto"/>
            <w:vAlign w:val="center"/>
            <w:hideMark/>
          </w:tcPr>
          <w:p w14:paraId="7B19DA3E" w14:textId="77777777" w:rsidR="00A0232C" w:rsidRPr="00A0232C" w:rsidRDefault="00A0232C" w:rsidP="00A0232C">
            <w:pPr>
              <w:jc w:val="center"/>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21</w:t>
            </w:r>
          </w:p>
        </w:tc>
        <w:tc>
          <w:tcPr>
            <w:tcW w:w="4214" w:type="dxa"/>
            <w:tcBorders>
              <w:top w:val="nil"/>
              <w:left w:val="nil"/>
              <w:bottom w:val="nil"/>
              <w:right w:val="nil"/>
            </w:tcBorders>
            <w:shd w:val="clear" w:color="auto" w:fill="auto"/>
            <w:vAlign w:val="center"/>
            <w:hideMark/>
          </w:tcPr>
          <w:p w14:paraId="29D67E00" w14:textId="77777777" w:rsidR="00A0232C" w:rsidRPr="00A0232C" w:rsidRDefault="00A0232C" w:rsidP="00A0232C">
            <w:pPr>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Other Operating Expenditure</w:t>
            </w:r>
          </w:p>
        </w:tc>
        <w:tc>
          <w:tcPr>
            <w:tcW w:w="1811" w:type="dxa"/>
            <w:tcBorders>
              <w:top w:val="nil"/>
              <w:left w:val="nil"/>
              <w:bottom w:val="nil"/>
              <w:right w:val="nil"/>
            </w:tcBorders>
            <w:shd w:val="clear" w:color="auto" w:fill="auto"/>
            <w:vAlign w:val="center"/>
            <w:hideMark/>
          </w:tcPr>
          <w:p w14:paraId="24AC9B0C" w14:textId="54E40E3E" w:rsidR="00A0232C" w:rsidRPr="00A0232C" w:rsidRDefault="0032137A" w:rsidP="00A0232C">
            <w:pPr>
              <w:jc w:val="right"/>
              <w:rPr>
                <w:rFonts w:ascii="Verdana" w:eastAsia="Times New Roman" w:hAnsi="Verdana" w:cs="Calibri"/>
                <w:color w:val="000000"/>
                <w:sz w:val="16"/>
                <w:szCs w:val="16"/>
                <w:lang w:val="en-GB" w:eastAsia="en-GB"/>
              </w:rPr>
            </w:pPr>
            <w:r>
              <w:rPr>
                <w:rFonts w:ascii="Verdana" w:eastAsia="Times New Roman" w:hAnsi="Verdana" w:cs="Calibri"/>
                <w:color w:val="000000"/>
                <w:sz w:val="16"/>
                <w:szCs w:val="16"/>
                <w:lang w:val="en-GB" w:eastAsia="en-GB"/>
              </w:rPr>
              <w:t>0</w:t>
            </w:r>
          </w:p>
        </w:tc>
        <w:tc>
          <w:tcPr>
            <w:tcW w:w="1880" w:type="dxa"/>
            <w:tcBorders>
              <w:top w:val="nil"/>
              <w:left w:val="nil"/>
              <w:bottom w:val="nil"/>
              <w:right w:val="nil"/>
            </w:tcBorders>
            <w:shd w:val="clear" w:color="auto" w:fill="auto"/>
            <w:vAlign w:val="center"/>
            <w:hideMark/>
          </w:tcPr>
          <w:p w14:paraId="0CC4D50F"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0</w:t>
            </w:r>
          </w:p>
        </w:tc>
        <w:tc>
          <w:tcPr>
            <w:tcW w:w="1688" w:type="dxa"/>
            <w:tcBorders>
              <w:top w:val="nil"/>
              <w:left w:val="nil"/>
              <w:bottom w:val="nil"/>
              <w:right w:val="nil"/>
            </w:tcBorders>
            <w:shd w:val="clear" w:color="auto" w:fill="auto"/>
            <w:vAlign w:val="center"/>
            <w:hideMark/>
          </w:tcPr>
          <w:p w14:paraId="762E4EAD" w14:textId="4C033CC2" w:rsidR="00A0232C" w:rsidRPr="00A0232C" w:rsidRDefault="0032137A" w:rsidP="00A0232C">
            <w:pPr>
              <w:jc w:val="right"/>
              <w:rPr>
                <w:rFonts w:ascii="Verdana" w:eastAsia="Times New Roman" w:hAnsi="Verdana" w:cs="Calibri"/>
                <w:color w:val="000000"/>
                <w:sz w:val="16"/>
                <w:szCs w:val="16"/>
                <w:lang w:val="en-GB" w:eastAsia="en-GB"/>
              </w:rPr>
            </w:pPr>
            <w:r>
              <w:rPr>
                <w:rFonts w:ascii="Verdana" w:eastAsia="Times New Roman" w:hAnsi="Verdana" w:cs="Calibri"/>
                <w:color w:val="000000"/>
                <w:sz w:val="16"/>
                <w:szCs w:val="16"/>
                <w:lang w:val="en-GB" w:eastAsia="en-GB"/>
              </w:rPr>
              <w:t>0</w:t>
            </w:r>
          </w:p>
        </w:tc>
      </w:tr>
      <w:tr w:rsidR="00A0232C" w:rsidRPr="00A0232C" w14:paraId="4D24D7EC" w14:textId="77777777" w:rsidTr="0073748E">
        <w:trPr>
          <w:gridAfter w:val="1"/>
          <w:wAfter w:w="464" w:type="dxa"/>
          <w:cantSplit/>
          <w:trHeight w:val="294"/>
        </w:trPr>
        <w:tc>
          <w:tcPr>
            <w:tcW w:w="1304" w:type="dxa"/>
            <w:tcBorders>
              <w:top w:val="nil"/>
              <w:left w:val="nil"/>
              <w:bottom w:val="nil"/>
              <w:right w:val="nil"/>
            </w:tcBorders>
            <w:shd w:val="clear" w:color="auto" w:fill="auto"/>
            <w:vAlign w:val="center"/>
            <w:hideMark/>
          </w:tcPr>
          <w:p w14:paraId="6BBC769B"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60,421</w:t>
            </w:r>
          </w:p>
        </w:tc>
        <w:tc>
          <w:tcPr>
            <w:tcW w:w="1425" w:type="dxa"/>
            <w:tcBorders>
              <w:top w:val="nil"/>
              <w:left w:val="nil"/>
              <w:bottom w:val="nil"/>
              <w:right w:val="nil"/>
            </w:tcBorders>
            <w:shd w:val="clear" w:color="auto" w:fill="auto"/>
            <w:vAlign w:val="center"/>
            <w:hideMark/>
          </w:tcPr>
          <w:p w14:paraId="381F1909"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(7,312)</w:t>
            </w:r>
          </w:p>
        </w:tc>
        <w:tc>
          <w:tcPr>
            <w:tcW w:w="1281" w:type="dxa"/>
            <w:tcBorders>
              <w:top w:val="nil"/>
              <w:left w:val="nil"/>
              <w:bottom w:val="nil"/>
              <w:right w:val="nil"/>
            </w:tcBorders>
            <w:shd w:val="clear" w:color="auto" w:fill="auto"/>
            <w:vAlign w:val="center"/>
            <w:hideMark/>
          </w:tcPr>
          <w:p w14:paraId="1C104A82"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53,109</w:t>
            </w:r>
          </w:p>
        </w:tc>
        <w:tc>
          <w:tcPr>
            <w:tcW w:w="1139" w:type="dxa"/>
            <w:tcBorders>
              <w:top w:val="nil"/>
              <w:left w:val="nil"/>
              <w:bottom w:val="nil"/>
              <w:right w:val="nil"/>
            </w:tcBorders>
            <w:shd w:val="clear" w:color="auto" w:fill="auto"/>
            <w:vAlign w:val="center"/>
            <w:hideMark/>
          </w:tcPr>
          <w:p w14:paraId="380727B5" w14:textId="77777777" w:rsidR="00A0232C" w:rsidRPr="00A0232C" w:rsidRDefault="00A0232C" w:rsidP="00A0232C">
            <w:pPr>
              <w:jc w:val="center"/>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20</w:t>
            </w:r>
          </w:p>
        </w:tc>
        <w:tc>
          <w:tcPr>
            <w:tcW w:w="4214" w:type="dxa"/>
            <w:tcBorders>
              <w:top w:val="nil"/>
              <w:left w:val="nil"/>
              <w:bottom w:val="nil"/>
              <w:right w:val="nil"/>
            </w:tcBorders>
            <w:shd w:val="clear" w:color="auto" w:fill="auto"/>
            <w:vAlign w:val="center"/>
            <w:hideMark/>
          </w:tcPr>
          <w:p w14:paraId="058B135D" w14:textId="333ECF52" w:rsidR="00A0232C" w:rsidRPr="00A0232C" w:rsidRDefault="00A0232C">
            <w:pPr>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 xml:space="preserve">Financing and Investment Income </w:t>
            </w:r>
            <w:r w:rsidR="00FB713E">
              <w:rPr>
                <w:rFonts w:ascii="Verdana" w:eastAsia="Times New Roman" w:hAnsi="Verdana" w:cs="Calibri"/>
                <w:color w:val="000000"/>
                <w:sz w:val="16"/>
                <w:szCs w:val="16"/>
                <w:lang w:val="en-GB" w:eastAsia="en-GB"/>
              </w:rPr>
              <w:t>&amp;</w:t>
            </w:r>
            <w:r w:rsidR="00FB713E" w:rsidRPr="00A0232C">
              <w:rPr>
                <w:rFonts w:ascii="Verdana" w:eastAsia="Times New Roman" w:hAnsi="Verdana" w:cs="Calibri"/>
                <w:color w:val="000000"/>
                <w:sz w:val="16"/>
                <w:szCs w:val="16"/>
                <w:lang w:val="en-GB" w:eastAsia="en-GB"/>
              </w:rPr>
              <w:t xml:space="preserve"> </w:t>
            </w:r>
            <w:r w:rsidRPr="00A0232C">
              <w:rPr>
                <w:rFonts w:ascii="Verdana" w:eastAsia="Times New Roman" w:hAnsi="Verdana" w:cs="Calibri"/>
                <w:color w:val="000000"/>
                <w:sz w:val="16"/>
                <w:szCs w:val="16"/>
                <w:lang w:val="en-GB" w:eastAsia="en-GB"/>
              </w:rPr>
              <w:t>Expenditure</w:t>
            </w:r>
          </w:p>
        </w:tc>
        <w:tc>
          <w:tcPr>
            <w:tcW w:w="1811" w:type="dxa"/>
            <w:tcBorders>
              <w:top w:val="nil"/>
              <w:left w:val="nil"/>
              <w:bottom w:val="nil"/>
              <w:right w:val="nil"/>
            </w:tcBorders>
            <w:shd w:val="clear" w:color="auto" w:fill="auto"/>
            <w:vAlign w:val="center"/>
            <w:hideMark/>
          </w:tcPr>
          <w:p w14:paraId="43728AA3"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52,249</w:t>
            </w:r>
          </w:p>
        </w:tc>
        <w:tc>
          <w:tcPr>
            <w:tcW w:w="1880" w:type="dxa"/>
            <w:tcBorders>
              <w:top w:val="nil"/>
              <w:left w:val="nil"/>
              <w:bottom w:val="nil"/>
              <w:right w:val="nil"/>
            </w:tcBorders>
            <w:shd w:val="clear" w:color="auto" w:fill="auto"/>
            <w:vAlign w:val="center"/>
            <w:hideMark/>
          </w:tcPr>
          <w:p w14:paraId="1C3D5D5E" w14:textId="2655DFE5" w:rsidR="00A0232C" w:rsidRPr="00A0232C" w:rsidRDefault="0020651E" w:rsidP="00A0232C">
            <w:pPr>
              <w:jc w:val="right"/>
              <w:rPr>
                <w:rFonts w:ascii="Verdana" w:eastAsia="Times New Roman" w:hAnsi="Verdana" w:cs="Calibri"/>
                <w:color w:val="000000"/>
                <w:sz w:val="16"/>
                <w:szCs w:val="16"/>
                <w:lang w:val="en-GB" w:eastAsia="en-GB"/>
              </w:rPr>
            </w:pPr>
            <w:r>
              <w:rPr>
                <w:rFonts w:ascii="Verdana" w:eastAsia="Times New Roman" w:hAnsi="Verdana" w:cs="Calibri"/>
                <w:color w:val="000000"/>
                <w:sz w:val="16"/>
                <w:szCs w:val="16"/>
                <w:lang w:val="en-GB" w:eastAsia="en-GB"/>
              </w:rPr>
              <w:t>(</w:t>
            </w:r>
            <w:r w:rsidR="00A0232C" w:rsidRPr="00A0232C">
              <w:rPr>
                <w:rFonts w:ascii="Verdana" w:eastAsia="Times New Roman" w:hAnsi="Verdana" w:cs="Calibri"/>
                <w:color w:val="000000"/>
                <w:sz w:val="16"/>
                <w:szCs w:val="16"/>
                <w:lang w:val="en-GB" w:eastAsia="en-GB"/>
              </w:rPr>
              <w:t>6,352</w:t>
            </w:r>
            <w:r>
              <w:rPr>
                <w:rFonts w:ascii="Verdana" w:eastAsia="Times New Roman" w:hAnsi="Verdana" w:cs="Calibri"/>
                <w:color w:val="000000"/>
                <w:sz w:val="16"/>
                <w:szCs w:val="16"/>
                <w:lang w:val="en-GB" w:eastAsia="en-GB"/>
              </w:rPr>
              <w:t>)</w:t>
            </w:r>
          </w:p>
        </w:tc>
        <w:tc>
          <w:tcPr>
            <w:tcW w:w="1688" w:type="dxa"/>
            <w:tcBorders>
              <w:top w:val="nil"/>
              <w:left w:val="nil"/>
              <w:bottom w:val="nil"/>
              <w:right w:val="nil"/>
            </w:tcBorders>
            <w:shd w:val="clear" w:color="auto" w:fill="auto"/>
            <w:vAlign w:val="center"/>
            <w:hideMark/>
          </w:tcPr>
          <w:p w14:paraId="7933A3EE"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45,897</w:t>
            </w:r>
          </w:p>
        </w:tc>
      </w:tr>
      <w:tr w:rsidR="00A0232C" w:rsidRPr="00A0232C" w14:paraId="6DAA84D3" w14:textId="77777777" w:rsidTr="0073748E">
        <w:trPr>
          <w:gridAfter w:val="1"/>
          <w:wAfter w:w="464" w:type="dxa"/>
          <w:cantSplit/>
          <w:trHeight w:val="294"/>
        </w:trPr>
        <w:tc>
          <w:tcPr>
            <w:tcW w:w="1304" w:type="dxa"/>
            <w:tcBorders>
              <w:top w:val="single" w:sz="8" w:space="0" w:color="000000"/>
              <w:left w:val="nil"/>
              <w:bottom w:val="single" w:sz="12" w:space="0" w:color="000000"/>
              <w:right w:val="nil"/>
            </w:tcBorders>
            <w:shd w:val="clear" w:color="auto" w:fill="auto"/>
            <w:vAlign w:val="center"/>
            <w:hideMark/>
          </w:tcPr>
          <w:p w14:paraId="197C5952" w14:textId="77777777" w:rsidR="00A0232C" w:rsidRPr="00A0232C" w:rsidRDefault="00A0232C" w:rsidP="00A0232C">
            <w:pPr>
              <w:jc w:val="right"/>
              <w:rPr>
                <w:rFonts w:ascii="Verdana" w:eastAsia="Times New Roman" w:hAnsi="Verdana" w:cs="Calibri"/>
                <w:b/>
                <w:bCs/>
                <w:color w:val="000000"/>
                <w:sz w:val="16"/>
                <w:szCs w:val="16"/>
                <w:lang w:val="en-GB" w:eastAsia="en-GB"/>
              </w:rPr>
            </w:pPr>
            <w:r w:rsidRPr="00A0232C">
              <w:rPr>
                <w:rFonts w:ascii="Verdana" w:eastAsia="Times New Roman" w:hAnsi="Verdana" w:cs="Calibri"/>
                <w:b/>
                <w:bCs/>
                <w:color w:val="000000"/>
                <w:sz w:val="16"/>
                <w:szCs w:val="16"/>
                <w:lang w:val="en-GB" w:eastAsia="en-GB"/>
              </w:rPr>
              <w:t>334,925</w:t>
            </w:r>
          </w:p>
        </w:tc>
        <w:tc>
          <w:tcPr>
            <w:tcW w:w="1425" w:type="dxa"/>
            <w:tcBorders>
              <w:top w:val="single" w:sz="8" w:space="0" w:color="000000"/>
              <w:left w:val="nil"/>
              <w:bottom w:val="single" w:sz="12" w:space="0" w:color="000000"/>
              <w:right w:val="nil"/>
            </w:tcBorders>
            <w:shd w:val="clear" w:color="auto" w:fill="auto"/>
            <w:vAlign w:val="center"/>
            <w:hideMark/>
          </w:tcPr>
          <w:p w14:paraId="527B576F" w14:textId="77777777" w:rsidR="00A0232C" w:rsidRPr="00A0232C" w:rsidRDefault="00A0232C" w:rsidP="00A0232C">
            <w:pPr>
              <w:jc w:val="right"/>
              <w:rPr>
                <w:rFonts w:ascii="Verdana" w:eastAsia="Times New Roman" w:hAnsi="Verdana" w:cs="Calibri"/>
                <w:b/>
                <w:bCs/>
                <w:color w:val="000000"/>
                <w:sz w:val="16"/>
                <w:szCs w:val="16"/>
                <w:lang w:val="en-GB" w:eastAsia="en-GB"/>
              </w:rPr>
            </w:pPr>
            <w:r w:rsidRPr="00A0232C">
              <w:rPr>
                <w:rFonts w:ascii="Verdana" w:eastAsia="Times New Roman" w:hAnsi="Verdana" w:cs="Calibri"/>
                <w:b/>
                <w:bCs/>
                <w:color w:val="000000"/>
                <w:sz w:val="16"/>
                <w:szCs w:val="16"/>
                <w:lang w:val="en-GB" w:eastAsia="en-GB"/>
              </w:rPr>
              <w:t>(271,894)</w:t>
            </w:r>
          </w:p>
        </w:tc>
        <w:tc>
          <w:tcPr>
            <w:tcW w:w="1281" w:type="dxa"/>
            <w:tcBorders>
              <w:top w:val="single" w:sz="8" w:space="0" w:color="000000"/>
              <w:left w:val="nil"/>
              <w:bottom w:val="single" w:sz="12" w:space="0" w:color="000000"/>
              <w:right w:val="nil"/>
            </w:tcBorders>
            <w:shd w:val="clear" w:color="auto" w:fill="auto"/>
            <w:vAlign w:val="center"/>
            <w:hideMark/>
          </w:tcPr>
          <w:p w14:paraId="60D62373" w14:textId="77777777" w:rsidR="00A0232C" w:rsidRPr="00A0232C" w:rsidRDefault="00A0232C" w:rsidP="00A0232C">
            <w:pPr>
              <w:jc w:val="right"/>
              <w:rPr>
                <w:rFonts w:ascii="Verdana" w:eastAsia="Times New Roman" w:hAnsi="Verdana" w:cs="Calibri"/>
                <w:b/>
                <w:bCs/>
                <w:color w:val="000000"/>
                <w:sz w:val="16"/>
                <w:szCs w:val="16"/>
                <w:lang w:val="en-GB" w:eastAsia="en-GB"/>
              </w:rPr>
            </w:pPr>
            <w:r w:rsidRPr="00A0232C">
              <w:rPr>
                <w:rFonts w:ascii="Verdana" w:eastAsia="Times New Roman" w:hAnsi="Verdana" w:cs="Calibri"/>
                <w:b/>
                <w:bCs/>
                <w:color w:val="000000"/>
                <w:sz w:val="16"/>
                <w:szCs w:val="16"/>
                <w:lang w:val="en-GB" w:eastAsia="en-GB"/>
              </w:rPr>
              <w:t>63,031</w:t>
            </w:r>
          </w:p>
        </w:tc>
        <w:tc>
          <w:tcPr>
            <w:tcW w:w="1139" w:type="dxa"/>
            <w:tcBorders>
              <w:top w:val="single" w:sz="8" w:space="0" w:color="000000"/>
              <w:left w:val="nil"/>
              <w:bottom w:val="single" w:sz="12" w:space="0" w:color="000000"/>
              <w:right w:val="nil"/>
            </w:tcBorders>
            <w:shd w:val="clear" w:color="auto" w:fill="auto"/>
            <w:vAlign w:val="center"/>
            <w:hideMark/>
          </w:tcPr>
          <w:p w14:paraId="121AE2B9" w14:textId="77777777" w:rsidR="00A0232C" w:rsidRPr="00A0232C" w:rsidRDefault="00A0232C" w:rsidP="00A0232C">
            <w:pPr>
              <w:jc w:val="center"/>
              <w:rPr>
                <w:rFonts w:ascii="Verdana" w:eastAsia="Times New Roman" w:hAnsi="Verdana" w:cs="Calibri"/>
                <w:b/>
                <w:bCs/>
                <w:color w:val="000000"/>
                <w:sz w:val="16"/>
                <w:szCs w:val="16"/>
                <w:lang w:val="en-GB" w:eastAsia="en-GB"/>
              </w:rPr>
            </w:pPr>
            <w:r w:rsidRPr="00A0232C">
              <w:rPr>
                <w:rFonts w:ascii="Verdana" w:eastAsia="Times New Roman" w:hAnsi="Verdana" w:cs="Calibri"/>
                <w:b/>
                <w:bCs/>
                <w:color w:val="000000"/>
                <w:sz w:val="16"/>
                <w:szCs w:val="16"/>
                <w:lang w:val="en-GB" w:eastAsia="en-GB"/>
              </w:rPr>
              <w:t xml:space="preserve"> </w:t>
            </w:r>
          </w:p>
        </w:tc>
        <w:tc>
          <w:tcPr>
            <w:tcW w:w="4214" w:type="dxa"/>
            <w:tcBorders>
              <w:top w:val="single" w:sz="8" w:space="0" w:color="000000"/>
              <w:left w:val="nil"/>
              <w:bottom w:val="single" w:sz="12" w:space="0" w:color="000000"/>
              <w:right w:val="nil"/>
            </w:tcBorders>
            <w:shd w:val="clear" w:color="auto" w:fill="auto"/>
            <w:vAlign w:val="center"/>
            <w:hideMark/>
          </w:tcPr>
          <w:p w14:paraId="2C7894EC" w14:textId="77777777" w:rsidR="00A0232C" w:rsidRPr="00A0232C" w:rsidRDefault="00A0232C" w:rsidP="00A0232C">
            <w:pPr>
              <w:rPr>
                <w:rFonts w:ascii="Verdana" w:eastAsia="Times New Roman" w:hAnsi="Verdana" w:cs="Calibri"/>
                <w:b/>
                <w:bCs/>
                <w:color w:val="000000"/>
                <w:sz w:val="16"/>
                <w:szCs w:val="16"/>
                <w:lang w:val="en-GB" w:eastAsia="en-GB"/>
              </w:rPr>
            </w:pPr>
            <w:r w:rsidRPr="00A0232C">
              <w:rPr>
                <w:rFonts w:ascii="Verdana" w:eastAsia="Times New Roman" w:hAnsi="Verdana" w:cs="Calibri"/>
                <w:b/>
                <w:bCs/>
                <w:color w:val="000000"/>
                <w:sz w:val="16"/>
                <w:szCs w:val="16"/>
                <w:lang w:val="en-GB" w:eastAsia="en-GB"/>
              </w:rPr>
              <w:t>Surplus or Deficit on Provision of Services</w:t>
            </w:r>
          </w:p>
        </w:tc>
        <w:tc>
          <w:tcPr>
            <w:tcW w:w="1811" w:type="dxa"/>
            <w:tcBorders>
              <w:top w:val="single" w:sz="8" w:space="0" w:color="000000"/>
              <w:left w:val="nil"/>
              <w:bottom w:val="single" w:sz="12" w:space="0" w:color="000000"/>
              <w:right w:val="nil"/>
            </w:tcBorders>
            <w:shd w:val="clear" w:color="auto" w:fill="auto"/>
            <w:vAlign w:val="center"/>
            <w:hideMark/>
          </w:tcPr>
          <w:p w14:paraId="28F5E0AD" w14:textId="01AD4B70" w:rsidR="00A0232C" w:rsidRPr="00A0232C" w:rsidRDefault="00DB179E">
            <w:pPr>
              <w:jc w:val="right"/>
              <w:rPr>
                <w:rFonts w:ascii="Verdana" w:eastAsia="Times New Roman" w:hAnsi="Verdana" w:cs="Calibri"/>
                <w:b/>
                <w:bCs/>
                <w:color w:val="000000"/>
                <w:sz w:val="16"/>
                <w:szCs w:val="16"/>
                <w:lang w:val="en-GB" w:eastAsia="en-GB"/>
              </w:rPr>
            </w:pPr>
            <w:r>
              <w:rPr>
                <w:rFonts w:ascii="Verdana" w:eastAsia="Times New Roman" w:hAnsi="Verdana" w:cs="Calibri"/>
                <w:b/>
                <w:bCs/>
                <w:color w:val="000000"/>
                <w:sz w:val="16"/>
                <w:szCs w:val="16"/>
                <w:lang w:val="en-GB" w:eastAsia="en-GB"/>
              </w:rPr>
              <w:t>352,952</w:t>
            </w:r>
          </w:p>
        </w:tc>
        <w:tc>
          <w:tcPr>
            <w:tcW w:w="1880" w:type="dxa"/>
            <w:tcBorders>
              <w:top w:val="single" w:sz="8" w:space="0" w:color="000000"/>
              <w:left w:val="nil"/>
              <w:bottom w:val="single" w:sz="12" w:space="0" w:color="000000"/>
              <w:right w:val="nil"/>
            </w:tcBorders>
            <w:shd w:val="clear" w:color="auto" w:fill="auto"/>
            <w:vAlign w:val="center"/>
            <w:hideMark/>
          </w:tcPr>
          <w:p w14:paraId="7BB91680" w14:textId="6D0297BB" w:rsidR="00A0232C" w:rsidRPr="00A0232C" w:rsidRDefault="0020651E">
            <w:pPr>
              <w:jc w:val="right"/>
              <w:rPr>
                <w:rFonts w:ascii="Verdana" w:eastAsia="Times New Roman" w:hAnsi="Verdana" w:cs="Calibri"/>
                <w:b/>
                <w:bCs/>
                <w:color w:val="000000"/>
                <w:sz w:val="16"/>
                <w:szCs w:val="16"/>
                <w:lang w:val="en-GB" w:eastAsia="en-GB"/>
              </w:rPr>
            </w:pPr>
            <w:r>
              <w:rPr>
                <w:rFonts w:ascii="Verdana" w:eastAsia="Times New Roman" w:hAnsi="Verdana" w:cs="Calibri"/>
                <w:b/>
                <w:bCs/>
                <w:color w:val="000000"/>
                <w:sz w:val="16"/>
                <w:szCs w:val="16"/>
                <w:lang w:val="en-GB" w:eastAsia="en-GB"/>
              </w:rPr>
              <w:t>(</w:t>
            </w:r>
            <w:r w:rsidR="00DB179E">
              <w:rPr>
                <w:rFonts w:ascii="Verdana" w:eastAsia="Times New Roman" w:hAnsi="Verdana" w:cs="Calibri"/>
                <w:b/>
                <w:bCs/>
                <w:color w:val="000000"/>
                <w:sz w:val="16"/>
                <w:szCs w:val="16"/>
                <w:lang w:val="en-GB" w:eastAsia="en-GB"/>
              </w:rPr>
              <w:t>284,424</w:t>
            </w:r>
            <w:r>
              <w:rPr>
                <w:rFonts w:ascii="Verdana" w:eastAsia="Times New Roman" w:hAnsi="Verdana" w:cs="Calibri"/>
                <w:b/>
                <w:bCs/>
                <w:color w:val="000000"/>
                <w:sz w:val="16"/>
                <w:szCs w:val="16"/>
                <w:lang w:val="en-GB" w:eastAsia="en-GB"/>
              </w:rPr>
              <w:t>)</w:t>
            </w:r>
          </w:p>
        </w:tc>
        <w:tc>
          <w:tcPr>
            <w:tcW w:w="1688" w:type="dxa"/>
            <w:tcBorders>
              <w:top w:val="single" w:sz="8" w:space="0" w:color="000000"/>
              <w:left w:val="nil"/>
              <w:bottom w:val="single" w:sz="12" w:space="0" w:color="000000"/>
              <w:right w:val="nil"/>
            </w:tcBorders>
            <w:shd w:val="clear" w:color="auto" w:fill="auto"/>
            <w:vAlign w:val="center"/>
            <w:hideMark/>
          </w:tcPr>
          <w:p w14:paraId="06A11B8C" w14:textId="77777777" w:rsidR="00A0232C" w:rsidRPr="00A0232C" w:rsidRDefault="007F44AB" w:rsidP="00A0232C">
            <w:pPr>
              <w:jc w:val="right"/>
              <w:rPr>
                <w:rFonts w:ascii="Verdana" w:eastAsia="Times New Roman" w:hAnsi="Verdana" w:cs="Calibri"/>
                <w:b/>
                <w:bCs/>
                <w:color w:val="000000"/>
                <w:sz w:val="16"/>
                <w:szCs w:val="16"/>
                <w:lang w:val="en-GB" w:eastAsia="en-GB"/>
              </w:rPr>
            </w:pPr>
            <w:r>
              <w:rPr>
                <w:rFonts w:ascii="Verdana" w:eastAsia="Times New Roman" w:hAnsi="Verdana" w:cs="Calibri"/>
                <w:b/>
                <w:bCs/>
                <w:color w:val="000000"/>
                <w:sz w:val="16"/>
                <w:szCs w:val="16"/>
                <w:lang w:val="en-GB" w:eastAsia="en-GB"/>
              </w:rPr>
              <w:t>68,528</w:t>
            </w:r>
          </w:p>
        </w:tc>
      </w:tr>
      <w:tr w:rsidR="00A0232C" w:rsidRPr="00A0232C" w14:paraId="043C3AF3" w14:textId="77777777" w:rsidTr="0073748E">
        <w:trPr>
          <w:gridAfter w:val="1"/>
          <w:wAfter w:w="464" w:type="dxa"/>
          <w:trHeight w:val="40"/>
        </w:trPr>
        <w:tc>
          <w:tcPr>
            <w:tcW w:w="1304" w:type="dxa"/>
            <w:tcBorders>
              <w:top w:val="nil"/>
              <w:left w:val="nil"/>
              <w:bottom w:val="nil"/>
              <w:right w:val="nil"/>
            </w:tcBorders>
            <w:shd w:val="clear" w:color="auto" w:fill="auto"/>
            <w:vAlign w:val="center"/>
            <w:hideMark/>
          </w:tcPr>
          <w:p w14:paraId="41B690FB" w14:textId="77777777" w:rsidR="00A0232C" w:rsidRPr="00A0232C" w:rsidRDefault="00A0232C" w:rsidP="00A0232C">
            <w:pPr>
              <w:jc w:val="center"/>
              <w:rPr>
                <w:rFonts w:ascii="Calibri" w:eastAsia="Times New Roman" w:hAnsi="Calibri" w:cs="Calibri"/>
                <w:color w:val="000000"/>
                <w:sz w:val="2"/>
                <w:szCs w:val="2"/>
                <w:lang w:val="en-GB" w:eastAsia="en-GB"/>
              </w:rPr>
            </w:pPr>
            <w:r w:rsidRPr="00A0232C">
              <w:rPr>
                <w:rFonts w:ascii="Calibri" w:eastAsia="Times New Roman" w:hAnsi="Calibri" w:cs="Calibri"/>
                <w:color w:val="000000"/>
                <w:sz w:val="2"/>
                <w:szCs w:val="2"/>
                <w:lang w:val="en-GB" w:eastAsia="en-GB"/>
              </w:rPr>
              <w:t xml:space="preserve"> </w:t>
            </w:r>
          </w:p>
        </w:tc>
        <w:tc>
          <w:tcPr>
            <w:tcW w:w="1425" w:type="dxa"/>
            <w:tcBorders>
              <w:top w:val="nil"/>
              <w:left w:val="nil"/>
              <w:bottom w:val="nil"/>
              <w:right w:val="nil"/>
            </w:tcBorders>
            <w:shd w:val="clear" w:color="auto" w:fill="auto"/>
            <w:vAlign w:val="center"/>
            <w:hideMark/>
          </w:tcPr>
          <w:p w14:paraId="13E4D09E" w14:textId="77777777" w:rsidR="00A0232C" w:rsidRPr="00A0232C" w:rsidRDefault="00A0232C" w:rsidP="00A0232C">
            <w:pPr>
              <w:jc w:val="center"/>
              <w:rPr>
                <w:rFonts w:ascii="Calibri" w:eastAsia="Times New Roman" w:hAnsi="Calibri" w:cs="Calibri"/>
                <w:color w:val="000000"/>
                <w:sz w:val="2"/>
                <w:szCs w:val="2"/>
                <w:lang w:val="en-GB" w:eastAsia="en-GB"/>
              </w:rPr>
            </w:pPr>
            <w:r w:rsidRPr="00A0232C">
              <w:rPr>
                <w:rFonts w:ascii="Calibri" w:eastAsia="Times New Roman" w:hAnsi="Calibri" w:cs="Calibri"/>
                <w:color w:val="000000"/>
                <w:sz w:val="2"/>
                <w:szCs w:val="2"/>
                <w:lang w:val="en-GB" w:eastAsia="en-GB"/>
              </w:rPr>
              <w:t xml:space="preserve"> </w:t>
            </w:r>
          </w:p>
        </w:tc>
        <w:tc>
          <w:tcPr>
            <w:tcW w:w="1281" w:type="dxa"/>
            <w:tcBorders>
              <w:top w:val="nil"/>
              <w:left w:val="nil"/>
              <w:bottom w:val="nil"/>
              <w:right w:val="nil"/>
            </w:tcBorders>
            <w:shd w:val="clear" w:color="auto" w:fill="auto"/>
            <w:vAlign w:val="center"/>
            <w:hideMark/>
          </w:tcPr>
          <w:p w14:paraId="4C23F24C" w14:textId="77777777" w:rsidR="00A0232C" w:rsidRPr="00FB713E" w:rsidRDefault="00A0232C" w:rsidP="00A0232C">
            <w:pPr>
              <w:jc w:val="center"/>
              <w:rPr>
                <w:rFonts w:ascii="Calibri" w:eastAsia="Times New Roman" w:hAnsi="Calibri" w:cs="Calibri"/>
                <w:color w:val="000000"/>
                <w:sz w:val="2"/>
                <w:szCs w:val="2"/>
                <w:lang w:val="en-GB" w:eastAsia="en-GB"/>
              </w:rPr>
            </w:pPr>
            <w:r w:rsidRPr="00FB713E">
              <w:rPr>
                <w:rFonts w:ascii="Calibri" w:eastAsia="Times New Roman" w:hAnsi="Calibri" w:cs="Calibri"/>
                <w:color w:val="000000"/>
                <w:sz w:val="2"/>
                <w:szCs w:val="2"/>
                <w:lang w:val="en-GB" w:eastAsia="en-GB"/>
              </w:rPr>
              <w:t xml:space="preserve"> </w:t>
            </w:r>
          </w:p>
        </w:tc>
        <w:tc>
          <w:tcPr>
            <w:tcW w:w="1139" w:type="dxa"/>
            <w:tcBorders>
              <w:top w:val="nil"/>
              <w:left w:val="nil"/>
              <w:bottom w:val="nil"/>
              <w:right w:val="nil"/>
            </w:tcBorders>
            <w:shd w:val="clear" w:color="auto" w:fill="auto"/>
            <w:vAlign w:val="center"/>
            <w:hideMark/>
          </w:tcPr>
          <w:p w14:paraId="1A133098" w14:textId="77777777" w:rsidR="00A0232C" w:rsidRPr="0073748E" w:rsidRDefault="00A0232C" w:rsidP="00A0232C">
            <w:pPr>
              <w:jc w:val="center"/>
              <w:rPr>
                <w:rFonts w:ascii="Calibri" w:eastAsia="Times New Roman" w:hAnsi="Calibri" w:cs="Calibri"/>
                <w:color w:val="000000"/>
                <w:sz w:val="2"/>
                <w:szCs w:val="2"/>
                <w:lang w:val="en-GB" w:eastAsia="en-GB"/>
              </w:rPr>
            </w:pPr>
            <w:r w:rsidRPr="0073748E">
              <w:rPr>
                <w:rFonts w:ascii="Calibri" w:eastAsia="Times New Roman" w:hAnsi="Calibri" w:cs="Calibri"/>
                <w:color w:val="000000"/>
                <w:sz w:val="2"/>
                <w:szCs w:val="2"/>
                <w:lang w:val="en-GB" w:eastAsia="en-GB"/>
              </w:rPr>
              <w:t xml:space="preserve"> </w:t>
            </w:r>
          </w:p>
        </w:tc>
        <w:tc>
          <w:tcPr>
            <w:tcW w:w="4214" w:type="dxa"/>
            <w:tcBorders>
              <w:top w:val="nil"/>
              <w:left w:val="nil"/>
              <w:bottom w:val="nil"/>
              <w:right w:val="nil"/>
            </w:tcBorders>
            <w:shd w:val="clear" w:color="auto" w:fill="auto"/>
            <w:vAlign w:val="center"/>
            <w:hideMark/>
          </w:tcPr>
          <w:p w14:paraId="6D3BE8AB" w14:textId="77777777" w:rsidR="00A0232C" w:rsidRPr="00FB713E" w:rsidRDefault="00A0232C" w:rsidP="00A0232C">
            <w:pPr>
              <w:jc w:val="center"/>
              <w:rPr>
                <w:rFonts w:ascii="Calibri" w:eastAsia="Times New Roman" w:hAnsi="Calibri" w:cs="Calibri"/>
                <w:color w:val="000000"/>
                <w:sz w:val="2"/>
                <w:szCs w:val="2"/>
                <w:lang w:val="en-GB" w:eastAsia="en-GB"/>
              </w:rPr>
            </w:pPr>
            <w:r w:rsidRPr="00FB713E">
              <w:rPr>
                <w:rFonts w:ascii="Calibri" w:eastAsia="Times New Roman" w:hAnsi="Calibri" w:cs="Calibri"/>
                <w:color w:val="000000"/>
                <w:sz w:val="2"/>
                <w:szCs w:val="2"/>
                <w:lang w:val="en-GB" w:eastAsia="en-GB"/>
              </w:rPr>
              <w:t xml:space="preserve"> </w:t>
            </w:r>
          </w:p>
        </w:tc>
        <w:tc>
          <w:tcPr>
            <w:tcW w:w="1811" w:type="dxa"/>
            <w:tcBorders>
              <w:top w:val="nil"/>
              <w:left w:val="nil"/>
              <w:bottom w:val="nil"/>
              <w:right w:val="nil"/>
            </w:tcBorders>
            <w:shd w:val="clear" w:color="auto" w:fill="auto"/>
            <w:vAlign w:val="center"/>
            <w:hideMark/>
          </w:tcPr>
          <w:p w14:paraId="2E59E3D4" w14:textId="77777777" w:rsidR="00A0232C" w:rsidRPr="00FB713E" w:rsidRDefault="00A0232C" w:rsidP="00A0232C">
            <w:pPr>
              <w:jc w:val="center"/>
              <w:rPr>
                <w:rFonts w:ascii="Calibri" w:eastAsia="Times New Roman" w:hAnsi="Calibri" w:cs="Calibri"/>
                <w:color w:val="000000"/>
                <w:sz w:val="2"/>
                <w:szCs w:val="2"/>
                <w:lang w:val="en-GB" w:eastAsia="en-GB"/>
              </w:rPr>
            </w:pPr>
          </w:p>
        </w:tc>
        <w:tc>
          <w:tcPr>
            <w:tcW w:w="1880" w:type="dxa"/>
            <w:tcBorders>
              <w:top w:val="nil"/>
              <w:left w:val="nil"/>
              <w:bottom w:val="nil"/>
              <w:right w:val="nil"/>
            </w:tcBorders>
            <w:shd w:val="clear" w:color="auto" w:fill="auto"/>
            <w:vAlign w:val="center"/>
            <w:hideMark/>
          </w:tcPr>
          <w:p w14:paraId="498611A9" w14:textId="77777777" w:rsidR="00A0232C" w:rsidRPr="0073748E" w:rsidRDefault="00A0232C" w:rsidP="00A0232C">
            <w:pPr>
              <w:jc w:val="center"/>
              <w:rPr>
                <w:rFonts w:ascii="Times New Roman" w:eastAsia="Times New Roman" w:hAnsi="Times New Roman" w:cs="Times New Roman"/>
                <w:sz w:val="2"/>
                <w:szCs w:val="2"/>
                <w:lang w:val="en-GB" w:eastAsia="en-GB"/>
              </w:rPr>
            </w:pPr>
          </w:p>
        </w:tc>
        <w:tc>
          <w:tcPr>
            <w:tcW w:w="1688" w:type="dxa"/>
            <w:tcBorders>
              <w:top w:val="nil"/>
              <w:left w:val="nil"/>
              <w:bottom w:val="nil"/>
              <w:right w:val="nil"/>
            </w:tcBorders>
            <w:shd w:val="clear" w:color="auto" w:fill="auto"/>
            <w:vAlign w:val="center"/>
            <w:hideMark/>
          </w:tcPr>
          <w:p w14:paraId="37604B79" w14:textId="77777777" w:rsidR="00A0232C" w:rsidRPr="0073748E" w:rsidRDefault="00A0232C" w:rsidP="00A0232C">
            <w:pPr>
              <w:jc w:val="center"/>
              <w:rPr>
                <w:rFonts w:ascii="Times New Roman" w:eastAsia="Times New Roman" w:hAnsi="Times New Roman" w:cs="Times New Roman"/>
                <w:sz w:val="2"/>
                <w:szCs w:val="2"/>
                <w:lang w:val="en-GB" w:eastAsia="en-GB"/>
              </w:rPr>
            </w:pPr>
          </w:p>
        </w:tc>
      </w:tr>
      <w:tr w:rsidR="00A0232C" w:rsidRPr="00A0232C" w14:paraId="55EBC34F" w14:textId="77777777" w:rsidTr="0073748E">
        <w:trPr>
          <w:gridAfter w:val="1"/>
          <w:wAfter w:w="464" w:type="dxa"/>
          <w:cantSplit/>
          <w:trHeight w:val="436"/>
        </w:trPr>
        <w:tc>
          <w:tcPr>
            <w:tcW w:w="1304" w:type="dxa"/>
            <w:tcBorders>
              <w:top w:val="nil"/>
              <w:left w:val="nil"/>
              <w:bottom w:val="nil"/>
              <w:right w:val="nil"/>
            </w:tcBorders>
            <w:shd w:val="clear" w:color="auto" w:fill="auto"/>
            <w:vAlign w:val="center"/>
            <w:hideMark/>
          </w:tcPr>
          <w:p w14:paraId="15AE3587" w14:textId="77777777" w:rsidR="00A0232C" w:rsidRPr="00A0232C" w:rsidRDefault="00A0232C" w:rsidP="00A0232C">
            <w:pPr>
              <w:jc w:val="center"/>
              <w:rPr>
                <w:rFonts w:ascii="Verdana" w:eastAsia="Times New Roman" w:hAnsi="Verdana" w:cs="Calibri"/>
                <w:color w:val="000000"/>
                <w:sz w:val="2"/>
                <w:szCs w:val="2"/>
                <w:lang w:val="en-GB" w:eastAsia="en-GB"/>
              </w:rPr>
            </w:pPr>
            <w:r w:rsidRPr="00A0232C">
              <w:rPr>
                <w:rFonts w:ascii="Verdana" w:eastAsia="Times New Roman" w:hAnsi="Verdana" w:cs="Calibri"/>
                <w:color w:val="000000"/>
                <w:sz w:val="2"/>
                <w:szCs w:val="2"/>
                <w:lang w:val="en-GB" w:eastAsia="en-GB"/>
              </w:rPr>
              <w:t xml:space="preserve"> </w:t>
            </w:r>
          </w:p>
        </w:tc>
        <w:tc>
          <w:tcPr>
            <w:tcW w:w="1425" w:type="dxa"/>
            <w:tcBorders>
              <w:top w:val="nil"/>
              <w:left w:val="nil"/>
              <w:bottom w:val="nil"/>
              <w:right w:val="nil"/>
            </w:tcBorders>
            <w:shd w:val="clear" w:color="auto" w:fill="auto"/>
            <w:vAlign w:val="center"/>
            <w:hideMark/>
          </w:tcPr>
          <w:p w14:paraId="574826D3" w14:textId="77777777" w:rsidR="00A0232C" w:rsidRPr="00A0232C" w:rsidRDefault="00A0232C" w:rsidP="00A0232C">
            <w:pPr>
              <w:jc w:val="center"/>
              <w:rPr>
                <w:rFonts w:ascii="Verdana" w:eastAsia="Times New Roman" w:hAnsi="Verdana" w:cs="Calibri"/>
                <w:color w:val="000000"/>
                <w:sz w:val="2"/>
                <w:szCs w:val="2"/>
                <w:lang w:val="en-GB" w:eastAsia="en-GB"/>
              </w:rPr>
            </w:pPr>
            <w:r w:rsidRPr="00A0232C">
              <w:rPr>
                <w:rFonts w:ascii="Verdana" w:eastAsia="Times New Roman" w:hAnsi="Verdana" w:cs="Calibri"/>
                <w:color w:val="000000"/>
                <w:sz w:val="2"/>
                <w:szCs w:val="2"/>
                <w:lang w:val="en-GB" w:eastAsia="en-GB"/>
              </w:rPr>
              <w:t xml:space="preserve"> </w:t>
            </w:r>
          </w:p>
        </w:tc>
        <w:tc>
          <w:tcPr>
            <w:tcW w:w="1281" w:type="dxa"/>
            <w:tcBorders>
              <w:top w:val="nil"/>
              <w:left w:val="nil"/>
              <w:bottom w:val="nil"/>
              <w:right w:val="nil"/>
            </w:tcBorders>
            <w:shd w:val="clear" w:color="auto" w:fill="auto"/>
            <w:vAlign w:val="center"/>
            <w:hideMark/>
          </w:tcPr>
          <w:p w14:paraId="060661FE" w14:textId="77777777" w:rsidR="00A0232C" w:rsidRPr="00A0232C" w:rsidRDefault="00A0232C" w:rsidP="00A0232C">
            <w:pPr>
              <w:jc w:val="right"/>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(193,261)</w:t>
            </w:r>
          </w:p>
        </w:tc>
        <w:tc>
          <w:tcPr>
            <w:tcW w:w="1139" w:type="dxa"/>
            <w:tcBorders>
              <w:top w:val="nil"/>
              <w:left w:val="nil"/>
              <w:bottom w:val="nil"/>
              <w:right w:val="nil"/>
            </w:tcBorders>
            <w:shd w:val="clear" w:color="auto" w:fill="auto"/>
            <w:vAlign w:val="center"/>
            <w:hideMark/>
          </w:tcPr>
          <w:p w14:paraId="3DEA11FC" w14:textId="77777777" w:rsidR="00A0232C" w:rsidRPr="00A0232C" w:rsidRDefault="00A0232C" w:rsidP="00A0232C">
            <w:pPr>
              <w:jc w:val="center"/>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17</w:t>
            </w:r>
          </w:p>
        </w:tc>
        <w:tc>
          <w:tcPr>
            <w:tcW w:w="4214" w:type="dxa"/>
            <w:tcBorders>
              <w:top w:val="nil"/>
              <w:left w:val="nil"/>
              <w:bottom w:val="nil"/>
              <w:right w:val="nil"/>
            </w:tcBorders>
            <w:shd w:val="clear" w:color="auto" w:fill="auto"/>
            <w:vAlign w:val="center"/>
            <w:hideMark/>
          </w:tcPr>
          <w:p w14:paraId="57C0B9AD" w14:textId="77777777" w:rsidR="00A0232C" w:rsidRPr="00A0232C" w:rsidRDefault="00A0232C" w:rsidP="00A0232C">
            <w:pPr>
              <w:rPr>
                <w:rFonts w:ascii="Verdana" w:eastAsia="Times New Roman" w:hAnsi="Verdana" w:cs="Calibri"/>
                <w:color w:val="000000"/>
                <w:sz w:val="16"/>
                <w:szCs w:val="16"/>
                <w:lang w:val="en-GB" w:eastAsia="en-GB"/>
              </w:rPr>
            </w:pPr>
            <w:r w:rsidRPr="00A0232C">
              <w:rPr>
                <w:rFonts w:ascii="Verdana" w:eastAsia="Times New Roman" w:hAnsi="Verdana" w:cs="Calibri"/>
                <w:color w:val="000000"/>
                <w:sz w:val="16"/>
                <w:szCs w:val="16"/>
                <w:lang w:val="en-GB" w:eastAsia="en-GB"/>
              </w:rPr>
              <w:t>Re-measurement of the net defined benefit liability / asset</w:t>
            </w:r>
          </w:p>
        </w:tc>
        <w:tc>
          <w:tcPr>
            <w:tcW w:w="1811" w:type="dxa"/>
            <w:tcBorders>
              <w:top w:val="nil"/>
              <w:left w:val="nil"/>
              <w:bottom w:val="nil"/>
              <w:right w:val="nil"/>
            </w:tcBorders>
            <w:shd w:val="clear" w:color="auto" w:fill="auto"/>
            <w:vAlign w:val="center"/>
            <w:hideMark/>
          </w:tcPr>
          <w:p w14:paraId="17A0067B" w14:textId="77777777" w:rsidR="00A0232C" w:rsidRPr="00A0232C" w:rsidRDefault="00A0232C" w:rsidP="00A0232C">
            <w:pPr>
              <w:rPr>
                <w:rFonts w:ascii="Verdana" w:eastAsia="Times New Roman" w:hAnsi="Verdana" w:cs="Calibri"/>
                <w:color w:val="000000"/>
                <w:sz w:val="16"/>
                <w:szCs w:val="16"/>
                <w:lang w:val="en-GB" w:eastAsia="en-GB"/>
              </w:rPr>
            </w:pPr>
          </w:p>
        </w:tc>
        <w:tc>
          <w:tcPr>
            <w:tcW w:w="1880" w:type="dxa"/>
            <w:tcBorders>
              <w:top w:val="nil"/>
              <w:left w:val="nil"/>
              <w:bottom w:val="nil"/>
              <w:right w:val="nil"/>
            </w:tcBorders>
            <w:shd w:val="clear" w:color="auto" w:fill="auto"/>
            <w:vAlign w:val="center"/>
            <w:hideMark/>
          </w:tcPr>
          <w:p w14:paraId="71254DFC" w14:textId="77777777" w:rsidR="00A0232C" w:rsidRPr="00A0232C" w:rsidRDefault="00A0232C" w:rsidP="00A0232C">
            <w:pPr>
              <w:jc w:val="center"/>
              <w:rPr>
                <w:rFonts w:ascii="Times New Roman" w:eastAsia="Times New Roman" w:hAnsi="Times New Roman" w:cs="Times New Roman"/>
                <w:sz w:val="20"/>
                <w:szCs w:val="20"/>
                <w:lang w:val="en-GB" w:eastAsia="en-GB"/>
              </w:rPr>
            </w:pPr>
          </w:p>
        </w:tc>
        <w:tc>
          <w:tcPr>
            <w:tcW w:w="1688" w:type="dxa"/>
            <w:tcBorders>
              <w:top w:val="nil"/>
              <w:left w:val="nil"/>
              <w:bottom w:val="nil"/>
              <w:right w:val="nil"/>
            </w:tcBorders>
            <w:shd w:val="clear" w:color="auto" w:fill="auto"/>
            <w:vAlign w:val="center"/>
            <w:hideMark/>
          </w:tcPr>
          <w:p w14:paraId="3F2DAA51" w14:textId="77777777" w:rsidR="00A0232C" w:rsidRPr="00A0232C" w:rsidRDefault="007F44AB" w:rsidP="00A0232C">
            <w:pPr>
              <w:jc w:val="right"/>
              <w:rPr>
                <w:rFonts w:ascii="Verdana" w:eastAsia="Times New Roman" w:hAnsi="Verdana" w:cs="Calibri"/>
                <w:color w:val="000000"/>
                <w:sz w:val="16"/>
                <w:szCs w:val="16"/>
                <w:lang w:val="en-GB" w:eastAsia="en-GB"/>
              </w:rPr>
            </w:pPr>
            <w:r>
              <w:rPr>
                <w:rFonts w:ascii="Verdana" w:eastAsia="Times New Roman" w:hAnsi="Verdana" w:cs="Calibri"/>
                <w:color w:val="000000"/>
                <w:sz w:val="16"/>
                <w:szCs w:val="16"/>
                <w:lang w:val="en-GB" w:eastAsia="en-GB"/>
              </w:rPr>
              <w:t>79,860</w:t>
            </w:r>
          </w:p>
        </w:tc>
      </w:tr>
      <w:tr w:rsidR="00A0232C" w:rsidRPr="00A0232C" w14:paraId="7B143A8D" w14:textId="77777777" w:rsidTr="0073748E">
        <w:trPr>
          <w:gridAfter w:val="1"/>
          <w:wAfter w:w="464" w:type="dxa"/>
          <w:trHeight w:val="294"/>
        </w:trPr>
        <w:tc>
          <w:tcPr>
            <w:tcW w:w="1304" w:type="dxa"/>
            <w:tcBorders>
              <w:top w:val="nil"/>
              <w:left w:val="nil"/>
              <w:bottom w:val="nil"/>
              <w:right w:val="nil"/>
            </w:tcBorders>
            <w:shd w:val="clear" w:color="auto" w:fill="auto"/>
            <w:vAlign w:val="center"/>
            <w:hideMark/>
          </w:tcPr>
          <w:p w14:paraId="50B09E64" w14:textId="77777777" w:rsidR="00A0232C" w:rsidRPr="00A0232C" w:rsidRDefault="00A0232C" w:rsidP="00A0232C">
            <w:pPr>
              <w:jc w:val="center"/>
              <w:rPr>
                <w:rFonts w:ascii="Calibri" w:eastAsia="Times New Roman" w:hAnsi="Calibri" w:cs="Calibri"/>
                <w:color w:val="000000"/>
                <w:sz w:val="2"/>
                <w:szCs w:val="2"/>
                <w:lang w:val="en-GB" w:eastAsia="en-GB"/>
              </w:rPr>
            </w:pPr>
            <w:r w:rsidRPr="00A0232C">
              <w:rPr>
                <w:rFonts w:ascii="Calibri" w:eastAsia="Times New Roman" w:hAnsi="Calibri" w:cs="Calibri"/>
                <w:color w:val="000000"/>
                <w:sz w:val="2"/>
                <w:szCs w:val="2"/>
                <w:lang w:val="en-GB" w:eastAsia="en-GB"/>
              </w:rPr>
              <w:t xml:space="preserve"> </w:t>
            </w:r>
          </w:p>
        </w:tc>
        <w:tc>
          <w:tcPr>
            <w:tcW w:w="1425" w:type="dxa"/>
            <w:tcBorders>
              <w:top w:val="nil"/>
              <w:left w:val="nil"/>
              <w:bottom w:val="nil"/>
              <w:right w:val="nil"/>
            </w:tcBorders>
            <w:shd w:val="clear" w:color="auto" w:fill="auto"/>
            <w:vAlign w:val="center"/>
            <w:hideMark/>
          </w:tcPr>
          <w:p w14:paraId="22B9435D" w14:textId="77777777" w:rsidR="00A0232C" w:rsidRPr="00A0232C" w:rsidRDefault="00A0232C" w:rsidP="00A0232C">
            <w:pPr>
              <w:jc w:val="center"/>
              <w:rPr>
                <w:rFonts w:ascii="Calibri" w:eastAsia="Times New Roman" w:hAnsi="Calibri" w:cs="Calibri"/>
                <w:color w:val="000000"/>
                <w:sz w:val="2"/>
                <w:szCs w:val="2"/>
                <w:lang w:val="en-GB" w:eastAsia="en-GB"/>
              </w:rPr>
            </w:pPr>
            <w:r w:rsidRPr="00A0232C">
              <w:rPr>
                <w:rFonts w:ascii="Calibri" w:eastAsia="Times New Roman" w:hAnsi="Calibri" w:cs="Calibri"/>
                <w:color w:val="000000"/>
                <w:sz w:val="2"/>
                <w:szCs w:val="2"/>
                <w:lang w:val="en-GB" w:eastAsia="en-GB"/>
              </w:rPr>
              <w:t xml:space="preserve"> </w:t>
            </w:r>
          </w:p>
        </w:tc>
        <w:tc>
          <w:tcPr>
            <w:tcW w:w="1281" w:type="dxa"/>
            <w:tcBorders>
              <w:top w:val="single" w:sz="8" w:space="0" w:color="000000"/>
              <w:left w:val="nil"/>
              <w:bottom w:val="single" w:sz="12" w:space="0" w:color="000000"/>
              <w:right w:val="nil"/>
            </w:tcBorders>
            <w:shd w:val="clear" w:color="auto" w:fill="auto"/>
            <w:vAlign w:val="center"/>
            <w:hideMark/>
          </w:tcPr>
          <w:p w14:paraId="385A02E1" w14:textId="77777777" w:rsidR="00A0232C" w:rsidRPr="00A0232C" w:rsidRDefault="00A0232C" w:rsidP="00A0232C">
            <w:pPr>
              <w:jc w:val="right"/>
              <w:rPr>
                <w:rFonts w:ascii="Verdana" w:eastAsia="Times New Roman" w:hAnsi="Verdana" w:cs="Calibri"/>
                <w:b/>
                <w:bCs/>
                <w:color w:val="000000"/>
                <w:sz w:val="16"/>
                <w:szCs w:val="16"/>
                <w:lang w:val="en-GB" w:eastAsia="en-GB"/>
              </w:rPr>
            </w:pPr>
            <w:r w:rsidRPr="00A0232C">
              <w:rPr>
                <w:rFonts w:ascii="Verdana" w:eastAsia="Times New Roman" w:hAnsi="Verdana" w:cs="Calibri"/>
                <w:b/>
                <w:bCs/>
                <w:color w:val="000000"/>
                <w:sz w:val="16"/>
                <w:szCs w:val="16"/>
                <w:lang w:val="en-GB" w:eastAsia="en-GB"/>
              </w:rPr>
              <w:t>(193,261)</w:t>
            </w:r>
          </w:p>
        </w:tc>
        <w:tc>
          <w:tcPr>
            <w:tcW w:w="1139" w:type="dxa"/>
            <w:tcBorders>
              <w:top w:val="single" w:sz="8" w:space="0" w:color="000000"/>
              <w:left w:val="nil"/>
              <w:bottom w:val="single" w:sz="12" w:space="0" w:color="000000"/>
              <w:right w:val="nil"/>
            </w:tcBorders>
            <w:shd w:val="clear" w:color="auto" w:fill="auto"/>
            <w:vAlign w:val="center"/>
            <w:hideMark/>
          </w:tcPr>
          <w:p w14:paraId="702D3F23" w14:textId="77777777" w:rsidR="00A0232C" w:rsidRPr="00A0232C" w:rsidRDefault="00A0232C" w:rsidP="00A0232C">
            <w:pPr>
              <w:jc w:val="center"/>
              <w:rPr>
                <w:rFonts w:ascii="Verdana" w:eastAsia="Times New Roman" w:hAnsi="Verdana" w:cs="Calibri"/>
                <w:b/>
                <w:bCs/>
                <w:color w:val="000000"/>
                <w:sz w:val="16"/>
                <w:szCs w:val="16"/>
                <w:lang w:val="en-GB" w:eastAsia="en-GB"/>
              </w:rPr>
            </w:pPr>
            <w:r w:rsidRPr="00A0232C">
              <w:rPr>
                <w:rFonts w:ascii="Verdana" w:eastAsia="Times New Roman" w:hAnsi="Verdana" w:cs="Calibri"/>
                <w:b/>
                <w:bCs/>
                <w:color w:val="000000"/>
                <w:sz w:val="16"/>
                <w:szCs w:val="16"/>
                <w:lang w:val="en-GB" w:eastAsia="en-GB"/>
              </w:rPr>
              <w:t xml:space="preserve"> </w:t>
            </w:r>
          </w:p>
        </w:tc>
        <w:tc>
          <w:tcPr>
            <w:tcW w:w="4214" w:type="dxa"/>
            <w:tcBorders>
              <w:top w:val="single" w:sz="8" w:space="0" w:color="000000"/>
              <w:left w:val="nil"/>
              <w:bottom w:val="single" w:sz="12" w:space="0" w:color="000000"/>
              <w:right w:val="nil"/>
            </w:tcBorders>
            <w:shd w:val="clear" w:color="auto" w:fill="auto"/>
            <w:vAlign w:val="center"/>
            <w:hideMark/>
          </w:tcPr>
          <w:p w14:paraId="12DC13E9" w14:textId="77777777" w:rsidR="00A0232C" w:rsidRPr="00A0232C" w:rsidRDefault="00A0232C" w:rsidP="00A0232C">
            <w:pPr>
              <w:rPr>
                <w:rFonts w:ascii="Verdana" w:eastAsia="Times New Roman" w:hAnsi="Verdana" w:cs="Calibri"/>
                <w:b/>
                <w:bCs/>
                <w:color w:val="000000"/>
                <w:sz w:val="16"/>
                <w:szCs w:val="16"/>
                <w:lang w:val="en-GB" w:eastAsia="en-GB"/>
              </w:rPr>
            </w:pPr>
            <w:r w:rsidRPr="00A0232C">
              <w:rPr>
                <w:rFonts w:ascii="Verdana" w:eastAsia="Times New Roman" w:hAnsi="Verdana" w:cs="Calibri"/>
                <w:b/>
                <w:bCs/>
                <w:color w:val="000000"/>
                <w:sz w:val="16"/>
                <w:szCs w:val="16"/>
                <w:lang w:val="en-GB" w:eastAsia="en-GB"/>
              </w:rPr>
              <w:t>Other Comprehensive Income and Expenditure</w:t>
            </w:r>
          </w:p>
        </w:tc>
        <w:tc>
          <w:tcPr>
            <w:tcW w:w="1811" w:type="dxa"/>
            <w:tcBorders>
              <w:top w:val="nil"/>
              <w:left w:val="nil"/>
              <w:bottom w:val="nil"/>
              <w:right w:val="nil"/>
            </w:tcBorders>
            <w:shd w:val="clear" w:color="auto" w:fill="auto"/>
            <w:vAlign w:val="center"/>
            <w:hideMark/>
          </w:tcPr>
          <w:p w14:paraId="1FF47E3B" w14:textId="77777777" w:rsidR="00A0232C" w:rsidRPr="00A0232C" w:rsidRDefault="00A0232C" w:rsidP="00A0232C">
            <w:pPr>
              <w:rPr>
                <w:rFonts w:ascii="Verdana" w:eastAsia="Times New Roman" w:hAnsi="Verdana" w:cs="Calibri"/>
                <w:b/>
                <w:bCs/>
                <w:color w:val="000000"/>
                <w:sz w:val="16"/>
                <w:szCs w:val="16"/>
                <w:lang w:val="en-GB" w:eastAsia="en-GB"/>
              </w:rPr>
            </w:pPr>
          </w:p>
        </w:tc>
        <w:tc>
          <w:tcPr>
            <w:tcW w:w="1880" w:type="dxa"/>
            <w:tcBorders>
              <w:top w:val="nil"/>
              <w:left w:val="nil"/>
              <w:bottom w:val="nil"/>
              <w:right w:val="nil"/>
            </w:tcBorders>
            <w:shd w:val="clear" w:color="auto" w:fill="auto"/>
            <w:vAlign w:val="center"/>
            <w:hideMark/>
          </w:tcPr>
          <w:p w14:paraId="019B53D6" w14:textId="77777777" w:rsidR="00A0232C" w:rsidRPr="00A0232C" w:rsidRDefault="00A0232C" w:rsidP="00A0232C">
            <w:pPr>
              <w:jc w:val="center"/>
              <w:rPr>
                <w:rFonts w:ascii="Times New Roman" w:eastAsia="Times New Roman" w:hAnsi="Times New Roman" w:cs="Times New Roman"/>
                <w:sz w:val="20"/>
                <w:szCs w:val="20"/>
                <w:lang w:val="en-GB" w:eastAsia="en-GB"/>
              </w:rPr>
            </w:pPr>
          </w:p>
        </w:tc>
        <w:tc>
          <w:tcPr>
            <w:tcW w:w="1688" w:type="dxa"/>
            <w:tcBorders>
              <w:top w:val="single" w:sz="8" w:space="0" w:color="000000"/>
              <w:left w:val="nil"/>
              <w:bottom w:val="single" w:sz="12" w:space="0" w:color="000000"/>
              <w:right w:val="nil"/>
            </w:tcBorders>
            <w:shd w:val="clear" w:color="auto" w:fill="auto"/>
            <w:vAlign w:val="center"/>
            <w:hideMark/>
          </w:tcPr>
          <w:p w14:paraId="3EEBE746" w14:textId="77777777" w:rsidR="00A0232C" w:rsidRPr="00A0232C" w:rsidRDefault="007F44AB" w:rsidP="00A0232C">
            <w:pPr>
              <w:jc w:val="right"/>
              <w:rPr>
                <w:rFonts w:ascii="Verdana" w:eastAsia="Times New Roman" w:hAnsi="Verdana" w:cs="Calibri"/>
                <w:b/>
                <w:bCs/>
                <w:color w:val="000000"/>
                <w:sz w:val="16"/>
                <w:szCs w:val="16"/>
                <w:lang w:val="en-GB" w:eastAsia="en-GB"/>
              </w:rPr>
            </w:pPr>
            <w:r>
              <w:rPr>
                <w:rFonts w:ascii="Verdana" w:eastAsia="Times New Roman" w:hAnsi="Verdana" w:cs="Calibri"/>
                <w:b/>
                <w:bCs/>
                <w:color w:val="000000"/>
                <w:sz w:val="16"/>
                <w:szCs w:val="16"/>
                <w:lang w:val="en-GB" w:eastAsia="en-GB"/>
              </w:rPr>
              <w:t>79,860</w:t>
            </w:r>
          </w:p>
        </w:tc>
      </w:tr>
      <w:tr w:rsidR="00A0232C" w:rsidRPr="00A0232C" w14:paraId="3809410A" w14:textId="77777777" w:rsidTr="0073748E">
        <w:trPr>
          <w:gridBefore w:val="1"/>
          <w:gridAfter w:val="1"/>
          <w:wBefore w:w="1304" w:type="dxa"/>
          <w:wAfter w:w="464" w:type="dxa"/>
          <w:trHeight w:val="40"/>
        </w:trPr>
        <w:tc>
          <w:tcPr>
            <w:tcW w:w="1425" w:type="dxa"/>
            <w:tcBorders>
              <w:top w:val="nil"/>
              <w:left w:val="nil"/>
              <w:bottom w:val="nil"/>
              <w:right w:val="nil"/>
            </w:tcBorders>
            <w:shd w:val="clear" w:color="auto" w:fill="auto"/>
            <w:noWrap/>
            <w:vAlign w:val="bottom"/>
            <w:hideMark/>
          </w:tcPr>
          <w:p w14:paraId="52171B86" w14:textId="77777777" w:rsidR="00A0232C" w:rsidRPr="00A0232C" w:rsidRDefault="00A0232C" w:rsidP="00A0232C">
            <w:pPr>
              <w:rPr>
                <w:rFonts w:ascii="Times New Roman" w:eastAsia="Times New Roman" w:hAnsi="Times New Roman" w:cs="Times New Roman"/>
                <w:sz w:val="20"/>
                <w:szCs w:val="20"/>
                <w:lang w:val="en-GB" w:eastAsia="en-GB"/>
              </w:rPr>
            </w:pPr>
          </w:p>
        </w:tc>
        <w:tc>
          <w:tcPr>
            <w:tcW w:w="1281" w:type="dxa"/>
            <w:tcBorders>
              <w:top w:val="nil"/>
              <w:left w:val="nil"/>
              <w:bottom w:val="nil"/>
              <w:right w:val="nil"/>
            </w:tcBorders>
            <w:shd w:val="clear" w:color="auto" w:fill="auto"/>
            <w:noWrap/>
            <w:vAlign w:val="bottom"/>
            <w:hideMark/>
          </w:tcPr>
          <w:p w14:paraId="5B87B786" w14:textId="77777777" w:rsidR="00A0232C" w:rsidRPr="00A0232C" w:rsidRDefault="00A0232C" w:rsidP="00A0232C">
            <w:pPr>
              <w:rPr>
                <w:rFonts w:ascii="Times New Roman" w:eastAsia="Times New Roman" w:hAnsi="Times New Roman" w:cs="Times New Roman"/>
                <w:sz w:val="20"/>
                <w:szCs w:val="20"/>
                <w:lang w:val="en-GB" w:eastAsia="en-GB"/>
              </w:rPr>
            </w:pPr>
          </w:p>
        </w:tc>
        <w:tc>
          <w:tcPr>
            <w:tcW w:w="1139" w:type="dxa"/>
            <w:tcBorders>
              <w:top w:val="nil"/>
              <w:left w:val="nil"/>
              <w:bottom w:val="nil"/>
              <w:right w:val="nil"/>
            </w:tcBorders>
            <w:shd w:val="clear" w:color="auto" w:fill="auto"/>
            <w:noWrap/>
            <w:vAlign w:val="bottom"/>
            <w:hideMark/>
          </w:tcPr>
          <w:p w14:paraId="00987357" w14:textId="77777777" w:rsidR="00A0232C" w:rsidRPr="00A0232C" w:rsidRDefault="00A0232C" w:rsidP="00A0232C">
            <w:pPr>
              <w:rPr>
                <w:rFonts w:ascii="Times New Roman" w:eastAsia="Times New Roman" w:hAnsi="Times New Roman" w:cs="Times New Roman"/>
                <w:sz w:val="20"/>
                <w:szCs w:val="20"/>
                <w:lang w:val="en-GB" w:eastAsia="en-GB"/>
              </w:rPr>
            </w:pPr>
          </w:p>
        </w:tc>
        <w:tc>
          <w:tcPr>
            <w:tcW w:w="4214" w:type="dxa"/>
            <w:tcBorders>
              <w:top w:val="nil"/>
              <w:left w:val="nil"/>
              <w:bottom w:val="nil"/>
              <w:right w:val="nil"/>
            </w:tcBorders>
            <w:shd w:val="clear" w:color="auto" w:fill="auto"/>
            <w:noWrap/>
            <w:vAlign w:val="bottom"/>
            <w:hideMark/>
          </w:tcPr>
          <w:p w14:paraId="738D740B" w14:textId="77777777" w:rsidR="00A0232C" w:rsidRPr="0073748E" w:rsidRDefault="00A0232C" w:rsidP="00A0232C">
            <w:pPr>
              <w:rPr>
                <w:rFonts w:ascii="Times New Roman" w:eastAsia="Times New Roman" w:hAnsi="Times New Roman" w:cs="Times New Roman"/>
                <w:sz w:val="2"/>
                <w:szCs w:val="2"/>
                <w:lang w:val="en-GB" w:eastAsia="en-GB"/>
              </w:rPr>
            </w:pPr>
          </w:p>
        </w:tc>
        <w:tc>
          <w:tcPr>
            <w:tcW w:w="1811" w:type="dxa"/>
            <w:tcBorders>
              <w:top w:val="nil"/>
              <w:left w:val="nil"/>
              <w:bottom w:val="nil"/>
              <w:right w:val="nil"/>
            </w:tcBorders>
            <w:shd w:val="clear" w:color="auto" w:fill="auto"/>
            <w:noWrap/>
            <w:vAlign w:val="bottom"/>
            <w:hideMark/>
          </w:tcPr>
          <w:p w14:paraId="14A9C6FB" w14:textId="77777777" w:rsidR="00A0232C" w:rsidRPr="00A0232C" w:rsidRDefault="00A0232C" w:rsidP="00A0232C">
            <w:pPr>
              <w:rPr>
                <w:rFonts w:ascii="Times New Roman" w:eastAsia="Times New Roman" w:hAnsi="Times New Roman" w:cs="Times New Roman"/>
                <w:sz w:val="20"/>
                <w:szCs w:val="20"/>
                <w:lang w:val="en-GB" w:eastAsia="en-GB"/>
              </w:rPr>
            </w:pPr>
          </w:p>
        </w:tc>
        <w:tc>
          <w:tcPr>
            <w:tcW w:w="1880" w:type="dxa"/>
            <w:tcBorders>
              <w:top w:val="nil"/>
              <w:left w:val="nil"/>
              <w:bottom w:val="nil"/>
              <w:right w:val="nil"/>
            </w:tcBorders>
            <w:shd w:val="clear" w:color="auto" w:fill="auto"/>
            <w:noWrap/>
            <w:vAlign w:val="bottom"/>
            <w:hideMark/>
          </w:tcPr>
          <w:p w14:paraId="5043494C" w14:textId="77777777" w:rsidR="00A0232C" w:rsidRPr="00A0232C" w:rsidRDefault="00A0232C" w:rsidP="00A0232C">
            <w:pPr>
              <w:rPr>
                <w:rFonts w:ascii="Times New Roman" w:eastAsia="Times New Roman" w:hAnsi="Times New Roman" w:cs="Times New Roman"/>
                <w:sz w:val="20"/>
                <w:szCs w:val="20"/>
                <w:lang w:val="en-GB" w:eastAsia="en-GB"/>
              </w:rPr>
            </w:pPr>
          </w:p>
        </w:tc>
        <w:tc>
          <w:tcPr>
            <w:tcW w:w="1688" w:type="dxa"/>
            <w:tcBorders>
              <w:top w:val="nil"/>
              <w:left w:val="nil"/>
              <w:bottom w:val="nil"/>
              <w:right w:val="nil"/>
            </w:tcBorders>
            <w:shd w:val="clear" w:color="auto" w:fill="auto"/>
            <w:noWrap/>
            <w:vAlign w:val="bottom"/>
            <w:hideMark/>
          </w:tcPr>
          <w:p w14:paraId="405FD8B4" w14:textId="77777777" w:rsidR="00A0232C" w:rsidRPr="00A0232C" w:rsidRDefault="00A0232C" w:rsidP="00A0232C">
            <w:pPr>
              <w:rPr>
                <w:rFonts w:ascii="Times New Roman" w:eastAsia="Times New Roman" w:hAnsi="Times New Roman" w:cs="Times New Roman"/>
                <w:sz w:val="20"/>
                <w:szCs w:val="20"/>
                <w:lang w:val="en-GB" w:eastAsia="en-GB"/>
              </w:rPr>
            </w:pPr>
          </w:p>
        </w:tc>
      </w:tr>
      <w:tr w:rsidR="00A0232C" w:rsidRPr="00A0232C" w14:paraId="4D5777D4" w14:textId="77777777" w:rsidTr="0073748E">
        <w:trPr>
          <w:gridAfter w:val="1"/>
          <w:wAfter w:w="464" w:type="dxa"/>
          <w:trHeight w:val="294"/>
        </w:trPr>
        <w:tc>
          <w:tcPr>
            <w:tcW w:w="1304" w:type="dxa"/>
            <w:tcBorders>
              <w:top w:val="nil"/>
              <w:left w:val="nil"/>
              <w:bottom w:val="nil"/>
              <w:right w:val="nil"/>
            </w:tcBorders>
            <w:shd w:val="clear" w:color="auto" w:fill="auto"/>
            <w:vAlign w:val="center"/>
            <w:hideMark/>
          </w:tcPr>
          <w:p w14:paraId="5610F9B1" w14:textId="77777777" w:rsidR="00A0232C" w:rsidRPr="00A0232C" w:rsidRDefault="00A0232C" w:rsidP="00A0232C">
            <w:pPr>
              <w:jc w:val="center"/>
              <w:rPr>
                <w:rFonts w:ascii="Calibri" w:eastAsia="Times New Roman" w:hAnsi="Calibri" w:cs="Calibri"/>
                <w:color w:val="000000"/>
                <w:sz w:val="2"/>
                <w:szCs w:val="2"/>
                <w:lang w:val="en-GB" w:eastAsia="en-GB"/>
              </w:rPr>
            </w:pPr>
            <w:r w:rsidRPr="00A0232C">
              <w:rPr>
                <w:rFonts w:ascii="Calibri" w:eastAsia="Times New Roman" w:hAnsi="Calibri" w:cs="Calibri"/>
                <w:color w:val="000000"/>
                <w:sz w:val="2"/>
                <w:szCs w:val="2"/>
                <w:lang w:val="en-GB" w:eastAsia="en-GB"/>
              </w:rPr>
              <w:t xml:space="preserve"> </w:t>
            </w:r>
          </w:p>
        </w:tc>
        <w:tc>
          <w:tcPr>
            <w:tcW w:w="1425" w:type="dxa"/>
            <w:tcBorders>
              <w:top w:val="nil"/>
              <w:left w:val="nil"/>
              <w:bottom w:val="nil"/>
              <w:right w:val="nil"/>
            </w:tcBorders>
            <w:shd w:val="clear" w:color="auto" w:fill="auto"/>
            <w:vAlign w:val="center"/>
            <w:hideMark/>
          </w:tcPr>
          <w:p w14:paraId="6447EC11" w14:textId="77777777" w:rsidR="00A0232C" w:rsidRPr="00A0232C" w:rsidRDefault="00A0232C" w:rsidP="00A0232C">
            <w:pPr>
              <w:jc w:val="center"/>
              <w:rPr>
                <w:rFonts w:ascii="Calibri" w:eastAsia="Times New Roman" w:hAnsi="Calibri" w:cs="Calibri"/>
                <w:color w:val="000000"/>
                <w:sz w:val="2"/>
                <w:szCs w:val="2"/>
                <w:lang w:val="en-GB" w:eastAsia="en-GB"/>
              </w:rPr>
            </w:pPr>
            <w:r w:rsidRPr="00A0232C">
              <w:rPr>
                <w:rFonts w:ascii="Calibri" w:eastAsia="Times New Roman" w:hAnsi="Calibri" w:cs="Calibri"/>
                <w:color w:val="000000"/>
                <w:sz w:val="2"/>
                <w:szCs w:val="2"/>
                <w:lang w:val="en-GB" w:eastAsia="en-GB"/>
              </w:rPr>
              <w:t xml:space="preserve"> </w:t>
            </w:r>
          </w:p>
        </w:tc>
        <w:tc>
          <w:tcPr>
            <w:tcW w:w="1281" w:type="dxa"/>
            <w:tcBorders>
              <w:top w:val="single" w:sz="8" w:space="0" w:color="000000"/>
              <w:left w:val="nil"/>
              <w:bottom w:val="single" w:sz="12" w:space="0" w:color="000000"/>
              <w:right w:val="nil"/>
            </w:tcBorders>
            <w:shd w:val="clear" w:color="auto" w:fill="auto"/>
            <w:vAlign w:val="center"/>
            <w:hideMark/>
          </w:tcPr>
          <w:p w14:paraId="3638302D" w14:textId="77777777" w:rsidR="00A0232C" w:rsidRPr="00A0232C" w:rsidRDefault="00A0232C" w:rsidP="00A0232C">
            <w:pPr>
              <w:jc w:val="right"/>
              <w:rPr>
                <w:rFonts w:ascii="Verdana" w:eastAsia="Times New Roman" w:hAnsi="Verdana" w:cs="Calibri"/>
                <w:b/>
                <w:bCs/>
                <w:color w:val="000000"/>
                <w:sz w:val="16"/>
                <w:szCs w:val="16"/>
                <w:lang w:val="en-GB" w:eastAsia="en-GB"/>
              </w:rPr>
            </w:pPr>
            <w:r w:rsidRPr="00A0232C">
              <w:rPr>
                <w:rFonts w:ascii="Verdana" w:eastAsia="Times New Roman" w:hAnsi="Verdana" w:cs="Calibri"/>
                <w:b/>
                <w:bCs/>
                <w:color w:val="000000"/>
                <w:sz w:val="16"/>
                <w:szCs w:val="16"/>
                <w:lang w:val="en-GB" w:eastAsia="en-GB"/>
              </w:rPr>
              <w:t>(130,230)</w:t>
            </w:r>
          </w:p>
        </w:tc>
        <w:tc>
          <w:tcPr>
            <w:tcW w:w="1139" w:type="dxa"/>
            <w:tcBorders>
              <w:top w:val="single" w:sz="8" w:space="0" w:color="000000"/>
              <w:left w:val="nil"/>
              <w:bottom w:val="single" w:sz="12" w:space="0" w:color="000000"/>
              <w:right w:val="nil"/>
            </w:tcBorders>
            <w:shd w:val="clear" w:color="auto" w:fill="auto"/>
            <w:vAlign w:val="center"/>
            <w:hideMark/>
          </w:tcPr>
          <w:p w14:paraId="249D0CAF" w14:textId="77777777" w:rsidR="00A0232C" w:rsidRPr="00A0232C" w:rsidRDefault="00A0232C" w:rsidP="00A0232C">
            <w:pPr>
              <w:jc w:val="center"/>
              <w:rPr>
                <w:rFonts w:ascii="Verdana" w:eastAsia="Times New Roman" w:hAnsi="Verdana" w:cs="Calibri"/>
                <w:b/>
                <w:bCs/>
                <w:color w:val="000000"/>
                <w:sz w:val="16"/>
                <w:szCs w:val="16"/>
                <w:lang w:val="en-GB" w:eastAsia="en-GB"/>
              </w:rPr>
            </w:pPr>
            <w:r w:rsidRPr="00A0232C">
              <w:rPr>
                <w:rFonts w:ascii="Verdana" w:eastAsia="Times New Roman" w:hAnsi="Verdana" w:cs="Calibri"/>
                <w:b/>
                <w:bCs/>
                <w:color w:val="000000"/>
                <w:sz w:val="16"/>
                <w:szCs w:val="16"/>
                <w:lang w:val="en-GB" w:eastAsia="en-GB"/>
              </w:rPr>
              <w:t xml:space="preserve"> </w:t>
            </w:r>
          </w:p>
        </w:tc>
        <w:tc>
          <w:tcPr>
            <w:tcW w:w="4214" w:type="dxa"/>
            <w:tcBorders>
              <w:top w:val="single" w:sz="8" w:space="0" w:color="000000"/>
              <w:left w:val="nil"/>
              <w:bottom w:val="single" w:sz="12" w:space="0" w:color="000000"/>
              <w:right w:val="nil"/>
            </w:tcBorders>
            <w:shd w:val="clear" w:color="auto" w:fill="auto"/>
            <w:vAlign w:val="center"/>
            <w:hideMark/>
          </w:tcPr>
          <w:p w14:paraId="37FC635A" w14:textId="77777777" w:rsidR="00A0232C" w:rsidRPr="00A0232C" w:rsidRDefault="00A0232C" w:rsidP="00A0232C">
            <w:pPr>
              <w:rPr>
                <w:rFonts w:ascii="Verdana" w:eastAsia="Times New Roman" w:hAnsi="Verdana" w:cs="Calibri"/>
                <w:b/>
                <w:bCs/>
                <w:color w:val="000000"/>
                <w:sz w:val="16"/>
                <w:szCs w:val="16"/>
                <w:lang w:val="en-GB" w:eastAsia="en-GB"/>
              </w:rPr>
            </w:pPr>
            <w:r w:rsidRPr="00A0232C">
              <w:rPr>
                <w:rFonts w:ascii="Verdana" w:eastAsia="Times New Roman" w:hAnsi="Verdana" w:cs="Calibri"/>
                <w:b/>
                <w:bCs/>
                <w:color w:val="000000"/>
                <w:sz w:val="16"/>
                <w:szCs w:val="16"/>
                <w:lang w:val="en-GB" w:eastAsia="en-GB"/>
              </w:rPr>
              <w:t>Total Comprehensive Income and Expenditure</w:t>
            </w:r>
          </w:p>
        </w:tc>
        <w:tc>
          <w:tcPr>
            <w:tcW w:w="1811" w:type="dxa"/>
            <w:tcBorders>
              <w:top w:val="nil"/>
              <w:left w:val="nil"/>
              <w:bottom w:val="nil"/>
              <w:right w:val="nil"/>
            </w:tcBorders>
            <w:shd w:val="clear" w:color="auto" w:fill="auto"/>
            <w:vAlign w:val="center"/>
            <w:hideMark/>
          </w:tcPr>
          <w:p w14:paraId="687C3C00" w14:textId="77777777" w:rsidR="00A0232C" w:rsidRPr="00A0232C" w:rsidRDefault="00A0232C" w:rsidP="00A0232C">
            <w:pPr>
              <w:rPr>
                <w:rFonts w:ascii="Verdana" w:eastAsia="Times New Roman" w:hAnsi="Verdana" w:cs="Calibri"/>
                <w:b/>
                <w:bCs/>
                <w:color w:val="000000"/>
                <w:sz w:val="16"/>
                <w:szCs w:val="16"/>
                <w:lang w:val="en-GB" w:eastAsia="en-GB"/>
              </w:rPr>
            </w:pPr>
          </w:p>
        </w:tc>
        <w:tc>
          <w:tcPr>
            <w:tcW w:w="1880" w:type="dxa"/>
            <w:tcBorders>
              <w:top w:val="nil"/>
              <w:left w:val="nil"/>
              <w:bottom w:val="nil"/>
              <w:right w:val="nil"/>
            </w:tcBorders>
            <w:shd w:val="clear" w:color="auto" w:fill="auto"/>
            <w:vAlign w:val="center"/>
            <w:hideMark/>
          </w:tcPr>
          <w:p w14:paraId="0116B0B5" w14:textId="77777777" w:rsidR="00A0232C" w:rsidRPr="00A0232C" w:rsidRDefault="00A0232C" w:rsidP="00A0232C">
            <w:pPr>
              <w:jc w:val="center"/>
              <w:rPr>
                <w:rFonts w:ascii="Times New Roman" w:eastAsia="Times New Roman" w:hAnsi="Times New Roman" w:cs="Times New Roman"/>
                <w:sz w:val="20"/>
                <w:szCs w:val="20"/>
                <w:lang w:val="en-GB" w:eastAsia="en-GB"/>
              </w:rPr>
            </w:pPr>
          </w:p>
        </w:tc>
        <w:tc>
          <w:tcPr>
            <w:tcW w:w="1688" w:type="dxa"/>
            <w:tcBorders>
              <w:top w:val="single" w:sz="8" w:space="0" w:color="000000"/>
              <w:left w:val="nil"/>
              <w:bottom w:val="single" w:sz="12" w:space="0" w:color="000000"/>
              <w:right w:val="nil"/>
            </w:tcBorders>
            <w:shd w:val="clear" w:color="auto" w:fill="auto"/>
            <w:vAlign w:val="center"/>
            <w:hideMark/>
          </w:tcPr>
          <w:p w14:paraId="5E85C806" w14:textId="77777777" w:rsidR="00A0232C" w:rsidRPr="00A0232C" w:rsidRDefault="007F44AB" w:rsidP="00A0232C">
            <w:pPr>
              <w:jc w:val="right"/>
              <w:rPr>
                <w:rFonts w:ascii="Verdana" w:eastAsia="Times New Roman" w:hAnsi="Verdana" w:cs="Calibri"/>
                <w:b/>
                <w:bCs/>
                <w:color w:val="000000"/>
                <w:sz w:val="16"/>
                <w:szCs w:val="16"/>
                <w:lang w:val="en-GB" w:eastAsia="en-GB"/>
              </w:rPr>
            </w:pPr>
            <w:r>
              <w:rPr>
                <w:rFonts w:ascii="Verdana" w:eastAsia="Times New Roman" w:hAnsi="Verdana" w:cs="Calibri"/>
                <w:b/>
                <w:bCs/>
                <w:color w:val="000000"/>
                <w:sz w:val="16"/>
                <w:szCs w:val="16"/>
                <w:lang w:val="en-GB" w:eastAsia="en-GB"/>
              </w:rPr>
              <w:t>148,388</w:t>
            </w:r>
          </w:p>
        </w:tc>
      </w:tr>
    </w:tbl>
    <w:p w14:paraId="7332A329" w14:textId="77777777" w:rsidR="00FB713E" w:rsidRDefault="00FB713E" w:rsidP="00080023">
      <w:pPr>
        <w:pStyle w:val="Normal0"/>
        <w:spacing w:after="160"/>
        <w:jc w:val="both"/>
        <w:rPr>
          <w:rFonts w:ascii="Verdana" w:eastAsia="Verdana" w:hAnsi="Verdana" w:cs="Verdana"/>
          <w:sz w:val="22"/>
          <w:szCs w:val="22"/>
          <w:highlight w:val="yellow"/>
          <w:lang w:val="en-GB"/>
        </w:rPr>
      </w:pPr>
    </w:p>
    <w:p w14:paraId="3A408FC1" w14:textId="1783D06E" w:rsidR="00F227D9" w:rsidRPr="00A30DA8" w:rsidRDefault="005B22FA" w:rsidP="00F227D9">
      <w:pPr>
        <w:pStyle w:val="Normal0"/>
        <w:spacing w:after="160"/>
        <w:rPr>
          <w:rFonts w:ascii="Verdana" w:hAnsi="Verdana"/>
          <w:sz w:val="22"/>
          <w:szCs w:val="22"/>
          <w:lang w:val="en-GB"/>
        </w:rPr>
        <w:sectPr w:rsidR="00F227D9" w:rsidRPr="00A30DA8" w:rsidSect="00B54A0C">
          <w:type w:val="nextColumn"/>
          <w:pgSz w:w="16840" w:h="11900" w:orient="landscape"/>
          <w:pgMar w:top="709" w:right="720" w:bottom="567" w:left="720" w:header="708" w:footer="708" w:gutter="0"/>
          <w:cols w:space="708"/>
          <w:docGrid w:linePitch="360"/>
        </w:sectPr>
      </w:pPr>
      <w:r>
        <w:rPr>
          <w:rFonts w:ascii="Verdana" w:eastAsia="Verdana" w:hAnsi="Verdana" w:cs="Verdana"/>
          <w:lang w:val="en-GB"/>
        </w:rPr>
        <w:t>*</w:t>
      </w:r>
      <w:r w:rsidR="00444662" w:rsidRPr="0073748E">
        <w:rPr>
          <w:rFonts w:ascii="Verdana" w:hAnsi="Verdana"/>
          <w:lang w:val="en-GB"/>
        </w:rPr>
        <w:t xml:space="preserve">Depreciation/Amortisation figure in </w:t>
      </w:r>
      <w:r w:rsidR="00097018" w:rsidRPr="0073748E">
        <w:rPr>
          <w:rFonts w:ascii="Verdana" w:hAnsi="Verdana"/>
          <w:lang w:val="en-GB"/>
        </w:rPr>
        <w:t>20</w:t>
      </w:r>
      <w:r w:rsidR="00663E1C" w:rsidRPr="0073748E">
        <w:rPr>
          <w:rFonts w:ascii="Verdana" w:hAnsi="Verdana"/>
          <w:lang w:val="en-GB"/>
        </w:rPr>
        <w:t>20</w:t>
      </w:r>
      <w:r w:rsidR="00444662" w:rsidRPr="0073748E">
        <w:rPr>
          <w:rFonts w:ascii="Verdana" w:hAnsi="Verdana"/>
          <w:lang w:val="en-GB"/>
        </w:rPr>
        <w:t>/2</w:t>
      </w:r>
      <w:r w:rsidR="00663E1C" w:rsidRPr="0073748E">
        <w:rPr>
          <w:rFonts w:ascii="Verdana" w:hAnsi="Verdana"/>
          <w:lang w:val="en-GB"/>
        </w:rPr>
        <w:t>1</w:t>
      </w:r>
      <w:r w:rsidR="00444662" w:rsidRPr="0073748E">
        <w:rPr>
          <w:rFonts w:ascii="Verdana" w:hAnsi="Verdana"/>
          <w:lang w:val="en-GB"/>
        </w:rPr>
        <w:t xml:space="preserve"> includes a figure of £</w:t>
      </w:r>
      <w:r w:rsidR="00A30DA8" w:rsidRPr="0073748E">
        <w:rPr>
          <w:rFonts w:ascii="Verdana" w:hAnsi="Verdana"/>
          <w:lang w:val="en-GB"/>
        </w:rPr>
        <w:t>2.049</w:t>
      </w:r>
      <w:r w:rsidR="00444662" w:rsidRPr="0073748E">
        <w:rPr>
          <w:rFonts w:ascii="Verdana" w:hAnsi="Verdana"/>
          <w:lang w:val="en-GB"/>
        </w:rPr>
        <w:t>m for downward PPE Revalua</w:t>
      </w:r>
      <w:r w:rsidR="00B9211A" w:rsidRPr="0073748E">
        <w:rPr>
          <w:rFonts w:ascii="Verdana" w:hAnsi="Verdana"/>
          <w:lang w:val="en-GB"/>
        </w:rPr>
        <w:t>t</w:t>
      </w:r>
      <w:r w:rsidR="00444662" w:rsidRPr="0073748E">
        <w:rPr>
          <w:rFonts w:ascii="Verdana" w:hAnsi="Verdana"/>
          <w:lang w:val="en-GB"/>
        </w:rPr>
        <w:t>ions</w:t>
      </w:r>
      <w:r w:rsidR="00444662" w:rsidRPr="00A30DA8">
        <w:rPr>
          <w:rFonts w:ascii="Verdana" w:hAnsi="Verdana"/>
          <w:sz w:val="22"/>
          <w:szCs w:val="22"/>
          <w:lang w:val="en-GB"/>
        </w:rPr>
        <w:t xml:space="preserve"> </w:t>
      </w:r>
    </w:p>
    <w:p w14:paraId="59D7AFA9" w14:textId="77777777" w:rsidR="00F227D9" w:rsidRPr="008932D4" w:rsidRDefault="00F227D9" w:rsidP="00F227D9">
      <w:pPr>
        <w:pStyle w:val="Heading1"/>
        <w:spacing w:after="240"/>
        <w:rPr>
          <w:lang w:val="pt-BR"/>
        </w:rPr>
      </w:pPr>
      <w:bookmarkStart w:id="7" w:name="_Toc77095558"/>
      <w:r w:rsidRPr="008932D4">
        <w:rPr>
          <w:lang w:val="pt-BR"/>
        </w:rPr>
        <w:t>Balance Sheet</w:t>
      </w:r>
      <w:bookmarkEnd w:id="7"/>
      <w:r w:rsidRPr="008932D4">
        <w:rPr>
          <w:lang w:val="pt-BR"/>
        </w:rPr>
        <w:t xml:space="preserve"> </w:t>
      </w:r>
    </w:p>
    <w:p w14:paraId="427ACA59" w14:textId="77777777" w:rsidR="00F227D9" w:rsidRPr="008932D4" w:rsidRDefault="00F227D9" w:rsidP="00664CC3">
      <w:pPr>
        <w:pStyle w:val="Normal0"/>
        <w:spacing w:after="160"/>
        <w:jc w:val="both"/>
        <w:rPr>
          <w:rFonts w:ascii="Verdana" w:eastAsia="Verdana" w:hAnsi="Verdana" w:cs="Verdana"/>
          <w:sz w:val="22"/>
          <w:szCs w:val="22"/>
          <w:lang w:val="en-GB"/>
        </w:rPr>
      </w:pPr>
      <w:r w:rsidRPr="008932D4">
        <w:rPr>
          <w:rFonts w:ascii="Verdana" w:eastAsia="Verdana" w:hAnsi="Verdana" w:cs="Verdana"/>
          <w:sz w:val="22"/>
          <w:szCs w:val="22"/>
          <w:lang w:val="en-GB"/>
        </w:rPr>
        <w:t>The Balance Sheet shows the value as at the Balance Sheet date of the assets and liabilities recognised by the Chief Constable. The net assets (assets less liabilities) are matched by the reserves. Reserves are reported in two categories. The first category of reserves are usable reserves, i.e. those reserves that may be used to provide services, subject to the need to maintain a prudent level of reserves and any statutory limitations on their use. The second category of reserves is those that the authority is not able to use to provide services. These are referred to as unusable or non-cash backed reserves. This includes reserves for pensions and accumulated absences that recognise the impact of the accounting treatment shown in the Movement in Reserves Statement line ‘Adjustments between accounting basis and funding basis under regulations’.</w:t>
      </w:r>
    </w:p>
    <w:p w14:paraId="7BB19E02" w14:textId="77777777" w:rsidR="00FF156A" w:rsidRDefault="00FF156A" w:rsidP="00664CC3">
      <w:pPr>
        <w:pStyle w:val="Normal0"/>
        <w:spacing w:after="160"/>
        <w:jc w:val="both"/>
        <w:rPr>
          <w:rFonts w:ascii="Verdana" w:eastAsia="Verdana" w:hAnsi="Verdana" w:cs="Verdana"/>
          <w:sz w:val="22"/>
          <w:szCs w:val="22"/>
          <w:highlight w:val="yellow"/>
          <w:lang w:val="en-GB"/>
        </w:rPr>
        <w:sectPr w:rsidR="00FF156A" w:rsidSect="00B54A0C">
          <w:type w:val="nextColumn"/>
          <w:pgSz w:w="16840" w:h="11900" w:orient="landscape"/>
          <w:pgMar w:top="709" w:right="720" w:bottom="567" w:left="720" w:header="708" w:footer="708" w:gutter="0"/>
          <w:cols w:space="708"/>
          <w:docGrid w:linePitch="360"/>
        </w:sectPr>
      </w:pPr>
    </w:p>
    <w:p w14:paraId="68079F38" w14:textId="77777777" w:rsidR="00FF156A" w:rsidRDefault="00FF156A" w:rsidP="00664CC3">
      <w:pPr>
        <w:pStyle w:val="Normal0"/>
        <w:spacing w:after="160"/>
        <w:jc w:val="both"/>
        <w:rPr>
          <w:rFonts w:ascii="Verdana" w:eastAsia="Verdana" w:hAnsi="Verdana" w:cs="Verdana"/>
          <w:sz w:val="22"/>
          <w:szCs w:val="22"/>
          <w:highlight w:val="yellow"/>
          <w:lang w:val="en-GB"/>
        </w:rPr>
      </w:pPr>
    </w:p>
    <w:tbl>
      <w:tblPr>
        <w:tblW w:w="6249" w:type="dxa"/>
        <w:tblInd w:w="-284" w:type="dxa"/>
        <w:tblLayout w:type="fixed"/>
        <w:tblLook w:val="04A0" w:firstRow="1" w:lastRow="0" w:firstColumn="1" w:lastColumn="0" w:noHBand="0" w:noVBand="1"/>
      </w:tblPr>
      <w:tblGrid>
        <w:gridCol w:w="1563"/>
        <w:gridCol w:w="250"/>
        <w:gridCol w:w="2206"/>
        <w:gridCol w:w="667"/>
        <w:gridCol w:w="1563"/>
      </w:tblGrid>
      <w:tr w:rsidR="00FF156A" w:rsidRPr="00D00EAB" w14:paraId="414978F1" w14:textId="77777777" w:rsidTr="00097018">
        <w:trPr>
          <w:trHeight w:val="328"/>
        </w:trPr>
        <w:tc>
          <w:tcPr>
            <w:tcW w:w="1563" w:type="dxa"/>
            <w:shd w:val="clear" w:color="auto" w:fill="auto"/>
            <w:tcMar>
              <w:top w:w="20" w:type="dxa"/>
              <w:left w:w="20" w:type="dxa"/>
              <w:bottom w:w="20" w:type="dxa"/>
              <w:right w:w="20" w:type="dxa"/>
            </w:tcMar>
            <w:vAlign w:val="bottom"/>
          </w:tcPr>
          <w:p w14:paraId="07742826" w14:textId="77777777" w:rsidR="00FF156A" w:rsidRPr="00D00EAB" w:rsidRDefault="007573D7" w:rsidP="00097018">
            <w:pPr>
              <w:pStyle w:val="T1TableStyle"/>
              <w:jc w:val="center"/>
              <w:rPr>
                <w:rFonts w:ascii="Verdana" w:eastAsia="Verdana" w:hAnsi="Verdana" w:cs="Verdana"/>
                <w:b/>
                <w:color w:val="000000"/>
                <w:sz w:val="16"/>
                <w:lang w:val="en-GB"/>
              </w:rPr>
            </w:pPr>
            <w:r w:rsidRPr="00D00EAB">
              <w:rPr>
                <w:rFonts w:ascii="Verdana" w:eastAsia="Verdana" w:hAnsi="Verdana" w:cs="Verdana"/>
                <w:b/>
                <w:color w:val="000000"/>
                <w:sz w:val="16"/>
                <w:lang w:val="en-GB"/>
              </w:rPr>
              <w:t>31 March 2020</w:t>
            </w:r>
          </w:p>
        </w:tc>
        <w:tc>
          <w:tcPr>
            <w:tcW w:w="250" w:type="dxa"/>
            <w:shd w:val="clear" w:color="auto" w:fill="auto"/>
            <w:tcMar>
              <w:top w:w="20" w:type="dxa"/>
              <w:left w:w="20" w:type="dxa"/>
              <w:bottom w:w="20" w:type="dxa"/>
              <w:right w:w="20" w:type="dxa"/>
            </w:tcMar>
            <w:vAlign w:val="bottom"/>
          </w:tcPr>
          <w:p w14:paraId="0E34F680" w14:textId="77777777" w:rsidR="00FF156A" w:rsidRPr="00D00EAB" w:rsidRDefault="00FF156A" w:rsidP="00097018">
            <w:pPr>
              <w:pStyle w:val="T1TableStyle"/>
              <w:jc w:val="center"/>
              <w:rPr>
                <w:rFonts w:ascii="Verdana" w:eastAsia="Verdana" w:hAnsi="Verdana" w:cs="Verdana"/>
                <w:b/>
                <w:color w:val="000000"/>
                <w:sz w:val="2"/>
                <w:lang w:val="en-GB"/>
              </w:rPr>
            </w:pPr>
            <w:r w:rsidRPr="00D00EAB">
              <w:rPr>
                <w:rFonts w:ascii="Verdana" w:eastAsia="Verdana" w:hAnsi="Verdana" w:cs="Verdana"/>
                <w:b/>
                <w:color w:val="000000"/>
                <w:sz w:val="2"/>
                <w:lang w:val="en-GB"/>
              </w:rPr>
              <w:t xml:space="preserve"> </w:t>
            </w:r>
          </w:p>
        </w:tc>
        <w:tc>
          <w:tcPr>
            <w:tcW w:w="2206" w:type="dxa"/>
            <w:shd w:val="clear" w:color="auto" w:fill="auto"/>
            <w:tcMar>
              <w:top w:w="20" w:type="dxa"/>
              <w:left w:w="20" w:type="dxa"/>
              <w:bottom w:w="20" w:type="dxa"/>
              <w:right w:w="20" w:type="dxa"/>
            </w:tcMar>
            <w:vAlign w:val="bottom"/>
          </w:tcPr>
          <w:p w14:paraId="20E144EC" w14:textId="77777777" w:rsidR="00FF156A" w:rsidRPr="00D00EAB" w:rsidRDefault="00FF156A" w:rsidP="00097018">
            <w:pPr>
              <w:pStyle w:val="T1TableStyle"/>
              <w:jc w:val="center"/>
              <w:rPr>
                <w:rFonts w:ascii="Verdana" w:eastAsia="Verdana" w:hAnsi="Verdana" w:cs="Verdana"/>
                <w:b/>
                <w:color w:val="000000"/>
                <w:sz w:val="2"/>
                <w:lang w:val="en-GB"/>
              </w:rPr>
            </w:pPr>
            <w:r w:rsidRPr="00D00EAB">
              <w:rPr>
                <w:rFonts w:ascii="Verdana" w:eastAsia="Verdana" w:hAnsi="Verdana" w:cs="Verdana"/>
                <w:b/>
                <w:color w:val="000000"/>
                <w:sz w:val="2"/>
                <w:lang w:val="en-GB"/>
              </w:rPr>
              <w:t xml:space="preserve"> </w:t>
            </w:r>
          </w:p>
        </w:tc>
        <w:tc>
          <w:tcPr>
            <w:tcW w:w="667" w:type="dxa"/>
            <w:vAlign w:val="center"/>
          </w:tcPr>
          <w:p w14:paraId="7D1DE2F4" w14:textId="77777777" w:rsidR="00FF156A" w:rsidRPr="00D00EAB" w:rsidRDefault="00FF156A" w:rsidP="00097018">
            <w:pPr>
              <w:pStyle w:val="T1TableStyle"/>
              <w:jc w:val="center"/>
              <w:rPr>
                <w:rFonts w:ascii="Verdana" w:eastAsia="Verdana" w:hAnsi="Verdana" w:cs="Verdana"/>
                <w:b/>
                <w:color w:val="000000"/>
                <w:sz w:val="16"/>
                <w:lang w:val="en-GB"/>
              </w:rPr>
            </w:pPr>
            <w:r w:rsidRPr="00D00EAB">
              <w:rPr>
                <w:rFonts w:ascii="Verdana" w:eastAsia="Verdana" w:hAnsi="Verdana" w:cs="Verdana"/>
                <w:b/>
                <w:color w:val="000000"/>
                <w:sz w:val="16"/>
                <w:lang w:val="en-GB"/>
              </w:rPr>
              <w:t>Note</w:t>
            </w:r>
          </w:p>
        </w:tc>
        <w:tc>
          <w:tcPr>
            <w:tcW w:w="1563" w:type="dxa"/>
            <w:shd w:val="clear" w:color="auto" w:fill="auto"/>
            <w:tcMar>
              <w:top w:w="20" w:type="dxa"/>
              <w:left w:w="20" w:type="dxa"/>
              <w:bottom w:w="20" w:type="dxa"/>
              <w:right w:w="20" w:type="dxa"/>
            </w:tcMar>
            <w:vAlign w:val="bottom"/>
          </w:tcPr>
          <w:p w14:paraId="7E98A6F1" w14:textId="77777777" w:rsidR="00FF156A" w:rsidRPr="00D00EAB" w:rsidRDefault="00FF156A" w:rsidP="00097018">
            <w:pPr>
              <w:pStyle w:val="T1TableStyle"/>
              <w:jc w:val="center"/>
              <w:rPr>
                <w:rFonts w:ascii="Verdana" w:eastAsia="Verdana" w:hAnsi="Verdana" w:cs="Verdana"/>
                <w:b/>
                <w:color w:val="000000"/>
                <w:sz w:val="16"/>
                <w:lang w:val="en-GB"/>
              </w:rPr>
            </w:pPr>
            <w:r w:rsidRPr="00D00EAB">
              <w:rPr>
                <w:rFonts w:ascii="Verdana" w:eastAsia="Verdana" w:hAnsi="Verdana" w:cs="Verdana"/>
                <w:b/>
                <w:color w:val="000000"/>
                <w:sz w:val="16"/>
                <w:lang w:val="en-GB"/>
              </w:rPr>
              <w:t>31 March 202</w:t>
            </w:r>
            <w:r w:rsidR="007573D7" w:rsidRPr="00D00EAB">
              <w:rPr>
                <w:rFonts w:ascii="Verdana" w:eastAsia="Verdana" w:hAnsi="Verdana" w:cs="Verdana"/>
                <w:b/>
                <w:color w:val="000000"/>
                <w:sz w:val="16"/>
                <w:lang w:val="en-GB"/>
              </w:rPr>
              <w:t>1</w:t>
            </w:r>
          </w:p>
        </w:tc>
      </w:tr>
      <w:tr w:rsidR="00FF156A" w:rsidRPr="00D00EAB" w14:paraId="617ABC42" w14:textId="77777777" w:rsidTr="00097018">
        <w:trPr>
          <w:trHeight w:val="328"/>
        </w:trPr>
        <w:tc>
          <w:tcPr>
            <w:tcW w:w="1563" w:type="dxa"/>
            <w:tcBorders>
              <w:bottom w:val="single" w:sz="2" w:space="0" w:color="000000"/>
            </w:tcBorders>
            <w:shd w:val="clear" w:color="auto" w:fill="auto"/>
            <w:tcMar>
              <w:top w:w="20" w:type="dxa"/>
              <w:left w:w="20" w:type="dxa"/>
              <w:bottom w:w="20" w:type="dxa"/>
              <w:right w:w="20" w:type="dxa"/>
            </w:tcMar>
            <w:vAlign w:val="bottom"/>
          </w:tcPr>
          <w:p w14:paraId="3AB18619" w14:textId="77777777" w:rsidR="00FF156A" w:rsidRPr="00D00EAB" w:rsidRDefault="00FF156A" w:rsidP="00097018">
            <w:pPr>
              <w:pStyle w:val="T1TableStyle"/>
              <w:jc w:val="right"/>
              <w:rPr>
                <w:rFonts w:ascii="Verdana" w:eastAsia="Verdana" w:hAnsi="Verdana" w:cs="Verdana"/>
                <w:b/>
                <w:color w:val="000000"/>
                <w:sz w:val="16"/>
                <w:lang w:val="en-GB"/>
              </w:rPr>
            </w:pPr>
            <w:r w:rsidRPr="00D00EAB">
              <w:rPr>
                <w:rFonts w:ascii="Verdana" w:eastAsia="Verdana" w:hAnsi="Verdana" w:cs="Verdana"/>
                <w:b/>
                <w:color w:val="000000"/>
                <w:sz w:val="16"/>
                <w:lang w:val="en-GB"/>
              </w:rPr>
              <w:t>£000</w:t>
            </w:r>
          </w:p>
        </w:tc>
        <w:tc>
          <w:tcPr>
            <w:tcW w:w="250" w:type="dxa"/>
            <w:tcBorders>
              <w:bottom w:val="single" w:sz="2" w:space="0" w:color="000000"/>
            </w:tcBorders>
            <w:shd w:val="clear" w:color="auto" w:fill="auto"/>
            <w:tcMar>
              <w:top w:w="20" w:type="dxa"/>
              <w:left w:w="20" w:type="dxa"/>
              <w:bottom w:w="20" w:type="dxa"/>
              <w:right w:w="20" w:type="dxa"/>
            </w:tcMar>
            <w:vAlign w:val="bottom"/>
          </w:tcPr>
          <w:p w14:paraId="47725109" w14:textId="77777777" w:rsidR="00FF156A" w:rsidRPr="00D00EAB" w:rsidRDefault="00FF156A" w:rsidP="00097018">
            <w:pPr>
              <w:pStyle w:val="T1TableStyle"/>
              <w:jc w:val="right"/>
              <w:rPr>
                <w:rFonts w:ascii="Verdana" w:eastAsia="Verdana" w:hAnsi="Verdana" w:cs="Verdana"/>
                <w:b/>
                <w:color w:val="000000"/>
                <w:sz w:val="2"/>
                <w:lang w:val="en-GB"/>
              </w:rPr>
            </w:pPr>
            <w:r w:rsidRPr="00D00EAB">
              <w:rPr>
                <w:rFonts w:ascii="Verdana" w:eastAsia="Verdana" w:hAnsi="Verdana" w:cs="Verdana"/>
                <w:b/>
                <w:color w:val="000000"/>
                <w:sz w:val="2"/>
                <w:lang w:val="en-GB"/>
              </w:rPr>
              <w:t xml:space="preserve"> </w:t>
            </w:r>
          </w:p>
        </w:tc>
        <w:tc>
          <w:tcPr>
            <w:tcW w:w="2206" w:type="dxa"/>
            <w:tcBorders>
              <w:bottom w:val="single" w:sz="2" w:space="0" w:color="000000"/>
            </w:tcBorders>
            <w:shd w:val="clear" w:color="auto" w:fill="auto"/>
            <w:tcMar>
              <w:top w:w="20" w:type="dxa"/>
              <w:left w:w="20" w:type="dxa"/>
              <w:bottom w:w="20" w:type="dxa"/>
              <w:right w:w="20" w:type="dxa"/>
            </w:tcMar>
            <w:vAlign w:val="bottom"/>
          </w:tcPr>
          <w:p w14:paraId="079BABF3" w14:textId="77777777" w:rsidR="00FF156A" w:rsidRPr="00D00EAB" w:rsidRDefault="00FF156A" w:rsidP="00097018">
            <w:pPr>
              <w:pStyle w:val="T1TableStyle"/>
              <w:jc w:val="right"/>
              <w:rPr>
                <w:rFonts w:ascii="Verdana" w:eastAsia="Verdana" w:hAnsi="Verdana" w:cs="Verdana"/>
                <w:b/>
                <w:color w:val="000000"/>
                <w:sz w:val="2"/>
                <w:lang w:val="en-GB"/>
              </w:rPr>
            </w:pPr>
            <w:r w:rsidRPr="00D00EAB">
              <w:rPr>
                <w:rFonts w:ascii="Verdana" w:eastAsia="Verdana" w:hAnsi="Verdana" w:cs="Verdana"/>
                <w:b/>
                <w:color w:val="000000"/>
                <w:sz w:val="2"/>
                <w:lang w:val="en-GB"/>
              </w:rPr>
              <w:t xml:space="preserve"> </w:t>
            </w:r>
          </w:p>
        </w:tc>
        <w:tc>
          <w:tcPr>
            <w:tcW w:w="667" w:type="dxa"/>
            <w:tcBorders>
              <w:bottom w:val="single" w:sz="2" w:space="0" w:color="000000"/>
            </w:tcBorders>
          </w:tcPr>
          <w:p w14:paraId="7A204F68" w14:textId="77777777" w:rsidR="00FF156A" w:rsidRPr="00D00EAB" w:rsidRDefault="00FF156A" w:rsidP="00097018">
            <w:pPr>
              <w:pStyle w:val="T1TableStyle"/>
              <w:jc w:val="right"/>
              <w:rPr>
                <w:rFonts w:ascii="Verdana" w:eastAsia="Verdana" w:hAnsi="Verdana" w:cs="Verdana"/>
                <w:b/>
                <w:color w:val="000000"/>
                <w:sz w:val="16"/>
                <w:lang w:val="en-GB"/>
              </w:rPr>
            </w:pPr>
          </w:p>
        </w:tc>
        <w:tc>
          <w:tcPr>
            <w:tcW w:w="1563" w:type="dxa"/>
            <w:tcBorders>
              <w:bottom w:val="single" w:sz="2" w:space="0" w:color="000000"/>
            </w:tcBorders>
            <w:shd w:val="clear" w:color="auto" w:fill="auto"/>
            <w:tcMar>
              <w:top w:w="20" w:type="dxa"/>
              <w:left w:w="20" w:type="dxa"/>
              <w:bottom w:w="20" w:type="dxa"/>
              <w:right w:w="20" w:type="dxa"/>
            </w:tcMar>
            <w:vAlign w:val="bottom"/>
          </w:tcPr>
          <w:p w14:paraId="44934995" w14:textId="77777777" w:rsidR="00FF156A" w:rsidRPr="00D00EAB" w:rsidRDefault="00FF156A" w:rsidP="00097018">
            <w:pPr>
              <w:pStyle w:val="T1TableStyle"/>
              <w:jc w:val="right"/>
              <w:rPr>
                <w:rFonts w:ascii="Verdana" w:eastAsia="Verdana" w:hAnsi="Verdana" w:cs="Verdana"/>
                <w:b/>
                <w:color w:val="000000"/>
                <w:sz w:val="16"/>
                <w:lang w:val="en-GB"/>
              </w:rPr>
            </w:pPr>
            <w:r w:rsidRPr="00D00EAB">
              <w:rPr>
                <w:rFonts w:ascii="Verdana" w:eastAsia="Verdana" w:hAnsi="Verdana" w:cs="Verdana"/>
                <w:b/>
                <w:color w:val="000000"/>
                <w:sz w:val="16"/>
                <w:lang w:val="en-GB"/>
              </w:rPr>
              <w:t>£000</w:t>
            </w:r>
          </w:p>
        </w:tc>
      </w:tr>
      <w:tr w:rsidR="00FF156A" w:rsidRPr="00D00EAB" w14:paraId="1B1D159F" w14:textId="77777777" w:rsidTr="00097018">
        <w:trPr>
          <w:trHeight w:val="279"/>
        </w:trPr>
        <w:tc>
          <w:tcPr>
            <w:tcW w:w="1563" w:type="dxa"/>
            <w:tcBorders>
              <w:top w:val="single" w:sz="2" w:space="0" w:color="000000"/>
              <w:bottom w:val="single" w:sz="4" w:space="0" w:color="auto"/>
            </w:tcBorders>
            <w:shd w:val="clear" w:color="auto" w:fill="auto"/>
            <w:tcMar>
              <w:top w:w="20" w:type="dxa"/>
              <w:left w:w="20" w:type="dxa"/>
              <w:bottom w:w="20" w:type="dxa"/>
              <w:right w:w="20" w:type="dxa"/>
            </w:tcMar>
          </w:tcPr>
          <w:p w14:paraId="3C9515BB" w14:textId="77777777" w:rsidR="00FF156A" w:rsidRPr="00D00EAB" w:rsidRDefault="00FF156A" w:rsidP="00097018">
            <w:pPr>
              <w:pStyle w:val="T1TableStyle"/>
              <w:jc w:val="right"/>
              <w:rPr>
                <w:rFonts w:ascii="Verdana" w:eastAsia="Verdana" w:hAnsi="Verdana" w:cs="Verdana"/>
                <w:color w:val="000000"/>
                <w:sz w:val="16"/>
                <w:lang w:val="en-GB"/>
              </w:rPr>
            </w:pPr>
            <w:r w:rsidRPr="00D00EAB">
              <w:rPr>
                <w:rFonts w:ascii="Verdana" w:eastAsia="Verdana" w:hAnsi="Verdana" w:cs="Verdana"/>
                <w:color w:val="000000"/>
                <w:sz w:val="16"/>
                <w:lang w:val="en-GB"/>
              </w:rPr>
              <w:t>110</w:t>
            </w:r>
          </w:p>
        </w:tc>
        <w:tc>
          <w:tcPr>
            <w:tcW w:w="250" w:type="dxa"/>
            <w:tcBorders>
              <w:top w:val="single" w:sz="2" w:space="0" w:color="000000"/>
              <w:bottom w:val="single" w:sz="4" w:space="0" w:color="auto"/>
            </w:tcBorders>
            <w:shd w:val="clear" w:color="auto" w:fill="auto"/>
            <w:tcMar>
              <w:top w:w="20" w:type="dxa"/>
              <w:left w:w="20" w:type="dxa"/>
              <w:bottom w:w="20" w:type="dxa"/>
              <w:right w:w="20" w:type="dxa"/>
            </w:tcMar>
          </w:tcPr>
          <w:p w14:paraId="3E6F7409" w14:textId="77777777" w:rsidR="00FF156A" w:rsidRPr="00D00EAB" w:rsidRDefault="00FF156A" w:rsidP="00097018">
            <w:pPr>
              <w:pStyle w:val="T1TableStyle"/>
              <w:jc w:val="center"/>
              <w:rPr>
                <w:rFonts w:ascii="Verdana" w:eastAsia="Verdana" w:hAnsi="Verdana" w:cs="Verdana"/>
                <w:b/>
                <w:color w:val="000000"/>
                <w:sz w:val="2"/>
                <w:lang w:val="en-GB"/>
              </w:rPr>
            </w:pPr>
          </w:p>
        </w:tc>
        <w:tc>
          <w:tcPr>
            <w:tcW w:w="2206" w:type="dxa"/>
            <w:tcBorders>
              <w:top w:val="single" w:sz="2" w:space="0" w:color="000000"/>
              <w:bottom w:val="single" w:sz="4" w:space="0" w:color="auto"/>
            </w:tcBorders>
            <w:shd w:val="clear" w:color="auto" w:fill="auto"/>
            <w:tcMar>
              <w:top w:w="20" w:type="dxa"/>
              <w:left w:w="20" w:type="dxa"/>
              <w:bottom w:w="20" w:type="dxa"/>
              <w:right w:w="20" w:type="dxa"/>
            </w:tcMar>
          </w:tcPr>
          <w:p w14:paraId="54C35396" w14:textId="77777777" w:rsidR="00FF156A" w:rsidRPr="00D00EAB" w:rsidRDefault="00FF156A" w:rsidP="00097018">
            <w:pPr>
              <w:pStyle w:val="T1TableStyle"/>
              <w:rPr>
                <w:rFonts w:ascii="Verdana" w:eastAsia="Verdana" w:hAnsi="Verdana" w:cs="Verdana"/>
                <w:color w:val="000000"/>
                <w:sz w:val="16"/>
                <w:lang w:val="en-GB"/>
              </w:rPr>
            </w:pPr>
            <w:r w:rsidRPr="00D00EAB">
              <w:rPr>
                <w:rFonts w:ascii="Verdana" w:eastAsia="Verdana" w:hAnsi="Verdana" w:cs="Verdana"/>
                <w:color w:val="000000"/>
                <w:sz w:val="16"/>
                <w:lang w:val="en-GB"/>
              </w:rPr>
              <w:t>Short-Term Debtors</w:t>
            </w:r>
          </w:p>
        </w:tc>
        <w:tc>
          <w:tcPr>
            <w:tcW w:w="667" w:type="dxa"/>
            <w:tcBorders>
              <w:top w:val="single" w:sz="2" w:space="0" w:color="000000"/>
              <w:bottom w:val="single" w:sz="4" w:space="0" w:color="auto"/>
            </w:tcBorders>
            <w:vAlign w:val="center"/>
          </w:tcPr>
          <w:p w14:paraId="646A84EC" w14:textId="77777777" w:rsidR="00FF156A" w:rsidRPr="00D00EAB" w:rsidRDefault="00FF156A" w:rsidP="00097018">
            <w:pPr>
              <w:pStyle w:val="T1TableStyle"/>
              <w:jc w:val="center"/>
              <w:rPr>
                <w:rFonts w:ascii="Verdana" w:eastAsia="Verdana" w:hAnsi="Verdana" w:cs="Verdana"/>
                <w:color w:val="000000"/>
                <w:sz w:val="16"/>
                <w:lang w:val="en-GB"/>
              </w:rPr>
            </w:pPr>
            <w:r w:rsidRPr="00D00EAB">
              <w:rPr>
                <w:rFonts w:ascii="Verdana" w:eastAsia="Verdana" w:hAnsi="Verdana" w:cs="Verdana"/>
                <w:color w:val="000000"/>
                <w:sz w:val="16"/>
                <w:lang w:val="en-GB"/>
              </w:rPr>
              <w:t>9</w:t>
            </w:r>
          </w:p>
        </w:tc>
        <w:tc>
          <w:tcPr>
            <w:tcW w:w="1563" w:type="dxa"/>
            <w:tcBorders>
              <w:top w:val="single" w:sz="2" w:space="0" w:color="000000"/>
              <w:bottom w:val="single" w:sz="4" w:space="0" w:color="auto"/>
            </w:tcBorders>
            <w:shd w:val="clear" w:color="auto" w:fill="auto"/>
            <w:tcMar>
              <w:top w:w="20" w:type="dxa"/>
              <w:left w:w="20" w:type="dxa"/>
              <w:bottom w:w="20" w:type="dxa"/>
              <w:right w:w="20" w:type="dxa"/>
            </w:tcMar>
          </w:tcPr>
          <w:p w14:paraId="657A2CFF" w14:textId="77777777" w:rsidR="00FF156A" w:rsidRPr="00D00EAB" w:rsidRDefault="00FF156A" w:rsidP="00097018">
            <w:pPr>
              <w:pStyle w:val="T1TableStyle"/>
              <w:jc w:val="right"/>
              <w:rPr>
                <w:rFonts w:ascii="Verdana" w:eastAsia="Verdana" w:hAnsi="Verdana" w:cs="Verdana"/>
                <w:color w:val="000000"/>
                <w:sz w:val="16"/>
                <w:lang w:val="en-GB"/>
              </w:rPr>
            </w:pPr>
            <w:r w:rsidRPr="00D00EAB">
              <w:rPr>
                <w:rFonts w:ascii="Verdana" w:eastAsia="Verdana" w:hAnsi="Verdana" w:cs="Verdana"/>
                <w:color w:val="000000"/>
                <w:sz w:val="16"/>
                <w:lang w:val="en-GB"/>
              </w:rPr>
              <w:t>110</w:t>
            </w:r>
          </w:p>
        </w:tc>
      </w:tr>
      <w:tr w:rsidR="00FF156A" w:rsidRPr="00D00EAB" w14:paraId="4711F301" w14:textId="77777777" w:rsidTr="00097018">
        <w:trPr>
          <w:trHeight w:val="279"/>
        </w:trPr>
        <w:tc>
          <w:tcPr>
            <w:tcW w:w="1563" w:type="dxa"/>
            <w:tcBorders>
              <w:top w:val="single" w:sz="4" w:space="0" w:color="auto"/>
            </w:tcBorders>
            <w:shd w:val="clear" w:color="auto" w:fill="auto"/>
            <w:tcMar>
              <w:top w:w="20" w:type="dxa"/>
              <w:left w:w="20" w:type="dxa"/>
              <w:bottom w:w="20" w:type="dxa"/>
              <w:right w:w="20" w:type="dxa"/>
            </w:tcMar>
          </w:tcPr>
          <w:p w14:paraId="45D32637" w14:textId="77777777" w:rsidR="00FF156A" w:rsidRPr="00D00EAB" w:rsidRDefault="00FF156A" w:rsidP="00097018">
            <w:pPr>
              <w:pStyle w:val="T1TableStyle"/>
              <w:jc w:val="right"/>
              <w:rPr>
                <w:rFonts w:ascii="Verdana" w:eastAsia="Verdana" w:hAnsi="Verdana" w:cs="Verdana"/>
                <w:b/>
                <w:color w:val="000000"/>
                <w:sz w:val="16"/>
                <w:lang w:val="en-GB"/>
              </w:rPr>
            </w:pPr>
            <w:r w:rsidRPr="00D00EAB">
              <w:rPr>
                <w:rFonts w:ascii="Verdana" w:eastAsia="Verdana" w:hAnsi="Verdana" w:cs="Verdana"/>
                <w:b/>
                <w:color w:val="000000"/>
                <w:sz w:val="16"/>
                <w:lang w:val="en-GB"/>
              </w:rPr>
              <w:t>110</w:t>
            </w:r>
          </w:p>
        </w:tc>
        <w:tc>
          <w:tcPr>
            <w:tcW w:w="250" w:type="dxa"/>
            <w:tcBorders>
              <w:top w:val="single" w:sz="4" w:space="0" w:color="auto"/>
            </w:tcBorders>
            <w:shd w:val="clear" w:color="auto" w:fill="auto"/>
            <w:tcMar>
              <w:top w:w="20" w:type="dxa"/>
              <w:left w:w="20" w:type="dxa"/>
              <w:bottom w:w="20" w:type="dxa"/>
              <w:right w:w="20" w:type="dxa"/>
            </w:tcMar>
          </w:tcPr>
          <w:p w14:paraId="506DE153" w14:textId="77777777" w:rsidR="00FF156A" w:rsidRPr="00D00EAB" w:rsidRDefault="00FF156A" w:rsidP="00097018">
            <w:pPr>
              <w:pStyle w:val="T1TableStyle"/>
              <w:jc w:val="center"/>
              <w:rPr>
                <w:rFonts w:ascii="Verdana" w:eastAsia="Verdana" w:hAnsi="Verdana" w:cs="Verdana"/>
                <w:b/>
                <w:color w:val="000000"/>
                <w:sz w:val="2"/>
                <w:lang w:val="en-GB"/>
              </w:rPr>
            </w:pPr>
          </w:p>
        </w:tc>
        <w:tc>
          <w:tcPr>
            <w:tcW w:w="2206" w:type="dxa"/>
            <w:tcBorders>
              <w:top w:val="single" w:sz="4" w:space="0" w:color="auto"/>
            </w:tcBorders>
            <w:shd w:val="clear" w:color="auto" w:fill="auto"/>
            <w:tcMar>
              <w:top w:w="20" w:type="dxa"/>
              <w:left w:w="20" w:type="dxa"/>
              <w:bottom w:w="20" w:type="dxa"/>
              <w:right w:w="20" w:type="dxa"/>
            </w:tcMar>
          </w:tcPr>
          <w:p w14:paraId="226A02B9" w14:textId="77777777" w:rsidR="00FF156A" w:rsidRPr="00D00EAB" w:rsidRDefault="00FF156A" w:rsidP="00097018">
            <w:pPr>
              <w:pStyle w:val="T1TableStyle"/>
              <w:rPr>
                <w:rFonts w:ascii="Verdana" w:eastAsia="Verdana" w:hAnsi="Verdana" w:cs="Verdana"/>
                <w:b/>
                <w:color w:val="000000"/>
                <w:sz w:val="16"/>
                <w:lang w:val="en-GB"/>
              </w:rPr>
            </w:pPr>
            <w:r w:rsidRPr="00D00EAB">
              <w:rPr>
                <w:rFonts w:ascii="Verdana" w:eastAsia="Verdana" w:hAnsi="Verdana" w:cs="Verdana"/>
                <w:b/>
                <w:color w:val="000000"/>
                <w:sz w:val="16"/>
                <w:lang w:val="en-GB"/>
              </w:rPr>
              <w:t>Current Assets</w:t>
            </w:r>
          </w:p>
        </w:tc>
        <w:tc>
          <w:tcPr>
            <w:tcW w:w="667" w:type="dxa"/>
            <w:tcBorders>
              <w:top w:val="single" w:sz="4" w:space="0" w:color="auto"/>
            </w:tcBorders>
            <w:vAlign w:val="center"/>
          </w:tcPr>
          <w:p w14:paraId="57F73751" w14:textId="77777777" w:rsidR="00FF156A" w:rsidRPr="00D00EAB" w:rsidRDefault="00FF156A" w:rsidP="00097018">
            <w:pPr>
              <w:pStyle w:val="T1TableStyle"/>
              <w:jc w:val="center"/>
              <w:rPr>
                <w:rFonts w:ascii="Verdana" w:eastAsia="Verdana" w:hAnsi="Verdana" w:cs="Verdana"/>
                <w:b/>
                <w:color w:val="000000"/>
                <w:sz w:val="16"/>
                <w:lang w:val="en-GB"/>
              </w:rPr>
            </w:pPr>
          </w:p>
        </w:tc>
        <w:tc>
          <w:tcPr>
            <w:tcW w:w="1563" w:type="dxa"/>
            <w:tcBorders>
              <w:top w:val="single" w:sz="4" w:space="0" w:color="auto"/>
            </w:tcBorders>
            <w:shd w:val="clear" w:color="auto" w:fill="auto"/>
            <w:tcMar>
              <w:top w:w="20" w:type="dxa"/>
              <w:left w:w="20" w:type="dxa"/>
              <w:bottom w:w="20" w:type="dxa"/>
              <w:right w:w="20" w:type="dxa"/>
            </w:tcMar>
          </w:tcPr>
          <w:p w14:paraId="4211FC89" w14:textId="77777777" w:rsidR="00FF156A" w:rsidRPr="00D00EAB" w:rsidRDefault="00FF156A" w:rsidP="00097018">
            <w:pPr>
              <w:pStyle w:val="T1TableStyle"/>
              <w:jc w:val="right"/>
              <w:rPr>
                <w:rFonts w:ascii="Verdana" w:eastAsia="Verdana" w:hAnsi="Verdana" w:cs="Verdana"/>
                <w:b/>
                <w:color w:val="000000"/>
                <w:sz w:val="16"/>
                <w:lang w:val="en-GB"/>
              </w:rPr>
            </w:pPr>
            <w:r w:rsidRPr="00D00EAB">
              <w:rPr>
                <w:rFonts w:ascii="Verdana" w:eastAsia="Verdana" w:hAnsi="Verdana" w:cs="Verdana"/>
                <w:b/>
                <w:color w:val="000000"/>
                <w:sz w:val="16"/>
                <w:lang w:val="en-GB"/>
              </w:rPr>
              <w:t>110</w:t>
            </w:r>
          </w:p>
        </w:tc>
      </w:tr>
      <w:tr w:rsidR="00FF156A" w:rsidRPr="00D00EAB" w14:paraId="0D84079B" w14:textId="77777777" w:rsidTr="00097018">
        <w:trPr>
          <w:trHeight w:val="279"/>
        </w:trPr>
        <w:tc>
          <w:tcPr>
            <w:tcW w:w="1563" w:type="dxa"/>
            <w:shd w:val="clear" w:color="auto" w:fill="auto"/>
            <w:tcMar>
              <w:top w:w="20" w:type="dxa"/>
              <w:left w:w="20" w:type="dxa"/>
              <w:bottom w:w="20" w:type="dxa"/>
              <w:right w:w="20" w:type="dxa"/>
            </w:tcMar>
          </w:tcPr>
          <w:p w14:paraId="16A44209" w14:textId="77777777" w:rsidR="00FF156A" w:rsidRPr="00D00EAB" w:rsidRDefault="00FF156A" w:rsidP="00097018">
            <w:pPr>
              <w:pStyle w:val="T1TableStyle"/>
              <w:jc w:val="right"/>
              <w:rPr>
                <w:rFonts w:ascii="Verdana" w:eastAsia="Verdana" w:hAnsi="Verdana" w:cs="Verdana"/>
                <w:color w:val="000000"/>
                <w:sz w:val="16"/>
                <w:lang w:val="en-GB"/>
              </w:rPr>
            </w:pPr>
          </w:p>
        </w:tc>
        <w:tc>
          <w:tcPr>
            <w:tcW w:w="250" w:type="dxa"/>
            <w:shd w:val="clear" w:color="auto" w:fill="auto"/>
            <w:tcMar>
              <w:top w:w="20" w:type="dxa"/>
              <w:left w:w="20" w:type="dxa"/>
              <w:bottom w:w="20" w:type="dxa"/>
              <w:right w:w="20" w:type="dxa"/>
            </w:tcMar>
          </w:tcPr>
          <w:p w14:paraId="3686107D" w14:textId="77777777" w:rsidR="00FF156A" w:rsidRPr="00D00EAB" w:rsidRDefault="00FF156A" w:rsidP="00097018">
            <w:pPr>
              <w:pStyle w:val="T1TableStyle"/>
              <w:jc w:val="center"/>
              <w:rPr>
                <w:rFonts w:ascii="Verdana" w:eastAsia="Verdana" w:hAnsi="Verdana" w:cs="Verdana"/>
                <w:b/>
                <w:color w:val="000000"/>
                <w:sz w:val="2"/>
                <w:lang w:val="en-GB"/>
              </w:rPr>
            </w:pPr>
          </w:p>
        </w:tc>
        <w:tc>
          <w:tcPr>
            <w:tcW w:w="2206" w:type="dxa"/>
            <w:shd w:val="clear" w:color="auto" w:fill="auto"/>
            <w:tcMar>
              <w:top w:w="20" w:type="dxa"/>
              <w:left w:w="20" w:type="dxa"/>
              <w:bottom w:w="20" w:type="dxa"/>
              <w:right w:w="20" w:type="dxa"/>
            </w:tcMar>
          </w:tcPr>
          <w:p w14:paraId="50334E3F" w14:textId="77777777" w:rsidR="00FF156A" w:rsidRPr="00D00EAB" w:rsidRDefault="00FF156A" w:rsidP="00097018">
            <w:pPr>
              <w:pStyle w:val="T1TableStyle"/>
              <w:rPr>
                <w:rFonts w:ascii="Verdana" w:eastAsia="Verdana" w:hAnsi="Verdana" w:cs="Verdana"/>
                <w:color w:val="000000"/>
                <w:sz w:val="16"/>
                <w:lang w:val="en-GB"/>
              </w:rPr>
            </w:pPr>
          </w:p>
        </w:tc>
        <w:tc>
          <w:tcPr>
            <w:tcW w:w="667" w:type="dxa"/>
            <w:vAlign w:val="center"/>
          </w:tcPr>
          <w:p w14:paraId="5B4DA1A0" w14:textId="77777777" w:rsidR="00FF156A" w:rsidRPr="00D00EAB" w:rsidRDefault="00FF156A" w:rsidP="00097018">
            <w:pPr>
              <w:pStyle w:val="T1TableStyle"/>
              <w:jc w:val="center"/>
              <w:rPr>
                <w:rFonts w:ascii="Verdana" w:eastAsia="Verdana" w:hAnsi="Verdana" w:cs="Verdana"/>
                <w:color w:val="000000"/>
                <w:sz w:val="16"/>
                <w:lang w:val="en-GB"/>
              </w:rPr>
            </w:pPr>
          </w:p>
        </w:tc>
        <w:tc>
          <w:tcPr>
            <w:tcW w:w="1563" w:type="dxa"/>
            <w:shd w:val="clear" w:color="auto" w:fill="auto"/>
            <w:tcMar>
              <w:top w:w="20" w:type="dxa"/>
              <w:left w:w="20" w:type="dxa"/>
              <w:bottom w:w="20" w:type="dxa"/>
              <w:right w:w="20" w:type="dxa"/>
            </w:tcMar>
          </w:tcPr>
          <w:p w14:paraId="4C3E4FB1" w14:textId="77777777" w:rsidR="00FF156A" w:rsidRPr="00D00EAB" w:rsidRDefault="00FF156A" w:rsidP="00097018">
            <w:pPr>
              <w:pStyle w:val="T1TableStyle"/>
              <w:jc w:val="right"/>
              <w:rPr>
                <w:rFonts w:ascii="Verdana" w:eastAsia="Verdana" w:hAnsi="Verdana" w:cs="Verdana"/>
                <w:color w:val="000000"/>
                <w:sz w:val="16"/>
                <w:lang w:val="en-GB"/>
              </w:rPr>
            </w:pPr>
          </w:p>
        </w:tc>
      </w:tr>
      <w:tr w:rsidR="00FF156A" w:rsidRPr="00D00EAB" w14:paraId="4DC315DC" w14:textId="77777777" w:rsidTr="00097018">
        <w:trPr>
          <w:trHeight w:val="279"/>
        </w:trPr>
        <w:tc>
          <w:tcPr>
            <w:tcW w:w="1563" w:type="dxa"/>
            <w:shd w:val="clear" w:color="auto" w:fill="auto"/>
            <w:tcMar>
              <w:top w:w="20" w:type="dxa"/>
              <w:left w:w="20" w:type="dxa"/>
              <w:bottom w:w="20" w:type="dxa"/>
              <w:right w:w="20" w:type="dxa"/>
            </w:tcMar>
          </w:tcPr>
          <w:p w14:paraId="1D2471AB" w14:textId="77777777" w:rsidR="00FF156A" w:rsidRPr="00D00EAB" w:rsidRDefault="007573D7" w:rsidP="00097018">
            <w:pPr>
              <w:pStyle w:val="T1TableStyle"/>
              <w:jc w:val="right"/>
              <w:rPr>
                <w:rFonts w:ascii="Verdana" w:eastAsia="Verdana" w:hAnsi="Verdana" w:cs="Verdana"/>
                <w:color w:val="000000"/>
                <w:sz w:val="16"/>
                <w:lang w:val="en-GB"/>
              </w:rPr>
            </w:pPr>
            <w:r w:rsidRPr="00D00EAB">
              <w:rPr>
                <w:rFonts w:ascii="Verdana" w:eastAsia="Verdana" w:hAnsi="Verdana" w:cs="Verdana"/>
                <w:color w:val="000000"/>
                <w:sz w:val="16"/>
                <w:lang w:val="en-GB"/>
              </w:rPr>
              <w:t>(1,053</w:t>
            </w:r>
            <w:r w:rsidR="00FF156A" w:rsidRPr="00D00EAB">
              <w:rPr>
                <w:rFonts w:ascii="Verdana" w:eastAsia="Verdana" w:hAnsi="Verdana" w:cs="Verdana"/>
                <w:color w:val="000000"/>
                <w:sz w:val="16"/>
                <w:lang w:val="en-GB"/>
              </w:rPr>
              <w:t>)</w:t>
            </w:r>
          </w:p>
          <w:p w14:paraId="1A2974FB" w14:textId="77777777" w:rsidR="00FF156A" w:rsidRPr="00D00EAB" w:rsidRDefault="00FF156A" w:rsidP="00097018">
            <w:pPr>
              <w:pStyle w:val="T1TableStyle"/>
              <w:jc w:val="right"/>
              <w:rPr>
                <w:rFonts w:ascii="Verdana" w:eastAsia="Verdana" w:hAnsi="Verdana" w:cs="Verdana"/>
                <w:color w:val="000000"/>
                <w:sz w:val="16"/>
                <w:lang w:val="en-GB"/>
              </w:rPr>
            </w:pPr>
            <w:r w:rsidRPr="00D00EAB">
              <w:rPr>
                <w:rFonts w:ascii="Verdana" w:eastAsia="Verdana" w:hAnsi="Verdana" w:cs="Verdana"/>
                <w:color w:val="000000"/>
                <w:sz w:val="16"/>
                <w:lang w:val="en-GB"/>
              </w:rPr>
              <w:t>(110)</w:t>
            </w:r>
          </w:p>
        </w:tc>
        <w:tc>
          <w:tcPr>
            <w:tcW w:w="250" w:type="dxa"/>
            <w:shd w:val="clear" w:color="auto" w:fill="auto"/>
            <w:tcMar>
              <w:top w:w="20" w:type="dxa"/>
              <w:left w:w="20" w:type="dxa"/>
              <w:bottom w:w="20" w:type="dxa"/>
              <w:right w:w="20" w:type="dxa"/>
            </w:tcMar>
          </w:tcPr>
          <w:p w14:paraId="43797C14" w14:textId="77777777" w:rsidR="00FF156A" w:rsidRPr="00D00EAB" w:rsidRDefault="00FF156A" w:rsidP="00097018">
            <w:pPr>
              <w:pStyle w:val="T1TableStyle"/>
              <w:jc w:val="center"/>
              <w:rPr>
                <w:rFonts w:ascii="Verdana" w:eastAsia="Verdana" w:hAnsi="Verdana" w:cs="Verdana"/>
                <w:b/>
                <w:color w:val="000000"/>
                <w:sz w:val="2"/>
                <w:lang w:val="en-GB"/>
              </w:rPr>
            </w:pPr>
            <w:r w:rsidRPr="00D00EAB">
              <w:rPr>
                <w:rFonts w:ascii="Verdana" w:eastAsia="Verdana" w:hAnsi="Verdana" w:cs="Verdana"/>
                <w:b/>
                <w:color w:val="000000"/>
                <w:sz w:val="2"/>
                <w:lang w:val="en-GB"/>
              </w:rPr>
              <w:t xml:space="preserve"> </w:t>
            </w:r>
          </w:p>
        </w:tc>
        <w:tc>
          <w:tcPr>
            <w:tcW w:w="2206" w:type="dxa"/>
            <w:shd w:val="clear" w:color="auto" w:fill="auto"/>
            <w:tcMar>
              <w:top w:w="20" w:type="dxa"/>
              <w:left w:w="20" w:type="dxa"/>
              <w:bottom w:w="20" w:type="dxa"/>
              <w:right w:w="20" w:type="dxa"/>
            </w:tcMar>
          </w:tcPr>
          <w:p w14:paraId="2699DC44" w14:textId="77777777" w:rsidR="00FF156A" w:rsidRPr="00D00EAB" w:rsidRDefault="00FF156A" w:rsidP="00097018">
            <w:pPr>
              <w:pStyle w:val="T1TableStyle"/>
              <w:rPr>
                <w:rFonts w:ascii="Verdana" w:eastAsia="Verdana" w:hAnsi="Verdana" w:cs="Verdana"/>
                <w:color w:val="000000"/>
                <w:sz w:val="16"/>
                <w:lang w:val="en-GB"/>
              </w:rPr>
            </w:pPr>
            <w:r w:rsidRPr="00D00EAB">
              <w:rPr>
                <w:rFonts w:ascii="Verdana" w:eastAsia="Verdana" w:hAnsi="Verdana" w:cs="Verdana"/>
                <w:color w:val="000000"/>
                <w:sz w:val="16"/>
                <w:lang w:val="en-GB"/>
              </w:rPr>
              <w:t>Short-Term Creditors</w:t>
            </w:r>
          </w:p>
          <w:p w14:paraId="77A3DDBD" w14:textId="77777777" w:rsidR="00FF156A" w:rsidRPr="00D00EAB" w:rsidRDefault="00FF156A" w:rsidP="00097018">
            <w:pPr>
              <w:pStyle w:val="T1TableStyle"/>
              <w:rPr>
                <w:rFonts w:ascii="Verdana" w:eastAsia="Verdana" w:hAnsi="Verdana" w:cs="Verdana"/>
                <w:color w:val="000000"/>
                <w:sz w:val="16"/>
                <w:lang w:val="en-GB"/>
              </w:rPr>
            </w:pPr>
            <w:r w:rsidRPr="00D00EAB">
              <w:rPr>
                <w:rFonts w:ascii="Verdana" w:eastAsia="Verdana" w:hAnsi="Verdana" w:cs="Verdana"/>
                <w:color w:val="000000"/>
                <w:sz w:val="16"/>
                <w:lang w:val="en-GB"/>
              </w:rPr>
              <w:t>Provisions</w:t>
            </w:r>
          </w:p>
        </w:tc>
        <w:tc>
          <w:tcPr>
            <w:tcW w:w="667" w:type="dxa"/>
            <w:vAlign w:val="center"/>
          </w:tcPr>
          <w:p w14:paraId="647E8EF9" w14:textId="77777777" w:rsidR="00FF156A" w:rsidRPr="00D00EAB" w:rsidRDefault="00FF156A" w:rsidP="00097018">
            <w:pPr>
              <w:pStyle w:val="T1TableStyle"/>
              <w:jc w:val="center"/>
              <w:rPr>
                <w:rFonts w:ascii="Verdana" w:eastAsia="Verdana" w:hAnsi="Verdana" w:cs="Verdana"/>
                <w:color w:val="000000"/>
                <w:sz w:val="16"/>
                <w:lang w:val="en-GB"/>
              </w:rPr>
            </w:pPr>
            <w:r w:rsidRPr="00D00EAB">
              <w:rPr>
                <w:rFonts w:ascii="Verdana" w:eastAsia="Verdana" w:hAnsi="Verdana" w:cs="Verdana"/>
                <w:color w:val="000000"/>
                <w:sz w:val="16"/>
                <w:lang w:val="en-GB"/>
              </w:rPr>
              <w:t>10</w:t>
            </w:r>
          </w:p>
          <w:p w14:paraId="663FD546" w14:textId="77777777" w:rsidR="00FF156A" w:rsidRPr="00D00EAB" w:rsidRDefault="00FF156A" w:rsidP="00097018">
            <w:pPr>
              <w:pStyle w:val="T1TableStyle"/>
              <w:jc w:val="center"/>
              <w:rPr>
                <w:rFonts w:ascii="Verdana" w:eastAsia="Verdana" w:hAnsi="Verdana" w:cs="Verdana"/>
                <w:color w:val="000000"/>
                <w:sz w:val="16"/>
                <w:lang w:val="en-GB"/>
              </w:rPr>
            </w:pPr>
            <w:r w:rsidRPr="00D00EAB">
              <w:rPr>
                <w:rFonts w:ascii="Verdana" w:eastAsia="Verdana" w:hAnsi="Verdana" w:cs="Verdana"/>
                <w:color w:val="000000"/>
                <w:sz w:val="16"/>
                <w:lang w:val="en-GB"/>
              </w:rPr>
              <w:t>11</w:t>
            </w:r>
          </w:p>
        </w:tc>
        <w:tc>
          <w:tcPr>
            <w:tcW w:w="1563" w:type="dxa"/>
            <w:shd w:val="clear" w:color="auto" w:fill="auto"/>
            <w:tcMar>
              <w:top w:w="20" w:type="dxa"/>
              <w:left w:w="20" w:type="dxa"/>
              <w:bottom w:w="20" w:type="dxa"/>
              <w:right w:w="20" w:type="dxa"/>
            </w:tcMar>
          </w:tcPr>
          <w:p w14:paraId="39E5D112" w14:textId="77777777" w:rsidR="00FF156A" w:rsidRPr="00D00EAB" w:rsidRDefault="00FF156A" w:rsidP="00097018">
            <w:pPr>
              <w:pStyle w:val="T1TableStyle"/>
              <w:jc w:val="right"/>
              <w:rPr>
                <w:rFonts w:ascii="Verdana" w:eastAsia="Verdana" w:hAnsi="Verdana" w:cs="Verdana"/>
                <w:color w:val="000000"/>
                <w:sz w:val="16"/>
                <w:lang w:val="en-GB"/>
              </w:rPr>
            </w:pPr>
            <w:r w:rsidRPr="00D00EAB">
              <w:rPr>
                <w:rFonts w:ascii="Verdana" w:eastAsia="Verdana" w:hAnsi="Verdana" w:cs="Verdana"/>
                <w:color w:val="000000"/>
                <w:sz w:val="16"/>
                <w:lang w:val="en-GB"/>
              </w:rPr>
              <w:t>(</w:t>
            </w:r>
            <w:r w:rsidR="00D00EAB" w:rsidRPr="00D00EAB">
              <w:rPr>
                <w:rFonts w:ascii="Verdana" w:eastAsia="Verdana" w:hAnsi="Verdana" w:cs="Verdana"/>
                <w:color w:val="000000"/>
                <w:sz w:val="16"/>
                <w:lang w:val="en-GB"/>
              </w:rPr>
              <w:t>1,951</w:t>
            </w:r>
            <w:r w:rsidRPr="00D00EAB">
              <w:rPr>
                <w:rFonts w:ascii="Verdana" w:eastAsia="Verdana" w:hAnsi="Verdana" w:cs="Verdana"/>
                <w:color w:val="000000"/>
                <w:sz w:val="16"/>
                <w:lang w:val="en-GB"/>
              </w:rPr>
              <w:t>)</w:t>
            </w:r>
          </w:p>
          <w:p w14:paraId="409275EF" w14:textId="77777777" w:rsidR="00FF156A" w:rsidRPr="00D00EAB" w:rsidRDefault="00FF156A" w:rsidP="00097018">
            <w:pPr>
              <w:pStyle w:val="T1TableStyle"/>
              <w:jc w:val="right"/>
              <w:rPr>
                <w:rFonts w:ascii="Verdana" w:eastAsia="Verdana" w:hAnsi="Verdana" w:cs="Verdana"/>
                <w:color w:val="000000"/>
                <w:sz w:val="16"/>
                <w:lang w:val="en-GB"/>
              </w:rPr>
            </w:pPr>
            <w:r w:rsidRPr="00D00EAB">
              <w:rPr>
                <w:rFonts w:ascii="Verdana" w:eastAsia="Verdana" w:hAnsi="Verdana" w:cs="Verdana"/>
                <w:color w:val="000000"/>
                <w:sz w:val="16"/>
                <w:lang w:val="en-GB"/>
              </w:rPr>
              <w:t>(110)</w:t>
            </w:r>
          </w:p>
        </w:tc>
      </w:tr>
      <w:tr w:rsidR="00FF156A" w:rsidRPr="00D00EAB" w14:paraId="1617FEE7" w14:textId="77777777" w:rsidTr="00097018">
        <w:trPr>
          <w:trHeight w:val="279"/>
        </w:trPr>
        <w:tc>
          <w:tcPr>
            <w:tcW w:w="1563" w:type="dxa"/>
            <w:tcBorders>
              <w:top w:val="single" w:sz="2" w:space="0" w:color="000000"/>
            </w:tcBorders>
            <w:shd w:val="clear" w:color="auto" w:fill="auto"/>
            <w:tcMar>
              <w:top w:w="20" w:type="dxa"/>
              <w:left w:w="20" w:type="dxa"/>
              <w:bottom w:w="20" w:type="dxa"/>
              <w:right w:w="20" w:type="dxa"/>
            </w:tcMar>
          </w:tcPr>
          <w:p w14:paraId="502A7010" w14:textId="77777777" w:rsidR="00FF156A" w:rsidRPr="00D00EAB" w:rsidRDefault="00FF156A" w:rsidP="00097018">
            <w:pPr>
              <w:pStyle w:val="T1TableStyle"/>
              <w:jc w:val="right"/>
              <w:rPr>
                <w:rFonts w:ascii="Verdana" w:eastAsia="Verdana" w:hAnsi="Verdana" w:cs="Verdana"/>
                <w:b/>
                <w:color w:val="000000"/>
                <w:sz w:val="16"/>
                <w:lang w:val="en-GB"/>
              </w:rPr>
            </w:pPr>
            <w:r w:rsidRPr="00D00EAB">
              <w:rPr>
                <w:rFonts w:ascii="Verdana" w:eastAsia="Verdana" w:hAnsi="Verdana" w:cs="Verdana"/>
                <w:b/>
                <w:color w:val="000000"/>
                <w:sz w:val="16"/>
                <w:lang w:val="en-GB"/>
              </w:rPr>
              <w:t>(1,</w:t>
            </w:r>
            <w:r w:rsidR="007573D7" w:rsidRPr="00D00EAB">
              <w:rPr>
                <w:rFonts w:ascii="Verdana" w:eastAsia="Verdana" w:hAnsi="Verdana" w:cs="Verdana"/>
                <w:b/>
                <w:color w:val="000000"/>
                <w:sz w:val="16"/>
                <w:lang w:val="en-GB"/>
              </w:rPr>
              <w:t>163</w:t>
            </w:r>
            <w:r w:rsidRPr="00D00EAB">
              <w:rPr>
                <w:rFonts w:ascii="Verdana" w:eastAsia="Verdana" w:hAnsi="Verdana" w:cs="Verdana"/>
                <w:b/>
                <w:color w:val="000000"/>
                <w:sz w:val="16"/>
                <w:lang w:val="en-GB"/>
              </w:rPr>
              <w:t>)</w:t>
            </w:r>
          </w:p>
        </w:tc>
        <w:tc>
          <w:tcPr>
            <w:tcW w:w="250" w:type="dxa"/>
            <w:tcBorders>
              <w:top w:val="single" w:sz="2" w:space="0" w:color="000000"/>
            </w:tcBorders>
            <w:shd w:val="clear" w:color="auto" w:fill="auto"/>
            <w:tcMar>
              <w:top w:w="20" w:type="dxa"/>
              <w:left w:w="20" w:type="dxa"/>
              <w:bottom w:w="20" w:type="dxa"/>
              <w:right w:w="20" w:type="dxa"/>
            </w:tcMar>
          </w:tcPr>
          <w:p w14:paraId="0719F92C" w14:textId="77777777" w:rsidR="00FF156A" w:rsidRPr="00D00EAB" w:rsidRDefault="00FF156A" w:rsidP="00097018">
            <w:pPr>
              <w:pStyle w:val="T1TableStyle"/>
              <w:jc w:val="center"/>
              <w:rPr>
                <w:rFonts w:ascii="Verdana" w:eastAsia="Verdana" w:hAnsi="Verdana" w:cs="Verdana"/>
                <w:b/>
                <w:color w:val="000000"/>
                <w:sz w:val="2"/>
                <w:lang w:val="en-GB"/>
              </w:rPr>
            </w:pPr>
            <w:r w:rsidRPr="00D00EAB">
              <w:rPr>
                <w:rFonts w:ascii="Verdana" w:eastAsia="Verdana" w:hAnsi="Verdana" w:cs="Verdana"/>
                <w:b/>
                <w:color w:val="000000"/>
                <w:sz w:val="2"/>
                <w:lang w:val="en-GB"/>
              </w:rPr>
              <w:t xml:space="preserve"> </w:t>
            </w:r>
          </w:p>
        </w:tc>
        <w:tc>
          <w:tcPr>
            <w:tcW w:w="2206" w:type="dxa"/>
            <w:tcBorders>
              <w:top w:val="single" w:sz="2" w:space="0" w:color="000000"/>
            </w:tcBorders>
            <w:shd w:val="clear" w:color="auto" w:fill="auto"/>
            <w:tcMar>
              <w:top w:w="20" w:type="dxa"/>
              <w:left w:w="20" w:type="dxa"/>
              <w:bottom w:w="20" w:type="dxa"/>
              <w:right w:w="20" w:type="dxa"/>
            </w:tcMar>
          </w:tcPr>
          <w:p w14:paraId="0A78BAEB" w14:textId="77777777" w:rsidR="00FF156A" w:rsidRPr="00D00EAB" w:rsidRDefault="00FF156A" w:rsidP="00097018">
            <w:pPr>
              <w:pStyle w:val="T1TableStyle"/>
              <w:rPr>
                <w:rFonts w:ascii="Verdana" w:eastAsia="Verdana" w:hAnsi="Verdana" w:cs="Verdana"/>
                <w:b/>
                <w:color w:val="000000"/>
                <w:sz w:val="16"/>
                <w:lang w:val="en-GB"/>
              </w:rPr>
            </w:pPr>
            <w:r w:rsidRPr="00D00EAB">
              <w:rPr>
                <w:rFonts w:ascii="Verdana" w:eastAsia="Verdana" w:hAnsi="Verdana" w:cs="Verdana"/>
                <w:b/>
                <w:color w:val="000000"/>
                <w:sz w:val="16"/>
                <w:lang w:val="en-GB"/>
              </w:rPr>
              <w:t>Current Liabilities</w:t>
            </w:r>
          </w:p>
        </w:tc>
        <w:tc>
          <w:tcPr>
            <w:tcW w:w="667" w:type="dxa"/>
            <w:tcBorders>
              <w:top w:val="single" w:sz="2" w:space="0" w:color="000000"/>
            </w:tcBorders>
            <w:vAlign w:val="center"/>
          </w:tcPr>
          <w:p w14:paraId="54A78A1C" w14:textId="77777777" w:rsidR="00FF156A" w:rsidRPr="00D00EAB" w:rsidRDefault="00FF156A" w:rsidP="00097018">
            <w:pPr>
              <w:pStyle w:val="T1TableStyle"/>
              <w:jc w:val="center"/>
              <w:rPr>
                <w:rFonts w:ascii="Verdana" w:eastAsia="Verdana" w:hAnsi="Verdana" w:cs="Verdana"/>
                <w:b/>
                <w:color w:val="000000"/>
                <w:sz w:val="16"/>
                <w:lang w:val="en-GB"/>
              </w:rPr>
            </w:pPr>
          </w:p>
        </w:tc>
        <w:tc>
          <w:tcPr>
            <w:tcW w:w="1563" w:type="dxa"/>
            <w:tcBorders>
              <w:top w:val="single" w:sz="2" w:space="0" w:color="000000"/>
            </w:tcBorders>
            <w:shd w:val="clear" w:color="auto" w:fill="auto"/>
            <w:tcMar>
              <w:top w:w="20" w:type="dxa"/>
              <w:left w:w="20" w:type="dxa"/>
              <w:bottom w:w="20" w:type="dxa"/>
              <w:right w:w="20" w:type="dxa"/>
            </w:tcMar>
          </w:tcPr>
          <w:p w14:paraId="3A6A2B9D" w14:textId="425DEABD" w:rsidR="00FF156A" w:rsidRPr="00D00EAB" w:rsidRDefault="00FF156A" w:rsidP="00097018">
            <w:pPr>
              <w:pStyle w:val="T1TableStyle"/>
              <w:jc w:val="right"/>
              <w:rPr>
                <w:rFonts w:ascii="Verdana" w:eastAsia="Verdana" w:hAnsi="Verdana" w:cs="Verdana"/>
                <w:b/>
                <w:color w:val="000000"/>
                <w:sz w:val="16"/>
                <w:lang w:val="en-GB"/>
              </w:rPr>
            </w:pPr>
            <w:r w:rsidRPr="00D00EAB">
              <w:rPr>
                <w:rFonts w:ascii="Verdana" w:eastAsia="Verdana" w:hAnsi="Verdana" w:cs="Verdana"/>
                <w:b/>
                <w:color w:val="000000"/>
                <w:sz w:val="16"/>
                <w:lang w:val="en-GB"/>
              </w:rPr>
              <w:t>(</w:t>
            </w:r>
            <w:r w:rsidR="0011744A">
              <w:rPr>
                <w:rFonts w:ascii="Verdana" w:eastAsia="Verdana" w:hAnsi="Verdana" w:cs="Verdana"/>
                <w:b/>
                <w:color w:val="000000"/>
                <w:sz w:val="16"/>
                <w:lang w:val="en-GB"/>
              </w:rPr>
              <w:t>2</w:t>
            </w:r>
            <w:r w:rsidRPr="00D00EAB">
              <w:rPr>
                <w:rFonts w:ascii="Verdana" w:eastAsia="Verdana" w:hAnsi="Verdana" w:cs="Verdana"/>
                <w:b/>
                <w:color w:val="000000"/>
                <w:sz w:val="16"/>
                <w:lang w:val="en-GB"/>
              </w:rPr>
              <w:t>,</w:t>
            </w:r>
            <w:r w:rsidR="0011744A">
              <w:rPr>
                <w:rFonts w:ascii="Verdana" w:eastAsia="Verdana" w:hAnsi="Verdana" w:cs="Verdana"/>
                <w:b/>
                <w:color w:val="000000"/>
                <w:sz w:val="16"/>
                <w:lang w:val="en-GB"/>
              </w:rPr>
              <w:t>061</w:t>
            </w:r>
            <w:r w:rsidRPr="00D00EAB">
              <w:rPr>
                <w:rFonts w:ascii="Verdana" w:eastAsia="Verdana" w:hAnsi="Verdana" w:cs="Verdana"/>
                <w:b/>
                <w:color w:val="000000"/>
                <w:sz w:val="16"/>
                <w:lang w:val="en-GB"/>
              </w:rPr>
              <w:t>)</w:t>
            </w:r>
          </w:p>
        </w:tc>
      </w:tr>
      <w:tr w:rsidR="00FF156A" w:rsidRPr="00252BD5" w14:paraId="0363431E" w14:textId="77777777" w:rsidTr="00097018">
        <w:trPr>
          <w:trHeight w:hRule="exact" w:val="279"/>
        </w:trPr>
        <w:tc>
          <w:tcPr>
            <w:tcW w:w="1563" w:type="dxa"/>
            <w:shd w:val="clear" w:color="auto" w:fill="auto"/>
            <w:tcMar>
              <w:top w:w="20" w:type="dxa"/>
              <w:left w:w="20" w:type="dxa"/>
              <w:bottom w:w="20" w:type="dxa"/>
              <w:right w:w="20" w:type="dxa"/>
            </w:tcMar>
          </w:tcPr>
          <w:p w14:paraId="319AA7BB" w14:textId="77777777" w:rsidR="00FF156A" w:rsidRPr="00D00EAB" w:rsidRDefault="00FF156A" w:rsidP="00097018">
            <w:pPr>
              <w:pStyle w:val="T1TableStyle"/>
              <w:jc w:val="center"/>
              <w:rPr>
                <w:rFonts w:ascii="Verdana" w:eastAsia="Verdana" w:hAnsi="Verdana" w:cs="Verdana"/>
                <w:b/>
                <w:color w:val="000000"/>
                <w:sz w:val="2"/>
                <w:lang w:val="en-GB"/>
              </w:rPr>
            </w:pPr>
            <w:r w:rsidRPr="00D00EAB">
              <w:rPr>
                <w:rFonts w:ascii="Verdana" w:eastAsia="Verdana" w:hAnsi="Verdana" w:cs="Verdana"/>
                <w:b/>
                <w:color w:val="000000"/>
                <w:sz w:val="2"/>
                <w:lang w:val="en-GB"/>
              </w:rPr>
              <w:t xml:space="preserve"> </w:t>
            </w:r>
          </w:p>
        </w:tc>
        <w:tc>
          <w:tcPr>
            <w:tcW w:w="250" w:type="dxa"/>
            <w:shd w:val="clear" w:color="auto" w:fill="auto"/>
            <w:tcMar>
              <w:top w:w="20" w:type="dxa"/>
              <w:left w:w="20" w:type="dxa"/>
              <w:bottom w:w="20" w:type="dxa"/>
              <w:right w:w="20" w:type="dxa"/>
            </w:tcMar>
          </w:tcPr>
          <w:p w14:paraId="1521732C" w14:textId="77777777" w:rsidR="00FF156A" w:rsidRPr="00D00EAB" w:rsidRDefault="00FF156A" w:rsidP="00097018">
            <w:pPr>
              <w:pStyle w:val="T1TableStyle"/>
              <w:jc w:val="center"/>
              <w:rPr>
                <w:rFonts w:ascii="Verdana" w:eastAsia="Verdana" w:hAnsi="Verdana" w:cs="Verdana"/>
                <w:b/>
                <w:color w:val="000000"/>
                <w:sz w:val="2"/>
                <w:lang w:val="en-GB"/>
              </w:rPr>
            </w:pPr>
            <w:r w:rsidRPr="00D00EAB">
              <w:rPr>
                <w:rFonts w:ascii="Verdana" w:eastAsia="Verdana" w:hAnsi="Verdana" w:cs="Verdana"/>
                <w:b/>
                <w:color w:val="000000"/>
                <w:sz w:val="2"/>
                <w:lang w:val="en-GB"/>
              </w:rPr>
              <w:t xml:space="preserve"> </w:t>
            </w:r>
          </w:p>
        </w:tc>
        <w:tc>
          <w:tcPr>
            <w:tcW w:w="2206" w:type="dxa"/>
            <w:shd w:val="clear" w:color="auto" w:fill="auto"/>
            <w:tcMar>
              <w:top w:w="20" w:type="dxa"/>
              <w:left w:w="20" w:type="dxa"/>
              <w:bottom w:w="20" w:type="dxa"/>
              <w:right w:w="20" w:type="dxa"/>
            </w:tcMar>
          </w:tcPr>
          <w:p w14:paraId="3F4C2857" w14:textId="77777777" w:rsidR="00FF156A" w:rsidRPr="00D00EAB" w:rsidRDefault="00FF156A" w:rsidP="00097018">
            <w:pPr>
              <w:pStyle w:val="T1TableStyle"/>
              <w:jc w:val="center"/>
              <w:rPr>
                <w:rFonts w:ascii="Verdana" w:eastAsia="Verdana" w:hAnsi="Verdana" w:cs="Verdana"/>
                <w:color w:val="000000"/>
                <w:sz w:val="2"/>
                <w:lang w:val="en-GB"/>
              </w:rPr>
            </w:pPr>
            <w:r w:rsidRPr="00D00EAB">
              <w:rPr>
                <w:rFonts w:ascii="Verdana" w:eastAsia="Verdana" w:hAnsi="Verdana" w:cs="Verdana"/>
                <w:color w:val="000000"/>
                <w:sz w:val="2"/>
                <w:lang w:val="en-GB"/>
              </w:rPr>
              <w:t xml:space="preserve"> </w:t>
            </w:r>
          </w:p>
        </w:tc>
        <w:tc>
          <w:tcPr>
            <w:tcW w:w="667" w:type="dxa"/>
            <w:vAlign w:val="center"/>
          </w:tcPr>
          <w:p w14:paraId="67B464C6" w14:textId="77777777" w:rsidR="00FF156A" w:rsidRPr="00D00EAB" w:rsidRDefault="00FF156A" w:rsidP="00097018">
            <w:pPr>
              <w:pStyle w:val="T1TableStyle"/>
              <w:jc w:val="center"/>
              <w:rPr>
                <w:rFonts w:ascii="Verdana" w:eastAsia="Verdana" w:hAnsi="Verdana" w:cs="Verdana"/>
                <w:color w:val="000000"/>
                <w:sz w:val="2"/>
                <w:lang w:val="en-GB"/>
              </w:rPr>
            </w:pPr>
          </w:p>
        </w:tc>
        <w:tc>
          <w:tcPr>
            <w:tcW w:w="1563" w:type="dxa"/>
            <w:shd w:val="clear" w:color="auto" w:fill="auto"/>
            <w:tcMar>
              <w:top w:w="20" w:type="dxa"/>
              <w:left w:w="20" w:type="dxa"/>
              <w:bottom w:w="20" w:type="dxa"/>
              <w:right w:w="20" w:type="dxa"/>
            </w:tcMar>
          </w:tcPr>
          <w:p w14:paraId="0E8AF199" w14:textId="77777777" w:rsidR="00FF156A" w:rsidRPr="00252BD5" w:rsidRDefault="00FF156A" w:rsidP="00097018">
            <w:pPr>
              <w:pStyle w:val="T1TableStyle"/>
              <w:jc w:val="center"/>
              <w:rPr>
                <w:rFonts w:ascii="Verdana" w:eastAsia="Verdana" w:hAnsi="Verdana" w:cs="Verdana"/>
                <w:color w:val="000000"/>
                <w:sz w:val="2"/>
                <w:highlight w:val="yellow"/>
                <w:lang w:val="en-GB"/>
              </w:rPr>
            </w:pPr>
            <w:r w:rsidRPr="00252BD5">
              <w:rPr>
                <w:rFonts w:ascii="Verdana" w:eastAsia="Verdana" w:hAnsi="Verdana" w:cs="Verdana"/>
                <w:color w:val="000000"/>
                <w:sz w:val="2"/>
                <w:highlight w:val="yellow"/>
                <w:lang w:val="en-GB"/>
              </w:rPr>
              <w:t xml:space="preserve"> </w:t>
            </w:r>
          </w:p>
        </w:tc>
      </w:tr>
      <w:tr w:rsidR="00FF156A" w:rsidRPr="00252BD5" w14:paraId="7FC70D00" w14:textId="77777777" w:rsidTr="00097018">
        <w:trPr>
          <w:trHeight w:val="279"/>
        </w:trPr>
        <w:tc>
          <w:tcPr>
            <w:tcW w:w="1563" w:type="dxa"/>
            <w:shd w:val="clear" w:color="auto" w:fill="auto"/>
            <w:tcMar>
              <w:top w:w="20" w:type="dxa"/>
              <w:left w:w="20" w:type="dxa"/>
              <w:bottom w:w="20" w:type="dxa"/>
              <w:right w:w="20" w:type="dxa"/>
            </w:tcMar>
          </w:tcPr>
          <w:p w14:paraId="121282C9" w14:textId="77777777" w:rsidR="00FF156A" w:rsidRPr="00D00EAB" w:rsidRDefault="00FF156A" w:rsidP="00097018">
            <w:pPr>
              <w:pStyle w:val="T1TableStyle"/>
              <w:jc w:val="right"/>
              <w:rPr>
                <w:rFonts w:ascii="Verdana" w:eastAsia="Verdana" w:hAnsi="Verdana" w:cs="Verdana"/>
                <w:color w:val="000000"/>
                <w:sz w:val="16"/>
                <w:lang w:val="en-GB"/>
              </w:rPr>
            </w:pPr>
            <w:r w:rsidRPr="00D00EAB">
              <w:rPr>
                <w:rFonts w:ascii="Verdana" w:eastAsia="Verdana" w:hAnsi="Verdana" w:cs="Verdana"/>
                <w:color w:val="000000"/>
                <w:sz w:val="16"/>
                <w:lang w:val="en-GB"/>
              </w:rPr>
              <w:t>(</w:t>
            </w:r>
            <w:r w:rsidR="007573D7" w:rsidRPr="00D00EAB">
              <w:rPr>
                <w:rFonts w:ascii="Verdana" w:eastAsia="Verdana" w:hAnsi="Verdana" w:cs="Verdana"/>
                <w:color w:val="000000"/>
                <w:sz w:val="16"/>
                <w:lang w:val="en-GB"/>
              </w:rPr>
              <w:t>2,026,555</w:t>
            </w:r>
            <w:r w:rsidRPr="00D00EAB">
              <w:rPr>
                <w:rFonts w:ascii="Verdana" w:eastAsia="Verdana" w:hAnsi="Verdana" w:cs="Verdana"/>
                <w:color w:val="000000"/>
                <w:sz w:val="16"/>
                <w:lang w:val="en-GB"/>
              </w:rPr>
              <w:t>)</w:t>
            </w:r>
          </w:p>
        </w:tc>
        <w:tc>
          <w:tcPr>
            <w:tcW w:w="250" w:type="dxa"/>
            <w:shd w:val="clear" w:color="auto" w:fill="auto"/>
            <w:tcMar>
              <w:top w:w="20" w:type="dxa"/>
              <w:left w:w="20" w:type="dxa"/>
              <w:bottom w:w="20" w:type="dxa"/>
              <w:right w:w="20" w:type="dxa"/>
            </w:tcMar>
          </w:tcPr>
          <w:p w14:paraId="6B3004ED" w14:textId="77777777" w:rsidR="00FF156A" w:rsidRPr="00D00EAB" w:rsidRDefault="00FF156A" w:rsidP="00097018">
            <w:pPr>
              <w:pStyle w:val="T1TableStyle"/>
              <w:jc w:val="center"/>
              <w:rPr>
                <w:rFonts w:ascii="Verdana" w:eastAsia="Verdana" w:hAnsi="Verdana" w:cs="Verdana"/>
                <w:b/>
                <w:color w:val="000000"/>
                <w:sz w:val="2"/>
                <w:lang w:val="en-GB"/>
              </w:rPr>
            </w:pPr>
            <w:r w:rsidRPr="00D00EAB">
              <w:rPr>
                <w:rFonts w:ascii="Verdana" w:eastAsia="Verdana" w:hAnsi="Verdana" w:cs="Verdana"/>
                <w:b/>
                <w:color w:val="000000"/>
                <w:sz w:val="2"/>
                <w:lang w:val="en-GB"/>
              </w:rPr>
              <w:t xml:space="preserve"> </w:t>
            </w:r>
          </w:p>
        </w:tc>
        <w:tc>
          <w:tcPr>
            <w:tcW w:w="2206" w:type="dxa"/>
            <w:shd w:val="clear" w:color="auto" w:fill="auto"/>
            <w:tcMar>
              <w:top w:w="20" w:type="dxa"/>
              <w:left w:w="20" w:type="dxa"/>
              <w:bottom w:w="20" w:type="dxa"/>
              <w:right w:w="20" w:type="dxa"/>
            </w:tcMar>
          </w:tcPr>
          <w:p w14:paraId="2C39E2DF" w14:textId="77777777" w:rsidR="00FF156A" w:rsidRPr="00D00EAB" w:rsidRDefault="00FF156A" w:rsidP="00097018">
            <w:pPr>
              <w:pStyle w:val="T1TableStyle"/>
              <w:rPr>
                <w:rFonts w:ascii="Verdana" w:eastAsia="Verdana" w:hAnsi="Verdana" w:cs="Verdana"/>
                <w:color w:val="000000"/>
                <w:sz w:val="16"/>
                <w:lang w:val="en-GB"/>
              </w:rPr>
            </w:pPr>
            <w:r w:rsidRPr="00D00EAB">
              <w:rPr>
                <w:rFonts w:ascii="Verdana" w:eastAsia="Verdana" w:hAnsi="Verdana" w:cs="Verdana"/>
                <w:color w:val="000000"/>
                <w:sz w:val="16"/>
                <w:lang w:val="en-GB"/>
              </w:rPr>
              <w:t>Other Long-Term Liabilities</w:t>
            </w:r>
          </w:p>
        </w:tc>
        <w:tc>
          <w:tcPr>
            <w:tcW w:w="667" w:type="dxa"/>
            <w:vAlign w:val="center"/>
          </w:tcPr>
          <w:p w14:paraId="43C158B5" w14:textId="77777777" w:rsidR="00FF156A" w:rsidRPr="00D00EAB" w:rsidRDefault="00FF156A" w:rsidP="00097018">
            <w:pPr>
              <w:pStyle w:val="T1TableStyle"/>
              <w:jc w:val="center"/>
              <w:rPr>
                <w:rFonts w:ascii="Verdana" w:eastAsia="Verdana" w:hAnsi="Verdana" w:cs="Verdana"/>
                <w:color w:val="000000"/>
                <w:sz w:val="16"/>
                <w:lang w:val="en-GB"/>
              </w:rPr>
            </w:pPr>
          </w:p>
        </w:tc>
        <w:tc>
          <w:tcPr>
            <w:tcW w:w="1563" w:type="dxa"/>
            <w:shd w:val="clear" w:color="auto" w:fill="auto"/>
            <w:tcMar>
              <w:top w:w="20" w:type="dxa"/>
              <w:left w:w="20" w:type="dxa"/>
              <w:bottom w:w="20" w:type="dxa"/>
              <w:right w:w="20" w:type="dxa"/>
            </w:tcMar>
          </w:tcPr>
          <w:p w14:paraId="6B74ED78" w14:textId="19ECFC5B" w:rsidR="00FF156A" w:rsidRPr="00457B5C" w:rsidRDefault="00FF156A" w:rsidP="00097018">
            <w:pPr>
              <w:pStyle w:val="T1TableStyle"/>
              <w:jc w:val="right"/>
              <w:rPr>
                <w:rFonts w:ascii="Verdana" w:eastAsia="Verdana" w:hAnsi="Verdana" w:cs="Verdana"/>
                <w:color w:val="000000"/>
                <w:sz w:val="16"/>
                <w:lang w:val="en-GB"/>
              </w:rPr>
            </w:pPr>
            <w:r w:rsidRPr="00457B5C">
              <w:rPr>
                <w:rFonts w:ascii="Verdana" w:eastAsia="Verdana" w:hAnsi="Verdana" w:cs="Verdana"/>
                <w:color w:val="000000"/>
                <w:sz w:val="16"/>
                <w:lang w:val="en-GB"/>
              </w:rPr>
              <w:t>(</w:t>
            </w:r>
            <w:r w:rsidR="00457B5C" w:rsidRPr="00457B5C">
              <w:rPr>
                <w:rFonts w:ascii="Verdana" w:eastAsia="Verdana" w:hAnsi="Verdana" w:cs="Verdana"/>
                <w:color w:val="000000"/>
                <w:sz w:val="16"/>
                <w:lang w:val="en-GB"/>
              </w:rPr>
              <w:t>2,174,046</w:t>
            </w:r>
            <w:r w:rsidRPr="00457B5C">
              <w:rPr>
                <w:rFonts w:ascii="Verdana" w:eastAsia="Verdana" w:hAnsi="Verdana" w:cs="Verdana"/>
                <w:color w:val="000000"/>
                <w:sz w:val="16"/>
                <w:lang w:val="en-GB"/>
              </w:rPr>
              <w:t>)</w:t>
            </w:r>
          </w:p>
        </w:tc>
      </w:tr>
      <w:tr w:rsidR="00FF156A" w:rsidRPr="00252BD5" w14:paraId="13BEDA62" w14:textId="77777777" w:rsidTr="00097018">
        <w:trPr>
          <w:trHeight w:val="279"/>
        </w:trPr>
        <w:tc>
          <w:tcPr>
            <w:tcW w:w="1563" w:type="dxa"/>
            <w:tcBorders>
              <w:top w:val="single" w:sz="2" w:space="0" w:color="000000"/>
            </w:tcBorders>
            <w:shd w:val="clear" w:color="auto" w:fill="auto"/>
            <w:tcMar>
              <w:top w:w="20" w:type="dxa"/>
              <w:left w:w="20" w:type="dxa"/>
              <w:bottom w:w="20" w:type="dxa"/>
              <w:right w:w="20" w:type="dxa"/>
            </w:tcMar>
          </w:tcPr>
          <w:p w14:paraId="124AB54F" w14:textId="77777777" w:rsidR="00FF156A" w:rsidRPr="00D00EAB" w:rsidRDefault="00FF156A" w:rsidP="00097018">
            <w:pPr>
              <w:pStyle w:val="T1TableStyle"/>
              <w:jc w:val="right"/>
              <w:rPr>
                <w:rFonts w:ascii="Verdana" w:eastAsia="Verdana" w:hAnsi="Verdana" w:cs="Verdana"/>
                <w:b/>
                <w:color w:val="000000"/>
                <w:sz w:val="16"/>
                <w:lang w:val="en-GB"/>
              </w:rPr>
            </w:pPr>
            <w:r w:rsidRPr="00D00EAB">
              <w:rPr>
                <w:rFonts w:ascii="Verdana" w:eastAsia="Verdana" w:hAnsi="Verdana" w:cs="Verdana"/>
                <w:b/>
                <w:color w:val="000000"/>
                <w:sz w:val="16"/>
                <w:lang w:val="en-GB"/>
              </w:rPr>
              <w:t>(</w:t>
            </w:r>
            <w:r w:rsidR="007573D7" w:rsidRPr="00D00EAB">
              <w:rPr>
                <w:rFonts w:ascii="Verdana" w:eastAsia="Verdana" w:hAnsi="Verdana" w:cs="Verdana"/>
                <w:b/>
                <w:color w:val="000000"/>
                <w:sz w:val="16"/>
                <w:lang w:val="en-GB"/>
              </w:rPr>
              <w:t>2,026,555</w:t>
            </w:r>
            <w:r w:rsidRPr="00D00EAB">
              <w:rPr>
                <w:rFonts w:ascii="Verdana" w:eastAsia="Verdana" w:hAnsi="Verdana" w:cs="Verdana"/>
                <w:b/>
                <w:color w:val="000000"/>
                <w:sz w:val="16"/>
                <w:lang w:val="en-GB"/>
              </w:rPr>
              <w:t>)</w:t>
            </w:r>
          </w:p>
        </w:tc>
        <w:tc>
          <w:tcPr>
            <w:tcW w:w="250" w:type="dxa"/>
            <w:tcBorders>
              <w:top w:val="single" w:sz="2" w:space="0" w:color="000000"/>
            </w:tcBorders>
            <w:shd w:val="clear" w:color="auto" w:fill="auto"/>
            <w:tcMar>
              <w:top w:w="20" w:type="dxa"/>
              <w:left w:w="20" w:type="dxa"/>
              <w:bottom w:w="20" w:type="dxa"/>
              <w:right w:w="20" w:type="dxa"/>
            </w:tcMar>
          </w:tcPr>
          <w:p w14:paraId="571A585C" w14:textId="77777777" w:rsidR="00FF156A" w:rsidRPr="00D00EAB" w:rsidRDefault="00FF156A" w:rsidP="00097018">
            <w:pPr>
              <w:pStyle w:val="T1TableStyle"/>
              <w:jc w:val="center"/>
              <w:rPr>
                <w:rFonts w:ascii="Verdana" w:eastAsia="Verdana" w:hAnsi="Verdana" w:cs="Verdana"/>
                <w:b/>
                <w:color w:val="000000"/>
                <w:sz w:val="2"/>
                <w:lang w:val="en-GB"/>
              </w:rPr>
            </w:pPr>
            <w:r w:rsidRPr="00D00EAB">
              <w:rPr>
                <w:rFonts w:ascii="Verdana" w:eastAsia="Verdana" w:hAnsi="Verdana" w:cs="Verdana"/>
                <w:b/>
                <w:color w:val="000000"/>
                <w:sz w:val="2"/>
                <w:lang w:val="en-GB"/>
              </w:rPr>
              <w:t xml:space="preserve"> </w:t>
            </w:r>
          </w:p>
        </w:tc>
        <w:tc>
          <w:tcPr>
            <w:tcW w:w="2206" w:type="dxa"/>
            <w:tcBorders>
              <w:top w:val="single" w:sz="2" w:space="0" w:color="000000"/>
            </w:tcBorders>
            <w:shd w:val="clear" w:color="auto" w:fill="auto"/>
            <w:tcMar>
              <w:top w:w="20" w:type="dxa"/>
              <w:left w:w="20" w:type="dxa"/>
              <w:bottom w:w="20" w:type="dxa"/>
              <w:right w:w="20" w:type="dxa"/>
            </w:tcMar>
          </w:tcPr>
          <w:p w14:paraId="28BCB843" w14:textId="77777777" w:rsidR="00FF156A" w:rsidRPr="00D00EAB" w:rsidRDefault="00FF156A" w:rsidP="00097018">
            <w:pPr>
              <w:pStyle w:val="T1TableStyle"/>
              <w:rPr>
                <w:rFonts w:ascii="Verdana" w:eastAsia="Verdana" w:hAnsi="Verdana" w:cs="Verdana"/>
                <w:b/>
                <w:color w:val="000000"/>
                <w:sz w:val="16"/>
                <w:lang w:val="en-GB"/>
              </w:rPr>
            </w:pPr>
            <w:r w:rsidRPr="00D00EAB">
              <w:rPr>
                <w:rFonts w:ascii="Verdana" w:eastAsia="Verdana" w:hAnsi="Verdana" w:cs="Verdana"/>
                <w:b/>
                <w:color w:val="000000"/>
                <w:sz w:val="16"/>
                <w:lang w:val="en-GB"/>
              </w:rPr>
              <w:t>Long Term Liabilities</w:t>
            </w:r>
          </w:p>
        </w:tc>
        <w:tc>
          <w:tcPr>
            <w:tcW w:w="667" w:type="dxa"/>
            <w:tcBorders>
              <w:top w:val="single" w:sz="2" w:space="0" w:color="000000"/>
            </w:tcBorders>
            <w:vAlign w:val="center"/>
          </w:tcPr>
          <w:p w14:paraId="6AF598F6" w14:textId="77777777" w:rsidR="00FF156A" w:rsidRPr="00D00EAB" w:rsidRDefault="00FF156A" w:rsidP="00097018">
            <w:pPr>
              <w:pStyle w:val="T1TableStyle"/>
              <w:jc w:val="center"/>
              <w:rPr>
                <w:rFonts w:ascii="Verdana" w:eastAsia="Verdana" w:hAnsi="Verdana" w:cs="Verdana"/>
                <w:b/>
                <w:color w:val="000000"/>
                <w:sz w:val="16"/>
                <w:lang w:val="en-GB"/>
              </w:rPr>
            </w:pPr>
          </w:p>
        </w:tc>
        <w:tc>
          <w:tcPr>
            <w:tcW w:w="1563" w:type="dxa"/>
            <w:tcBorders>
              <w:top w:val="single" w:sz="2" w:space="0" w:color="000000"/>
            </w:tcBorders>
            <w:shd w:val="clear" w:color="auto" w:fill="auto"/>
            <w:tcMar>
              <w:top w:w="20" w:type="dxa"/>
              <w:left w:w="20" w:type="dxa"/>
              <w:bottom w:w="20" w:type="dxa"/>
              <w:right w:w="20" w:type="dxa"/>
            </w:tcMar>
          </w:tcPr>
          <w:p w14:paraId="6AF9FF2A" w14:textId="16C831E0" w:rsidR="00FF156A" w:rsidRPr="00457B5C" w:rsidRDefault="00FF156A" w:rsidP="00097018">
            <w:pPr>
              <w:pStyle w:val="T1TableStyle"/>
              <w:jc w:val="right"/>
              <w:rPr>
                <w:rFonts w:ascii="Verdana" w:eastAsia="Verdana" w:hAnsi="Verdana" w:cs="Verdana"/>
                <w:b/>
                <w:color w:val="000000"/>
                <w:sz w:val="16"/>
                <w:lang w:val="en-GB"/>
              </w:rPr>
            </w:pPr>
            <w:r w:rsidRPr="00457B5C">
              <w:rPr>
                <w:rFonts w:ascii="Verdana" w:eastAsia="Verdana" w:hAnsi="Verdana" w:cs="Verdana"/>
                <w:b/>
                <w:color w:val="000000"/>
                <w:sz w:val="16"/>
                <w:lang w:val="en-GB"/>
              </w:rPr>
              <w:t>(</w:t>
            </w:r>
            <w:r w:rsidR="00457B5C" w:rsidRPr="00457B5C">
              <w:rPr>
                <w:rFonts w:ascii="Verdana" w:eastAsia="Verdana" w:hAnsi="Verdana" w:cs="Verdana"/>
                <w:b/>
                <w:color w:val="000000"/>
                <w:sz w:val="16"/>
                <w:lang w:val="en-GB"/>
              </w:rPr>
              <w:t>2,174,046</w:t>
            </w:r>
            <w:r w:rsidRPr="00457B5C">
              <w:rPr>
                <w:rFonts w:ascii="Verdana" w:eastAsia="Verdana" w:hAnsi="Verdana" w:cs="Verdana"/>
                <w:b/>
                <w:color w:val="000000"/>
                <w:sz w:val="16"/>
                <w:lang w:val="en-GB"/>
              </w:rPr>
              <w:t>)</w:t>
            </w:r>
          </w:p>
        </w:tc>
      </w:tr>
      <w:tr w:rsidR="00FF156A" w:rsidRPr="00252BD5" w14:paraId="15334B49" w14:textId="77777777" w:rsidTr="00097018">
        <w:trPr>
          <w:trHeight w:hRule="exact" w:val="279"/>
        </w:trPr>
        <w:tc>
          <w:tcPr>
            <w:tcW w:w="1563" w:type="dxa"/>
            <w:shd w:val="clear" w:color="auto" w:fill="auto"/>
            <w:tcMar>
              <w:top w:w="20" w:type="dxa"/>
              <w:left w:w="20" w:type="dxa"/>
              <w:bottom w:w="20" w:type="dxa"/>
              <w:right w:w="20" w:type="dxa"/>
            </w:tcMar>
          </w:tcPr>
          <w:p w14:paraId="1BCC9947" w14:textId="77777777" w:rsidR="00FF156A" w:rsidRPr="00D00EAB" w:rsidRDefault="00FF156A" w:rsidP="00097018">
            <w:pPr>
              <w:pStyle w:val="T1TableStyle"/>
              <w:jc w:val="center"/>
              <w:rPr>
                <w:rFonts w:ascii="Verdana" w:eastAsia="Verdana" w:hAnsi="Verdana" w:cs="Verdana"/>
                <w:b/>
                <w:color w:val="000000"/>
                <w:sz w:val="2"/>
                <w:lang w:val="en-GB"/>
              </w:rPr>
            </w:pPr>
            <w:r w:rsidRPr="00D00EAB">
              <w:rPr>
                <w:rFonts w:ascii="Verdana" w:eastAsia="Verdana" w:hAnsi="Verdana" w:cs="Verdana"/>
                <w:b/>
                <w:color w:val="000000"/>
                <w:sz w:val="2"/>
                <w:lang w:val="en-GB"/>
              </w:rPr>
              <w:t xml:space="preserve"> </w:t>
            </w:r>
          </w:p>
        </w:tc>
        <w:tc>
          <w:tcPr>
            <w:tcW w:w="250" w:type="dxa"/>
            <w:shd w:val="clear" w:color="auto" w:fill="auto"/>
            <w:tcMar>
              <w:top w:w="20" w:type="dxa"/>
              <w:left w:w="20" w:type="dxa"/>
              <w:bottom w:w="20" w:type="dxa"/>
              <w:right w:w="20" w:type="dxa"/>
            </w:tcMar>
          </w:tcPr>
          <w:p w14:paraId="1320EAB3" w14:textId="77777777" w:rsidR="00FF156A" w:rsidRPr="00D00EAB" w:rsidRDefault="00FF156A" w:rsidP="00097018">
            <w:pPr>
              <w:pStyle w:val="T1TableStyle"/>
              <w:jc w:val="center"/>
              <w:rPr>
                <w:rFonts w:ascii="Verdana" w:eastAsia="Verdana" w:hAnsi="Verdana" w:cs="Verdana"/>
                <w:b/>
                <w:color w:val="000000"/>
                <w:sz w:val="2"/>
                <w:lang w:val="en-GB"/>
              </w:rPr>
            </w:pPr>
            <w:r w:rsidRPr="00D00EAB">
              <w:rPr>
                <w:rFonts w:ascii="Verdana" w:eastAsia="Verdana" w:hAnsi="Verdana" w:cs="Verdana"/>
                <w:b/>
                <w:color w:val="000000"/>
                <w:sz w:val="2"/>
                <w:lang w:val="en-GB"/>
              </w:rPr>
              <w:t xml:space="preserve"> </w:t>
            </w:r>
          </w:p>
        </w:tc>
        <w:tc>
          <w:tcPr>
            <w:tcW w:w="2206" w:type="dxa"/>
            <w:shd w:val="clear" w:color="auto" w:fill="auto"/>
            <w:tcMar>
              <w:top w:w="20" w:type="dxa"/>
              <w:left w:w="20" w:type="dxa"/>
              <w:bottom w:w="20" w:type="dxa"/>
              <w:right w:w="20" w:type="dxa"/>
            </w:tcMar>
          </w:tcPr>
          <w:p w14:paraId="70D88774" w14:textId="77777777" w:rsidR="00FF156A" w:rsidRPr="00D00EAB" w:rsidRDefault="00FF156A" w:rsidP="00097018">
            <w:pPr>
              <w:pStyle w:val="T1TableStyle"/>
              <w:jc w:val="center"/>
              <w:rPr>
                <w:rFonts w:ascii="Verdana" w:eastAsia="Verdana" w:hAnsi="Verdana" w:cs="Verdana"/>
                <w:b/>
                <w:color w:val="000000"/>
                <w:sz w:val="2"/>
                <w:lang w:val="en-GB"/>
              </w:rPr>
            </w:pPr>
            <w:r w:rsidRPr="00D00EAB">
              <w:rPr>
                <w:rFonts w:ascii="Verdana" w:eastAsia="Verdana" w:hAnsi="Verdana" w:cs="Verdana"/>
                <w:b/>
                <w:color w:val="000000"/>
                <w:sz w:val="2"/>
                <w:lang w:val="en-GB"/>
              </w:rPr>
              <w:t xml:space="preserve"> </w:t>
            </w:r>
          </w:p>
        </w:tc>
        <w:tc>
          <w:tcPr>
            <w:tcW w:w="667" w:type="dxa"/>
            <w:vAlign w:val="center"/>
          </w:tcPr>
          <w:p w14:paraId="3DD15059" w14:textId="77777777" w:rsidR="00FF156A" w:rsidRPr="00D00EAB" w:rsidRDefault="00FF156A" w:rsidP="00097018">
            <w:pPr>
              <w:pStyle w:val="T1TableStyle"/>
              <w:jc w:val="center"/>
              <w:rPr>
                <w:rFonts w:ascii="Verdana" w:eastAsia="Verdana" w:hAnsi="Verdana" w:cs="Verdana"/>
                <w:b/>
                <w:color w:val="000000"/>
                <w:sz w:val="2"/>
                <w:lang w:val="en-GB"/>
              </w:rPr>
            </w:pPr>
          </w:p>
        </w:tc>
        <w:tc>
          <w:tcPr>
            <w:tcW w:w="1563" w:type="dxa"/>
            <w:shd w:val="clear" w:color="auto" w:fill="auto"/>
            <w:tcMar>
              <w:top w:w="20" w:type="dxa"/>
              <w:left w:w="20" w:type="dxa"/>
              <w:bottom w:w="20" w:type="dxa"/>
              <w:right w:w="20" w:type="dxa"/>
            </w:tcMar>
          </w:tcPr>
          <w:p w14:paraId="22042CB1" w14:textId="77777777" w:rsidR="00FF156A" w:rsidRPr="00457B5C" w:rsidRDefault="00FF156A" w:rsidP="00097018">
            <w:pPr>
              <w:pStyle w:val="T1TableStyle"/>
              <w:jc w:val="center"/>
              <w:rPr>
                <w:rFonts w:ascii="Verdana" w:eastAsia="Verdana" w:hAnsi="Verdana" w:cs="Verdana"/>
                <w:b/>
                <w:color w:val="000000"/>
                <w:sz w:val="2"/>
                <w:lang w:val="en-GB"/>
              </w:rPr>
            </w:pPr>
            <w:r w:rsidRPr="00457B5C">
              <w:rPr>
                <w:rFonts w:ascii="Verdana" w:eastAsia="Verdana" w:hAnsi="Verdana" w:cs="Verdana"/>
                <w:b/>
                <w:color w:val="000000"/>
                <w:sz w:val="2"/>
                <w:lang w:val="en-GB"/>
              </w:rPr>
              <w:t xml:space="preserve"> </w:t>
            </w:r>
          </w:p>
        </w:tc>
      </w:tr>
      <w:tr w:rsidR="00FF156A" w:rsidRPr="00252BD5" w14:paraId="4871CEE6" w14:textId="77777777" w:rsidTr="00097018">
        <w:trPr>
          <w:trHeight w:val="279"/>
        </w:trPr>
        <w:tc>
          <w:tcPr>
            <w:tcW w:w="1563" w:type="dxa"/>
            <w:tcBorders>
              <w:top w:val="single" w:sz="2" w:space="0" w:color="000000"/>
              <w:bottom w:val="single" w:sz="12" w:space="0" w:color="000000"/>
            </w:tcBorders>
            <w:shd w:val="clear" w:color="auto" w:fill="auto"/>
            <w:tcMar>
              <w:top w:w="20" w:type="dxa"/>
              <w:left w:w="20" w:type="dxa"/>
              <w:bottom w:w="20" w:type="dxa"/>
              <w:right w:w="20" w:type="dxa"/>
            </w:tcMar>
          </w:tcPr>
          <w:p w14:paraId="6BDBDFD9" w14:textId="77777777" w:rsidR="00FF156A" w:rsidRPr="00D00EAB" w:rsidRDefault="00FF156A" w:rsidP="00097018">
            <w:pPr>
              <w:pStyle w:val="T1TableStyle"/>
              <w:jc w:val="right"/>
              <w:rPr>
                <w:rFonts w:ascii="Verdana" w:eastAsia="Verdana" w:hAnsi="Verdana" w:cs="Verdana"/>
                <w:b/>
                <w:color w:val="000000"/>
                <w:sz w:val="16"/>
                <w:lang w:val="en-GB"/>
              </w:rPr>
            </w:pPr>
            <w:r w:rsidRPr="00D00EAB">
              <w:rPr>
                <w:rFonts w:ascii="Verdana" w:eastAsia="Verdana" w:hAnsi="Verdana" w:cs="Verdana"/>
                <w:b/>
                <w:color w:val="000000"/>
                <w:sz w:val="16"/>
                <w:lang w:val="en-GB"/>
              </w:rPr>
              <w:t>(</w:t>
            </w:r>
            <w:r w:rsidR="007573D7" w:rsidRPr="00D00EAB">
              <w:rPr>
                <w:rFonts w:ascii="Verdana" w:eastAsia="Verdana" w:hAnsi="Verdana" w:cs="Verdana"/>
                <w:b/>
                <w:color w:val="000000"/>
                <w:sz w:val="16"/>
                <w:lang w:val="en-GB"/>
              </w:rPr>
              <w:t>2,027,608</w:t>
            </w:r>
            <w:r w:rsidRPr="00D00EAB">
              <w:rPr>
                <w:rFonts w:ascii="Verdana" w:eastAsia="Verdana" w:hAnsi="Verdana" w:cs="Verdana"/>
                <w:b/>
                <w:color w:val="000000"/>
                <w:sz w:val="16"/>
                <w:lang w:val="en-GB"/>
              </w:rPr>
              <w:t>)</w:t>
            </w:r>
          </w:p>
        </w:tc>
        <w:tc>
          <w:tcPr>
            <w:tcW w:w="250" w:type="dxa"/>
            <w:tcBorders>
              <w:top w:val="single" w:sz="2" w:space="0" w:color="000000"/>
              <w:bottom w:val="single" w:sz="12" w:space="0" w:color="000000"/>
            </w:tcBorders>
            <w:shd w:val="clear" w:color="auto" w:fill="auto"/>
            <w:tcMar>
              <w:top w:w="20" w:type="dxa"/>
              <w:left w:w="20" w:type="dxa"/>
              <w:bottom w:w="20" w:type="dxa"/>
              <w:right w:w="20" w:type="dxa"/>
            </w:tcMar>
          </w:tcPr>
          <w:p w14:paraId="6D2767BD" w14:textId="77777777" w:rsidR="00FF156A" w:rsidRPr="00D00EAB" w:rsidRDefault="00FF156A" w:rsidP="00097018">
            <w:pPr>
              <w:pStyle w:val="T1TableStyle"/>
              <w:jc w:val="center"/>
              <w:rPr>
                <w:rFonts w:ascii="Verdana" w:eastAsia="Verdana" w:hAnsi="Verdana" w:cs="Verdana"/>
                <w:b/>
                <w:color w:val="000000"/>
                <w:sz w:val="2"/>
                <w:lang w:val="en-GB"/>
              </w:rPr>
            </w:pPr>
            <w:r w:rsidRPr="00D00EAB">
              <w:rPr>
                <w:rFonts w:ascii="Verdana" w:eastAsia="Verdana" w:hAnsi="Verdana" w:cs="Verdana"/>
                <w:b/>
                <w:color w:val="000000"/>
                <w:sz w:val="2"/>
                <w:lang w:val="en-GB"/>
              </w:rPr>
              <w:t xml:space="preserve"> </w:t>
            </w:r>
          </w:p>
        </w:tc>
        <w:tc>
          <w:tcPr>
            <w:tcW w:w="2206" w:type="dxa"/>
            <w:tcBorders>
              <w:top w:val="single" w:sz="2" w:space="0" w:color="000000"/>
              <w:bottom w:val="single" w:sz="12" w:space="0" w:color="000000"/>
            </w:tcBorders>
            <w:shd w:val="clear" w:color="auto" w:fill="auto"/>
            <w:tcMar>
              <w:top w:w="20" w:type="dxa"/>
              <w:left w:w="20" w:type="dxa"/>
              <w:bottom w:w="20" w:type="dxa"/>
              <w:right w:w="20" w:type="dxa"/>
            </w:tcMar>
          </w:tcPr>
          <w:p w14:paraId="1BC3AAAF" w14:textId="77777777" w:rsidR="00FF156A" w:rsidRPr="00D00EAB" w:rsidRDefault="00FF156A" w:rsidP="00097018">
            <w:pPr>
              <w:pStyle w:val="T1TableStyle"/>
              <w:rPr>
                <w:rFonts w:ascii="Verdana" w:eastAsia="Verdana" w:hAnsi="Verdana" w:cs="Verdana"/>
                <w:b/>
                <w:color w:val="000000"/>
                <w:sz w:val="16"/>
                <w:lang w:val="en-GB"/>
              </w:rPr>
            </w:pPr>
            <w:r w:rsidRPr="00D00EAB">
              <w:rPr>
                <w:rFonts w:ascii="Verdana" w:eastAsia="Verdana" w:hAnsi="Verdana" w:cs="Verdana"/>
                <w:b/>
                <w:color w:val="000000"/>
                <w:sz w:val="16"/>
                <w:lang w:val="en-GB"/>
              </w:rPr>
              <w:t>Net Liabilities</w:t>
            </w:r>
          </w:p>
        </w:tc>
        <w:tc>
          <w:tcPr>
            <w:tcW w:w="667" w:type="dxa"/>
            <w:tcBorders>
              <w:top w:val="single" w:sz="2" w:space="0" w:color="000000"/>
              <w:bottom w:val="single" w:sz="12" w:space="0" w:color="000000"/>
            </w:tcBorders>
            <w:vAlign w:val="center"/>
          </w:tcPr>
          <w:p w14:paraId="3C77BA24" w14:textId="77777777" w:rsidR="00FF156A" w:rsidRPr="00D00EAB" w:rsidRDefault="00FF156A" w:rsidP="00097018">
            <w:pPr>
              <w:pStyle w:val="T1TableStyle"/>
              <w:jc w:val="center"/>
              <w:rPr>
                <w:rFonts w:ascii="Verdana" w:eastAsia="Verdana" w:hAnsi="Verdana" w:cs="Verdana"/>
                <w:b/>
                <w:color w:val="000000"/>
                <w:sz w:val="16"/>
                <w:lang w:val="en-GB"/>
              </w:rPr>
            </w:pPr>
          </w:p>
        </w:tc>
        <w:tc>
          <w:tcPr>
            <w:tcW w:w="1563" w:type="dxa"/>
            <w:tcBorders>
              <w:top w:val="single" w:sz="2" w:space="0" w:color="000000"/>
              <w:bottom w:val="single" w:sz="12" w:space="0" w:color="000000"/>
            </w:tcBorders>
            <w:shd w:val="clear" w:color="auto" w:fill="auto"/>
            <w:tcMar>
              <w:top w:w="20" w:type="dxa"/>
              <w:left w:w="20" w:type="dxa"/>
              <w:bottom w:w="20" w:type="dxa"/>
              <w:right w:w="20" w:type="dxa"/>
            </w:tcMar>
          </w:tcPr>
          <w:p w14:paraId="582CC441" w14:textId="23D2E174" w:rsidR="00FF156A" w:rsidRPr="00457B5C" w:rsidRDefault="00FF156A" w:rsidP="00097018">
            <w:pPr>
              <w:pStyle w:val="T1TableStyle"/>
              <w:jc w:val="right"/>
              <w:rPr>
                <w:rFonts w:ascii="Verdana" w:eastAsia="Verdana" w:hAnsi="Verdana" w:cs="Verdana"/>
                <w:b/>
                <w:color w:val="000000"/>
                <w:sz w:val="16"/>
                <w:lang w:val="en-GB"/>
              </w:rPr>
            </w:pPr>
            <w:r w:rsidRPr="00457B5C">
              <w:rPr>
                <w:rFonts w:ascii="Verdana" w:eastAsia="Verdana" w:hAnsi="Verdana" w:cs="Verdana"/>
                <w:b/>
                <w:color w:val="000000"/>
                <w:sz w:val="16"/>
                <w:lang w:val="en-GB"/>
              </w:rPr>
              <w:t>(</w:t>
            </w:r>
            <w:r w:rsidR="00457B5C" w:rsidRPr="00457B5C">
              <w:rPr>
                <w:rFonts w:ascii="Verdana" w:eastAsia="Verdana" w:hAnsi="Verdana" w:cs="Verdana"/>
                <w:b/>
                <w:color w:val="000000"/>
                <w:sz w:val="16"/>
                <w:lang w:val="en-GB"/>
              </w:rPr>
              <w:t>2,175,997</w:t>
            </w:r>
            <w:r w:rsidRPr="00457B5C">
              <w:rPr>
                <w:rFonts w:ascii="Verdana" w:eastAsia="Verdana" w:hAnsi="Verdana" w:cs="Verdana"/>
                <w:b/>
                <w:color w:val="000000"/>
                <w:sz w:val="16"/>
                <w:lang w:val="en-GB"/>
              </w:rPr>
              <w:t>)</w:t>
            </w:r>
          </w:p>
        </w:tc>
      </w:tr>
      <w:tr w:rsidR="00FF156A" w:rsidRPr="00252BD5" w14:paraId="753CADAD" w14:textId="77777777" w:rsidTr="00097018">
        <w:trPr>
          <w:trHeight w:hRule="exact" w:val="279"/>
        </w:trPr>
        <w:tc>
          <w:tcPr>
            <w:tcW w:w="1563" w:type="dxa"/>
            <w:shd w:val="clear" w:color="auto" w:fill="auto"/>
            <w:tcMar>
              <w:top w:w="20" w:type="dxa"/>
              <w:left w:w="20" w:type="dxa"/>
              <w:bottom w:w="20" w:type="dxa"/>
              <w:right w:w="20" w:type="dxa"/>
            </w:tcMar>
          </w:tcPr>
          <w:p w14:paraId="511B2CDD" w14:textId="77777777" w:rsidR="00FF156A" w:rsidRPr="00D00EAB" w:rsidRDefault="00FF156A" w:rsidP="00097018">
            <w:pPr>
              <w:pStyle w:val="T1TableStyle"/>
              <w:jc w:val="center"/>
              <w:rPr>
                <w:rFonts w:ascii="Verdana" w:eastAsia="Verdana" w:hAnsi="Verdana" w:cs="Verdana"/>
                <w:b/>
                <w:color w:val="000000"/>
                <w:sz w:val="2"/>
                <w:lang w:val="en-GB"/>
              </w:rPr>
            </w:pPr>
            <w:r w:rsidRPr="00D00EAB">
              <w:rPr>
                <w:rFonts w:ascii="Verdana" w:eastAsia="Verdana" w:hAnsi="Verdana" w:cs="Verdana"/>
                <w:b/>
                <w:color w:val="000000"/>
                <w:sz w:val="2"/>
                <w:lang w:val="en-GB"/>
              </w:rPr>
              <w:t xml:space="preserve"> </w:t>
            </w:r>
          </w:p>
        </w:tc>
        <w:tc>
          <w:tcPr>
            <w:tcW w:w="250" w:type="dxa"/>
            <w:shd w:val="clear" w:color="auto" w:fill="auto"/>
            <w:tcMar>
              <w:top w:w="20" w:type="dxa"/>
              <w:left w:w="20" w:type="dxa"/>
              <w:bottom w:w="20" w:type="dxa"/>
              <w:right w:w="20" w:type="dxa"/>
            </w:tcMar>
          </w:tcPr>
          <w:p w14:paraId="1A94F5ED" w14:textId="77777777" w:rsidR="00FF156A" w:rsidRPr="00D00EAB" w:rsidRDefault="00FF156A" w:rsidP="00097018">
            <w:pPr>
              <w:pStyle w:val="T1TableStyle"/>
              <w:jc w:val="center"/>
              <w:rPr>
                <w:rFonts w:ascii="Verdana" w:eastAsia="Verdana" w:hAnsi="Verdana" w:cs="Verdana"/>
                <w:b/>
                <w:color w:val="000000"/>
                <w:sz w:val="2"/>
                <w:lang w:val="en-GB"/>
              </w:rPr>
            </w:pPr>
            <w:r w:rsidRPr="00D00EAB">
              <w:rPr>
                <w:rFonts w:ascii="Verdana" w:eastAsia="Verdana" w:hAnsi="Verdana" w:cs="Verdana"/>
                <w:b/>
                <w:color w:val="000000"/>
                <w:sz w:val="2"/>
                <w:lang w:val="en-GB"/>
              </w:rPr>
              <w:t xml:space="preserve"> </w:t>
            </w:r>
          </w:p>
        </w:tc>
        <w:tc>
          <w:tcPr>
            <w:tcW w:w="2206" w:type="dxa"/>
            <w:shd w:val="clear" w:color="auto" w:fill="auto"/>
            <w:tcMar>
              <w:top w:w="20" w:type="dxa"/>
              <w:left w:w="20" w:type="dxa"/>
              <w:bottom w:w="20" w:type="dxa"/>
              <w:right w:w="20" w:type="dxa"/>
            </w:tcMar>
          </w:tcPr>
          <w:p w14:paraId="5FAB3E31" w14:textId="77777777" w:rsidR="00FF156A" w:rsidRPr="00D00EAB" w:rsidRDefault="00FF156A" w:rsidP="00097018">
            <w:pPr>
              <w:pStyle w:val="T1TableStyle"/>
              <w:jc w:val="center"/>
              <w:rPr>
                <w:rFonts w:ascii="Verdana" w:eastAsia="Verdana" w:hAnsi="Verdana" w:cs="Verdana"/>
                <w:b/>
                <w:color w:val="000000"/>
                <w:sz w:val="2"/>
                <w:lang w:val="en-GB"/>
              </w:rPr>
            </w:pPr>
            <w:r w:rsidRPr="00D00EAB">
              <w:rPr>
                <w:rFonts w:ascii="Verdana" w:eastAsia="Verdana" w:hAnsi="Verdana" w:cs="Verdana"/>
                <w:b/>
                <w:color w:val="000000"/>
                <w:sz w:val="2"/>
                <w:lang w:val="en-GB"/>
              </w:rPr>
              <w:t xml:space="preserve"> </w:t>
            </w:r>
          </w:p>
        </w:tc>
        <w:tc>
          <w:tcPr>
            <w:tcW w:w="667" w:type="dxa"/>
            <w:vAlign w:val="center"/>
          </w:tcPr>
          <w:p w14:paraId="477DC760" w14:textId="77777777" w:rsidR="00FF156A" w:rsidRPr="00D00EAB" w:rsidRDefault="00FF156A" w:rsidP="00097018">
            <w:pPr>
              <w:pStyle w:val="T1TableStyle"/>
              <w:jc w:val="center"/>
              <w:rPr>
                <w:rFonts w:ascii="Verdana" w:eastAsia="Verdana" w:hAnsi="Verdana" w:cs="Verdana"/>
                <w:b/>
                <w:color w:val="000000"/>
                <w:sz w:val="2"/>
                <w:lang w:val="en-GB"/>
              </w:rPr>
            </w:pPr>
          </w:p>
        </w:tc>
        <w:tc>
          <w:tcPr>
            <w:tcW w:w="1563" w:type="dxa"/>
            <w:shd w:val="clear" w:color="auto" w:fill="auto"/>
            <w:tcMar>
              <w:top w:w="20" w:type="dxa"/>
              <w:left w:w="20" w:type="dxa"/>
              <w:bottom w:w="20" w:type="dxa"/>
              <w:right w:w="20" w:type="dxa"/>
            </w:tcMar>
          </w:tcPr>
          <w:p w14:paraId="3F568518" w14:textId="77777777" w:rsidR="00FF156A" w:rsidRPr="00457B5C" w:rsidRDefault="00FF156A" w:rsidP="00097018">
            <w:pPr>
              <w:pStyle w:val="T1TableStyle"/>
              <w:jc w:val="center"/>
              <w:rPr>
                <w:rFonts w:ascii="Verdana" w:eastAsia="Verdana" w:hAnsi="Verdana" w:cs="Verdana"/>
                <w:b/>
                <w:color w:val="000000"/>
                <w:sz w:val="2"/>
                <w:lang w:val="en-GB"/>
              </w:rPr>
            </w:pPr>
            <w:r w:rsidRPr="00457B5C">
              <w:rPr>
                <w:rFonts w:ascii="Verdana" w:eastAsia="Verdana" w:hAnsi="Verdana" w:cs="Verdana"/>
                <w:b/>
                <w:color w:val="000000"/>
                <w:sz w:val="2"/>
                <w:lang w:val="en-GB"/>
              </w:rPr>
              <w:t xml:space="preserve"> </w:t>
            </w:r>
          </w:p>
        </w:tc>
      </w:tr>
      <w:tr w:rsidR="00FF156A" w:rsidRPr="00252BD5" w14:paraId="3487D2D9" w14:textId="77777777" w:rsidTr="00097018">
        <w:trPr>
          <w:trHeight w:val="279"/>
        </w:trPr>
        <w:tc>
          <w:tcPr>
            <w:tcW w:w="1563" w:type="dxa"/>
            <w:shd w:val="clear" w:color="auto" w:fill="auto"/>
            <w:tcMar>
              <w:top w:w="20" w:type="dxa"/>
              <w:left w:w="20" w:type="dxa"/>
              <w:bottom w:w="20" w:type="dxa"/>
              <w:right w:w="20" w:type="dxa"/>
            </w:tcMar>
          </w:tcPr>
          <w:p w14:paraId="33DFBC63" w14:textId="77777777" w:rsidR="00FF156A" w:rsidRPr="00D00EAB" w:rsidRDefault="007573D7" w:rsidP="00097018">
            <w:pPr>
              <w:pStyle w:val="T1TableStyle"/>
              <w:jc w:val="right"/>
              <w:rPr>
                <w:rFonts w:ascii="Verdana" w:eastAsia="Verdana" w:hAnsi="Verdana" w:cs="Verdana"/>
                <w:color w:val="000000"/>
                <w:sz w:val="16"/>
                <w:lang w:val="en-GB"/>
              </w:rPr>
            </w:pPr>
            <w:r w:rsidRPr="00D00EAB">
              <w:rPr>
                <w:rFonts w:ascii="Verdana" w:eastAsia="Verdana" w:hAnsi="Verdana" w:cs="Verdana"/>
                <w:color w:val="000000"/>
                <w:sz w:val="16"/>
                <w:lang w:val="en-GB"/>
              </w:rPr>
              <w:t>2,027,608</w:t>
            </w:r>
          </w:p>
        </w:tc>
        <w:tc>
          <w:tcPr>
            <w:tcW w:w="250" w:type="dxa"/>
            <w:shd w:val="clear" w:color="auto" w:fill="auto"/>
            <w:tcMar>
              <w:top w:w="20" w:type="dxa"/>
              <w:left w:w="20" w:type="dxa"/>
              <w:bottom w:w="20" w:type="dxa"/>
              <w:right w:w="20" w:type="dxa"/>
            </w:tcMar>
          </w:tcPr>
          <w:p w14:paraId="294AE33B" w14:textId="77777777" w:rsidR="00FF156A" w:rsidRPr="00D00EAB" w:rsidRDefault="00FF156A" w:rsidP="00097018">
            <w:pPr>
              <w:pStyle w:val="T1TableStyle"/>
              <w:jc w:val="center"/>
              <w:rPr>
                <w:rFonts w:ascii="Verdana" w:eastAsia="Verdana" w:hAnsi="Verdana" w:cs="Verdana"/>
                <w:b/>
                <w:color w:val="000000"/>
                <w:sz w:val="2"/>
                <w:lang w:val="en-GB"/>
              </w:rPr>
            </w:pPr>
            <w:r w:rsidRPr="00D00EAB">
              <w:rPr>
                <w:rFonts w:ascii="Verdana" w:eastAsia="Verdana" w:hAnsi="Verdana" w:cs="Verdana"/>
                <w:b/>
                <w:color w:val="000000"/>
                <w:sz w:val="2"/>
                <w:lang w:val="en-GB"/>
              </w:rPr>
              <w:t xml:space="preserve"> </w:t>
            </w:r>
          </w:p>
        </w:tc>
        <w:tc>
          <w:tcPr>
            <w:tcW w:w="2206" w:type="dxa"/>
            <w:shd w:val="clear" w:color="auto" w:fill="auto"/>
            <w:tcMar>
              <w:top w:w="20" w:type="dxa"/>
              <w:left w:w="20" w:type="dxa"/>
              <w:bottom w:w="20" w:type="dxa"/>
              <w:right w:w="20" w:type="dxa"/>
            </w:tcMar>
          </w:tcPr>
          <w:p w14:paraId="38FC09ED" w14:textId="77777777" w:rsidR="00FF156A" w:rsidRPr="00D00EAB" w:rsidRDefault="00FF156A" w:rsidP="00097018">
            <w:pPr>
              <w:pStyle w:val="T1TableStyle"/>
              <w:rPr>
                <w:rFonts w:ascii="Verdana" w:eastAsia="Verdana" w:hAnsi="Verdana" w:cs="Verdana"/>
                <w:color w:val="000000"/>
                <w:sz w:val="16"/>
                <w:lang w:val="en-GB"/>
              </w:rPr>
            </w:pPr>
            <w:r w:rsidRPr="00D00EAB">
              <w:rPr>
                <w:rFonts w:ascii="Verdana" w:eastAsia="Verdana" w:hAnsi="Verdana" w:cs="Verdana"/>
                <w:color w:val="000000"/>
                <w:sz w:val="16"/>
                <w:lang w:val="en-GB"/>
              </w:rPr>
              <w:t>Unusable Reserves</w:t>
            </w:r>
          </w:p>
        </w:tc>
        <w:tc>
          <w:tcPr>
            <w:tcW w:w="667" w:type="dxa"/>
            <w:vAlign w:val="center"/>
          </w:tcPr>
          <w:p w14:paraId="3815AB7B" w14:textId="77777777" w:rsidR="00FF156A" w:rsidRPr="00D00EAB" w:rsidRDefault="00FF156A" w:rsidP="00097018">
            <w:pPr>
              <w:pStyle w:val="T1TableStyle"/>
              <w:jc w:val="center"/>
              <w:rPr>
                <w:rFonts w:ascii="Verdana" w:eastAsia="Verdana" w:hAnsi="Verdana" w:cs="Verdana"/>
                <w:color w:val="000000"/>
                <w:sz w:val="16"/>
                <w:lang w:val="en-GB"/>
              </w:rPr>
            </w:pPr>
            <w:r w:rsidRPr="00D00EAB">
              <w:rPr>
                <w:rFonts w:ascii="Verdana" w:eastAsia="Verdana" w:hAnsi="Verdana" w:cs="Verdana"/>
                <w:color w:val="000000"/>
                <w:sz w:val="16"/>
                <w:lang w:val="en-GB"/>
              </w:rPr>
              <w:t>8</w:t>
            </w:r>
          </w:p>
        </w:tc>
        <w:tc>
          <w:tcPr>
            <w:tcW w:w="1563" w:type="dxa"/>
            <w:shd w:val="clear" w:color="auto" w:fill="auto"/>
            <w:tcMar>
              <w:top w:w="20" w:type="dxa"/>
              <w:left w:w="20" w:type="dxa"/>
              <w:bottom w:w="20" w:type="dxa"/>
              <w:right w:w="20" w:type="dxa"/>
            </w:tcMar>
          </w:tcPr>
          <w:p w14:paraId="3260541E" w14:textId="1D58B0CA" w:rsidR="00FF156A" w:rsidRPr="00457B5C" w:rsidRDefault="00457B5C" w:rsidP="00097018">
            <w:pPr>
              <w:pStyle w:val="T1TableStyle"/>
              <w:jc w:val="right"/>
              <w:rPr>
                <w:rFonts w:ascii="Verdana" w:eastAsia="Verdana" w:hAnsi="Verdana" w:cs="Verdana"/>
                <w:color w:val="000000"/>
                <w:sz w:val="16"/>
                <w:lang w:val="en-GB"/>
              </w:rPr>
            </w:pPr>
            <w:r w:rsidRPr="00457B5C">
              <w:rPr>
                <w:rFonts w:ascii="Verdana" w:eastAsia="Verdana" w:hAnsi="Verdana" w:cs="Verdana"/>
                <w:color w:val="000000"/>
                <w:sz w:val="16"/>
                <w:lang w:val="en-GB"/>
              </w:rPr>
              <w:t>2,175,997</w:t>
            </w:r>
          </w:p>
        </w:tc>
      </w:tr>
      <w:tr w:rsidR="00FF156A" w:rsidRPr="00252BD5" w14:paraId="03EF1278" w14:textId="77777777" w:rsidTr="00097018">
        <w:trPr>
          <w:trHeight w:val="279"/>
        </w:trPr>
        <w:tc>
          <w:tcPr>
            <w:tcW w:w="1563" w:type="dxa"/>
            <w:tcBorders>
              <w:top w:val="single" w:sz="2" w:space="0" w:color="000000"/>
              <w:bottom w:val="single" w:sz="12" w:space="0" w:color="000000"/>
            </w:tcBorders>
            <w:shd w:val="clear" w:color="auto" w:fill="auto"/>
            <w:tcMar>
              <w:top w:w="20" w:type="dxa"/>
              <w:left w:w="20" w:type="dxa"/>
              <w:bottom w:w="20" w:type="dxa"/>
              <w:right w:w="20" w:type="dxa"/>
            </w:tcMar>
          </w:tcPr>
          <w:p w14:paraId="59B0A167" w14:textId="77777777" w:rsidR="00FF156A" w:rsidRPr="00D00EAB" w:rsidRDefault="007573D7" w:rsidP="00097018">
            <w:pPr>
              <w:pStyle w:val="T1TableStyle"/>
              <w:jc w:val="right"/>
              <w:rPr>
                <w:rFonts w:ascii="Verdana" w:eastAsia="Verdana" w:hAnsi="Verdana" w:cs="Verdana"/>
                <w:b/>
                <w:color w:val="000000"/>
                <w:sz w:val="16"/>
                <w:lang w:val="en-GB"/>
              </w:rPr>
            </w:pPr>
            <w:r w:rsidRPr="00D00EAB">
              <w:rPr>
                <w:rFonts w:ascii="Verdana" w:eastAsia="Verdana" w:hAnsi="Verdana" w:cs="Verdana"/>
                <w:b/>
                <w:color w:val="000000"/>
                <w:sz w:val="16"/>
                <w:lang w:val="en-GB"/>
              </w:rPr>
              <w:t>2,027,608</w:t>
            </w:r>
          </w:p>
        </w:tc>
        <w:tc>
          <w:tcPr>
            <w:tcW w:w="250" w:type="dxa"/>
            <w:tcBorders>
              <w:top w:val="single" w:sz="2" w:space="0" w:color="000000"/>
              <w:bottom w:val="single" w:sz="12" w:space="0" w:color="000000"/>
            </w:tcBorders>
            <w:shd w:val="clear" w:color="auto" w:fill="auto"/>
            <w:tcMar>
              <w:top w:w="20" w:type="dxa"/>
              <w:left w:w="20" w:type="dxa"/>
              <w:bottom w:w="20" w:type="dxa"/>
              <w:right w:w="20" w:type="dxa"/>
            </w:tcMar>
          </w:tcPr>
          <w:p w14:paraId="682CCCB3" w14:textId="77777777" w:rsidR="00FF156A" w:rsidRPr="00D00EAB" w:rsidRDefault="00FF156A" w:rsidP="00097018">
            <w:pPr>
              <w:pStyle w:val="T1TableStyle"/>
              <w:jc w:val="center"/>
              <w:rPr>
                <w:rFonts w:ascii="Verdana" w:eastAsia="Verdana" w:hAnsi="Verdana" w:cs="Verdana"/>
                <w:b/>
                <w:color w:val="000000"/>
                <w:sz w:val="2"/>
                <w:lang w:val="en-GB"/>
              </w:rPr>
            </w:pPr>
            <w:r w:rsidRPr="00D00EAB">
              <w:rPr>
                <w:rFonts w:ascii="Verdana" w:eastAsia="Verdana" w:hAnsi="Verdana" w:cs="Verdana"/>
                <w:b/>
                <w:color w:val="000000"/>
                <w:sz w:val="2"/>
                <w:lang w:val="en-GB"/>
              </w:rPr>
              <w:t xml:space="preserve"> </w:t>
            </w:r>
          </w:p>
        </w:tc>
        <w:tc>
          <w:tcPr>
            <w:tcW w:w="2206" w:type="dxa"/>
            <w:tcBorders>
              <w:top w:val="single" w:sz="2" w:space="0" w:color="000000"/>
              <w:bottom w:val="single" w:sz="12" w:space="0" w:color="000000"/>
            </w:tcBorders>
            <w:shd w:val="clear" w:color="auto" w:fill="auto"/>
            <w:tcMar>
              <w:top w:w="20" w:type="dxa"/>
              <w:left w:w="20" w:type="dxa"/>
              <w:bottom w:w="20" w:type="dxa"/>
              <w:right w:w="20" w:type="dxa"/>
            </w:tcMar>
          </w:tcPr>
          <w:p w14:paraId="19B5D887" w14:textId="77777777" w:rsidR="00FF156A" w:rsidRPr="00D00EAB" w:rsidRDefault="00FF156A" w:rsidP="00097018">
            <w:pPr>
              <w:pStyle w:val="T1TableStyle"/>
              <w:rPr>
                <w:rFonts w:ascii="Verdana" w:eastAsia="Verdana" w:hAnsi="Verdana" w:cs="Verdana"/>
                <w:b/>
                <w:color w:val="000000"/>
                <w:sz w:val="16"/>
                <w:lang w:val="en-GB"/>
              </w:rPr>
            </w:pPr>
            <w:r w:rsidRPr="00D00EAB">
              <w:rPr>
                <w:rFonts w:ascii="Verdana" w:eastAsia="Verdana" w:hAnsi="Verdana" w:cs="Verdana"/>
                <w:b/>
                <w:color w:val="000000"/>
                <w:sz w:val="16"/>
                <w:lang w:val="en-GB"/>
              </w:rPr>
              <w:t>Total Reserves</w:t>
            </w:r>
          </w:p>
        </w:tc>
        <w:tc>
          <w:tcPr>
            <w:tcW w:w="667" w:type="dxa"/>
            <w:tcBorders>
              <w:top w:val="single" w:sz="2" w:space="0" w:color="000000"/>
              <w:bottom w:val="single" w:sz="12" w:space="0" w:color="000000"/>
            </w:tcBorders>
          </w:tcPr>
          <w:p w14:paraId="7040834A" w14:textId="77777777" w:rsidR="00FF156A" w:rsidRPr="00D00EAB" w:rsidRDefault="00FF156A" w:rsidP="00097018">
            <w:pPr>
              <w:pStyle w:val="T1TableStyle"/>
              <w:jc w:val="right"/>
              <w:rPr>
                <w:rFonts w:ascii="Verdana" w:eastAsia="Verdana" w:hAnsi="Verdana" w:cs="Verdana"/>
                <w:b/>
                <w:color w:val="000000"/>
                <w:sz w:val="16"/>
                <w:lang w:val="en-GB"/>
              </w:rPr>
            </w:pPr>
          </w:p>
        </w:tc>
        <w:tc>
          <w:tcPr>
            <w:tcW w:w="1563" w:type="dxa"/>
            <w:tcBorders>
              <w:top w:val="single" w:sz="2" w:space="0" w:color="000000"/>
              <w:bottom w:val="single" w:sz="12" w:space="0" w:color="000000"/>
            </w:tcBorders>
            <w:shd w:val="clear" w:color="auto" w:fill="auto"/>
            <w:tcMar>
              <w:top w:w="20" w:type="dxa"/>
              <w:left w:w="20" w:type="dxa"/>
              <w:bottom w:w="20" w:type="dxa"/>
              <w:right w:w="20" w:type="dxa"/>
            </w:tcMar>
          </w:tcPr>
          <w:p w14:paraId="75F99C53" w14:textId="27E62C62" w:rsidR="00FF156A" w:rsidRPr="00457B5C" w:rsidRDefault="00FF156A" w:rsidP="00097018">
            <w:pPr>
              <w:pStyle w:val="T1TableStyle"/>
              <w:jc w:val="right"/>
              <w:rPr>
                <w:rFonts w:ascii="Verdana" w:eastAsia="Verdana" w:hAnsi="Verdana" w:cs="Verdana"/>
                <w:b/>
                <w:color w:val="000000"/>
                <w:sz w:val="16"/>
                <w:lang w:val="en-GB"/>
              </w:rPr>
            </w:pPr>
            <w:r w:rsidRPr="00457B5C">
              <w:rPr>
                <w:rFonts w:ascii="Verdana" w:eastAsia="Verdana" w:hAnsi="Verdana" w:cs="Verdana"/>
                <w:b/>
                <w:color w:val="000000"/>
                <w:sz w:val="16"/>
                <w:lang w:val="en-GB"/>
              </w:rPr>
              <w:t>2</w:t>
            </w:r>
            <w:r w:rsidR="00457B5C" w:rsidRPr="00457B5C">
              <w:rPr>
                <w:rFonts w:ascii="Verdana" w:eastAsia="Verdana" w:hAnsi="Verdana" w:cs="Verdana"/>
                <w:b/>
                <w:color w:val="000000"/>
                <w:sz w:val="16"/>
                <w:lang w:val="en-GB"/>
              </w:rPr>
              <w:t>,175,997</w:t>
            </w:r>
          </w:p>
        </w:tc>
      </w:tr>
    </w:tbl>
    <w:p w14:paraId="05A431E1" w14:textId="77777777" w:rsidR="00FF156A" w:rsidRPr="00DC1077" w:rsidRDefault="00FF156A" w:rsidP="00097018">
      <w:pPr>
        <w:pStyle w:val="Normal0"/>
        <w:spacing w:after="160"/>
        <w:jc w:val="both"/>
        <w:rPr>
          <w:rFonts w:ascii="Verdana" w:eastAsia="Verdana" w:hAnsi="Verdana" w:cs="Verdana"/>
          <w:sz w:val="22"/>
          <w:szCs w:val="22"/>
          <w:highlight w:val="yellow"/>
          <w:lang w:val="en-GB"/>
        </w:rPr>
      </w:pPr>
    </w:p>
    <w:p w14:paraId="071A45A1" w14:textId="77777777" w:rsidR="00F227D9" w:rsidRPr="00457B5C" w:rsidRDefault="00F227D9" w:rsidP="00097018">
      <w:pPr>
        <w:pStyle w:val="Normal0"/>
        <w:spacing w:after="160"/>
        <w:rPr>
          <w:rFonts w:ascii="Verdana" w:eastAsia="Verdana" w:hAnsi="Verdana" w:cs="Verdana"/>
          <w:sz w:val="22"/>
          <w:szCs w:val="22"/>
          <w:u w:val="single"/>
          <w:lang w:val="en-GB"/>
        </w:rPr>
      </w:pPr>
    </w:p>
    <w:p w14:paraId="15EDF082" w14:textId="56A22DAF" w:rsidR="00F227D9" w:rsidRDefault="00B8692E" w:rsidP="00097018">
      <w:pPr>
        <w:pStyle w:val="Normal0"/>
        <w:spacing w:after="160"/>
        <w:jc w:val="both"/>
        <w:rPr>
          <w:rFonts w:ascii="Verdana" w:eastAsia="Verdana" w:hAnsi="Verdana" w:cs="Verdana"/>
          <w:sz w:val="22"/>
          <w:szCs w:val="22"/>
          <w:highlight w:val="yellow"/>
          <w:lang w:val="en-GB"/>
        </w:rPr>
      </w:pPr>
      <w:r w:rsidRPr="00457B5C">
        <w:rPr>
          <w:rFonts w:ascii="Verdana" w:eastAsia="Verdana" w:hAnsi="Verdana" w:cs="Verdana"/>
          <w:sz w:val="22"/>
          <w:szCs w:val="22"/>
          <w:lang w:val="en-GB"/>
        </w:rPr>
        <w:t xml:space="preserve">I certify that the </w:t>
      </w:r>
      <w:r w:rsidR="00E60EB5">
        <w:rPr>
          <w:rFonts w:ascii="Verdana" w:eastAsia="Verdana" w:hAnsi="Verdana" w:cs="Verdana"/>
          <w:sz w:val="22"/>
          <w:szCs w:val="22"/>
          <w:lang w:val="en-GB"/>
        </w:rPr>
        <w:t xml:space="preserve">Draft </w:t>
      </w:r>
      <w:r w:rsidRPr="00457B5C">
        <w:rPr>
          <w:rFonts w:ascii="Verdana" w:eastAsia="Verdana" w:hAnsi="Verdana" w:cs="Verdana"/>
          <w:sz w:val="22"/>
          <w:szCs w:val="22"/>
          <w:lang w:val="en-GB"/>
        </w:rPr>
        <w:t>Statement of Accounts gives a true and fair view of the financial position of the Chief Constable of Surrey at the accounting date and of the income and expenditure for the year ended 31 March 202</w:t>
      </w:r>
      <w:r w:rsidR="00457B5C" w:rsidRPr="00457B5C">
        <w:rPr>
          <w:rFonts w:ascii="Verdana" w:eastAsia="Verdana" w:hAnsi="Verdana" w:cs="Verdana"/>
          <w:sz w:val="22"/>
          <w:szCs w:val="22"/>
          <w:lang w:val="en-GB"/>
        </w:rPr>
        <w:t>1</w:t>
      </w:r>
      <w:r w:rsidRPr="00457B5C">
        <w:rPr>
          <w:rFonts w:ascii="Verdana" w:eastAsia="Verdana" w:hAnsi="Verdana" w:cs="Verdana"/>
          <w:sz w:val="22"/>
          <w:szCs w:val="22"/>
          <w:lang w:val="en-GB"/>
        </w:rPr>
        <w:t xml:space="preserve">. </w:t>
      </w:r>
    </w:p>
    <w:p w14:paraId="546655B7" w14:textId="74F33361" w:rsidR="00E60EB5" w:rsidRDefault="00E60EB5" w:rsidP="00097018">
      <w:pPr>
        <w:pStyle w:val="Normal0"/>
        <w:spacing w:after="160"/>
        <w:jc w:val="both"/>
        <w:rPr>
          <w:rFonts w:ascii="Verdana" w:eastAsia="Verdana" w:hAnsi="Verdana" w:cs="Verdana"/>
          <w:sz w:val="22"/>
          <w:szCs w:val="22"/>
          <w:highlight w:val="yellow"/>
          <w:lang w:val="en-GB"/>
        </w:rPr>
      </w:pPr>
    </w:p>
    <w:p w14:paraId="310711A4" w14:textId="77777777" w:rsidR="00E60EB5" w:rsidRPr="00DC1077" w:rsidRDefault="00E60EB5" w:rsidP="00097018">
      <w:pPr>
        <w:pStyle w:val="Normal0"/>
        <w:spacing w:after="160"/>
        <w:jc w:val="both"/>
        <w:rPr>
          <w:rFonts w:ascii="Verdana" w:eastAsia="Verdana" w:hAnsi="Verdana" w:cs="Verdana"/>
          <w:sz w:val="22"/>
          <w:szCs w:val="22"/>
          <w:highlight w:val="yellow"/>
          <w:lang w:val="en-GB"/>
        </w:rPr>
      </w:pPr>
    </w:p>
    <w:p w14:paraId="6430557C" w14:textId="646D029A" w:rsidR="00B8692E" w:rsidRPr="00E60EB5" w:rsidRDefault="00B8692E" w:rsidP="00097018">
      <w:pPr>
        <w:pStyle w:val="Normal0"/>
        <w:spacing w:after="160"/>
        <w:rPr>
          <w:noProof/>
          <w:lang w:val="en-GB" w:eastAsia="en-GB"/>
        </w:rPr>
      </w:pPr>
    </w:p>
    <w:p w14:paraId="4509CBD3" w14:textId="77777777" w:rsidR="00E60EB5" w:rsidRPr="00E60EB5" w:rsidRDefault="00E60EB5" w:rsidP="00097018">
      <w:pPr>
        <w:pStyle w:val="Normal0"/>
        <w:spacing w:after="160"/>
        <w:rPr>
          <w:rFonts w:ascii="Verdana" w:eastAsia="Verdana" w:hAnsi="Verdana" w:cs="Verdana"/>
          <w:sz w:val="22"/>
          <w:szCs w:val="22"/>
          <w:lang w:val="en-GB"/>
        </w:rPr>
      </w:pPr>
    </w:p>
    <w:p w14:paraId="2D4C60F9" w14:textId="77777777" w:rsidR="00B8692E" w:rsidRPr="00E60EB5" w:rsidRDefault="00F227D9" w:rsidP="00097018">
      <w:pPr>
        <w:pStyle w:val="Normal0"/>
        <w:spacing w:after="160"/>
        <w:rPr>
          <w:rFonts w:ascii="Verdana" w:eastAsia="Verdana" w:hAnsi="Verdana" w:cs="Verdana"/>
          <w:sz w:val="22"/>
          <w:szCs w:val="22"/>
          <w:lang w:val="en-GB"/>
        </w:rPr>
      </w:pPr>
      <w:r w:rsidRPr="00E60EB5">
        <w:rPr>
          <w:rFonts w:ascii="Verdana" w:eastAsia="Verdana" w:hAnsi="Verdana" w:cs="Verdana"/>
          <w:b/>
          <w:sz w:val="22"/>
          <w:szCs w:val="22"/>
          <w:lang w:val="en-GB"/>
        </w:rPr>
        <w:t>Peter Gillett</w:t>
      </w:r>
      <w:r w:rsidR="00B8692E" w:rsidRPr="00E60EB5">
        <w:rPr>
          <w:rFonts w:ascii="Verdana" w:eastAsia="Verdana" w:hAnsi="Verdana" w:cs="Verdana"/>
          <w:sz w:val="22"/>
          <w:szCs w:val="22"/>
          <w:lang w:val="en-GB"/>
        </w:rPr>
        <w:t xml:space="preserve"> CPFA</w:t>
      </w:r>
    </w:p>
    <w:p w14:paraId="6630EBA6" w14:textId="77777777" w:rsidR="00F227D9" w:rsidRPr="00E60EB5" w:rsidRDefault="00F227D9" w:rsidP="00097018">
      <w:pPr>
        <w:pStyle w:val="Normal0"/>
        <w:spacing w:after="160"/>
        <w:rPr>
          <w:rFonts w:ascii="Verdana" w:eastAsia="Verdana" w:hAnsi="Verdana" w:cs="Verdana"/>
          <w:sz w:val="22"/>
          <w:szCs w:val="22"/>
          <w:lang w:val="en-GB"/>
        </w:rPr>
      </w:pPr>
      <w:r w:rsidRPr="00E60EB5">
        <w:rPr>
          <w:rFonts w:ascii="Verdana" w:eastAsia="Verdana" w:hAnsi="Verdana" w:cs="Verdana"/>
          <w:sz w:val="22"/>
          <w:szCs w:val="22"/>
          <w:lang w:val="en-GB"/>
        </w:rPr>
        <w:t>Executive Dire</w:t>
      </w:r>
      <w:r w:rsidR="00B60B19" w:rsidRPr="00E60EB5">
        <w:rPr>
          <w:rFonts w:ascii="Verdana" w:eastAsia="Verdana" w:hAnsi="Verdana" w:cs="Verdana"/>
          <w:sz w:val="22"/>
          <w:szCs w:val="22"/>
          <w:lang w:val="en-GB"/>
        </w:rPr>
        <w:t>ctor of Commercial and Finance</w:t>
      </w:r>
      <w:r w:rsidRPr="00E60EB5">
        <w:rPr>
          <w:rFonts w:ascii="Verdana" w:eastAsia="Verdana" w:hAnsi="Verdana" w:cs="Verdana"/>
          <w:sz w:val="22"/>
          <w:szCs w:val="22"/>
          <w:lang w:val="en-GB"/>
        </w:rPr>
        <w:t xml:space="preserve"> Services</w:t>
      </w:r>
      <w:r w:rsidR="00B60B19" w:rsidRPr="00E60EB5">
        <w:rPr>
          <w:rFonts w:ascii="Verdana" w:eastAsia="Verdana" w:hAnsi="Verdana" w:cs="Verdana"/>
          <w:sz w:val="22"/>
          <w:szCs w:val="22"/>
          <w:lang w:val="en-GB"/>
        </w:rPr>
        <w:t>, Chief Finance Officer</w:t>
      </w:r>
    </w:p>
    <w:p w14:paraId="7DCD2C2C" w14:textId="014F02FF" w:rsidR="00F227D9" w:rsidRPr="00E60EB5" w:rsidRDefault="00F227D9" w:rsidP="00097018">
      <w:pPr>
        <w:pStyle w:val="Normal0"/>
        <w:spacing w:after="160"/>
        <w:rPr>
          <w:rFonts w:ascii="Verdana" w:eastAsia="Verdana" w:hAnsi="Verdana" w:cs="Verdana"/>
          <w:sz w:val="22"/>
          <w:szCs w:val="22"/>
          <w:lang w:val="en-GB"/>
        </w:rPr>
        <w:sectPr w:rsidR="00F227D9" w:rsidRPr="00E60EB5" w:rsidSect="00B54A0C">
          <w:type w:val="continuous"/>
          <w:pgSz w:w="16840" w:h="11900" w:orient="landscape"/>
          <w:pgMar w:top="709" w:right="720" w:bottom="567" w:left="720" w:header="708" w:footer="708" w:gutter="0"/>
          <w:cols w:num="2" w:space="708"/>
          <w:docGrid w:linePitch="360"/>
        </w:sectPr>
      </w:pPr>
      <w:r w:rsidRPr="00E60EB5">
        <w:rPr>
          <w:rFonts w:ascii="Verdana" w:eastAsia="Verdana" w:hAnsi="Verdana" w:cs="Verdana"/>
          <w:sz w:val="22"/>
          <w:szCs w:val="22"/>
          <w:lang w:val="en-GB"/>
        </w:rPr>
        <w:t>Date:</w:t>
      </w:r>
      <w:r w:rsidR="00B8692E" w:rsidRPr="00E60EB5">
        <w:rPr>
          <w:rFonts w:ascii="Verdana" w:eastAsia="Verdana" w:hAnsi="Verdana" w:cs="Verdana"/>
          <w:sz w:val="22"/>
          <w:szCs w:val="22"/>
          <w:lang w:val="en-GB"/>
        </w:rPr>
        <w:t xml:space="preserve">  </w:t>
      </w:r>
      <w:r w:rsidR="00E72A2D" w:rsidRPr="00E60EB5">
        <w:rPr>
          <w:rFonts w:ascii="Verdana" w:eastAsia="Verdana" w:hAnsi="Verdana" w:cs="Verdana"/>
          <w:sz w:val="22"/>
          <w:szCs w:val="22"/>
          <w:lang w:val="en-GB"/>
        </w:rPr>
        <w:t xml:space="preserve"> </w:t>
      </w:r>
    </w:p>
    <w:p w14:paraId="43249144" w14:textId="77777777" w:rsidR="00A450DF" w:rsidRDefault="00A450DF" w:rsidP="00F227D9">
      <w:pPr>
        <w:pStyle w:val="Heading1"/>
        <w:spacing w:line="259" w:lineRule="auto"/>
        <w:rPr>
          <w:highlight w:val="yellow"/>
          <w:lang w:val="pt-BR"/>
        </w:rPr>
      </w:pPr>
    </w:p>
    <w:p w14:paraId="6CE5AC27" w14:textId="77777777" w:rsidR="00A450DF" w:rsidRDefault="00A450DF" w:rsidP="00F227D9">
      <w:pPr>
        <w:pStyle w:val="Heading1"/>
        <w:spacing w:line="259" w:lineRule="auto"/>
        <w:rPr>
          <w:highlight w:val="yellow"/>
          <w:lang w:val="pt-BR"/>
        </w:rPr>
      </w:pPr>
    </w:p>
    <w:p w14:paraId="420A34D3" w14:textId="77777777" w:rsidR="00F227D9" w:rsidRPr="00A450DF" w:rsidRDefault="00F227D9" w:rsidP="00F227D9">
      <w:pPr>
        <w:pStyle w:val="Heading1"/>
        <w:spacing w:line="259" w:lineRule="auto"/>
        <w:rPr>
          <w:lang w:val="pt-BR"/>
        </w:rPr>
      </w:pPr>
      <w:bookmarkStart w:id="8" w:name="_Toc77095559"/>
      <w:r w:rsidRPr="00A450DF">
        <w:rPr>
          <w:lang w:val="pt-BR"/>
        </w:rPr>
        <w:t>Cash Flow Statement</w:t>
      </w:r>
      <w:bookmarkEnd w:id="8"/>
    </w:p>
    <w:p w14:paraId="1C9968C8" w14:textId="77777777" w:rsidR="00F227D9" w:rsidRPr="00DC1077" w:rsidRDefault="00F227D9" w:rsidP="00F227D9">
      <w:pPr>
        <w:pStyle w:val="Normal0"/>
        <w:spacing w:after="160" w:line="259" w:lineRule="auto"/>
        <w:rPr>
          <w:sz w:val="22"/>
          <w:szCs w:val="22"/>
          <w:highlight w:val="yellow"/>
          <w:lang w:val="pt-BR"/>
        </w:rPr>
      </w:pPr>
    </w:p>
    <w:p w14:paraId="44558A3C" w14:textId="77777777" w:rsidR="00F227D9" w:rsidRPr="00A450DF" w:rsidRDefault="00F227D9" w:rsidP="00EB0483">
      <w:pPr>
        <w:pStyle w:val="Normal0"/>
        <w:spacing w:after="160" w:line="259" w:lineRule="auto"/>
        <w:jc w:val="both"/>
        <w:rPr>
          <w:rFonts w:ascii="Verdana" w:hAnsi="Verdana"/>
          <w:sz w:val="22"/>
          <w:szCs w:val="22"/>
          <w:lang w:val="pt-BR"/>
        </w:rPr>
      </w:pPr>
      <w:r w:rsidRPr="00A450DF">
        <w:rPr>
          <w:rFonts w:ascii="Verdana" w:eastAsia="Calibri" w:hAnsi="Verdana" w:cs="Arial"/>
          <w:sz w:val="22"/>
          <w:szCs w:val="22"/>
          <w:lang w:val="pt-BR"/>
        </w:rPr>
        <w:t xml:space="preserve">The Cash Flow Statement shows the changes in cash and cash equivalents of the Chief Constable during the reporting period. </w:t>
      </w:r>
    </w:p>
    <w:p w14:paraId="20A507E0" w14:textId="77777777" w:rsidR="00F227D9" w:rsidRPr="00A450DF" w:rsidRDefault="00F227D9" w:rsidP="00EB0483">
      <w:pPr>
        <w:pStyle w:val="Normal0"/>
        <w:spacing w:after="160" w:line="259" w:lineRule="auto"/>
        <w:jc w:val="both"/>
        <w:rPr>
          <w:rFonts w:ascii="Verdana" w:hAnsi="Verdana"/>
          <w:sz w:val="22"/>
          <w:szCs w:val="22"/>
          <w:lang w:val="pt-BR"/>
        </w:rPr>
      </w:pPr>
      <w:r w:rsidRPr="00A450DF">
        <w:rPr>
          <w:rFonts w:ascii="Verdana" w:eastAsia="Calibri" w:hAnsi="Verdana" w:cs="Arial"/>
          <w:sz w:val="22"/>
          <w:szCs w:val="22"/>
          <w:lang w:val="pt-BR"/>
        </w:rPr>
        <w:t>All cash payments are made from the Police Fund which is held by the Police and Crime Commissioner for Surrey. Similarly all income receipts and funding are received by the PCC during the year. This is why the statement doesn't show any cash transactions for the year.</w:t>
      </w:r>
    </w:p>
    <w:p w14:paraId="762BDB50" w14:textId="77777777" w:rsidR="00F227D9" w:rsidRPr="00A450DF" w:rsidRDefault="00F227D9" w:rsidP="00EB0483">
      <w:pPr>
        <w:pStyle w:val="Normal0"/>
        <w:spacing w:after="160" w:line="259" w:lineRule="auto"/>
        <w:jc w:val="both"/>
        <w:rPr>
          <w:rFonts w:ascii="Verdana" w:hAnsi="Verdana"/>
          <w:sz w:val="22"/>
          <w:szCs w:val="22"/>
          <w:lang w:val="pt-BR"/>
        </w:rPr>
      </w:pPr>
      <w:r w:rsidRPr="00A450DF">
        <w:rPr>
          <w:rFonts w:ascii="Verdana" w:eastAsia="Calibri" w:hAnsi="Verdana" w:cs="Arial"/>
          <w:sz w:val="22"/>
          <w:szCs w:val="22"/>
          <w:lang w:val="pt-BR"/>
        </w:rPr>
        <w:t>The financial consequences of the Chief Constable's policing activities included in the table above are included in the net (surplus)/defecit as non-cash movements. These can be seen in the Comprehensive Income &amp; Expenditure Account.</w:t>
      </w:r>
    </w:p>
    <w:tbl>
      <w:tblPr>
        <w:tblW w:w="0" w:type="auto"/>
        <w:jc w:val="center"/>
        <w:tblLayout w:type="fixed"/>
        <w:tblLook w:val="04A0" w:firstRow="1" w:lastRow="0" w:firstColumn="1" w:lastColumn="0" w:noHBand="0" w:noVBand="1"/>
      </w:tblPr>
      <w:tblGrid>
        <w:gridCol w:w="1690"/>
        <w:gridCol w:w="246"/>
        <w:gridCol w:w="6208"/>
        <w:gridCol w:w="1690"/>
      </w:tblGrid>
      <w:tr w:rsidR="0053376B" w:rsidRPr="00A450DF" w14:paraId="5925C6B6" w14:textId="77777777" w:rsidTr="00DF1D30">
        <w:trPr>
          <w:trHeight w:val="463"/>
          <w:jc w:val="center"/>
        </w:trPr>
        <w:tc>
          <w:tcPr>
            <w:tcW w:w="1690" w:type="dxa"/>
            <w:shd w:val="clear" w:color="auto" w:fill="auto"/>
            <w:tcMar>
              <w:top w:w="20" w:type="dxa"/>
              <w:left w:w="20" w:type="dxa"/>
              <w:bottom w:w="20" w:type="dxa"/>
              <w:right w:w="20" w:type="dxa"/>
            </w:tcMar>
            <w:vAlign w:val="bottom"/>
          </w:tcPr>
          <w:p w14:paraId="0B897C15" w14:textId="77777777" w:rsidR="0053376B" w:rsidRPr="00A450DF" w:rsidRDefault="00F227D9" w:rsidP="00AB41DA">
            <w:pPr>
              <w:pStyle w:val="T1TableStyle"/>
              <w:jc w:val="center"/>
              <w:rPr>
                <w:rFonts w:ascii="Verdana" w:eastAsia="Verdana" w:hAnsi="Verdana" w:cs="Verdana"/>
                <w:b/>
                <w:color w:val="000000"/>
                <w:sz w:val="16"/>
                <w:szCs w:val="22"/>
                <w:lang w:val="en-GB"/>
              </w:rPr>
            </w:pPr>
            <w:r w:rsidRPr="00A450DF">
              <w:rPr>
                <w:rFonts w:ascii="Verdana" w:eastAsia="Verdana" w:hAnsi="Verdana" w:cs="Verdana"/>
                <w:b/>
                <w:color w:val="000000"/>
                <w:sz w:val="16"/>
                <w:szCs w:val="22"/>
                <w:lang w:val="en-GB"/>
              </w:rPr>
              <w:t>201</w:t>
            </w:r>
            <w:r w:rsidR="00AB41DA" w:rsidRPr="00A450DF">
              <w:rPr>
                <w:rFonts w:ascii="Verdana" w:eastAsia="Verdana" w:hAnsi="Verdana" w:cs="Verdana"/>
                <w:b/>
                <w:color w:val="000000"/>
                <w:sz w:val="16"/>
                <w:szCs w:val="22"/>
                <w:lang w:val="en-GB"/>
              </w:rPr>
              <w:t>9</w:t>
            </w:r>
            <w:r w:rsidRPr="00A450DF">
              <w:rPr>
                <w:rFonts w:ascii="Verdana" w:eastAsia="Verdana" w:hAnsi="Verdana" w:cs="Verdana"/>
                <w:b/>
                <w:color w:val="000000"/>
                <w:sz w:val="16"/>
                <w:szCs w:val="22"/>
                <w:lang w:val="en-GB"/>
              </w:rPr>
              <w:t>/</w:t>
            </w:r>
            <w:r w:rsidR="00AB41DA" w:rsidRPr="00A450DF">
              <w:rPr>
                <w:rFonts w:ascii="Verdana" w:eastAsia="Verdana" w:hAnsi="Verdana" w:cs="Verdana"/>
                <w:b/>
                <w:color w:val="000000"/>
                <w:sz w:val="16"/>
                <w:szCs w:val="22"/>
                <w:lang w:val="en-GB"/>
              </w:rPr>
              <w:t>20</w:t>
            </w:r>
          </w:p>
        </w:tc>
        <w:tc>
          <w:tcPr>
            <w:tcW w:w="246" w:type="dxa"/>
            <w:shd w:val="clear" w:color="auto" w:fill="auto"/>
            <w:tcMar>
              <w:top w:w="20" w:type="dxa"/>
              <w:left w:w="20" w:type="dxa"/>
              <w:bottom w:w="20" w:type="dxa"/>
              <w:right w:w="20" w:type="dxa"/>
            </w:tcMar>
            <w:vAlign w:val="center"/>
          </w:tcPr>
          <w:p w14:paraId="3469FA63" w14:textId="77777777" w:rsidR="0053376B" w:rsidRPr="00A450DF" w:rsidRDefault="00F227D9" w:rsidP="00F227D9">
            <w:pPr>
              <w:pStyle w:val="T1TableStyle"/>
              <w:jc w:val="center"/>
              <w:rPr>
                <w:rFonts w:ascii="Calibri" w:eastAsia="Calibri" w:hAnsi="Calibri" w:cs="Calibri"/>
                <w:color w:val="000000"/>
                <w:sz w:val="2"/>
                <w:szCs w:val="22"/>
                <w:lang w:val="en-GB"/>
              </w:rPr>
            </w:pPr>
            <w:r w:rsidRPr="00A450DF">
              <w:rPr>
                <w:rFonts w:ascii="Calibri" w:eastAsia="Calibri" w:hAnsi="Calibri" w:cs="Calibri"/>
                <w:color w:val="000000"/>
                <w:sz w:val="2"/>
                <w:szCs w:val="22"/>
                <w:lang w:val="en-GB"/>
              </w:rPr>
              <w:t xml:space="preserve"> </w:t>
            </w:r>
          </w:p>
        </w:tc>
        <w:tc>
          <w:tcPr>
            <w:tcW w:w="6208" w:type="dxa"/>
            <w:shd w:val="clear" w:color="auto" w:fill="auto"/>
            <w:tcMar>
              <w:top w:w="20" w:type="dxa"/>
              <w:left w:w="20" w:type="dxa"/>
              <w:bottom w:w="20" w:type="dxa"/>
              <w:right w:w="20" w:type="dxa"/>
            </w:tcMar>
            <w:vAlign w:val="center"/>
          </w:tcPr>
          <w:p w14:paraId="60B769C0" w14:textId="77777777" w:rsidR="0053376B" w:rsidRPr="00A450DF" w:rsidRDefault="00F227D9" w:rsidP="00F227D9">
            <w:pPr>
              <w:pStyle w:val="T1TableStyle"/>
              <w:jc w:val="center"/>
              <w:rPr>
                <w:rFonts w:ascii="Calibri" w:eastAsia="Calibri" w:hAnsi="Calibri" w:cs="Calibri"/>
                <w:color w:val="000000"/>
                <w:sz w:val="2"/>
                <w:szCs w:val="22"/>
                <w:lang w:val="en-GB"/>
              </w:rPr>
            </w:pPr>
            <w:r w:rsidRPr="00A450DF">
              <w:rPr>
                <w:rFonts w:ascii="Calibri" w:eastAsia="Calibri" w:hAnsi="Calibri" w:cs="Calibri"/>
                <w:color w:val="000000"/>
                <w:sz w:val="2"/>
                <w:szCs w:val="22"/>
                <w:lang w:val="en-GB"/>
              </w:rPr>
              <w:t xml:space="preserve"> </w:t>
            </w:r>
          </w:p>
        </w:tc>
        <w:tc>
          <w:tcPr>
            <w:tcW w:w="1690" w:type="dxa"/>
            <w:shd w:val="clear" w:color="auto" w:fill="auto"/>
            <w:tcMar>
              <w:top w:w="20" w:type="dxa"/>
              <w:left w:w="20" w:type="dxa"/>
              <w:bottom w:w="20" w:type="dxa"/>
              <w:right w:w="20" w:type="dxa"/>
            </w:tcMar>
            <w:vAlign w:val="bottom"/>
          </w:tcPr>
          <w:p w14:paraId="7760D705" w14:textId="77777777" w:rsidR="0053376B" w:rsidRPr="00A450DF" w:rsidRDefault="00F227D9" w:rsidP="00AB41DA">
            <w:pPr>
              <w:pStyle w:val="T1TableStyle"/>
              <w:jc w:val="center"/>
              <w:rPr>
                <w:rFonts w:ascii="Verdana" w:eastAsia="Verdana" w:hAnsi="Verdana" w:cs="Verdana"/>
                <w:b/>
                <w:color w:val="000000"/>
                <w:sz w:val="16"/>
                <w:szCs w:val="22"/>
                <w:lang w:val="en-GB"/>
              </w:rPr>
            </w:pPr>
            <w:r w:rsidRPr="00A450DF">
              <w:rPr>
                <w:rFonts w:ascii="Verdana" w:eastAsia="Verdana" w:hAnsi="Verdana" w:cs="Verdana"/>
                <w:b/>
                <w:color w:val="000000"/>
                <w:sz w:val="16"/>
                <w:szCs w:val="22"/>
                <w:lang w:val="en-GB"/>
              </w:rPr>
              <w:t>20</w:t>
            </w:r>
            <w:r w:rsidR="00AB41DA" w:rsidRPr="00A450DF">
              <w:rPr>
                <w:rFonts w:ascii="Verdana" w:eastAsia="Verdana" w:hAnsi="Verdana" w:cs="Verdana"/>
                <w:b/>
                <w:color w:val="000000"/>
                <w:sz w:val="16"/>
                <w:szCs w:val="22"/>
                <w:lang w:val="en-GB"/>
              </w:rPr>
              <w:t>20</w:t>
            </w:r>
            <w:r w:rsidRPr="00A450DF">
              <w:rPr>
                <w:rFonts w:ascii="Verdana" w:eastAsia="Verdana" w:hAnsi="Verdana" w:cs="Verdana"/>
                <w:b/>
                <w:color w:val="000000"/>
                <w:sz w:val="16"/>
                <w:szCs w:val="22"/>
                <w:lang w:val="en-GB"/>
              </w:rPr>
              <w:t>/2</w:t>
            </w:r>
            <w:r w:rsidR="00AB41DA" w:rsidRPr="00A450DF">
              <w:rPr>
                <w:rFonts w:ascii="Verdana" w:eastAsia="Verdana" w:hAnsi="Verdana" w:cs="Verdana"/>
                <w:b/>
                <w:color w:val="000000"/>
                <w:sz w:val="16"/>
                <w:szCs w:val="22"/>
                <w:lang w:val="en-GB"/>
              </w:rPr>
              <w:t>1</w:t>
            </w:r>
          </w:p>
        </w:tc>
      </w:tr>
      <w:tr w:rsidR="0053376B" w:rsidRPr="00A450DF" w14:paraId="306490FD" w14:textId="77777777" w:rsidTr="00B24845">
        <w:trPr>
          <w:trHeight w:val="273"/>
          <w:jc w:val="center"/>
        </w:trPr>
        <w:tc>
          <w:tcPr>
            <w:tcW w:w="1690" w:type="dxa"/>
            <w:tcBorders>
              <w:bottom w:val="single" w:sz="2" w:space="0" w:color="000000"/>
            </w:tcBorders>
            <w:shd w:val="clear" w:color="auto" w:fill="auto"/>
            <w:tcMar>
              <w:top w:w="20" w:type="dxa"/>
              <w:left w:w="20" w:type="dxa"/>
              <w:bottom w:w="20" w:type="dxa"/>
              <w:right w:w="20" w:type="dxa"/>
            </w:tcMar>
            <w:vAlign w:val="bottom"/>
          </w:tcPr>
          <w:p w14:paraId="1945238A" w14:textId="77777777" w:rsidR="0053376B" w:rsidRPr="00A450DF" w:rsidRDefault="00F227D9" w:rsidP="00F227D9">
            <w:pPr>
              <w:pStyle w:val="T1TableStyle"/>
              <w:jc w:val="right"/>
              <w:rPr>
                <w:rFonts w:ascii="Verdana" w:eastAsia="Verdana" w:hAnsi="Verdana" w:cs="Verdana"/>
                <w:b/>
                <w:color w:val="000000"/>
                <w:sz w:val="16"/>
                <w:szCs w:val="22"/>
                <w:lang w:val="en-GB"/>
              </w:rPr>
            </w:pPr>
            <w:r w:rsidRPr="00A450DF">
              <w:rPr>
                <w:rFonts w:ascii="Verdana" w:eastAsia="Verdana" w:hAnsi="Verdana" w:cs="Verdana"/>
                <w:b/>
                <w:color w:val="000000"/>
                <w:sz w:val="16"/>
                <w:szCs w:val="22"/>
                <w:lang w:val="en-GB"/>
              </w:rPr>
              <w:t>£000</w:t>
            </w:r>
          </w:p>
        </w:tc>
        <w:tc>
          <w:tcPr>
            <w:tcW w:w="246" w:type="dxa"/>
            <w:tcBorders>
              <w:bottom w:val="single" w:sz="2" w:space="0" w:color="000000"/>
            </w:tcBorders>
            <w:shd w:val="clear" w:color="auto" w:fill="auto"/>
            <w:tcMar>
              <w:top w:w="20" w:type="dxa"/>
              <w:left w:w="20" w:type="dxa"/>
              <w:bottom w:w="20" w:type="dxa"/>
              <w:right w:w="20" w:type="dxa"/>
            </w:tcMar>
            <w:vAlign w:val="bottom"/>
          </w:tcPr>
          <w:p w14:paraId="0C711C6F" w14:textId="77777777" w:rsidR="0053376B" w:rsidRPr="00A450DF" w:rsidRDefault="00F227D9" w:rsidP="00F227D9">
            <w:pPr>
              <w:pStyle w:val="T1TableStyle"/>
              <w:jc w:val="right"/>
              <w:rPr>
                <w:rFonts w:ascii="Verdana" w:eastAsia="Verdana" w:hAnsi="Verdana" w:cs="Verdana"/>
                <w:b/>
                <w:color w:val="000000"/>
                <w:sz w:val="2"/>
                <w:szCs w:val="22"/>
                <w:lang w:val="en-GB"/>
              </w:rPr>
            </w:pPr>
            <w:r w:rsidRPr="00A450DF">
              <w:rPr>
                <w:rFonts w:ascii="Verdana" w:eastAsia="Verdana" w:hAnsi="Verdana" w:cs="Verdana"/>
                <w:b/>
                <w:color w:val="000000"/>
                <w:sz w:val="2"/>
                <w:szCs w:val="22"/>
                <w:lang w:val="en-GB"/>
              </w:rPr>
              <w:t xml:space="preserve"> </w:t>
            </w:r>
          </w:p>
        </w:tc>
        <w:tc>
          <w:tcPr>
            <w:tcW w:w="6208" w:type="dxa"/>
            <w:tcBorders>
              <w:bottom w:val="single" w:sz="2" w:space="0" w:color="000000"/>
            </w:tcBorders>
            <w:shd w:val="clear" w:color="auto" w:fill="auto"/>
            <w:tcMar>
              <w:top w:w="20" w:type="dxa"/>
              <w:left w:w="20" w:type="dxa"/>
              <w:bottom w:w="20" w:type="dxa"/>
              <w:right w:w="20" w:type="dxa"/>
            </w:tcMar>
            <w:vAlign w:val="bottom"/>
          </w:tcPr>
          <w:p w14:paraId="6A5C83BF" w14:textId="77777777" w:rsidR="0053376B" w:rsidRPr="00A450DF" w:rsidRDefault="00F227D9" w:rsidP="00F227D9">
            <w:pPr>
              <w:pStyle w:val="T1TableStyle"/>
              <w:jc w:val="right"/>
              <w:rPr>
                <w:rFonts w:ascii="Verdana" w:eastAsia="Verdana" w:hAnsi="Verdana" w:cs="Verdana"/>
                <w:b/>
                <w:color w:val="000000"/>
                <w:sz w:val="2"/>
                <w:szCs w:val="22"/>
                <w:lang w:val="en-GB"/>
              </w:rPr>
            </w:pPr>
            <w:r w:rsidRPr="00A450DF">
              <w:rPr>
                <w:rFonts w:ascii="Verdana" w:eastAsia="Verdana" w:hAnsi="Verdana" w:cs="Verdana"/>
                <w:b/>
                <w:color w:val="000000"/>
                <w:sz w:val="2"/>
                <w:szCs w:val="22"/>
                <w:lang w:val="en-GB"/>
              </w:rPr>
              <w:t xml:space="preserve"> </w:t>
            </w:r>
          </w:p>
        </w:tc>
        <w:tc>
          <w:tcPr>
            <w:tcW w:w="1690" w:type="dxa"/>
            <w:tcBorders>
              <w:bottom w:val="single" w:sz="2" w:space="0" w:color="000000"/>
            </w:tcBorders>
            <w:shd w:val="clear" w:color="auto" w:fill="auto"/>
            <w:tcMar>
              <w:top w:w="20" w:type="dxa"/>
              <w:left w:w="20" w:type="dxa"/>
              <w:bottom w:w="20" w:type="dxa"/>
              <w:right w:w="20" w:type="dxa"/>
            </w:tcMar>
            <w:vAlign w:val="bottom"/>
          </w:tcPr>
          <w:p w14:paraId="7A3723C7" w14:textId="77777777" w:rsidR="0053376B" w:rsidRPr="00A450DF" w:rsidRDefault="00F227D9" w:rsidP="00F227D9">
            <w:pPr>
              <w:pStyle w:val="T1TableStyle"/>
              <w:jc w:val="right"/>
              <w:rPr>
                <w:rFonts w:ascii="Verdana" w:eastAsia="Verdana" w:hAnsi="Verdana" w:cs="Verdana"/>
                <w:b/>
                <w:color w:val="000000"/>
                <w:sz w:val="16"/>
                <w:szCs w:val="22"/>
                <w:lang w:val="en-GB"/>
              </w:rPr>
            </w:pPr>
            <w:r w:rsidRPr="00A450DF">
              <w:rPr>
                <w:rFonts w:ascii="Verdana" w:eastAsia="Verdana" w:hAnsi="Verdana" w:cs="Verdana"/>
                <w:b/>
                <w:color w:val="000000"/>
                <w:sz w:val="16"/>
                <w:szCs w:val="22"/>
                <w:lang w:val="en-GB"/>
              </w:rPr>
              <w:t>£000</w:t>
            </w:r>
          </w:p>
        </w:tc>
      </w:tr>
      <w:tr w:rsidR="00AB41DA" w:rsidRPr="00A450DF" w14:paraId="014D7D99" w14:textId="77777777" w:rsidTr="00DF1D30">
        <w:trPr>
          <w:trHeight w:val="209"/>
          <w:jc w:val="center"/>
        </w:trPr>
        <w:tc>
          <w:tcPr>
            <w:tcW w:w="1690" w:type="dxa"/>
            <w:shd w:val="clear" w:color="auto" w:fill="auto"/>
            <w:tcMar>
              <w:top w:w="20" w:type="dxa"/>
              <w:left w:w="20" w:type="dxa"/>
              <w:bottom w:w="20" w:type="dxa"/>
              <w:right w:w="20" w:type="dxa"/>
            </w:tcMar>
          </w:tcPr>
          <w:p w14:paraId="1D1B11F4" w14:textId="77777777" w:rsidR="00AB41DA" w:rsidRPr="00A450DF" w:rsidRDefault="00AB41DA" w:rsidP="00AB41DA">
            <w:pPr>
              <w:pStyle w:val="T1TableStyle"/>
              <w:jc w:val="right"/>
              <w:rPr>
                <w:rFonts w:ascii="Verdana" w:eastAsia="Verdana" w:hAnsi="Verdana" w:cs="Verdana"/>
                <w:color w:val="000000"/>
                <w:sz w:val="16"/>
                <w:szCs w:val="22"/>
                <w:lang w:val="en-GB"/>
              </w:rPr>
            </w:pPr>
            <w:r w:rsidRPr="00A450DF">
              <w:rPr>
                <w:rFonts w:ascii="Verdana" w:eastAsia="Verdana" w:hAnsi="Verdana" w:cs="Verdana"/>
                <w:color w:val="000000"/>
                <w:sz w:val="16"/>
                <w:szCs w:val="22"/>
                <w:lang w:val="en-GB"/>
              </w:rPr>
              <w:t>63,031</w:t>
            </w:r>
          </w:p>
        </w:tc>
        <w:tc>
          <w:tcPr>
            <w:tcW w:w="246" w:type="dxa"/>
            <w:shd w:val="clear" w:color="auto" w:fill="auto"/>
            <w:tcMar>
              <w:top w:w="20" w:type="dxa"/>
              <w:left w:w="20" w:type="dxa"/>
              <w:bottom w:w="20" w:type="dxa"/>
              <w:right w:w="20" w:type="dxa"/>
            </w:tcMar>
          </w:tcPr>
          <w:p w14:paraId="328C8187" w14:textId="77777777" w:rsidR="00AB41DA" w:rsidRPr="00A450DF" w:rsidRDefault="00AB41DA" w:rsidP="00AB41DA">
            <w:pPr>
              <w:pStyle w:val="T1TableStyle"/>
              <w:jc w:val="center"/>
              <w:rPr>
                <w:rFonts w:ascii="Verdana" w:eastAsia="Verdana" w:hAnsi="Verdana" w:cs="Verdana"/>
                <w:color w:val="000000"/>
                <w:sz w:val="2"/>
                <w:szCs w:val="22"/>
                <w:lang w:val="en-GB"/>
              </w:rPr>
            </w:pPr>
            <w:r w:rsidRPr="00A450DF">
              <w:rPr>
                <w:rFonts w:ascii="Verdana" w:eastAsia="Verdana" w:hAnsi="Verdana" w:cs="Verdana"/>
                <w:color w:val="000000"/>
                <w:sz w:val="2"/>
                <w:szCs w:val="22"/>
                <w:lang w:val="en-GB"/>
              </w:rPr>
              <w:t xml:space="preserve"> </w:t>
            </w:r>
          </w:p>
        </w:tc>
        <w:tc>
          <w:tcPr>
            <w:tcW w:w="6208" w:type="dxa"/>
            <w:shd w:val="clear" w:color="auto" w:fill="auto"/>
            <w:tcMar>
              <w:top w:w="20" w:type="dxa"/>
              <w:left w:w="20" w:type="dxa"/>
              <w:bottom w:w="20" w:type="dxa"/>
              <w:right w:w="20" w:type="dxa"/>
            </w:tcMar>
          </w:tcPr>
          <w:p w14:paraId="5351E13F" w14:textId="77777777" w:rsidR="00AB41DA" w:rsidRPr="00A450DF" w:rsidRDefault="00AB41DA" w:rsidP="00AB41DA">
            <w:pPr>
              <w:pStyle w:val="T1TableStyle"/>
              <w:rPr>
                <w:rFonts w:ascii="Verdana" w:eastAsia="Verdana" w:hAnsi="Verdana" w:cs="Verdana"/>
                <w:color w:val="000000"/>
                <w:sz w:val="16"/>
                <w:szCs w:val="22"/>
                <w:lang w:val="en-GB"/>
              </w:rPr>
            </w:pPr>
            <w:r w:rsidRPr="00A450DF">
              <w:rPr>
                <w:rFonts w:ascii="Verdana" w:eastAsia="Verdana" w:hAnsi="Verdana" w:cs="Verdana"/>
                <w:color w:val="000000"/>
                <w:sz w:val="16"/>
                <w:szCs w:val="22"/>
                <w:lang w:val="en-GB"/>
              </w:rPr>
              <w:t>Net (surplus) or deficit on the provision of services</w:t>
            </w:r>
          </w:p>
        </w:tc>
        <w:tc>
          <w:tcPr>
            <w:tcW w:w="1690" w:type="dxa"/>
            <w:shd w:val="clear" w:color="auto" w:fill="auto"/>
            <w:tcMar>
              <w:top w:w="20" w:type="dxa"/>
              <w:left w:w="20" w:type="dxa"/>
              <w:bottom w:w="20" w:type="dxa"/>
              <w:right w:w="20" w:type="dxa"/>
            </w:tcMar>
          </w:tcPr>
          <w:p w14:paraId="073B197D" w14:textId="77777777" w:rsidR="00AB41DA" w:rsidRPr="00A450DF" w:rsidRDefault="00B93478" w:rsidP="00AB41DA">
            <w:pPr>
              <w:pStyle w:val="T1TableStyle"/>
              <w:jc w:val="right"/>
              <w:rPr>
                <w:rFonts w:ascii="Verdana" w:eastAsia="Verdana" w:hAnsi="Verdana" w:cs="Verdana"/>
                <w:color w:val="000000"/>
                <w:sz w:val="16"/>
                <w:szCs w:val="22"/>
                <w:lang w:val="en-GB"/>
              </w:rPr>
            </w:pPr>
            <w:r w:rsidRPr="00A450DF">
              <w:rPr>
                <w:rFonts w:ascii="Verdana" w:eastAsia="Verdana" w:hAnsi="Verdana" w:cs="Verdana"/>
                <w:color w:val="000000"/>
                <w:sz w:val="16"/>
                <w:szCs w:val="22"/>
                <w:lang w:val="en-GB"/>
              </w:rPr>
              <w:t>68,528</w:t>
            </w:r>
          </w:p>
        </w:tc>
      </w:tr>
      <w:tr w:rsidR="00AB41DA" w:rsidRPr="00A450DF" w14:paraId="23ECDC4D" w14:textId="77777777" w:rsidTr="00DF1D30">
        <w:trPr>
          <w:trHeight w:val="369"/>
          <w:jc w:val="center"/>
        </w:trPr>
        <w:tc>
          <w:tcPr>
            <w:tcW w:w="1690" w:type="dxa"/>
            <w:shd w:val="clear" w:color="auto" w:fill="auto"/>
            <w:tcMar>
              <w:top w:w="20" w:type="dxa"/>
              <w:left w:w="20" w:type="dxa"/>
              <w:bottom w:w="20" w:type="dxa"/>
              <w:right w:w="20" w:type="dxa"/>
            </w:tcMar>
          </w:tcPr>
          <w:p w14:paraId="14D7F801" w14:textId="77777777" w:rsidR="00AB41DA" w:rsidRPr="00A450DF" w:rsidRDefault="00AB41DA" w:rsidP="00AB41DA">
            <w:pPr>
              <w:pStyle w:val="T1TableStyle"/>
              <w:jc w:val="right"/>
              <w:rPr>
                <w:rFonts w:ascii="Verdana" w:eastAsia="Verdana" w:hAnsi="Verdana" w:cs="Verdana"/>
                <w:color w:val="000000"/>
                <w:sz w:val="16"/>
                <w:szCs w:val="22"/>
                <w:lang w:val="en-GB"/>
              </w:rPr>
            </w:pPr>
            <w:r w:rsidRPr="00A450DF">
              <w:rPr>
                <w:rFonts w:ascii="Verdana" w:eastAsia="Verdana" w:hAnsi="Verdana" w:cs="Verdana"/>
                <w:color w:val="000000"/>
                <w:sz w:val="16"/>
                <w:szCs w:val="22"/>
                <w:lang w:val="en-GB"/>
              </w:rPr>
              <w:t>(63,031)</w:t>
            </w:r>
          </w:p>
        </w:tc>
        <w:tc>
          <w:tcPr>
            <w:tcW w:w="246" w:type="dxa"/>
            <w:shd w:val="clear" w:color="auto" w:fill="auto"/>
            <w:tcMar>
              <w:top w:w="20" w:type="dxa"/>
              <w:left w:w="20" w:type="dxa"/>
              <w:bottom w:w="20" w:type="dxa"/>
              <w:right w:w="20" w:type="dxa"/>
            </w:tcMar>
          </w:tcPr>
          <w:p w14:paraId="3C51F24A" w14:textId="77777777" w:rsidR="00AB41DA" w:rsidRPr="00A450DF" w:rsidRDefault="00AB41DA" w:rsidP="00AB41DA">
            <w:pPr>
              <w:pStyle w:val="T1TableStyle"/>
              <w:jc w:val="center"/>
              <w:rPr>
                <w:rFonts w:ascii="Verdana" w:eastAsia="Verdana" w:hAnsi="Verdana" w:cs="Verdana"/>
                <w:color w:val="000000"/>
                <w:sz w:val="2"/>
                <w:szCs w:val="22"/>
                <w:lang w:val="en-GB"/>
              </w:rPr>
            </w:pPr>
            <w:r w:rsidRPr="00A450DF">
              <w:rPr>
                <w:rFonts w:ascii="Verdana" w:eastAsia="Verdana" w:hAnsi="Verdana" w:cs="Verdana"/>
                <w:color w:val="000000"/>
                <w:sz w:val="2"/>
                <w:szCs w:val="22"/>
                <w:lang w:val="en-GB"/>
              </w:rPr>
              <w:t xml:space="preserve"> </w:t>
            </w:r>
          </w:p>
        </w:tc>
        <w:tc>
          <w:tcPr>
            <w:tcW w:w="6208" w:type="dxa"/>
            <w:shd w:val="clear" w:color="auto" w:fill="auto"/>
            <w:tcMar>
              <w:top w:w="20" w:type="dxa"/>
              <w:left w:w="20" w:type="dxa"/>
              <w:bottom w:w="20" w:type="dxa"/>
              <w:right w:w="20" w:type="dxa"/>
            </w:tcMar>
          </w:tcPr>
          <w:p w14:paraId="2EC8E181" w14:textId="77777777" w:rsidR="00AB41DA" w:rsidRPr="00A450DF" w:rsidRDefault="00AB41DA" w:rsidP="00AB41DA">
            <w:pPr>
              <w:pStyle w:val="T1TableStyle"/>
              <w:rPr>
                <w:rFonts w:ascii="Verdana" w:eastAsia="Verdana" w:hAnsi="Verdana" w:cs="Verdana"/>
                <w:color w:val="000000"/>
                <w:sz w:val="16"/>
                <w:szCs w:val="22"/>
                <w:lang w:val="en-GB"/>
              </w:rPr>
            </w:pPr>
            <w:r w:rsidRPr="00A450DF">
              <w:rPr>
                <w:rFonts w:ascii="Verdana" w:eastAsia="Verdana" w:hAnsi="Verdana" w:cs="Verdana"/>
                <w:color w:val="000000"/>
                <w:sz w:val="16"/>
                <w:szCs w:val="22"/>
                <w:lang w:val="en-GB"/>
              </w:rPr>
              <w:t>Adjustment to surplus or deficit on the provision of services for noncash movements</w:t>
            </w:r>
          </w:p>
        </w:tc>
        <w:tc>
          <w:tcPr>
            <w:tcW w:w="1690" w:type="dxa"/>
            <w:shd w:val="clear" w:color="auto" w:fill="auto"/>
            <w:tcMar>
              <w:top w:w="20" w:type="dxa"/>
              <w:left w:w="20" w:type="dxa"/>
              <w:bottom w:w="20" w:type="dxa"/>
              <w:right w:w="20" w:type="dxa"/>
            </w:tcMar>
          </w:tcPr>
          <w:p w14:paraId="6B7FE123" w14:textId="77777777" w:rsidR="00AB41DA" w:rsidRPr="00A450DF" w:rsidRDefault="00A450DF" w:rsidP="00AB41DA">
            <w:pPr>
              <w:pStyle w:val="T1TableStyle"/>
              <w:jc w:val="right"/>
              <w:rPr>
                <w:rFonts w:ascii="Verdana" w:eastAsia="Verdana" w:hAnsi="Verdana" w:cs="Verdana"/>
                <w:color w:val="000000"/>
                <w:sz w:val="16"/>
                <w:szCs w:val="22"/>
                <w:lang w:val="en-GB"/>
              </w:rPr>
            </w:pPr>
            <w:r w:rsidRPr="00A450DF">
              <w:rPr>
                <w:rFonts w:ascii="Verdana" w:eastAsia="Verdana" w:hAnsi="Verdana" w:cs="Verdana"/>
                <w:color w:val="000000"/>
                <w:sz w:val="16"/>
                <w:szCs w:val="22"/>
                <w:lang w:val="en-GB"/>
              </w:rPr>
              <w:t>(68,528)</w:t>
            </w:r>
          </w:p>
        </w:tc>
      </w:tr>
      <w:tr w:rsidR="00AB41DA" w:rsidRPr="00A450DF" w14:paraId="3B8A4E6A" w14:textId="77777777" w:rsidTr="00DF1D30">
        <w:trPr>
          <w:trHeight w:val="228"/>
          <w:jc w:val="center"/>
        </w:trPr>
        <w:tc>
          <w:tcPr>
            <w:tcW w:w="1690" w:type="dxa"/>
            <w:tcBorders>
              <w:top w:val="single" w:sz="2" w:space="0" w:color="000000"/>
              <w:bottom w:val="single" w:sz="12" w:space="0" w:color="000000"/>
            </w:tcBorders>
            <w:shd w:val="clear" w:color="auto" w:fill="auto"/>
            <w:tcMar>
              <w:top w:w="20" w:type="dxa"/>
              <w:left w:w="20" w:type="dxa"/>
              <w:bottom w:w="20" w:type="dxa"/>
              <w:right w:w="20" w:type="dxa"/>
            </w:tcMar>
          </w:tcPr>
          <w:p w14:paraId="50CC2EB1" w14:textId="77777777" w:rsidR="00AB41DA" w:rsidRPr="00A450DF" w:rsidRDefault="00AB41DA" w:rsidP="00AB41DA">
            <w:pPr>
              <w:pStyle w:val="T1TableStyle"/>
              <w:jc w:val="right"/>
              <w:rPr>
                <w:rFonts w:ascii="Verdana" w:eastAsia="Verdana" w:hAnsi="Verdana" w:cs="Verdana"/>
                <w:b/>
                <w:color w:val="000000"/>
                <w:sz w:val="16"/>
                <w:szCs w:val="22"/>
                <w:lang w:val="en-GB"/>
              </w:rPr>
            </w:pPr>
            <w:r w:rsidRPr="00A450DF">
              <w:rPr>
                <w:rFonts w:ascii="Verdana" w:eastAsia="Verdana" w:hAnsi="Verdana" w:cs="Verdana"/>
                <w:b/>
                <w:color w:val="000000"/>
                <w:sz w:val="16"/>
                <w:szCs w:val="22"/>
                <w:lang w:val="en-GB"/>
              </w:rPr>
              <w:t>0</w:t>
            </w:r>
          </w:p>
        </w:tc>
        <w:tc>
          <w:tcPr>
            <w:tcW w:w="246" w:type="dxa"/>
            <w:tcBorders>
              <w:top w:val="single" w:sz="2" w:space="0" w:color="000000"/>
              <w:bottom w:val="single" w:sz="12" w:space="0" w:color="000000"/>
            </w:tcBorders>
            <w:shd w:val="clear" w:color="auto" w:fill="auto"/>
            <w:tcMar>
              <w:top w:w="20" w:type="dxa"/>
              <w:left w:w="20" w:type="dxa"/>
              <w:bottom w:w="20" w:type="dxa"/>
              <w:right w:w="20" w:type="dxa"/>
            </w:tcMar>
          </w:tcPr>
          <w:p w14:paraId="44282965" w14:textId="77777777" w:rsidR="00AB41DA" w:rsidRPr="00A450DF" w:rsidRDefault="00AB41DA" w:rsidP="00AB41DA">
            <w:pPr>
              <w:pStyle w:val="T1TableStyle"/>
              <w:jc w:val="center"/>
              <w:rPr>
                <w:rFonts w:ascii="Verdana" w:eastAsia="Verdana" w:hAnsi="Verdana" w:cs="Verdana"/>
                <w:b/>
                <w:color w:val="000000"/>
                <w:sz w:val="2"/>
                <w:szCs w:val="22"/>
                <w:lang w:val="en-GB"/>
              </w:rPr>
            </w:pPr>
            <w:r w:rsidRPr="00A450DF">
              <w:rPr>
                <w:rFonts w:ascii="Verdana" w:eastAsia="Verdana" w:hAnsi="Verdana" w:cs="Verdana"/>
                <w:b/>
                <w:color w:val="000000"/>
                <w:sz w:val="2"/>
                <w:szCs w:val="22"/>
                <w:lang w:val="en-GB"/>
              </w:rPr>
              <w:t xml:space="preserve"> </w:t>
            </w:r>
          </w:p>
        </w:tc>
        <w:tc>
          <w:tcPr>
            <w:tcW w:w="6208" w:type="dxa"/>
            <w:tcBorders>
              <w:top w:val="single" w:sz="2" w:space="0" w:color="000000"/>
              <w:bottom w:val="single" w:sz="12" w:space="0" w:color="000000"/>
            </w:tcBorders>
            <w:shd w:val="clear" w:color="auto" w:fill="auto"/>
            <w:tcMar>
              <w:top w:w="20" w:type="dxa"/>
              <w:left w:w="20" w:type="dxa"/>
              <w:bottom w:w="20" w:type="dxa"/>
              <w:right w:w="20" w:type="dxa"/>
            </w:tcMar>
          </w:tcPr>
          <w:p w14:paraId="53C8F383" w14:textId="77777777" w:rsidR="00AB41DA" w:rsidRPr="00A450DF" w:rsidRDefault="00AB41DA" w:rsidP="00AB41DA">
            <w:pPr>
              <w:pStyle w:val="T1TableStyle"/>
              <w:rPr>
                <w:rFonts w:ascii="Verdana" w:eastAsia="Verdana" w:hAnsi="Verdana" w:cs="Verdana"/>
                <w:b/>
                <w:color w:val="000000"/>
                <w:sz w:val="16"/>
                <w:szCs w:val="22"/>
                <w:lang w:val="en-GB"/>
              </w:rPr>
            </w:pPr>
            <w:r w:rsidRPr="00A450DF">
              <w:rPr>
                <w:rFonts w:ascii="Verdana" w:eastAsia="Verdana" w:hAnsi="Verdana" w:cs="Verdana"/>
                <w:b/>
                <w:color w:val="000000"/>
                <w:sz w:val="16"/>
                <w:szCs w:val="22"/>
                <w:lang w:val="en-GB"/>
              </w:rPr>
              <w:t>Net cash flows from operating activities</w:t>
            </w:r>
          </w:p>
        </w:tc>
        <w:tc>
          <w:tcPr>
            <w:tcW w:w="1690" w:type="dxa"/>
            <w:tcBorders>
              <w:top w:val="single" w:sz="2" w:space="0" w:color="000000"/>
              <w:bottom w:val="single" w:sz="12" w:space="0" w:color="000000"/>
            </w:tcBorders>
            <w:shd w:val="clear" w:color="auto" w:fill="auto"/>
            <w:tcMar>
              <w:top w:w="20" w:type="dxa"/>
              <w:left w:w="20" w:type="dxa"/>
              <w:bottom w:w="20" w:type="dxa"/>
              <w:right w:w="20" w:type="dxa"/>
            </w:tcMar>
          </w:tcPr>
          <w:p w14:paraId="5F32D10A" w14:textId="77777777" w:rsidR="00AB41DA" w:rsidRPr="00A450DF" w:rsidRDefault="00AB41DA" w:rsidP="00AB41DA">
            <w:pPr>
              <w:pStyle w:val="T1TableStyle"/>
              <w:jc w:val="right"/>
              <w:rPr>
                <w:rFonts w:ascii="Verdana" w:eastAsia="Verdana" w:hAnsi="Verdana" w:cs="Verdana"/>
                <w:b/>
                <w:color w:val="000000"/>
                <w:sz w:val="16"/>
                <w:szCs w:val="22"/>
                <w:lang w:val="en-GB"/>
              </w:rPr>
            </w:pPr>
            <w:r w:rsidRPr="00A450DF">
              <w:rPr>
                <w:rFonts w:ascii="Verdana" w:eastAsia="Verdana" w:hAnsi="Verdana" w:cs="Verdana"/>
                <w:b/>
                <w:color w:val="000000"/>
                <w:sz w:val="16"/>
                <w:szCs w:val="22"/>
                <w:lang w:val="en-GB"/>
              </w:rPr>
              <w:t>0</w:t>
            </w:r>
          </w:p>
        </w:tc>
      </w:tr>
      <w:tr w:rsidR="00AB41DA" w:rsidRPr="00A450DF" w14:paraId="21B5C31C" w14:textId="77777777" w:rsidTr="00DF1D30">
        <w:trPr>
          <w:trHeight w:hRule="exact" w:val="159"/>
          <w:jc w:val="center"/>
        </w:trPr>
        <w:tc>
          <w:tcPr>
            <w:tcW w:w="1690" w:type="dxa"/>
            <w:shd w:val="clear" w:color="auto" w:fill="auto"/>
            <w:tcMar>
              <w:top w:w="20" w:type="dxa"/>
              <w:left w:w="20" w:type="dxa"/>
              <w:bottom w:w="20" w:type="dxa"/>
              <w:right w:w="20" w:type="dxa"/>
            </w:tcMar>
            <w:vAlign w:val="bottom"/>
          </w:tcPr>
          <w:p w14:paraId="43EF13EC" w14:textId="77777777" w:rsidR="00AB41DA" w:rsidRPr="00A450DF" w:rsidRDefault="00AB41DA" w:rsidP="00AB41DA">
            <w:pPr>
              <w:pStyle w:val="T1TableStyle"/>
              <w:jc w:val="center"/>
              <w:rPr>
                <w:rFonts w:ascii="Verdana" w:eastAsia="Verdana" w:hAnsi="Verdana" w:cs="Verdana"/>
                <w:color w:val="000000"/>
                <w:sz w:val="2"/>
                <w:szCs w:val="22"/>
                <w:lang w:val="en-GB"/>
              </w:rPr>
            </w:pPr>
            <w:r w:rsidRPr="00A450DF">
              <w:rPr>
                <w:rFonts w:ascii="Verdana" w:eastAsia="Verdana" w:hAnsi="Verdana" w:cs="Verdana"/>
                <w:color w:val="000000"/>
                <w:sz w:val="2"/>
                <w:szCs w:val="22"/>
                <w:lang w:val="en-GB"/>
              </w:rPr>
              <w:t xml:space="preserve"> </w:t>
            </w:r>
          </w:p>
        </w:tc>
        <w:tc>
          <w:tcPr>
            <w:tcW w:w="246" w:type="dxa"/>
            <w:shd w:val="clear" w:color="auto" w:fill="auto"/>
            <w:tcMar>
              <w:top w:w="20" w:type="dxa"/>
              <w:left w:w="20" w:type="dxa"/>
              <w:bottom w:w="20" w:type="dxa"/>
              <w:right w:w="20" w:type="dxa"/>
            </w:tcMar>
            <w:vAlign w:val="bottom"/>
          </w:tcPr>
          <w:p w14:paraId="45DC0F4A" w14:textId="77777777" w:rsidR="00AB41DA" w:rsidRPr="00A450DF" w:rsidRDefault="00AB41DA" w:rsidP="00AB41DA">
            <w:pPr>
              <w:pStyle w:val="T1TableStyle"/>
              <w:jc w:val="center"/>
              <w:rPr>
                <w:rFonts w:ascii="Verdana" w:eastAsia="Verdana" w:hAnsi="Verdana" w:cs="Verdana"/>
                <w:color w:val="000000"/>
                <w:sz w:val="2"/>
                <w:szCs w:val="22"/>
                <w:lang w:val="en-GB"/>
              </w:rPr>
            </w:pPr>
            <w:r w:rsidRPr="00A450DF">
              <w:rPr>
                <w:rFonts w:ascii="Verdana" w:eastAsia="Verdana" w:hAnsi="Verdana" w:cs="Verdana"/>
                <w:color w:val="000000"/>
                <w:sz w:val="2"/>
                <w:szCs w:val="22"/>
                <w:lang w:val="en-GB"/>
              </w:rPr>
              <w:t xml:space="preserve"> </w:t>
            </w:r>
          </w:p>
        </w:tc>
        <w:tc>
          <w:tcPr>
            <w:tcW w:w="6208" w:type="dxa"/>
            <w:shd w:val="clear" w:color="auto" w:fill="auto"/>
            <w:tcMar>
              <w:top w:w="20" w:type="dxa"/>
              <w:left w:w="20" w:type="dxa"/>
              <w:bottom w:w="20" w:type="dxa"/>
              <w:right w:w="20" w:type="dxa"/>
            </w:tcMar>
            <w:vAlign w:val="bottom"/>
          </w:tcPr>
          <w:p w14:paraId="26435975" w14:textId="77777777" w:rsidR="00AB41DA" w:rsidRPr="00A450DF" w:rsidRDefault="00AB41DA" w:rsidP="00AB41DA">
            <w:pPr>
              <w:pStyle w:val="T1TableStyle"/>
              <w:jc w:val="center"/>
              <w:rPr>
                <w:rFonts w:ascii="Verdana" w:eastAsia="Verdana" w:hAnsi="Verdana" w:cs="Verdana"/>
                <w:color w:val="000000"/>
                <w:sz w:val="2"/>
                <w:szCs w:val="22"/>
                <w:lang w:val="en-GB"/>
              </w:rPr>
            </w:pPr>
            <w:r w:rsidRPr="00A450DF">
              <w:rPr>
                <w:rFonts w:ascii="Verdana" w:eastAsia="Verdana" w:hAnsi="Verdana" w:cs="Verdana"/>
                <w:color w:val="000000"/>
                <w:sz w:val="2"/>
                <w:szCs w:val="22"/>
                <w:lang w:val="en-GB"/>
              </w:rPr>
              <w:t xml:space="preserve"> </w:t>
            </w:r>
          </w:p>
        </w:tc>
        <w:tc>
          <w:tcPr>
            <w:tcW w:w="1690" w:type="dxa"/>
            <w:shd w:val="clear" w:color="auto" w:fill="auto"/>
            <w:tcMar>
              <w:top w:w="20" w:type="dxa"/>
              <w:left w:w="20" w:type="dxa"/>
              <w:bottom w:w="20" w:type="dxa"/>
              <w:right w:w="20" w:type="dxa"/>
            </w:tcMar>
            <w:vAlign w:val="bottom"/>
          </w:tcPr>
          <w:p w14:paraId="00CBB39A" w14:textId="77777777" w:rsidR="00AB41DA" w:rsidRPr="00A450DF" w:rsidRDefault="00AB41DA" w:rsidP="00AB41DA">
            <w:pPr>
              <w:pStyle w:val="T1TableStyle"/>
              <w:jc w:val="center"/>
              <w:rPr>
                <w:rFonts w:ascii="Verdana" w:eastAsia="Verdana" w:hAnsi="Verdana" w:cs="Verdana"/>
                <w:color w:val="000000"/>
                <w:sz w:val="2"/>
                <w:szCs w:val="22"/>
                <w:lang w:val="en-GB"/>
              </w:rPr>
            </w:pPr>
            <w:r w:rsidRPr="00A450DF">
              <w:rPr>
                <w:rFonts w:ascii="Verdana" w:eastAsia="Verdana" w:hAnsi="Verdana" w:cs="Verdana"/>
                <w:color w:val="000000"/>
                <w:sz w:val="2"/>
                <w:szCs w:val="22"/>
                <w:lang w:val="en-GB"/>
              </w:rPr>
              <w:t xml:space="preserve"> </w:t>
            </w:r>
          </w:p>
        </w:tc>
      </w:tr>
      <w:tr w:rsidR="00AB41DA" w:rsidRPr="00A450DF" w14:paraId="1E78CA4C" w14:textId="77777777" w:rsidTr="00DF1D30">
        <w:trPr>
          <w:trHeight w:val="211"/>
          <w:jc w:val="center"/>
        </w:trPr>
        <w:tc>
          <w:tcPr>
            <w:tcW w:w="1690" w:type="dxa"/>
            <w:shd w:val="clear" w:color="auto" w:fill="auto"/>
            <w:tcMar>
              <w:top w:w="20" w:type="dxa"/>
              <w:left w:w="20" w:type="dxa"/>
              <w:bottom w:w="20" w:type="dxa"/>
              <w:right w:w="20" w:type="dxa"/>
            </w:tcMar>
          </w:tcPr>
          <w:p w14:paraId="550ACA6F" w14:textId="77777777" w:rsidR="00AB41DA" w:rsidRPr="00A450DF" w:rsidRDefault="00AB41DA" w:rsidP="00AB41DA">
            <w:pPr>
              <w:pStyle w:val="T1TableStyle"/>
              <w:jc w:val="right"/>
              <w:rPr>
                <w:rFonts w:ascii="Verdana" w:eastAsia="Verdana" w:hAnsi="Verdana" w:cs="Verdana"/>
                <w:color w:val="000000"/>
                <w:sz w:val="16"/>
                <w:szCs w:val="22"/>
                <w:lang w:val="en-GB"/>
              </w:rPr>
            </w:pPr>
            <w:r w:rsidRPr="00A450DF">
              <w:rPr>
                <w:rFonts w:ascii="Verdana" w:eastAsia="Verdana" w:hAnsi="Verdana" w:cs="Verdana"/>
                <w:color w:val="000000"/>
                <w:sz w:val="16"/>
                <w:szCs w:val="22"/>
                <w:lang w:val="en-GB"/>
              </w:rPr>
              <w:t>0</w:t>
            </w:r>
          </w:p>
        </w:tc>
        <w:tc>
          <w:tcPr>
            <w:tcW w:w="246" w:type="dxa"/>
            <w:shd w:val="clear" w:color="auto" w:fill="auto"/>
            <w:tcMar>
              <w:top w:w="20" w:type="dxa"/>
              <w:left w:w="20" w:type="dxa"/>
              <w:bottom w:w="20" w:type="dxa"/>
              <w:right w:w="20" w:type="dxa"/>
            </w:tcMar>
          </w:tcPr>
          <w:p w14:paraId="1A04F1AF" w14:textId="77777777" w:rsidR="00AB41DA" w:rsidRPr="00A450DF" w:rsidRDefault="00AB41DA" w:rsidP="00AB41DA">
            <w:pPr>
              <w:pStyle w:val="T1TableStyle"/>
              <w:jc w:val="center"/>
              <w:rPr>
                <w:rFonts w:ascii="Verdana" w:eastAsia="Verdana" w:hAnsi="Verdana" w:cs="Verdana"/>
                <w:color w:val="000000"/>
                <w:sz w:val="2"/>
                <w:szCs w:val="22"/>
                <w:lang w:val="en-GB"/>
              </w:rPr>
            </w:pPr>
            <w:r w:rsidRPr="00A450DF">
              <w:rPr>
                <w:rFonts w:ascii="Verdana" w:eastAsia="Verdana" w:hAnsi="Verdana" w:cs="Verdana"/>
                <w:color w:val="000000"/>
                <w:sz w:val="2"/>
                <w:szCs w:val="22"/>
                <w:lang w:val="en-GB"/>
              </w:rPr>
              <w:t xml:space="preserve"> </w:t>
            </w:r>
          </w:p>
        </w:tc>
        <w:tc>
          <w:tcPr>
            <w:tcW w:w="6208" w:type="dxa"/>
            <w:shd w:val="clear" w:color="auto" w:fill="auto"/>
            <w:tcMar>
              <w:top w:w="20" w:type="dxa"/>
              <w:left w:w="20" w:type="dxa"/>
              <w:bottom w:w="20" w:type="dxa"/>
              <w:right w:w="20" w:type="dxa"/>
            </w:tcMar>
          </w:tcPr>
          <w:p w14:paraId="4AB89134" w14:textId="77777777" w:rsidR="00AB41DA" w:rsidRPr="00A450DF" w:rsidRDefault="00AB41DA" w:rsidP="00AB41DA">
            <w:pPr>
              <w:pStyle w:val="T1TableStyle"/>
              <w:rPr>
                <w:rFonts w:ascii="Verdana" w:eastAsia="Verdana" w:hAnsi="Verdana" w:cs="Verdana"/>
                <w:color w:val="000000"/>
                <w:sz w:val="16"/>
                <w:szCs w:val="22"/>
                <w:lang w:val="en-GB"/>
              </w:rPr>
            </w:pPr>
            <w:r w:rsidRPr="00A450DF">
              <w:rPr>
                <w:rFonts w:ascii="Verdana" w:eastAsia="Verdana" w:hAnsi="Verdana" w:cs="Verdana"/>
                <w:color w:val="000000"/>
                <w:sz w:val="16"/>
                <w:szCs w:val="22"/>
                <w:lang w:val="en-GB"/>
              </w:rPr>
              <w:t>Net cash flows from investing activities</w:t>
            </w:r>
          </w:p>
        </w:tc>
        <w:tc>
          <w:tcPr>
            <w:tcW w:w="1690" w:type="dxa"/>
            <w:shd w:val="clear" w:color="auto" w:fill="auto"/>
            <w:tcMar>
              <w:top w:w="20" w:type="dxa"/>
              <w:left w:w="20" w:type="dxa"/>
              <w:bottom w:w="20" w:type="dxa"/>
              <w:right w:w="20" w:type="dxa"/>
            </w:tcMar>
          </w:tcPr>
          <w:p w14:paraId="25A74E6F" w14:textId="77777777" w:rsidR="00AB41DA" w:rsidRPr="00A450DF" w:rsidRDefault="00AB41DA" w:rsidP="00AB41DA">
            <w:pPr>
              <w:pStyle w:val="T1TableStyle"/>
              <w:jc w:val="right"/>
              <w:rPr>
                <w:rFonts w:ascii="Verdana" w:eastAsia="Verdana" w:hAnsi="Verdana" w:cs="Verdana"/>
                <w:color w:val="000000"/>
                <w:sz w:val="16"/>
                <w:szCs w:val="22"/>
                <w:lang w:val="en-GB"/>
              </w:rPr>
            </w:pPr>
            <w:r w:rsidRPr="00A450DF">
              <w:rPr>
                <w:rFonts w:ascii="Verdana" w:eastAsia="Verdana" w:hAnsi="Verdana" w:cs="Verdana"/>
                <w:color w:val="000000"/>
                <w:sz w:val="16"/>
                <w:szCs w:val="22"/>
                <w:lang w:val="en-GB"/>
              </w:rPr>
              <w:t>0</w:t>
            </w:r>
          </w:p>
        </w:tc>
      </w:tr>
      <w:tr w:rsidR="00AB41DA" w:rsidRPr="00A450DF" w14:paraId="1E27ECB7" w14:textId="77777777" w:rsidTr="00DF1D30">
        <w:trPr>
          <w:trHeight w:val="60"/>
          <w:jc w:val="center"/>
        </w:trPr>
        <w:tc>
          <w:tcPr>
            <w:tcW w:w="1690" w:type="dxa"/>
            <w:shd w:val="clear" w:color="auto" w:fill="auto"/>
            <w:tcMar>
              <w:top w:w="20" w:type="dxa"/>
              <w:left w:w="20" w:type="dxa"/>
              <w:bottom w:w="20" w:type="dxa"/>
              <w:right w:w="20" w:type="dxa"/>
            </w:tcMar>
          </w:tcPr>
          <w:p w14:paraId="1AF59483" w14:textId="77777777" w:rsidR="00AB41DA" w:rsidRPr="00A450DF" w:rsidRDefault="00AB41DA" w:rsidP="00AB41DA">
            <w:pPr>
              <w:pStyle w:val="T1TableStyle"/>
              <w:jc w:val="right"/>
              <w:rPr>
                <w:rFonts w:ascii="Verdana" w:eastAsia="Verdana" w:hAnsi="Verdana" w:cs="Verdana"/>
                <w:color w:val="000000"/>
                <w:sz w:val="16"/>
                <w:szCs w:val="22"/>
                <w:lang w:val="en-GB"/>
              </w:rPr>
            </w:pPr>
            <w:r w:rsidRPr="00A450DF">
              <w:rPr>
                <w:rFonts w:ascii="Verdana" w:eastAsia="Verdana" w:hAnsi="Verdana" w:cs="Verdana"/>
                <w:color w:val="000000"/>
                <w:sz w:val="16"/>
                <w:szCs w:val="22"/>
                <w:lang w:val="en-GB"/>
              </w:rPr>
              <w:t>0</w:t>
            </w:r>
          </w:p>
        </w:tc>
        <w:tc>
          <w:tcPr>
            <w:tcW w:w="246" w:type="dxa"/>
            <w:shd w:val="clear" w:color="auto" w:fill="auto"/>
            <w:tcMar>
              <w:top w:w="20" w:type="dxa"/>
              <w:left w:w="20" w:type="dxa"/>
              <w:bottom w:w="20" w:type="dxa"/>
              <w:right w:w="20" w:type="dxa"/>
            </w:tcMar>
          </w:tcPr>
          <w:p w14:paraId="5A4F2354" w14:textId="77777777" w:rsidR="00AB41DA" w:rsidRPr="00A450DF" w:rsidRDefault="00AB41DA" w:rsidP="00AB41DA">
            <w:pPr>
              <w:pStyle w:val="T1TableStyle"/>
              <w:jc w:val="center"/>
              <w:rPr>
                <w:rFonts w:ascii="Verdana" w:eastAsia="Verdana" w:hAnsi="Verdana" w:cs="Verdana"/>
                <w:color w:val="000000"/>
                <w:sz w:val="2"/>
                <w:szCs w:val="22"/>
                <w:lang w:val="en-GB"/>
              </w:rPr>
            </w:pPr>
            <w:r w:rsidRPr="00A450DF">
              <w:rPr>
                <w:rFonts w:ascii="Verdana" w:eastAsia="Verdana" w:hAnsi="Verdana" w:cs="Verdana"/>
                <w:color w:val="000000"/>
                <w:sz w:val="2"/>
                <w:szCs w:val="22"/>
                <w:lang w:val="en-GB"/>
              </w:rPr>
              <w:t xml:space="preserve"> </w:t>
            </w:r>
          </w:p>
        </w:tc>
        <w:tc>
          <w:tcPr>
            <w:tcW w:w="6208" w:type="dxa"/>
            <w:shd w:val="clear" w:color="auto" w:fill="auto"/>
            <w:tcMar>
              <w:top w:w="20" w:type="dxa"/>
              <w:left w:w="20" w:type="dxa"/>
              <w:bottom w:w="20" w:type="dxa"/>
              <w:right w:w="20" w:type="dxa"/>
            </w:tcMar>
          </w:tcPr>
          <w:p w14:paraId="290B4122" w14:textId="77777777" w:rsidR="00AB41DA" w:rsidRPr="00A450DF" w:rsidRDefault="00AB41DA" w:rsidP="00AB41DA">
            <w:pPr>
              <w:pStyle w:val="T1TableStyle"/>
              <w:rPr>
                <w:rFonts w:ascii="Verdana" w:eastAsia="Verdana" w:hAnsi="Verdana" w:cs="Verdana"/>
                <w:color w:val="000000"/>
                <w:sz w:val="16"/>
                <w:szCs w:val="22"/>
                <w:lang w:val="en-GB"/>
              </w:rPr>
            </w:pPr>
            <w:r w:rsidRPr="00A450DF">
              <w:rPr>
                <w:rFonts w:ascii="Verdana" w:eastAsia="Verdana" w:hAnsi="Verdana" w:cs="Verdana"/>
                <w:color w:val="000000"/>
                <w:sz w:val="16"/>
                <w:szCs w:val="22"/>
                <w:lang w:val="en-GB"/>
              </w:rPr>
              <w:t>Net cash flows from financing activities</w:t>
            </w:r>
          </w:p>
        </w:tc>
        <w:tc>
          <w:tcPr>
            <w:tcW w:w="1690" w:type="dxa"/>
            <w:shd w:val="clear" w:color="auto" w:fill="auto"/>
            <w:tcMar>
              <w:top w:w="20" w:type="dxa"/>
              <w:left w:w="20" w:type="dxa"/>
              <w:bottom w:w="20" w:type="dxa"/>
              <w:right w:w="20" w:type="dxa"/>
            </w:tcMar>
          </w:tcPr>
          <w:p w14:paraId="2FCE733E" w14:textId="77777777" w:rsidR="00AB41DA" w:rsidRPr="00A450DF" w:rsidRDefault="00AB41DA" w:rsidP="00AB41DA">
            <w:pPr>
              <w:pStyle w:val="T1TableStyle"/>
              <w:jc w:val="right"/>
              <w:rPr>
                <w:rFonts w:ascii="Verdana" w:eastAsia="Verdana" w:hAnsi="Verdana" w:cs="Verdana"/>
                <w:color w:val="000000"/>
                <w:sz w:val="16"/>
                <w:szCs w:val="22"/>
                <w:lang w:val="en-GB"/>
              </w:rPr>
            </w:pPr>
            <w:r w:rsidRPr="00A450DF">
              <w:rPr>
                <w:rFonts w:ascii="Verdana" w:eastAsia="Verdana" w:hAnsi="Verdana" w:cs="Verdana"/>
                <w:color w:val="000000"/>
                <w:sz w:val="16"/>
                <w:szCs w:val="22"/>
                <w:lang w:val="en-GB"/>
              </w:rPr>
              <w:t>0</w:t>
            </w:r>
          </w:p>
        </w:tc>
      </w:tr>
      <w:tr w:rsidR="00AB41DA" w:rsidRPr="00A450DF" w14:paraId="34D6444F" w14:textId="77777777" w:rsidTr="00DF1D30">
        <w:trPr>
          <w:trHeight w:val="242"/>
          <w:jc w:val="center"/>
        </w:trPr>
        <w:tc>
          <w:tcPr>
            <w:tcW w:w="1690" w:type="dxa"/>
            <w:tcBorders>
              <w:top w:val="single" w:sz="2" w:space="0" w:color="000000"/>
              <w:bottom w:val="single" w:sz="12" w:space="0" w:color="000000"/>
            </w:tcBorders>
            <w:shd w:val="clear" w:color="auto" w:fill="auto"/>
            <w:tcMar>
              <w:top w:w="20" w:type="dxa"/>
              <w:left w:w="20" w:type="dxa"/>
              <w:bottom w:w="20" w:type="dxa"/>
              <w:right w:w="20" w:type="dxa"/>
            </w:tcMar>
          </w:tcPr>
          <w:p w14:paraId="7CB0DE20" w14:textId="77777777" w:rsidR="00AB41DA" w:rsidRPr="00A450DF" w:rsidRDefault="00AB41DA" w:rsidP="00AB41DA">
            <w:pPr>
              <w:pStyle w:val="T1TableStyle"/>
              <w:jc w:val="right"/>
              <w:rPr>
                <w:rFonts w:ascii="Verdana" w:eastAsia="Verdana" w:hAnsi="Verdana" w:cs="Verdana"/>
                <w:b/>
                <w:color w:val="000000"/>
                <w:sz w:val="16"/>
                <w:szCs w:val="22"/>
                <w:lang w:val="en-GB"/>
              </w:rPr>
            </w:pPr>
            <w:r w:rsidRPr="00A450DF">
              <w:rPr>
                <w:rFonts w:ascii="Verdana" w:eastAsia="Verdana" w:hAnsi="Verdana" w:cs="Verdana"/>
                <w:b/>
                <w:color w:val="000000"/>
                <w:sz w:val="16"/>
                <w:szCs w:val="22"/>
                <w:lang w:val="en-GB"/>
              </w:rPr>
              <w:t>0</w:t>
            </w:r>
          </w:p>
        </w:tc>
        <w:tc>
          <w:tcPr>
            <w:tcW w:w="246" w:type="dxa"/>
            <w:tcBorders>
              <w:top w:val="single" w:sz="2" w:space="0" w:color="000000"/>
              <w:bottom w:val="single" w:sz="12" w:space="0" w:color="000000"/>
            </w:tcBorders>
            <w:shd w:val="clear" w:color="auto" w:fill="auto"/>
            <w:tcMar>
              <w:top w:w="20" w:type="dxa"/>
              <w:left w:w="20" w:type="dxa"/>
              <w:bottom w:w="20" w:type="dxa"/>
              <w:right w:w="20" w:type="dxa"/>
            </w:tcMar>
          </w:tcPr>
          <w:p w14:paraId="284673ED" w14:textId="77777777" w:rsidR="00AB41DA" w:rsidRPr="00A450DF" w:rsidRDefault="00AB41DA" w:rsidP="00AB41DA">
            <w:pPr>
              <w:pStyle w:val="T1TableStyle"/>
              <w:jc w:val="center"/>
              <w:rPr>
                <w:rFonts w:ascii="Verdana" w:eastAsia="Verdana" w:hAnsi="Verdana" w:cs="Verdana"/>
                <w:b/>
                <w:color w:val="000000"/>
                <w:sz w:val="2"/>
                <w:szCs w:val="22"/>
                <w:lang w:val="en-GB"/>
              </w:rPr>
            </w:pPr>
            <w:r w:rsidRPr="00A450DF">
              <w:rPr>
                <w:rFonts w:ascii="Verdana" w:eastAsia="Verdana" w:hAnsi="Verdana" w:cs="Verdana"/>
                <w:b/>
                <w:color w:val="000000"/>
                <w:sz w:val="2"/>
                <w:szCs w:val="22"/>
                <w:lang w:val="en-GB"/>
              </w:rPr>
              <w:t xml:space="preserve"> </w:t>
            </w:r>
          </w:p>
        </w:tc>
        <w:tc>
          <w:tcPr>
            <w:tcW w:w="6208" w:type="dxa"/>
            <w:tcBorders>
              <w:top w:val="single" w:sz="2" w:space="0" w:color="000000"/>
              <w:bottom w:val="single" w:sz="12" w:space="0" w:color="000000"/>
            </w:tcBorders>
            <w:shd w:val="clear" w:color="auto" w:fill="auto"/>
            <w:tcMar>
              <w:top w:w="20" w:type="dxa"/>
              <w:left w:w="20" w:type="dxa"/>
              <w:bottom w:w="20" w:type="dxa"/>
              <w:right w:w="20" w:type="dxa"/>
            </w:tcMar>
          </w:tcPr>
          <w:p w14:paraId="31DA2024" w14:textId="77777777" w:rsidR="00AB41DA" w:rsidRPr="00A450DF" w:rsidRDefault="00AB41DA" w:rsidP="00AB41DA">
            <w:pPr>
              <w:pStyle w:val="T1TableStyle"/>
              <w:rPr>
                <w:rFonts w:ascii="Verdana" w:eastAsia="Verdana" w:hAnsi="Verdana" w:cs="Verdana"/>
                <w:b/>
                <w:color w:val="000000"/>
                <w:sz w:val="16"/>
                <w:szCs w:val="22"/>
                <w:lang w:val="en-GB"/>
              </w:rPr>
            </w:pPr>
            <w:r w:rsidRPr="00A450DF">
              <w:rPr>
                <w:rFonts w:ascii="Verdana" w:eastAsia="Verdana" w:hAnsi="Verdana" w:cs="Verdana"/>
                <w:b/>
                <w:color w:val="000000"/>
                <w:sz w:val="16"/>
                <w:szCs w:val="22"/>
                <w:lang w:val="en-GB"/>
              </w:rPr>
              <w:t>Net (increase) or decrease in cash and cash equivalents</w:t>
            </w:r>
          </w:p>
        </w:tc>
        <w:tc>
          <w:tcPr>
            <w:tcW w:w="1690" w:type="dxa"/>
            <w:tcBorders>
              <w:top w:val="single" w:sz="2" w:space="0" w:color="000000"/>
              <w:bottom w:val="single" w:sz="12" w:space="0" w:color="000000"/>
            </w:tcBorders>
            <w:shd w:val="clear" w:color="auto" w:fill="auto"/>
            <w:tcMar>
              <w:top w:w="20" w:type="dxa"/>
              <w:left w:w="20" w:type="dxa"/>
              <w:bottom w:w="20" w:type="dxa"/>
              <w:right w:w="20" w:type="dxa"/>
            </w:tcMar>
          </w:tcPr>
          <w:p w14:paraId="180FE524" w14:textId="77777777" w:rsidR="00AB41DA" w:rsidRPr="00A450DF" w:rsidRDefault="00AB41DA" w:rsidP="00AB41DA">
            <w:pPr>
              <w:pStyle w:val="T1TableStyle"/>
              <w:jc w:val="right"/>
              <w:rPr>
                <w:rFonts w:ascii="Verdana" w:eastAsia="Verdana" w:hAnsi="Verdana" w:cs="Verdana"/>
                <w:b/>
                <w:color w:val="000000"/>
                <w:sz w:val="16"/>
                <w:szCs w:val="22"/>
                <w:lang w:val="en-GB"/>
              </w:rPr>
            </w:pPr>
            <w:r w:rsidRPr="00A450DF">
              <w:rPr>
                <w:rFonts w:ascii="Verdana" w:eastAsia="Verdana" w:hAnsi="Verdana" w:cs="Verdana"/>
                <w:b/>
                <w:color w:val="000000"/>
                <w:sz w:val="16"/>
                <w:szCs w:val="22"/>
                <w:lang w:val="en-GB"/>
              </w:rPr>
              <w:t>0</w:t>
            </w:r>
          </w:p>
        </w:tc>
      </w:tr>
      <w:tr w:rsidR="00AB41DA" w:rsidRPr="00A450DF" w14:paraId="66500A03" w14:textId="77777777" w:rsidTr="00DF1D30">
        <w:trPr>
          <w:trHeight w:hRule="exact" w:val="145"/>
          <w:jc w:val="center"/>
        </w:trPr>
        <w:tc>
          <w:tcPr>
            <w:tcW w:w="1690" w:type="dxa"/>
            <w:shd w:val="clear" w:color="auto" w:fill="auto"/>
            <w:tcMar>
              <w:top w:w="20" w:type="dxa"/>
              <w:left w:w="20" w:type="dxa"/>
              <w:bottom w:w="20" w:type="dxa"/>
              <w:right w:w="20" w:type="dxa"/>
            </w:tcMar>
          </w:tcPr>
          <w:p w14:paraId="1B076750" w14:textId="77777777" w:rsidR="00AB41DA" w:rsidRPr="00A450DF" w:rsidRDefault="00AB41DA" w:rsidP="00AB41DA">
            <w:pPr>
              <w:pStyle w:val="T1TableStyle"/>
              <w:jc w:val="center"/>
              <w:rPr>
                <w:rFonts w:ascii="Verdana" w:eastAsia="Verdana" w:hAnsi="Verdana" w:cs="Verdana"/>
                <w:color w:val="000000"/>
                <w:sz w:val="2"/>
                <w:szCs w:val="22"/>
                <w:lang w:val="en-GB"/>
              </w:rPr>
            </w:pPr>
            <w:r w:rsidRPr="00A450DF">
              <w:rPr>
                <w:rFonts w:ascii="Verdana" w:eastAsia="Verdana" w:hAnsi="Verdana" w:cs="Verdana"/>
                <w:color w:val="000000"/>
                <w:sz w:val="2"/>
                <w:szCs w:val="22"/>
                <w:lang w:val="en-GB"/>
              </w:rPr>
              <w:t xml:space="preserve"> </w:t>
            </w:r>
          </w:p>
        </w:tc>
        <w:tc>
          <w:tcPr>
            <w:tcW w:w="246" w:type="dxa"/>
            <w:shd w:val="clear" w:color="auto" w:fill="auto"/>
            <w:tcMar>
              <w:top w:w="20" w:type="dxa"/>
              <w:left w:w="20" w:type="dxa"/>
              <w:bottom w:w="20" w:type="dxa"/>
              <w:right w:w="20" w:type="dxa"/>
            </w:tcMar>
          </w:tcPr>
          <w:p w14:paraId="06132F06" w14:textId="77777777" w:rsidR="00AB41DA" w:rsidRPr="00A450DF" w:rsidRDefault="00AB41DA" w:rsidP="00AB41DA">
            <w:pPr>
              <w:pStyle w:val="T1TableStyle"/>
              <w:jc w:val="center"/>
              <w:rPr>
                <w:rFonts w:ascii="Verdana" w:eastAsia="Verdana" w:hAnsi="Verdana" w:cs="Verdana"/>
                <w:color w:val="000000"/>
                <w:sz w:val="2"/>
                <w:szCs w:val="22"/>
                <w:lang w:val="en-GB"/>
              </w:rPr>
            </w:pPr>
            <w:r w:rsidRPr="00A450DF">
              <w:rPr>
                <w:rFonts w:ascii="Verdana" w:eastAsia="Verdana" w:hAnsi="Verdana" w:cs="Verdana"/>
                <w:color w:val="000000"/>
                <w:sz w:val="2"/>
                <w:szCs w:val="22"/>
                <w:lang w:val="en-GB"/>
              </w:rPr>
              <w:t xml:space="preserve"> </w:t>
            </w:r>
          </w:p>
        </w:tc>
        <w:tc>
          <w:tcPr>
            <w:tcW w:w="6208" w:type="dxa"/>
            <w:shd w:val="clear" w:color="auto" w:fill="auto"/>
            <w:tcMar>
              <w:top w:w="20" w:type="dxa"/>
              <w:left w:w="20" w:type="dxa"/>
              <w:bottom w:w="20" w:type="dxa"/>
              <w:right w:w="20" w:type="dxa"/>
            </w:tcMar>
          </w:tcPr>
          <w:p w14:paraId="28FFAD2F" w14:textId="77777777" w:rsidR="00AB41DA" w:rsidRPr="00A450DF" w:rsidRDefault="00AB41DA" w:rsidP="00AB41DA">
            <w:pPr>
              <w:pStyle w:val="T1TableStyle"/>
              <w:jc w:val="center"/>
              <w:rPr>
                <w:rFonts w:ascii="Verdana" w:eastAsia="Verdana" w:hAnsi="Verdana" w:cs="Verdana"/>
                <w:color w:val="000000"/>
                <w:sz w:val="2"/>
                <w:szCs w:val="22"/>
                <w:lang w:val="en-GB"/>
              </w:rPr>
            </w:pPr>
            <w:r w:rsidRPr="00A450DF">
              <w:rPr>
                <w:rFonts w:ascii="Verdana" w:eastAsia="Verdana" w:hAnsi="Verdana" w:cs="Verdana"/>
                <w:color w:val="000000"/>
                <w:sz w:val="2"/>
                <w:szCs w:val="22"/>
                <w:lang w:val="en-GB"/>
              </w:rPr>
              <w:t xml:space="preserve"> </w:t>
            </w:r>
          </w:p>
        </w:tc>
        <w:tc>
          <w:tcPr>
            <w:tcW w:w="1690" w:type="dxa"/>
            <w:shd w:val="clear" w:color="auto" w:fill="auto"/>
            <w:tcMar>
              <w:top w:w="20" w:type="dxa"/>
              <w:left w:w="20" w:type="dxa"/>
              <w:bottom w:w="20" w:type="dxa"/>
              <w:right w:w="20" w:type="dxa"/>
            </w:tcMar>
          </w:tcPr>
          <w:p w14:paraId="73A399CC" w14:textId="77777777" w:rsidR="00AB41DA" w:rsidRPr="00A450DF" w:rsidRDefault="00AB41DA" w:rsidP="00AB41DA">
            <w:pPr>
              <w:pStyle w:val="T1TableStyle"/>
              <w:jc w:val="center"/>
              <w:rPr>
                <w:rFonts w:ascii="Verdana" w:eastAsia="Verdana" w:hAnsi="Verdana" w:cs="Verdana"/>
                <w:color w:val="000000"/>
                <w:sz w:val="2"/>
                <w:szCs w:val="22"/>
                <w:lang w:val="en-GB"/>
              </w:rPr>
            </w:pPr>
            <w:r w:rsidRPr="00A450DF">
              <w:rPr>
                <w:rFonts w:ascii="Verdana" w:eastAsia="Verdana" w:hAnsi="Verdana" w:cs="Verdana"/>
                <w:color w:val="000000"/>
                <w:sz w:val="2"/>
                <w:szCs w:val="22"/>
                <w:lang w:val="en-GB"/>
              </w:rPr>
              <w:t xml:space="preserve"> </w:t>
            </w:r>
          </w:p>
        </w:tc>
      </w:tr>
      <w:tr w:rsidR="00AB41DA" w:rsidRPr="00A450DF" w14:paraId="669EE9A6" w14:textId="77777777" w:rsidTr="00DF1D30">
        <w:trPr>
          <w:trHeight w:val="211"/>
          <w:jc w:val="center"/>
        </w:trPr>
        <w:tc>
          <w:tcPr>
            <w:tcW w:w="1690" w:type="dxa"/>
            <w:shd w:val="clear" w:color="auto" w:fill="auto"/>
            <w:tcMar>
              <w:top w:w="20" w:type="dxa"/>
              <w:left w:w="20" w:type="dxa"/>
              <w:bottom w:w="20" w:type="dxa"/>
              <w:right w:w="20" w:type="dxa"/>
            </w:tcMar>
          </w:tcPr>
          <w:p w14:paraId="279D0C4D" w14:textId="77777777" w:rsidR="00AB41DA" w:rsidRPr="00A450DF" w:rsidRDefault="00AB41DA" w:rsidP="00AB41DA">
            <w:pPr>
              <w:pStyle w:val="T1TableStyle"/>
              <w:jc w:val="right"/>
              <w:rPr>
                <w:rFonts w:ascii="Verdana" w:eastAsia="Verdana" w:hAnsi="Verdana" w:cs="Verdana"/>
                <w:color w:val="000000"/>
                <w:sz w:val="16"/>
                <w:szCs w:val="22"/>
                <w:lang w:val="en-GB"/>
              </w:rPr>
            </w:pPr>
            <w:r w:rsidRPr="00A450DF">
              <w:rPr>
                <w:rFonts w:ascii="Verdana" w:eastAsia="Verdana" w:hAnsi="Verdana" w:cs="Verdana"/>
                <w:color w:val="000000"/>
                <w:sz w:val="16"/>
                <w:szCs w:val="22"/>
                <w:lang w:val="en-GB"/>
              </w:rPr>
              <w:t>0</w:t>
            </w:r>
          </w:p>
        </w:tc>
        <w:tc>
          <w:tcPr>
            <w:tcW w:w="246" w:type="dxa"/>
            <w:shd w:val="clear" w:color="auto" w:fill="auto"/>
            <w:tcMar>
              <w:top w:w="20" w:type="dxa"/>
              <w:left w:w="20" w:type="dxa"/>
              <w:bottom w:w="20" w:type="dxa"/>
              <w:right w:w="20" w:type="dxa"/>
            </w:tcMar>
          </w:tcPr>
          <w:p w14:paraId="4EEDBF70" w14:textId="77777777" w:rsidR="00AB41DA" w:rsidRPr="00A450DF" w:rsidRDefault="00AB41DA" w:rsidP="00AB41DA">
            <w:pPr>
              <w:pStyle w:val="T1TableStyle"/>
              <w:jc w:val="center"/>
              <w:rPr>
                <w:rFonts w:ascii="Verdana" w:eastAsia="Verdana" w:hAnsi="Verdana" w:cs="Verdana"/>
                <w:color w:val="000000"/>
                <w:sz w:val="2"/>
                <w:szCs w:val="22"/>
                <w:lang w:val="en-GB"/>
              </w:rPr>
            </w:pPr>
            <w:r w:rsidRPr="00A450DF">
              <w:rPr>
                <w:rFonts w:ascii="Verdana" w:eastAsia="Verdana" w:hAnsi="Verdana" w:cs="Verdana"/>
                <w:color w:val="000000"/>
                <w:sz w:val="2"/>
                <w:szCs w:val="22"/>
                <w:lang w:val="en-GB"/>
              </w:rPr>
              <w:t xml:space="preserve"> </w:t>
            </w:r>
          </w:p>
        </w:tc>
        <w:tc>
          <w:tcPr>
            <w:tcW w:w="6208" w:type="dxa"/>
            <w:shd w:val="clear" w:color="auto" w:fill="auto"/>
            <w:tcMar>
              <w:top w:w="20" w:type="dxa"/>
              <w:left w:w="20" w:type="dxa"/>
              <w:bottom w:w="20" w:type="dxa"/>
              <w:right w:w="20" w:type="dxa"/>
            </w:tcMar>
          </w:tcPr>
          <w:p w14:paraId="11D600E2" w14:textId="77777777" w:rsidR="00AB41DA" w:rsidRPr="00A450DF" w:rsidRDefault="00AB41DA" w:rsidP="00AB41DA">
            <w:pPr>
              <w:pStyle w:val="T1TableStyle"/>
              <w:rPr>
                <w:rFonts w:ascii="Verdana" w:eastAsia="Verdana" w:hAnsi="Verdana" w:cs="Verdana"/>
                <w:color w:val="000000"/>
                <w:sz w:val="16"/>
                <w:szCs w:val="22"/>
                <w:lang w:val="en-GB"/>
              </w:rPr>
            </w:pPr>
            <w:r w:rsidRPr="00A450DF">
              <w:rPr>
                <w:rFonts w:ascii="Verdana" w:eastAsia="Verdana" w:hAnsi="Verdana" w:cs="Verdana"/>
                <w:color w:val="000000"/>
                <w:sz w:val="16"/>
                <w:szCs w:val="22"/>
                <w:lang w:val="en-GB"/>
              </w:rPr>
              <w:t>Cash and cash equivalents at the beginning of the reporting period</w:t>
            </w:r>
          </w:p>
        </w:tc>
        <w:tc>
          <w:tcPr>
            <w:tcW w:w="1690" w:type="dxa"/>
            <w:shd w:val="clear" w:color="auto" w:fill="auto"/>
            <w:tcMar>
              <w:top w:w="20" w:type="dxa"/>
              <w:left w:w="20" w:type="dxa"/>
              <w:bottom w:w="20" w:type="dxa"/>
              <w:right w:w="20" w:type="dxa"/>
            </w:tcMar>
          </w:tcPr>
          <w:p w14:paraId="59ECA5BB" w14:textId="77777777" w:rsidR="00AB41DA" w:rsidRPr="00A450DF" w:rsidRDefault="00AB41DA" w:rsidP="00AB41DA">
            <w:pPr>
              <w:pStyle w:val="T1TableStyle"/>
              <w:jc w:val="right"/>
              <w:rPr>
                <w:rFonts w:ascii="Verdana" w:eastAsia="Verdana" w:hAnsi="Verdana" w:cs="Verdana"/>
                <w:color w:val="000000"/>
                <w:sz w:val="16"/>
                <w:szCs w:val="22"/>
                <w:lang w:val="en-GB"/>
              </w:rPr>
            </w:pPr>
            <w:r w:rsidRPr="00A450DF">
              <w:rPr>
                <w:rFonts w:ascii="Verdana" w:eastAsia="Verdana" w:hAnsi="Verdana" w:cs="Verdana"/>
                <w:color w:val="000000"/>
                <w:sz w:val="16"/>
                <w:szCs w:val="22"/>
                <w:lang w:val="en-GB"/>
              </w:rPr>
              <w:t>0</w:t>
            </w:r>
          </w:p>
        </w:tc>
      </w:tr>
      <w:tr w:rsidR="00AB41DA" w:rsidRPr="00A450DF" w14:paraId="7F2DD323" w14:textId="77777777" w:rsidTr="00B24845">
        <w:trPr>
          <w:trHeight w:val="279"/>
          <w:jc w:val="center"/>
        </w:trPr>
        <w:tc>
          <w:tcPr>
            <w:tcW w:w="1690" w:type="dxa"/>
            <w:tcBorders>
              <w:top w:val="single" w:sz="2" w:space="0" w:color="000000"/>
              <w:bottom w:val="single" w:sz="12" w:space="0" w:color="000000"/>
            </w:tcBorders>
            <w:shd w:val="clear" w:color="auto" w:fill="auto"/>
            <w:tcMar>
              <w:top w:w="20" w:type="dxa"/>
              <w:left w:w="20" w:type="dxa"/>
              <w:bottom w:w="20" w:type="dxa"/>
              <w:right w:w="20" w:type="dxa"/>
            </w:tcMar>
          </w:tcPr>
          <w:p w14:paraId="797662AA" w14:textId="77777777" w:rsidR="00AB41DA" w:rsidRPr="00A450DF" w:rsidRDefault="00AB41DA" w:rsidP="00AB41DA">
            <w:pPr>
              <w:pStyle w:val="T1TableStyle"/>
              <w:jc w:val="right"/>
              <w:rPr>
                <w:rFonts w:ascii="Verdana" w:eastAsia="Verdana" w:hAnsi="Verdana" w:cs="Verdana"/>
                <w:b/>
                <w:color w:val="000000"/>
                <w:sz w:val="16"/>
                <w:szCs w:val="22"/>
                <w:lang w:val="en-GB"/>
              </w:rPr>
            </w:pPr>
            <w:r w:rsidRPr="00A450DF">
              <w:rPr>
                <w:rFonts w:ascii="Verdana" w:eastAsia="Verdana" w:hAnsi="Verdana" w:cs="Verdana"/>
                <w:b/>
                <w:color w:val="000000"/>
                <w:sz w:val="16"/>
                <w:szCs w:val="22"/>
                <w:lang w:val="en-GB"/>
              </w:rPr>
              <w:t>0</w:t>
            </w:r>
          </w:p>
        </w:tc>
        <w:tc>
          <w:tcPr>
            <w:tcW w:w="246" w:type="dxa"/>
            <w:tcBorders>
              <w:top w:val="single" w:sz="2" w:space="0" w:color="000000"/>
              <w:bottom w:val="single" w:sz="12" w:space="0" w:color="000000"/>
            </w:tcBorders>
            <w:shd w:val="clear" w:color="auto" w:fill="auto"/>
            <w:tcMar>
              <w:top w:w="20" w:type="dxa"/>
              <w:left w:w="20" w:type="dxa"/>
              <w:bottom w:w="20" w:type="dxa"/>
              <w:right w:w="20" w:type="dxa"/>
            </w:tcMar>
          </w:tcPr>
          <w:p w14:paraId="4DB3FA09" w14:textId="77777777" w:rsidR="00AB41DA" w:rsidRPr="00A450DF" w:rsidRDefault="00AB41DA" w:rsidP="00AB41DA">
            <w:pPr>
              <w:pStyle w:val="T1TableStyle"/>
              <w:jc w:val="center"/>
              <w:rPr>
                <w:rFonts w:ascii="Verdana" w:eastAsia="Verdana" w:hAnsi="Verdana" w:cs="Verdana"/>
                <w:b/>
                <w:color w:val="000000"/>
                <w:sz w:val="2"/>
                <w:szCs w:val="22"/>
                <w:lang w:val="en-GB"/>
              </w:rPr>
            </w:pPr>
            <w:r w:rsidRPr="00A450DF">
              <w:rPr>
                <w:rFonts w:ascii="Verdana" w:eastAsia="Verdana" w:hAnsi="Verdana" w:cs="Verdana"/>
                <w:b/>
                <w:color w:val="000000"/>
                <w:sz w:val="2"/>
                <w:szCs w:val="22"/>
                <w:lang w:val="en-GB"/>
              </w:rPr>
              <w:t xml:space="preserve"> </w:t>
            </w:r>
          </w:p>
        </w:tc>
        <w:tc>
          <w:tcPr>
            <w:tcW w:w="6208" w:type="dxa"/>
            <w:tcBorders>
              <w:top w:val="single" w:sz="2" w:space="0" w:color="000000"/>
              <w:bottom w:val="single" w:sz="12" w:space="0" w:color="000000"/>
            </w:tcBorders>
            <w:shd w:val="clear" w:color="auto" w:fill="auto"/>
            <w:tcMar>
              <w:top w:w="20" w:type="dxa"/>
              <w:left w:w="20" w:type="dxa"/>
              <w:bottom w:w="20" w:type="dxa"/>
              <w:right w:w="20" w:type="dxa"/>
            </w:tcMar>
          </w:tcPr>
          <w:p w14:paraId="0C8C02DD" w14:textId="77777777" w:rsidR="00AB41DA" w:rsidRPr="00A450DF" w:rsidRDefault="00AB41DA" w:rsidP="00AB41DA">
            <w:pPr>
              <w:pStyle w:val="T1TableStyle"/>
              <w:rPr>
                <w:rFonts w:ascii="Verdana" w:eastAsia="Verdana" w:hAnsi="Verdana" w:cs="Verdana"/>
                <w:b/>
                <w:color w:val="000000"/>
                <w:sz w:val="16"/>
                <w:szCs w:val="22"/>
                <w:lang w:val="en-GB"/>
              </w:rPr>
            </w:pPr>
            <w:r w:rsidRPr="00A450DF">
              <w:rPr>
                <w:rFonts w:ascii="Verdana" w:eastAsia="Verdana" w:hAnsi="Verdana" w:cs="Verdana"/>
                <w:b/>
                <w:color w:val="000000"/>
                <w:sz w:val="16"/>
                <w:szCs w:val="22"/>
                <w:lang w:val="en-GB"/>
              </w:rPr>
              <w:t>Cash and cash equivalents at the end of the reporting period</w:t>
            </w:r>
          </w:p>
        </w:tc>
        <w:tc>
          <w:tcPr>
            <w:tcW w:w="1690" w:type="dxa"/>
            <w:tcBorders>
              <w:top w:val="single" w:sz="2" w:space="0" w:color="000000"/>
              <w:bottom w:val="single" w:sz="12" w:space="0" w:color="000000"/>
            </w:tcBorders>
            <w:shd w:val="clear" w:color="auto" w:fill="auto"/>
            <w:tcMar>
              <w:top w:w="20" w:type="dxa"/>
              <w:left w:w="20" w:type="dxa"/>
              <w:bottom w:w="20" w:type="dxa"/>
              <w:right w:w="20" w:type="dxa"/>
            </w:tcMar>
          </w:tcPr>
          <w:p w14:paraId="725698B9" w14:textId="77777777" w:rsidR="00AB41DA" w:rsidRPr="00A450DF" w:rsidRDefault="00AB41DA" w:rsidP="00AB41DA">
            <w:pPr>
              <w:pStyle w:val="T1TableStyle"/>
              <w:jc w:val="right"/>
              <w:rPr>
                <w:rFonts w:ascii="Verdana" w:eastAsia="Verdana" w:hAnsi="Verdana" w:cs="Verdana"/>
                <w:b/>
                <w:color w:val="000000"/>
                <w:sz w:val="16"/>
                <w:szCs w:val="22"/>
                <w:lang w:val="en-GB"/>
              </w:rPr>
            </w:pPr>
            <w:r w:rsidRPr="00A450DF">
              <w:rPr>
                <w:rFonts w:ascii="Verdana" w:eastAsia="Verdana" w:hAnsi="Verdana" w:cs="Verdana"/>
                <w:b/>
                <w:color w:val="000000"/>
                <w:sz w:val="16"/>
                <w:szCs w:val="22"/>
                <w:lang w:val="en-GB"/>
              </w:rPr>
              <w:t>0</w:t>
            </w:r>
          </w:p>
        </w:tc>
      </w:tr>
    </w:tbl>
    <w:p w14:paraId="1C09CF24" w14:textId="77777777" w:rsidR="00F227D9" w:rsidRPr="00EA23A9" w:rsidRDefault="00F227D9">
      <w:pPr>
        <w:pStyle w:val="Normal0"/>
        <w:spacing w:after="160" w:line="259" w:lineRule="auto"/>
        <w:rPr>
          <w:rFonts w:ascii="Verdana" w:hAnsi="Verdana"/>
          <w:sz w:val="22"/>
          <w:szCs w:val="22"/>
          <w:lang w:val="pt-BR"/>
        </w:rPr>
        <w:sectPr w:rsidR="00F227D9" w:rsidRPr="00EA23A9" w:rsidSect="00B54A0C">
          <w:type w:val="continuous"/>
          <w:pgSz w:w="16840" w:h="11900" w:orient="landscape"/>
          <w:pgMar w:top="709" w:right="720" w:bottom="567" w:left="720" w:header="708" w:footer="708" w:gutter="0"/>
          <w:cols w:space="708"/>
          <w:docGrid w:linePitch="360"/>
        </w:sectPr>
      </w:pPr>
    </w:p>
    <w:p w14:paraId="3F5C616F" w14:textId="77777777" w:rsidR="00F227D9" w:rsidRPr="00EA23A9" w:rsidRDefault="00F227D9" w:rsidP="00F227D9">
      <w:pPr>
        <w:pStyle w:val="Heading1"/>
        <w:spacing w:after="240"/>
        <w:rPr>
          <w:lang w:val="pt-BR"/>
        </w:rPr>
      </w:pPr>
      <w:bookmarkStart w:id="9" w:name="_Toc77095560"/>
      <w:r w:rsidRPr="00EA23A9">
        <w:rPr>
          <w:lang w:val="pt-BR"/>
        </w:rPr>
        <w:t>Note 1 - Critical Judgements in Applying Accounting Policies</w:t>
      </w:r>
      <w:bookmarkEnd w:id="9"/>
      <w:r w:rsidRPr="00EA23A9">
        <w:rPr>
          <w:lang w:val="pt-BR"/>
        </w:rPr>
        <w:t xml:space="preserve"> </w:t>
      </w:r>
    </w:p>
    <w:p w14:paraId="5612B27E" w14:textId="77777777" w:rsidR="00EB0483" w:rsidRPr="00EA23A9" w:rsidRDefault="00EB0483" w:rsidP="00EB0483">
      <w:pPr>
        <w:pStyle w:val="Normal0"/>
        <w:spacing w:after="160"/>
        <w:jc w:val="both"/>
        <w:rPr>
          <w:rFonts w:ascii="Verdana" w:eastAsia="Verdana" w:hAnsi="Verdana" w:cs="Verdana"/>
          <w:sz w:val="22"/>
          <w:szCs w:val="22"/>
          <w:lang w:val="en-GB"/>
        </w:rPr>
      </w:pPr>
      <w:r w:rsidRPr="00EA23A9">
        <w:rPr>
          <w:rFonts w:ascii="Verdana" w:eastAsia="Verdana" w:hAnsi="Verdana" w:cs="Verdana"/>
          <w:sz w:val="22"/>
          <w:szCs w:val="22"/>
          <w:lang w:val="en-GB"/>
        </w:rPr>
        <w:t>The preparation of the financial statements requires the Group to make judgements, estimates and assumptions that affect the application of policies and reporting amounts of assets and liabilities, income and expenditure. The estimates and associated assumptions are based on historical experience and various other factors, the results of which form the basis of making judgements about the carrying values of assets and liabilities that are not readily apparent from other sources.</w:t>
      </w:r>
    </w:p>
    <w:p w14:paraId="26567D71" w14:textId="77777777" w:rsidR="00F227D9" w:rsidRPr="00EA23A9" w:rsidRDefault="00F227D9" w:rsidP="007D3C35">
      <w:pPr>
        <w:pStyle w:val="Normal0"/>
        <w:spacing w:after="160"/>
        <w:jc w:val="both"/>
        <w:rPr>
          <w:rFonts w:ascii="Verdana" w:eastAsia="Verdana" w:hAnsi="Verdana" w:cs="Verdana"/>
          <w:sz w:val="22"/>
          <w:szCs w:val="22"/>
          <w:lang w:val="en-GB"/>
        </w:rPr>
      </w:pPr>
      <w:r w:rsidRPr="00EA23A9">
        <w:rPr>
          <w:rFonts w:ascii="Verdana" w:eastAsia="Verdana" w:hAnsi="Verdana" w:cs="Verdana"/>
          <w:sz w:val="22"/>
          <w:szCs w:val="22"/>
          <w:lang w:val="en-GB"/>
        </w:rPr>
        <w:t>In applying the accounting policies</w:t>
      </w:r>
      <w:r w:rsidR="00EB0483" w:rsidRPr="00EA23A9">
        <w:rPr>
          <w:rFonts w:ascii="Verdana" w:eastAsia="Verdana" w:hAnsi="Verdana" w:cs="Verdana"/>
          <w:sz w:val="22"/>
          <w:szCs w:val="22"/>
          <w:lang w:val="en-GB"/>
        </w:rPr>
        <w:t xml:space="preserve"> set out in </w:t>
      </w:r>
      <w:r w:rsidR="00EB0483" w:rsidRPr="00DC1077">
        <w:rPr>
          <w:rFonts w:ascii="Verdana" w:eastAsia="Verdana" w:hAnsi="Verdana" w:cs="Verdana"/>
          <w:sz w:val="22"/>
          <w:szCs w:val="22"/>
          <w:highlight w:val="yellow"/>
          <w:lang w:val="en-GB"/>
        </w:rPr>
        <w:t xml:space="preserve">Note </w:t>
      </w:r>
      <w:r w:rsidR="00CC6FE1" w:rsidRPr="00DC1077">
        <w:rPr>
          <w:rFonts w:ascii="Verdana" w:eastAsia="Verdana" w:hAnsi="Verdana" w:cs="Verdana"/>
          <w:sz w:val="22"/>
          <w:szCs w:val="22"/>
          <w:highlight w:val="yellow"/>
          <w:lang w:val="en-GB"/>
        </w:rPr>
        <w:t>22</w:t>
      </w:r>
      <w:r w:rsidRPr="00EA23A9">
        <w:rPr>
          <w:rFonts w:ascii="Verdana" w:eastAsia="Verdana" w:hAnsi="Verdana" w:cs="Verdana"/>
          <w:sz w:val="22"/>
          <w:szCs w:val="22"/>
          <w:lang w:val="en-GB"/>
        </w:rPr>
        <w:t>, the PCC Group has had to make certain judgements about complex transactions or those involving uncertainty about future events. The judgements made by the PCC are included in the PCC Group accounts, those relevant to the Chief Constable’s finance statements are:</w:t>
      </w:r>
    </w:p>
    <w:p w14:paraId="5F172094" w14:textId="77777777" w:rsidR="00F227D9" w:rsidRPr="00EA23A9" w:rsidRDefault="00F227D9" w:rsidP="007D3C35">
      <w:pPr>
        <w:pStyle w:val="Normal0"/>
        <w:spacing w:after="160"/>
        <w:jc w:val="both"/>
        <w:rPr>
          <w:rFonts w:ascii="Verdana" w:eastAsia="Verdana" w:hAnsi="Verdana" w:cs="Verdana"/>
          <w:sz w:val="22"/>
          <w:szCs w:val="22"/>
          <w:lang w:val="en-GB"/>
        </w:rPr>
      </w:pPr>
      <w:r w:rsidRPr="00EA23A9">
        <w:rPr>
          <w:rFonts w:ascii="Verdana" w:eastAsia="Verdana" w:hAnsi="Verdana" w:cs="Verdana"/>
          <w:sz w:val="22"/>
          <w:szCs w:val="22"/>
          <w:lang w:val="en-GB"/>
        </w:rPr>
        <w:t>•</w:t>
      </w:r>
      <w:r w:rsidRPr="00EA23A9">
        <w:rPr>
          <w:rFonts w:ascii="Verdana" w:eastAsia="Verdana" w:hAnsi="Verdana" w:cs="Verdana"/>
          <w:sz w:val="22"/>
          <w:szCs w:val="22"/>
          <w:lang w:val="en-GB"/>
        </w:rPr>
        <w:tab/>
      </w:r>
      <w:r w:rsidRPr="00EA23A9">
        <w:rPr>
          <w:rFonts w:ascii="Verdana" w:eastAsia="Verdana" w:hAnsi="Verdana" w:cs="Verdana"/>
          <w:b/>
          <w:sz w:val="22"/>
          <w:szCs w:val="22"/>
          <w:lang w:val="en-GB"/>
        </w:rPr>
        <w:t>Future levels</w:t>
      </w:r>
      <w:r w:rsidR="00EB0483" w:rsidRPr="00EA23A9">
        <w:rPr>
          <w:rFonts w:ascii="Verdana" w:eastAsia="Verdana" w:hAnsi="Verdana" w:cs="Verdana"/>
          <w:b/>
          <w:sz w:val="22"/>
          <w:szCs w:val="22"/>
          <w:lang w:val="en-GB"/>
        </w:rPr>
        <w:t xml:space="preserve"> of funding for Local Government</w:t>
      </w:r>
      <w:r w:rsidRPr="00EA23A9">
        <w:rPr>
          <w:rFonts w:ascii="Verdana" w:eastAsia="Verdana" w:hAnsi="Verdana" w:cs="Verdana"/>
          <w:sz w:val="22"/>
          <w:szCs w:val="22"/>
          <w:lang w:val="en-GB"/>
        </w:rPr>
        <w:t xml:space="preserve"> – there is a degree of uncertainty about future levels of funding for Police and Crime Commissioners. However, the Group has determined that this uncertainty is not yet sufficient to provide an indication that the assets of the Group might be impaired as a result of a need to close facilities and reduce levels of service provision.</w:t>
      </w:r>
    </w:p>
    <w:p w14:paraId="1549C761" w14:textId="77777777" w:rsidR="00F227D9" w:rsidRPr="00EA23A9" w:rsidRDefault="00F227D9" w:rsidP="007D3C35">
      <w:pPr>
        <w:pStyle w:val="Normal0"/>
        <w:spacing w:after="160"/>
        <w:jc w:val="both"/>
        <w:rPr>
          <w:rFonts w:ascii="Verdana" w:eastAsia="Verdana" w:hAnsi="Verdana" w:cs="Verdana"/>
          <w:sz w:val="22"/>
          <w:szCs w:val="22"/>
          <w:lang w:val="en-GB"/>
        </w:rPr>
      </w:pPr>
      <w:r w:rsidRPr="00EA23A9">
        <w:rPr>
          <w:rFonts w:ascii="Verdana" w:eastAsia="Verdana" w:hAnsi="Verdana" w:cs="Verdana"/>
          <w:sz w:val="22"/>
          <w:szCs w:val="22"/>
          <w:lang w:val="en-GB"/>
        </w:rPr>
        <w:t>•</w:t>
      </w:r>
      <w:r w:rsidRPr="00EA23A9">
        <w:rPr>
          <w:rFonts w:ascii="Verdana" w:eastAsia="Verdana" w:hAnsi="Verdana" w:cs="Verdana"/>
          <w:sz w:val="22"/>
          <w:szCs w:val="22"/>
          <w:lang w:val="en-GB"/>
        </w:rPr>
        <w:tab/>
      </w:r>
      <w:r w:rsidRPr="00EA23A9">
        <w:rPr>
          <w:rFonts w:ascii="Verdana" w:eastAsia="Verdana" w:hAnsi="Verdana" w:cs="Verdana"/>
          <w:b/>
          <w:sz w:val="22"/>
          <w:szCs w:val="22"/>
          <w:lang w:val="en-GB"/>
        </w:rPr>
        <w:t>Income &amp; Expenditure</w:t>
      </w:r>
      <w:r w:rsidRPr="00EA23A9">
        <w:rPr>
          <w:rFonts w:ascii="Verdana" w:eastAsia="Verdana" w:hAnsi="Verdana" w:cs="Verdana"/>
          <w:sz w:val="22"/>
          <w:szCs w:val="22"/>
          <w:lang w:val="en-GB"/>
        </w:rPr>
        <w:t xml:space="preserve"> – a judgement has been made regarding the recognition of income and expenditure between the Police and Crime Commissioner’s and Chief Constable’s accounts to reflect financial resources of the </w:t>
      </w:r>
      <w:r w:rsidR="00D81043" w:rsidRPr="00EA23A9">
        <w:rPr>
          <w:rFonts w:ascii="Verdana" w:eastAsia="Verdana" w:hAnsi="Verdana" w:cs="Verdana"/>
          <w:sz w:val="22"/>
          <w:szCs w:val="22"/>
          <w:lang w:val="en-GB"/>
        </w:rPr>
        <w:t>PCC</w:t>
      </w:r>
      <w:r w:rsidRPr="00EA23A9">
        <w:rPr>
          <w:rFonts w:ascii="Verdana" w:eastAsia="Verdana" w:hAnsi="Verdana" w:cs="Verdana"/>
          <w:sz w:val="22"/>
          <w:szCs w:val="22"/>
          <w:lang w:val="en-GB"/>
        </w:rPr>
        <w:t xml:space="preserve"> consumed at the request of the Chief Constable. </w:t>
      </w:r>
      <w:r w:rsidR="00D02B10" w:rsidRPr="00EA23A9">
        <w:rPr>
          <w:rFonts w:ascii="Verdana" w:eastAsia="Verdana" w:hAnsi="Verdana" w:cs="Verdana"/>
          <w:sz w:val="22"/>
          <w:szCs w:val="22"/>
          <w:lang w:val="en-GB"/>
        </w:rPr>
        <w:t xml:space="preserve">The basis adopted for this allocation was determined by the Group in accordance with the subjective activities for each corporate body included in the CIES. In arriving at this approach, interested parties, including senior management in both corporate bodies were consulted and careful consideration given to the Police Reform and Social Responsibility Act 2011 and Home Office guidance. All income/expenditure is received/paid by the PCC, and no actual cash transaction or events take place between the two entities. </w:t>
      </w:r>
      <w:r w:rsidRPr="00EA23A9">
        <w:rPr>
          <w:rFonts w:ascii="Verdana" w:eastAsia="Verdana" w:hAnsi="Verdana" w:cs="Verdana"/>
          <w:sz w:val="22"/>
          <w:szCs w:val="22"/>
          <w:lang w:val="en-GB"/>
        </w:rPr>
        <w:t xml:space="preserve"> </w:t>
      </w:r>
    </w:p>
    <w:p w14:paraId="4A728025" w14:textId="77777777" w:rsidR="00F227D9" w:rsidRPr="00EA23A9" w:rsidRDefault="00F227D9" w:rsidP="007D3C35">
      <w:pPr>
        <w:pStyle w:val="Normal0"/>
        <w:spacing w:after="160"/>
        <w:jc w:val="both"/>
        <w:rPr>
          <w:rFonts w:ascii="Verdana" w:eastAsia="Verdana" w:hAnsi="Verdana" w:cs="Verdana"/>
          <w:sz w:val="22"/>
          <w:szCs w:val="22"/>
          <w:lang w:val="en-GB"/>
        </w:rPr>
      </w:pPr>
      <w:r w:rsidRPr="00EA23A9">
        <w:rPr>
          <w:rFonts w:ascii="Verdana" w:eastAsia="Verdana" w:hAnsi="Verdana" w:cs="Verdana"/>
          <w:sz w:val="22"/>
          <w:szCs w:val="22"/>
          <w:lang w:val="en-GB"/>
        </w:rPr>
        <w:t>•</w:t>
      </w:r>
      <w:r w:rsidRPr="00EA23A9">
        <w:rPr>
          <w:rFonts w:ascii="Verdana" w:eastAsia="Verdana" w:hAnsi="Verdana" w:cs="Verdana"/>
          <w:sz w:val="22"/>
          <w:szCs w:val="22"/>
          <w:lang w:val="en-GB"/>
        </w:rPr>
        <w:tab/>
      </w:r>
      <w:r w:rsidRPr="00EA23A9">
        <w:rPr>
          <w:rFonts w:ascii="Verdana" w:eastAsia="Verdana" w:hAnsi="Verdana" w:cs="Verdana"/>
          <w:b/>
          <w:sz w:val="22"/>
          <w:szCs w:val="22"/>
          <w:lang w:val="en-GB"/>
        </w:rPr>
        <w:t>Comprehensive Income and Expenditure Statement (CIES)</w:t>
      </w:r>
      <w:r w:rsidRPr="00EA23A9">
        <w:rPr>
          <w:rFonts w:ascii="Verdana" w:eastAsia="Verdana" w:hAnsi="Verdana" w:cs="Verdana"/>
          <w:sz w:val="22"/>
          <w:szCs w:val="22"/>
          <w:lang w:val="en-GB"/>
        </w:rPr>
        <w:t xml:space="preserve"> - Under CIPFA guidance the CIES is reported on the basis of organisation structure, reflecting the way in which the organisation operates or manages its services. For Surrey Police the CIES has been set out to show costs subjectively, reflecting the reporting basis for the monthly corporate report that is written for both the Chief Officer Group and the PCC.</w:t>
      </w:r>
    </w:p>
    <w:p w14:paraId="25AAF637" w14:textId="77777777" w:rsidR="00F227D9" w:rsidRPr="00EA23A9" w:rsidRDefault="00F227D9" w:rsidP="007D3C35">
      <w:pPr>
        <w:pStyle w:val="Normal0"/>
        <w:spacing w:after="160"/>
        <w:jc w:val="both"/>
        <w:rPr>
          <w:rFonts w:ascii="Verdana" w:eastAsia="Verdana" w:hAnsi="Verdana" w:cs="Verdana"/>
          <w:sz w:val="22"/>
          <w:szCs w:val="22"/>
          <w:lang w:val="en-GB"/>
        </w:rPr>
      </w:pPr>
      <w:r w:rsidRPr="00EA23A9">
        <w:rPr>
          <w:rFonts w:ascii="Verdana" w:eastAsia="Verdana" w:hAnsi="Verdana" w:cs="Verdana"/>
          <w:sz w:val="22"/>
          <w:szCs w:val="22"/>
          <w:lang w:val="en-GB"/>
        </w:rPr>
        <w:t>•</w:t>
      </w:r>
      <w:r w:rsidRPr="00EA23A9">
        <w:rPr>
          <w:rFonts w:ascii="Verdana" w:eastAsia="Verdana" w:hAnsi="Verdana" w:cs="Verdana"/>
          <w:sz w:val="22"/>
          <w:szCs w:val="22"/>
          <w:lang w:val="en-GB"/>
        </w:rPr>
        <w:tab/>
      </w:r>
      <w:r w:rsidRPr="00EA23A9">
        <w:rPr>
          <w:rFonts w:ascii="Verdana" w:eastAsia="Verdana" w:hAnsi="Verdana" w:cs="Verdana"/>
          <w:b/>
          <w:sz w:val="22"/>
          <w:szCs w:val="22"/>
          <w:lang w:val="en-GB"/>
        </w:rPr>
        <w:t>Working capital</w:t>
      </w:r>
      <w:r w:rsidRPr="00EA23A9">
        <w:rPr>
          <w:rFonts w:ascii="Verdana" w:eastAsia="Verdana" w:hAnsi="Verdana" w:cs="Verdana"/>
          <w:sz w:val="22"/>
          <w:szCs w:val="22"/>
          <w:lang w:val="en-GB"/>
        </w:rPr>
        <w:t xml:space="preserve"> – </w:t>
      </w:r>
      <w:r w:rsidR="00D81043" w:rsidRPr="00EA23A9">
        <w:rPr>
          <w:rFonts w:ascii="Verdana" w:eastAsia="Verdana" w:hAnsi="Verdana" w:cs="Verdana"/>
          <w:sz w:val="22"/>
          <w:szCs w:val="22"/>
          <w:lang w:val="en-GB"/>
        </w:rPr>
        <w:t>W</w:t>
      </w:r>
      <w:r w:rsidR="00D02B10" w:rsidRPr="00EA23A9">
        <w:rPr>
          <w:rFonts w:ascii="Verdana" w:eastAsia="Verdana" w:hAnsi="Verdana" w:cs="Verdana"/>
          <w:sz w:val="22"/>
          <w:szCs w:val="22"/>
          <w:lang w:val="en-GB"/>
        </w:rPr>
        <w:t xml:space="preserve">orking capital </w:t>
      </w:r>
      <w:r w:rsidR="00D81043" w:rsidRPr="00EA23A9">
        <w:rPr>
          <w:rFonts w:ascii="Verdana" w:eastAsia="Verdana" w:hAnsi="Verdana" w:cs="Verdana"/>
          <w:sz w:val="22"/>
          <w:szCs w:val="22"/>
          <w:lang w:val="en-GB"/>
        </w:rPr>
        <w:t>has been judged as being</w:t>
      </w:r>
      <w:r w:rsidR="00D02B10" w:rsidRPr="00EA23A9">
        <w:rPr>
          <w:rFonts w:ascii="Verdana" w:eastAsia="Verdana" w:hAnsi="Verdana" w:cs="Verdana"/>
          <w:sz w:val="22"/>
          <w:szCs w:val="22"/>
          <w:lang w:val="en-GB"/>
        </w:rPr>
        <w:t xml:space="preserve"> attributable</w:t>
      </w:r>
      <w:r w:rsidR="00D81043" w:rsidRPr="00EA23A9">
        <w:rPr>
          <w:rFonts w:ascii="Verdana" w:eastAsia="Verdana" w:hAnsi="Verdana" w:cs="Verdana"/>
          <w:sz w:val="22"/>
          <w:szCs w:val="22"/>
          <w:lang w:val="en-GB"/>
        </w:rPr>
        <w:t xml:space="preserve"> in full</w:t>
      </w:r>
      <w:r w:rsidR="00D02B10" w:rsidRPr="00EA23A9">
        <w:rPr>
          <w:rFonts w:ascii="Verdana" w:eastAsia="Verdana" w:hAnsi="Verdana" w:cs="Verdana"/>
          <w:sz w:val="22"/>
          <w:szCs w:val="22"/>
          <w:lang w:val="en-GB"/>
        </w:rPr>
        <w:t xml:space="preserve"> to the P</w:t>
      </w:r>
      <w:r w:rsidR="00D81043" w:rsidRPr="00EA23A9">
        <w:rPr>
          <w:rFonts w:ascii="Verdana" w:eastAsia="Verdana" w:hAnsi="Verdana" w:cs="Verdana"/>
          <w:sz w:val="22"/>
          <w:szCs w:val="22"/>
          <w:lang w:val="en-GB"/>
        </w:rPr>
        <w:t>CC</w:t>
      </w:r>
      <w:r w:rsidR="00D02B10" w:rsidRPr="00EA23A9">
        <w:rPr>
          <w:rFonts w:ascii="Verdana" w:eastAsia="Verdana" w:hAnsi="Verdana" w:cs="Verdana"/>
          <w:sz w:val="22"/>
          <w:szCs w:val="22"/>
          <w:lang w:val="en-GB"/>
        </w:rPr>
        <w:t>.  The PCC controls the treasury management function and all bank accounts, therefore no working capital balances (cash, current debtors and liabilities) are recognised in the Chief Constable’s Balance Sheet</w:t>
      </w:r>
      <w:r w:rsidRPr="00EA23A9">
        <w:rPr>
          <w:rFonts w:ascii="Verdana" w:eastAsia="Verdana" w:hAnsi="Verdana" w:cs="Verdana"/>
          <w:sz w:val="22"/>
          <w:szCs w:val="22"/>
          <w:lang w:val="en-GB"/>
        </w:rPr>
        <w:t xml:space="preserve">. </w:t>
      </w:r>
    </w:p>
    <w:p w14:paraId="2AB46F9A" w14:textId="77777777" w:rsidR="00D02B10" w:rsidRPr="00C158F9" w:rsidRDefault="00D02B10" w:rsidP="00D02B10">
      <w:pPr>
        <w:pStyle w:val="Normal0"/>
        <w:spacing w:after="160"/>
        <w:jc w:val="both"/>
        <w:rPr>
          <w:rFonts w:ascii="Verdana" w:eastAsia="Verdana" w:hAnsi="Verdana" w:cs="Verdana"/>
          <w:sz w:val="22"/>
          <w:szCs w:val="22"/>
          <w:lang w:val="en-GB"/>
        </w:rPr>
      </w:pPr>
      <w:r w:rsidRPr="00EA23A9">
        <w:rPr>
          <w:rFonts w:ascii="Verdana" w:eastAsia="Verdana" w:hAnsi="Verdana" w:cs="Verdana"/>
          <w:sz w:val="22"/>
          <w:szCs w:val="22"/>
          <w:lang w:val="en-GB"/>
        </w:rPr>
        <w:t>•</w:t>
      </w:r>
      <w:r w:rsidRPr="00EA23A9">
        <w:rPr>
          <w:rFonts w:ascii="Verdana" w:eastAsia="Verdana" w:hAnsi="Verdana" w:cs="Verdana"/>
          <w:sz w:val="22"/>
          <w:szCs w:val="22"/>
          <w:lang w:val="en-GB"/>
        </w:rPr>
        <w:tab/>
      </w:r>
      <w:r w:rsidR="00D81043" w:rsidRPr="00EA23A9">
        <w:rPr>
          <w:rFonts w:ascii="Verdana" w:eastAsia="Verdana" w:hAnsi="Verdana" w:cs="Verdana"/>
          <w:b/>
          <w:sz w:val="22"/>
          <w:szCs w:val="22"/>
          <w:lang w:val="en-GB"/>
        </w:rPr>
        <w:t>Employee benefit accrual for</w:t>
      </w:r>
      <w:r w:rsidR="00D81043" w:rsidRPr="00EA23A9">
        <w:rPr>
          <w:rFonts w:ascii="Verdana" w:eastAsia="Verdana" w:hAnsi="Verdana" w:cs="Verdana"/>
          <w:sz w:val="22"/>
          <w:szCs w:val="22"/>
          <w:lang w:val="en-GB"/>
        </w:rPr>
        <w:t xml:space="preserve"> </w:t>
      </w:r>
      <w:r w:rsidR="00D81043" w:rsidRPr="00EA23A9">
        <w:rPr>
          <w:rFonts w:ascii="Verdana" w:eastAsia="Verdana" w:hAnsi="Verdana" w:cs="Verdana"/>
          <w:b/>
          <w:sz w:val="22"/>
          <w:szCs w:val="22"/>
          <w:lang w:val="en-GB"/>
        </w:rPr>
        <w:t>a</w:t>
      </w:r>
      <w:r w:rsidRPr="00EA23A9">
        <w:rPr>
          <w:rFonts w:ascii="Verdana" w:eastAsia="Verdana" w:hAnsi="Verdana" w:cs="Verdana"/>
          <w:b/>
          <w:sz w:val="22"/>
          <w:szCs w:val="22"/>
          <w:lang w:val="en-GB"/>
        </w:rPr>
        <w:t>ccumulated absences</w:t>
      </w:r>
      <w:r w:rsidRPr="00EA23A9">
        <w:rPr>
          <w:rFonts w:ascii="Verdana" w:eastAsia="Verdana" w:hAnsi="Verdana" w:cs="Verdana"/>
          <w:sz w:val="22"/>
          <w:szCs w:val="22"/>
          <w:lang w:val="en-GB"/>
        </w:rPr>
        <w:t xml:space="preserve"> - the PCC has to determine whether the leave accrual should be accounted for in the PCC or Chief Constables accounts. As the majority of employee costs are accounted for in the Chief Constables accounts the leave accrual has been accordingly matched and accounted for on the Chief Constables Balance Sheet. The calculation is based on staff annual leave records and an average cost for </w:t>
      </w:r>
      <w:r w:rsidRPr="00C158F9">
        <w:rPr>
          <w:rFonts w:ascii="Verdana" w:eastAsia="Verdana" w:hAnsi="Verdana" w:cs="Verdana"/>
          <w:sz w:val="22"/>
          <w:szCs w:val="22"/>
          <w:lang w:val="en-GB"/>
        </w:rPr>
        <w:t>each grade.</w:t>
      </w:r>
    </w:p>
    <w:p w14:paraId="595AC3D5" w14:textId="72177D2A" w:rsidR="00951FF1" w:rsidRPr="00C158F9" w:rsidRDefault="00951FF1" w:rsidP="00EA23A9">
      <w:pPr>
        <w:pStyle w:val="Normal0"/>
        <w:spacing w:after="160"/>
        <w:jc w:val="both"/>
        <w:rPr>
          <w:rFonts w:ascii="Verdana" w:hAnsi="Verdana"/>
          <w:sz w:val="22"/>
          <w:szCs w:val="22"/>
          <w:lang w:val="en-GB"/>
        </w:rPr>
      </w:pPr>
      <w:r w:rsidRPr="00C158F9">
        <w:rPr>
          <w:rFonts w:ascii="Verdana" w:eastAsia="Verdana" w:hAnsi="Verdana" w:cs="Verdana"/>
          <w:sz w:val="22"/>
          <w:szCs w:val="22"/>
          <w:lang w:val="en-GB"/>
        </w:rPr>
        <w:t>•</w:t>
      </w:r>
      <w:r w:rsidRPr="00C158F9">
        <w:rPr>
          <w:rFonts w:ascii="Verdana" w:eastAsia="Verdana" w:hAnsi="Verdana" w:cs="Verdana"/>
          <w:sz w:val="22"/>
          <w:szCs w:val="22"/>
          <w:lang w:val="en-GB"/>
        </w:rPr>
        <w:tab/>
      </w:r>
      <w:r w:rsidRPr="00C158F9">
        <w:rPr>
          <w:rFonts w:ascii="Verdana" w:hAnsi="Verdana"/>
          <w:b/>
          <w:sz w:val="22"/>
          <w:szCs w:val="22"/>
          <w:lang w:val="en-GB"/>
        </w:rPr>
        <w:t>Pensions Actuarial Assumptions</w:t>
      </w:r>
      <w:r w:rsidRPr="00C158F9">
        <w:rPr>
          <w:rFonts w:ascii="Verdana" w:hAnsi="Verdana"/>
          <w:sz w:val="22"/>
          <w:szCs w:val="22"/>
          <w:lang w:val="en-GB"/>
        </w:rPr>
        <w:t xml:space="preserve"> – The value of the liabilities for IAS19 purposes is heavily dependent on assumptions made by the Group’s actuaries, Hymans Robertson and GAD. The financial assumptions reflect market expectations at the reporting date. Changes in market conditions that result in changes in the net discount rate (essentially the difference between the discount rate and the assumed rates of increase of salaries, deferred pension revaluation or pension-in-payment) can have a significant effect on the value of the liabilities reported. A reduction in the net discount rate will increase the assessed value of liabilities as a higher value is placed on benefits paid in the future. A rise in the net discount rate will have an opposite effect of similar magnitude. The effect of a change in the net discount rate on the value placed on the liabilities of each scheme is shown in the sensitivity analysis schedule below. There is also uncertainty around the life expectancy of the UK population. The value of current and future pension benefits will depend on how long they are assumed to be in-payment.  The mortality assumptions have changed from the previous accounting period to take account of recent mortality experience.  Life expectancy is based on the Fund’s VitaCurves with improvements in line with the CMI 2018 model, an allowance for smoothing of recent mortality experience and long term rates of improvement of 1.5% p.a. for males and females.</w:t>
      </w:r>
    </w:p>
    <w:p w14:paraId="0A1797E0" w14:textId="77777777" w:rsidR="00951FF1" w:rsidRPr="00C158F9" w:rsidRDefault="00951FF1" w:rsidP="00951FF1">
      <w:pPr>
        <w:jc w:val="both"/>
        <w:rPr>
          <w:rFonts w:ascii="Verdana" w:hAnsi="Verdana"/>
          <w:sz w:val="22"/>
          <w:szCs w:val="22"/>
          <w:lang w:val="en-GB"/>
        </w:rPr>
      </w:pPr>
    </w:p>
    <w:p w14:paraId="462A2984" w14:textId="77777777" w:rsidR="00951FF1" w:rsidRPr="00C158F9" w:rsidRDefault="00951FF1" w:rsidP="00951FF1">
      <w:pPr>
        <w:spacing w:after="160" w:line="256" w:lineRule="auto"/>
        <w:jc w:val="both"/>
        <w:rPr>
          <w:rFonts w:ascii="Verdana" w:eastAsia="Verdana" w:hAnsi="Verdana" w:cs="Verdana"/>
          <w:sz w:val="22"/>
          <w:szCs w:val="22"/>
          <w:lang w:val="en-GB"/>
        </w:rPr>
      </w:pPr>
      <w:r w:rsidRPr="00C158F9">
        <w:rPr>
          <w:rFonts w:ascii="Verdana" w:eastAsia="Verdana" w:hAnsi="Verdana" w:cs="Verdana"/>
          <w:sz w:val="22"/>
          <w:szCs w:val="22"/>
          <w:lang w:val="en-GB"/>
        </w:rPr>
        <w:t>•</w:t>
      </w:r>
      <w:r w:rsidRPr="00C158F9">
        <w:rPr>
          <w:rFonts w:ascii="Verdana" w:eastAsia="Verdana" w:hAnsi="Verdana" w:cs="Verdana"/>
          <w:sz w:val="22"/>
          <w:szCs w:val="22"/>
          <w:lang w:val="en-GB"/>
        </w:rPr>
        <w:tab/>
      </w:r>
      <w:r w:rsidRPr="00C158F9">
        <w:rPr>
          <w:rFonts w:ascii="Verdana" w:eastAsia="Verdana" w:hAnsi="Verdana" w:cs="Verdana"/>
          <w:b/>
          <w:sz w:val="22"/>
          <w:szCs w:val="22"/>
          <w:lang w:val="en-GB"/>
        </w:rPr>
        <w:t>Pensions Impact of McCloud/Sargeant court of appeal</w:t>
      </w:r>
      <w:r w:rsidRPr="00C158F9">
        <w:rPr>
          <w:rFonts w:ascii="Verdana" w:eastAsia="Verdana" w:hAnsi="Verdana" w:cs="Verdana"/>
          <w:sz w:val="22"/>
          <w:szCs w:val="22"/>
          <w:lang w:val="en-GB"/>
        </w:rPr>
        <w:t xml:space="preserve"> - </w:t>
      </w:r>
    </w:p>
    <w:p w14:paraId="5A878F2F" w14:textId="77777777" w:rsidR="00951FF1" w:rsidRPr="00C158F9" w:rsidRDefault="00951FF1" w:rsidP="00951FF1">
      <w:pPr>
        <w:jc w:val="both"/>
        <w:rPr>
          <w:rFonts w:ascii="Verdana" w:hAnsi="Verdana"/>
          <w:sz w:val="22"/>
          <w:szCs w:val="22"/>
        </w:rPr>
      </w:pPr>
      <w:r w:rsidRPr="00C158F9">
        <w:rPr>
          <w:rFonts w:ascii="Verdana" w:hAnsi="Verdana"/>
          <w:sz w:val="22"/>
          <w:szCs w:val="22"/>
        </w:rPr>
        <w:t xml:space="preserve">The McCloud and Sargeant judgements concerned the introduction of career average revalued earnings (CARE) pension schemes to replace the former final salary based pension schemes as part of the Hutton recommendation to reform public service pension schemes. Under the changes introduced to each scheme, members were required to transfer to the new schemes from the transition date of the new schemes, this was 1 April 2014 for the police staff scheme (LGPS) and 1 April 2015 for the Police pension scheme. </w:t>
      </w:r>
    </w:p>
    <w:p w14:paraId="1D8CDCF0" w14:textId="77777777" w:rsidR="00951FF1" w:rsidRPr="00C158F9" w:rsidRDefault="00951FF1" w:rsidP="00951FF1">
      <w:pPr>
        <w:jc w:val="both"/>
        <w:rPr>
          <w:rFonts w:ascii="Verdana" w:hAnsi="Verdana"/>
          <w:sz w:val="22"/>
          <w:szCs w:val="22"/>
        </w:rPr>
      </w:pPr>
    </w:p>
    <w:p w14:paraId="40049504" w14:textId="77777777" w:rsidR="00951FF1" w:rsidRPr="00C158F9" w:rsidRDefault="00951FF1" w:rsidP="00951FF1">
      <w:pPr>
        <w:jc w:val="both"/>
        <w:rPr>
          <w:rFonts w:ascii="Verdana" w:hAnsi="Verdana"/>
          <w:sz w:val="22"/>
          <w:szCs w:val="22"/>
        </w:rPr>
      </w:pPr>
      <w:r w:rsidRPr="00C158F9">
        <w:rPr>
          <w:rFonts w:ascii="Verdana" w:hAnsi="Verdana"/>
          <w:sz w:val="22"/>
          <w:szCs w:val="22"/>
        </w:rPr>
        <w:t>There was protection provided for older members under each scheme known as ‘transitional protection’. The McCloud and Sargeant judgements have upheld the claimants’ cases that the method of implementation of the new schemes discriminated against younger members. The government was refused leave to appeal the McCloud and Sargeant Judgements on 27 June 2019. This means various parties return to the respective employment tribunals to formulate a remedy which will resolve the age discrimination of the pension changes.</w:t>
      </w:r>
    </w:p>
    <w:p w14:paraId="0AD58C47" w14:textId="77777777" w:rsidR="00951FF1" w:rsidRPr="00C158F9" w:rsidRDefault="00951FF1" w:rsidP="00951FF1">
      <w:pPr>
        <w:jc w:val="both"/>
        <w:rPr>
          <w:rFonts w:ascii="Verdana" w:hAnsi="Verdana"/>
          <w:iCs/>
          <w:sz w:val="22"/>
          <w:szCs w:val="22"/>
        </w:rPr>
      </w:pPr>
    </w:p>
    <w:p w14:paraId="5161AC8B" w14:textId="77777777" w:rsidR="00C158F9" w:rsidRPr="00C158F9" w:rsidRDefault="00C158F9" w:rsidP="00C158F9">
      <w:pPr>
        <w:jc w:val="both"/>
        <w:rPr>
          <w:rFonts w:ascii="Verdana" w:hAnsi="Verdana"/>
          <w:sz w:val="22"/>
          <w:szCs w:val="22"/>
        </w:rPr>
      </w:pPr>
      <w:r w:rsidRPr="00C158F9">
        <w:rPr>
          <w:rFonts w:ascii="Verdana" w:hAnsi="Verdana"/>
          <w:sz w:val="22"/>
          <w:szCs w:val="22"/>
        </w:rPr>
        <w:t>In respect of the Police pension schemes, a case management was held in October 2019 resulted in an Order including an interim declaration that claimants are entitled to be treated as if they had been given full transitional protection and had remained in their existing scheme after 1 April 2015. The Government later issued a Ministerial Statement on 25 March 2020 that non-claimants would also be treated in the same way. On 16 July 2020, HM Treasury issued a consultation on transitional arrangements for public sector pensions to eliminate discrimination identified via McCloud/Sargeant cases. This meant that members of the pension scheme on or before 31 March 2012 and on or after 1April to be eligible for the remedy.</w:t>
      </w:r>
    </w:p>
    <w:p w14:paraId="2B2524A4" w14:textId="77777777" w:rsidR="00C158F9" w:rsidRPr="00C158F9" w:rsidRDefault="00C158F9" w:rsidP="00C158F9">
      <w:pPr>
        <w:jc w:val="both"/>
        <w:rPr>
          <w:rFonts w:ascii="Verdana" w:hAnsi="Verdana"/>
          <w:sz w:val="22"/>
          <w:szCs w:val="22"/>
        </w:rPr>
      </w:pPr>
    </w:p>
    <w:p w14:paraId="4AFB80BE" w14:textId="77777777" w:rsidR="00C158F9" w:rsidRPr="00C158F9" w:rsidRDefault="00C158F9" w:rsidP="00C158F9">
      <w:pPr>
        <w:jc w:val="both"/>
        <w:rPr>
          <w:rFonts w:ascii="Verdana" w:hAnsi="Verdana"/>
          <w:sz w:val="22"/>
          <w:szCs w:val="22"/>
        </w:rPr>
      </w:pPr>
      <w:r w:rsidRPr="00C158F9">
        <w:rPr>
          <w:rFonts w:ascii="Verdana" w:hAnsi="Verdana"/>
          <w:sz w:val="22"/>
          <w:szCs w:val="22"/>
        </w:rPr>
        <w:t xml:space="preserve">On 4 February 2021, HM Treasury issued a response to the consultation confirming remedy arrangement requirements that were set out in the consultation with members being given a choice as to whether they retain benefits from their legacy pension scheme, or their new scheme, during the remedy period of 2015 to 2022 so as not to disadvantage any of those members. This choice will be deferred for members until retirement which creates further uncertainty of impact for employers. The legacy pension schemes will then be removed from April 2022 and replaced by the new pension schemes originally introduced in 2015 as it was only the transitional arrangements that were found to be discriminatory, not the actual new pension schemes. </w:t>
      </w:r>
    </w:p>
    <w:p w14:paraId="2D86D8B5" w14:textId="77777777" w:rsidR="00C158F9" w:rsidRPr="00C158F9" w:rsidRDefault="00C158F9" w:rsidP="00C158F9">
      <w:pPr>
        <w:jc w:val="both"/>
        <w:rPr>
          <w:rFonts w:ascii="Verdana" w:hAnsi="Verdana"/>
          <w:iCs/>
          <w:sz w:val="22"/>
          <w:szCs w:val="22"/>
        </w:rPr>
      </w:pPr>
    </w:p>
    <w:p w14:paraId="451F335E" w14:textId="5BB488DD" w:rsidR="00951FF1" w:rsidRPr="00C158F9" w:rsidRDefault="00C158F9" w:rsidP="00C158F9">
      <w:pPr>
        <w:spacing w:after="160" w:line="256" w:lineRule="auto"/>
        <w:jc w:val="both"/>
        <w:rPr>
          <w:rFonts w:ascii="Verdana" w:eastAsia="Verdana" w:hAnsi="Verdana" w:cs="Verdana"/>
          <w:sz w:val="22"/>
          <w:szCs w:val="22"/>
          <w:lang w:val="en-GB"/>
        </w:rPr>
      </w:pPr>
      <w:r w:rsidRPr="00C158F9">
        <w:rPr>
          <w:rFonts w:ascii="Verdana" w:hAnsi="Verdana"/>
          <w:iCs/>
          <w:sz w:val="22"/>
          <w:szCs w:val="22"/>
        </w:rPr>
        <w:t>IAS 19 pension actuarial reports include these impacts and provide for them within the 2020/21 accounts of the PCC Group for both police and staff pension schemes.</w:t>
      </w:r>
    </w:p>
    <w:p w14:paraId="59028872" w14:textId="77777777" w:rsidR="00F227D9" w:rsidRPr="00C158F9" w:rsidRDefault="00F227D9" w:rsidP="00F227D9">
      <w:pPr>
        <w:pStyle w:val="Normal0"/>
        <w:spacing w:after="160"/>
        <w:rPr>
          <w:rFonts w:ascii="Verdana" w:hAnsi="Verdana"/>
          <w:sz w:val="22"/>
          <w:szCs w:val="22"/>
          <w:lang w:val="pt-BR"/>
        </w:rPr>
      </w:pPr>
    </w:p>
    <w:p w14:paraId="51395B73" w14:textId="77777777" w:rsidR="00EB0483" w:rsidRPr="00C158F9" w:rsidRDefault="00EB0483" w:rsidP="00EB0483">
      <w:pPr>
        <w:pStyle w:val="Heading1"/>
        <w:spacing w:after="240"/>
        <w:rPr>
          <w:lang w:val="pt-BR"/>
        </w:rPr>
      </w:pPr>
      <w:bookmarkStart w:id="10" w:name="_Toc77095561"/>
      <w:r w:rsidRPr="00C158F9">
        <w:rPr>
          <w:lang w:val="pt-BR"/>
        </w:rPr>
        <w:t>Note 2 – Going Concern</w:t>
      </w:r>
      <w:bookmarkEnd w:id="10"/>
      <w:r w:rsidRPr="00C158F9">
        <w:rPr>
          <w:lang w:val="pt-BR"/>
        </w:rPr>
        <w:t xml:space="preserve"> </w:t>
      </w:r>
    </w:p>
    <w:p w14:paraId="2076230C" w14:textId="77777777" w:rsidR="0098712B" w:rsidRPr="00C158F9" w:rsidRDefault="0098712B" w:rsidP="0098712B">
      <w:pPr>
        <w:spacing w:after="160" w:line="259" w:lineRule="auto"/>
        <w:rPr>
          <w:rFonts w:ascii="Verdana" w:eastAsia="Calibri" w:hAnsi="Verdana" w:cs="Times New Roman"/>
          <w:b/>
          <w:sz w:val="22"/>
          <w:szCs w:val="22"/>
          <w:lang w:val="en-GB"/>
        </w:rPr>
      </w:pPr>
      <w:r w:rsidRPr="00C158F9">
        <w:rPr>
          <w:rFonts w:ascii="Verdana" w:eastAsia="Calibri" w:hAnsi="Verdana" w:cs="Times New Roman"/>
          <w:b/>
          <w:sz w:val="22"/>
          <w:szCs w:val="22"/>
          <w:lang w:val="en-GB"/>
        </w:rPr>
        <w:t xml:space="preserve">Underlying Principle </w:t>
      </w:r>
    </w:p>
    <w:p w14:paraId="6F2B35C9" w14:textId="77777777" w:rsidR="0098712B" w:rsidRPr="00C158F9" w:rsidRDefault="0098712B" w:rsidP="0098712B">
      <w:pPr>
        <w:spacing w:after="160" w:line="259" w:lineRule="auto"/>
        <w:jc w:val="both"/>
        <w:rPr>
          <w:rFonts w:ascii="Verdana" w:eastAsia="Calibri" w:hAnsi="Verdana" w:cs="Times New Roman"/>
          <w:sz w:val="22"/>
          <w:szCs w:val="22"/>
          <w:lang w:val="en-GB"/>
        </w:rPr>
      </w:pPr>
      <w:r w:rsidRPr="00C158F9">
        <w:rPr>
          <w:rFonts w:ascii="Verdana" w:eastAsia="Calibri" w:hAnsi="Verdana" w:cs="Times New Roman"/>
          <w:sz w:val="22"/>
          <w:szCs w:val="22"/>
          <w:lang w:val="en-GB"/>
        </w:rPr>
        <w:t xml:space="preserve">These accounts have been prepared on a going concern basis that the authority will continue in operational existence for the foreseeable future. </w:t>
      </w:r>
    </w:p>
    <w:p w14:paraId="67BB4339" w14:textId="77777777" w:rsidR="0098712B" w:rsidRPr="00C158F9" w:rsidRDefault="0098712B" w:rsidP="0098712B">
      <w:pPr>
        <w:spacing w:after="160" w:line="259" w:lineRule="auto"/>
        <w:jc w:val="both"/>
        <w:rPr>
          <w:rFonts w:ascii="Verdana" w:eastAsia="Calibri" w:hAnsi="Verdana" w:cs="Times New Roman"/>
          <w:sz w:val="22"/>
          <w:szCs w:val="22"/>
          <w:lang w:val="en-GB"/>
        </w:rPr>
      </w:pPr>
      <w:r w:rsidRPr="00C158F9">
        <w:rPr>
          <w:rFonts w:ascii="Verdana" w:eastAsia="Calibri" w:hAnsi="Verdana" w:cs="Times New Roman"/>
          <w:sz w:val="22"/>
          <w:szCs w:val="22"/>
          <w:lang w:val="en-GB"/>
        </w:rPr>
        <w:t xml:space="preserve">The provisions in the Code of Audit Practice in respect of going concern reporting requirements reflect the economic and statutory environment in which local authorities operate. These provisions confirm that, as policing bodies cannot be created or dissolved without statutory prescription, they must prepare their financial statements on a going concern basis of accounting. Local authorities and policing bodies carry out functions essential to the local community and are themselves revenue-raising bodies (with limits on their revenue-raising powers arising only at the discretion of central government). If a policing body were in financial difficulty, the prospects are thus that alternative arrangements might be made by central government either for the continuation of the services it provides or for assistance with the recovery of a deficit over more than one financial year. As a result of this, it would not therefore be appropriate for the financial statements of a policing body to be provided on anything other than a going concern basis. Accounts drawn up under the Code therefore assume that policing services will continue to operate for the foreseeable future. Surrey Police accounts therefore assume that Surrey Police will continue to operate for the foreseeable future. </w:t>
      </w:r>
    </w:p>
    <w:p w14:paraId="37F371BC" w14:textId="22F4ACF6" w:rsidR="00C158F9" w:rsidRPr="00DC1077" w:rsidRDefault="00C158F9" w:rsidP="0098712B">
      <w:pPr>
        <w:spacing w:after="160" w:line="259" w:lineRule="auto"/>
        <w:jc w:val="both"/>
        <w:rPr>
          <w:rFonts w:ascii="Verdana" w:eastAsia="Calibri" w:hAnsi="Verdana" w:cs="Times New Roman"/>
          <w:sz w:val="22"/>
          <w:szCs w:val="22"/>
          <w:highlight w:val="yellow"/>
          <w:lang w:val="en-GB"/>
        </w:rPr>
      </w:pPr>
      <w:r>
        <w:rPr>
          <w:rFonts w:ascii="Verdana" w:eastAsia="Calibri" w:hAnsi="Verdana" w:cs="Times New Roman"/>
          <w:sz w:val="22"/>
          <w:szCs w:val="22"/>
          <w:highlight w:val="yellow"/>
          <w:lang w:val="en-GB"/>
        </w:rPr>
        <w:t>NB: Further information to be added for final version accounts</w:t>
      </w:r>
    </w:p>
    <w:p w14:paraId="16743668" w14:textId="77777777" w:rsidR="00EB0483" w:rsidRPr="00C158F9" w:rsidRDefault="00EB0483" w:rsidP="00F227D9">
      <w:pPr>
        <w:pStyle w:val="Normal0"/>
        <w:spacing w:after="160"/>
        <w:rPr>
          <w:rFonts w:ascii="Verdana" w:hAnsi="Verdana"/>
          <w:sz w:val="4"/>
          <w:szCs w:val="4"/>
          <w:lang w:val="pt-BR"/>
        </w:rPr>
      </w:pPr>
    </w:p>
    <w:p w14:paraId="0357E29E" w14:textId="77777777" w:rsidR="00EB0483" w:rsidRPr="00C158F9" w:rsidRDefault="00EB0483" w:rsidP="00F227D9">
      <w:pPr>
        <w:pStyle w:val="Normal0"/>
        <w:spacing w:after="160"/>
        <w:rPr>
          <w:rFonts w:ascii="Verdana" w:hAnsi="Verdana"/>
          <w:sz w:val="4"/>
          <w:szCs w:val="4"/>
          <w:lang w:val="pt-BR"/>
        </w:rPr>
      </w:pPr>
    </w:p>
    <w:p w14:paraId="5D9D68AA" w14:textId="77777777" w:rsidR="00F227D9" w:rsidRPr="00C158F9" w:rsidRDefault="00F227D9" w:rsidP="007D3C35">
      <w:pPr>
        <w:pStyle w:val="Heading1"/>
        <w:spacing w:after="240"/>
        <w:jc w:val="both"/>
        <w:rPr>
          <w:lang w:val="pt-BR"/>
        </w:rPr>
      </w:pPr>
      <w:bookmarkStart w:id="11" w:name="_Toc77095562"/>
      <w:r w:rsidRPr="00C158F9">
        <w:rPr>
          <w:lang w:val="pt-BR"/>
        </w:rPr>
        <w:t xml:space="preserve">Note </w:t>
      </w:r>
      <w:r w:rsidR="00EB0483" w:rsidRPr="00C158F9">
        <w:rPr>
          <w:lang w:val="pt-BR"/>
        </w:rPr>
        <w:t>3</w:t>
      </w:r>
      <w:r w:rsidRPr="00C158F9">
        <w:rPr>
          <w:lang w:val="pt-BR"/>
        </w:rPr>
        <w:t xml:space="preserve"> - Events After the Balance Sheet Date</w:t>
      </w:r>
      <w:bookmarkEnd w:id="11"/>
      <w:r w:rsidRPr="00C158F9">
        <w:rPr>
          <w:lang w:val="pt-BR"/>
        </w:rPr>
        <w:t xml:space="preserve"> </w:t>
      </w:r>
    </w:p>
    <w:p w14:paraId="7AC53478" w14:textId="77777777" w:rsidR="00F227D9" w:rsidRDefault="00F227D9" w:rsidP="007D3C35">
      <w:pPr>
        <w:pStyle w:val="Normal0"/>
        <w:spacing w:after="160"/>
        <w:jc w:val="both"/>
        <w:rPr>
          <w:rFonts w:ascii="Verdana" w:eastAsia="Verdana" w:hAnsi="Verdana" w:cs="Verdana"/>
          <w:sz w:val="22"/>
          <w:szCs w:val="22"/>
          <w:lang w:val="en-GB"/>
        </w:rPr>
      </w:pPr>
      <w:r w:rsidRPr="00C158F9">
        <w:rPr>
          <w:rFonts w:ascii="Verdana" w:eastAsia="Verdana" w:hAnsi="Verdana" w:cs="Verdana"/>
          <w:sz w:val="22"/>
          <w:szCs w:val="22"/>
          <w:lang w:val="en-GB"/>
        </w:rPr>
        <w:t>When an event occurs after the Balance Sheet date which provides evidence of conditions that existed at the Balance Sheet date an adjusting event occurs and the amounts recognised in the Statement of Accounts will be adjusted to take into account any values that reflect the adjusting event.  Where an event occurs after the Balance Sheet date that is indicative of conditions that arose after the Balance Sheet date, the amounts recognised in the Statement of Accounts are not adjusted but disclosed as a separate note to the accounts.  Events after the Balance Sheet date are reflected up to the date when the Statement of Accounts is authorised for issue and published.</w:t>
      </w:r>
    </w:p>
    <w:p w14:paraId="6E18BCBF" w14:textId="77777777" w:rsidR="00C158F9" w:rsidRPr="00C158F9" w:rsidRDefault="00C158F9" w:rsidP="00C158F9">
      <w:pPr>
        <w:spacing w:after="160" w:line="256" w:lineRule="auto"/>
        <w:jc w:val="both"/>
        <w:rPr>
          <w:rFonts w:ascii="Verdana" w:eastAsia="Verdana" w:hAnsi="Verdana" w:cs="Verdana"/>
          <w:sz w:val="22"/>
          <w:szCs w:val="22"/>
          <w:lang w:val="en-GB"/>
        </w:rPr>
      </w:pPr>
      <w:r w:rsidRPr="00C158F9">
        <w:rPr>
          <w:rFonts w:ascii="Verdana" w:eastAsia="Verdana" w:hAnsi="Verdana" w:cs="Verdana"/>
          <w:sz w:val="22"/>
          <w:szCs w:val="22"/>
          <w:lang w:val="en-GB"/>
        </w:rPr>
        <w:t xml:space="preserve">The Draft Statement of Accounts was authorised for issue by the Chief Finance Officer on </w:t>
      </w:r>
      <w:r w:rsidRPr="00C158F9">
        <w:rPr>
          <w:rFonts w:ascii="Verdana" w:eastAsia="Verdana" w:hAnsi="Verdana" w:cs="Verdana"/>
          <w:sz w:val="22"/>
          <w:szCs w:val="22"/>
          <w:highlight w:val="yellow"/>
          <w:lang w:val="en-GB"/>
        </w:rPr>
        <w:t xml:space="preserve">Date 2021.  </w:t>
      </w:r>
      <w:r w:rsidRPr="00C158F9">
        <w:rPr>
          <w:rFonts w:ascii="Verdana" w:eastAsia="Verdana" w:hAnsi="Verdana" w:cs="Verdana"/>
          <w:sz w:val="22"/>
          <w:szCs w:val="22"/>
          <w:lang w:val="en-GB"/>
        </w:rPr>
        <w:t>Events taking place after this date are not reflected in the financial statements or notes.  Where events taking place before this date provide information about conditions existing at 31 March 2021, the figures in the financial statements and notes have been adjusted in all material respects to reflect the impact of this information.</w:t>
      </w:r>
    </w:p>
    <w:p w14:paraId="456C7D89" w14:textId="460DCC45" w:rsidR="00C158F9" w:rsidRPr="00C158F9" w:rsidRDefault="00C158F9" w:rsidP="00C158F9">
      <w:pPr>
        <w:pStyle w:val="Normal0"/>
        <w:spacing w:after="160"/>
        <w:jc w:val="both"/>
        <w:rPr>
          <w:rFonts w:ascii="Verdana" w:eastAsia="Verdana" w:hAnsi="Verdana" w:cs="Verdana"/>
          <w:sz w:val="22"/>
          <w:szCs w:val="22"/>
          <w:lang w:val="en-GB"/>
        </w:rPr>
      </w:pPr>
      <w:r w:rsidRPr="00C158F9">
        <w:rPr>
          <w:rFonts w:ascii="Verdana" w:eastAsia="Verdana" w:hAnsi="Verdana" w:cs="Verdana"/>
          <w:sz w:val="22"/>
          <w:szCs w:val="22"/>
          <w:lang w:val="en-GB"/>
        </w:rPr>
        <w:t>There are no material non-adjusted events to report.</w:t>
      </w:r>
    </w:p>
    <w:p w14:paraId="1A6247AA" w14:textId="77777777" w:rsidR="00C158F9" w:rsidRPr="00C158F9" w:rsidRDefault="00C158F9" w:rsidP="00C158F9">
      <w:pPr>
        <w:pStyle w:val="Normal0"/>
        <w:spacing w:after="160"/>
        <w:jc w:val="both"/>
        <w:rPr>
          <w:rFonts w:ascii="Verdana" w:eastAsia="Verdana" w:hAnsi="Verdana" w:cs="Verdana"/>
          <w:sz w:val="22"/>
          <w:szCs w:val="22"/>
          <w:lang w:val="en-GB"/>
        </w:rPr>
      </w:pPr>
    </w:p>
    <w:p w14:paraId="12BBE8CC" w14:textId="77777777" w:rsidR="00F227D9" w:rsidRPr="00C158F9" w:rsidRDefault="00F227D9" w:rsidP="007D3C35">
      <w:pPr>
        <w:pStyle w:val="Heading1"/>
        <w:spacing w:after="240"/>
        <w:jc w:val="both"/>
        <w:rPr>
          <w:lang w:val="pt-BR"/>
        </w:rPr>
      </w:pPr>
      <w:bookmarkStart w:id="12" w:name="_Toc77095563"/>
      <w:r w:rsidRPr="00C158F9">
        <w:rPr>
          <w:lang w:val="pt-BR"/>
        </w:rPr>
        <w:t xml:space="preserve">Note </w:t>
      </w:r>
      <w:r w:rsidR="00EB0483" w:rsidRPr="00C158F9">
        <w:rPr>
          <w:lang w:val="pt-BR"/>
        </w:rPr>
        <w:t>4</w:t>
      </w:r>
      <w:r w:rsidRPr="00C158F9">
        <w:rPr>
          <w:lang w:val="pt-BR"/>
        </w:rPr>
        <w:t xml:space="preserve"> - Assumptions Made about the Future and Other Major Sources of Estimation Uncertainty</w:t>
      </w:r>
      <w:bookmarkEnd w:id="12"/>
      <w:r w:rsidRPr="00C158F9">
        <w:rPr>
          <w:lang w:val="pt-BR"/>
        </w:rPr>
        <w:t xml:space="preserve"> </w:t>
      </w:r>
    </w:p>
    <w:p w14:paraId="4DDEA1F7" w14:textId="77777777" w:rsidR="00F227D9" w:rsidRPr="00C158F9" w:rsidRDefault="00F227D9" w:rsidP="007D3C35">
      <w:pPr>
        <w:pStyle w:val="Normal0"/>
        <w:spacing w:after="160"/>
        <w:jc w:val="both"/>
        <w:rPr>
          <w:rFonts w:ascii="Verdana" w:eastAsia="Verdana" w:hAnsi="Verdana" w:cs="Verdana"/>
          <w:sz w:val="22"/>
          <w:szCs w:val="22"/>
          <w:lang w:val="en-GB"/>
        </w:rPr>
      </w:pPr>
      <w:r w:rsidRPr="00C158F9">
        <w:rPr>
          <w:rFonts w:ascii="Verdana" w:eastAsia="Verdana" w:hAnsi="Verdana" w:cs="Verdana"/>
          <w:sz w:val="22"/>
          <w:szCs w:val="22"/>
          <w:lang w:val="en-GB"/>
        </w:rPr>
        <w:t>The Statement of Accounts contains estimated figures that are based on assumptions made by the Chief Constable about the future or that are otherwise uncertain. Estimates are made taking into account historical experience, current trends and other relevant factors. However, because balances cannot be determined with certainty, actual results could be materially different from the assumptions and estimates.</w:t>
      </w:r>
    </w:p>
    <w:p w14:paraId="70F861FC" w14:textId="61A142AF" w:rsidR="00F227D9" w:rsidRPr="00C158F9" w:rsidRDefault="00F227D9" w:rsidP="007D3C35">
      <w:pPr>
        <w:pStyle w:val="Normal0"/>
        <w:spacing w:after="160"/>
        <w:jc w:val="both"/>
        <w:rPr>
          <w:rFonts w:ascii="Verdana" w:eastAsia="Verdana" w:hAnsi="Verdana" w:cs="Verdana"/>
          <w:sz w:val="22"/>
          <w:szCs w:val="22"/>
          <w:lang w:val="en-GB"/>
        </w:rPr>
      </w:pPr>
      <w:r w:rsidRPr="00C158F9">
        <w:rPr>
          <w:rFonts w:ascii="Verdana" w:eastAsia="Verdana" w:hAnsi="Verdana" w:cs="Verdana"/>
          <w:sz w:val="22"/>
          <w:szCs w:val="22"/>
          <w:lang w:val="en-GB"/>
        </w:rPr>
        <w:t>The items in the Chief Constable's Balance Sheet at 31 March 20</w:t>
      </w:r>
      <w:r w:rsidR="006224E3" w:rsidRPr="00C158F9">
        <w:rPr>
          <w:rFonts w:ascii="Verdana" w:eastAsia="Verdana" w:hAnsi="Verdana" w:cs="Verdana"/>
          <w:sz w:val="22"/>
          <w:szCs w:val="22"/>
          <w:lang w:val="en-GB"/>
        </w:rPr>
        <w:t>2</w:t>
      </w:r>
      <w:r w:rsidR="00C158F9" w:rsidRPr="00C158F9">
        <w:rPr>
          <w:rFonts w:ascii="Verdana" w:eastAsia="Verdana" w:hAnsi="Verdana" w:cs="Verdana"/>
          <w:sz w:val="22"/>
          <w:szCs w:val="22"/>
          <w:lang w:val="en-GB"/>
        </w:rPr>
        <w:t>1</w:t>
      </w:r>
      <w:r w:rsidRPr="00C158F9">
        <w:rPr>
          <w:rFonts w:ascii="Verdana" w:eastAsia="Verdana" w:hAnsi="Verdana" w:cs="Verdana"/>
          <w:sz w:val="22"/>
          <w:szCs w:val="22"/>
          <w:lang w:val="en-GB"/>
        </w:rPr>
        <w:t xml:space="preserve"> for which there is a significant risk of material adjustment in the forthcoming financial year are as follows:</w:t>
      </w:r>
    </w:p>
    <w:tbl>
      <w:tblPr>
        <w:tblW w:w="15320" w:type="dxa"/>
        <w:tblInd w:w="108" w:type="dxa"/>
        <w:tblLook w:val="04A0" w:firstRow="1" w:lastRow="0" w:firstColumn="1" w:lastColumn="0" w:noHBand="0" w:noVBand="1"/>
      </w:tblPr>
      <w:tblGrid>
        <w:gridCol w:w="2457"/>
        <w:gridCol w:w="6147"/>
        <w:gridCol w:w="6716"/>
      </w:tblGrid>
      <w:tr w:rsidR="00C20BD8" w:rsidRPr="00DC1077" w14:paraId="1140B151" w14:textId="77777777" w:rsidTr="00C158F9">
        <w:trPr>
          <w:trHeight w:val="289"/>
        </w:trPr>
        <w:tc>
          <w:tcPr>
            <w:tcW w:w="2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3F7E9" w14:textId="77777777" w:rsidR="00C20BD8" w:rsidRPr="00C158F9" w:rsidRDefault="00C20BD8" w:rsidP="007C11F3">
            <w:pPr>
              <w:pStyle w:val="Normal0"/>
              <w:spacing w:line="240" w:lineRule="auto"/>
              <w:jc w:val="both"/>
              <w:rPr>
                <w:rFonts w:ascii="Arial" w:eastAsia="Times New Roman" w:hAnsi="Arial" w:cs="Arial"/>
                <w:b/>
                <w:bCs/>
                <w:color w:val="000000"/>
                <w:sz w:val="18"/>
                <w:szCs w:val="18"/>
                <w:lang w:eastAsia="en-GB"/>
              </w:rPr>
            </w:pPr>
            <w:r w:rsidRPr="00C158F9">
              <w:rPr>
                <w:rFonts w:ascii="Arial" w:eastAsia="Times New Roman" w:hAnsi="Arial" w:cs="Arial"/>
                <w:b/>
                <w:bCs/>
                <w:color w:val="000000"/>
                <w:sz w:val="18"/>
                <w:szCs w:val="18"/>
                <w:lang w:eastAsia="en-GB"/>
              </w:rPr>
              <w:t xml:space="preserve">Item </w:t>
            </w:r>
          </w:p>
        </w:tc>
        <w:tc>
          <w:tcPr>
            <w:tcW w:w="6147" w:type="dxa"/>
            <w:tcBorders>
              <w:top w:val="single" w:sz="4" w:space="0" w:color="auto"/>
              <w:left w:val="nil"/>
              <w:bottom w:val="single" w:sz="4" w:space="0" w:color="auto"/>
              <w:right w:val="single" w:sz="4" w:space="0" w:color="auto"/>
            </w:tcBorders>
            <w:shd w:val="clear" w:color="auto" w:fill="auto"/>
            <w:vAlign w:val="center"/>
            <w:hideMark/>
          </w:tcPr>
          <w:p w14:paraId="75DA66C1" w14:textId="77777777" w:rsidR="00C20BD8" w:rsidRPr="00C158F9" w:rsidRDefault="00C20BD8" w:rsidP="007C11F3">
            <w:pPr>
              <w:pStyle w:val="Normal0"/>
              <w:spacing w:line="240" w:lineRule="auto"/>
              <w:jc w:val="both"/>
              <w:rPr>
                <w:rFonts w:ascii="Arial" w:eastAsia="Times New Roman" w:hAnsi="Arial" w:cs="Arial"/>
                <w:b/>
                <w:bCs/>
                <w:color w:val="000000"/>
                <w:sz w:val="18"/>
                <w:szCs w:val="18"/>
                <w:lang w:eastAsia="en-GB"/>
              </w:rPr>
            </w:pPr>
            <w:r w:rsidRPr="00C158F9">
              <w:rPr>
                <w:rFonts w:ascii="Arial" w:eastAsia="Times New Roman" w:hAnsi="Arial" w:cs="Arial"/>
                <w:b/>
                <w:bCs/>
                <w:color w:val="000000"/>
                <w:sz w:val="18"/>
                <w:szCs w:val="18"/>
                <w:lang w:eastAsia="en-GB"/>
              </w:rPr>
              <w:t xml:space="preserve">Uncertainties </w:t>
            </w:r>
          </w:p>
        </w:tc>
        <w:tc>
          <w:tcPr>
            <w:tcW w:w="6716" w:type="dxa"/>
            <w:tcBorders>
              <w:top w:val="single" w:sz="4" w:space="0" w:color="auto"/>
              <w:left w:val="nil"/>
              <w:bottom w:val="single" w:sz="4" w:space="0" w:color="auto"/>
              <w:right w:val="single" w:sz="4" w:space="0" w:color="auto"/>
            </w:tcBorders>
            <w:shd w:val="clear" w:color="auto" w:fill="auto"/>
            <w:vAlign w:val="center"/>
            <w:hideMark/>
          </w:tcPr>
          <w:p w14:paraId="56A4F465" w14:textId="77777777" w:rsidR="00C20BD8" w:rsidRPr="00DC1077" w:rsidRDefault="00C20BD8" w:rsidP="007C11F3">
            <w:pPr>
              <w:pStyle w:val="Normal0"/>
              <w:spacing w:line="240" w:lineRule="auto"/>
              <w:jc w:val="both"/>
              <w:rPr>
                <w:rFonts w:ascii="Arial" w:eastAsia="Times New Roman" w:hAnsi="Arial" w:cs="Arial"/>
                <w:b/>
                <w:bCs/>
                <w:color w:val="000000"/>
                <w:sz w:val="18"/>
                <w:szCs w:val="18"/>
                <w:highlight w:val="yellow"/>
                <w:lang w:eastAsia="en-GB"/>
              </w:rPr>
            </w:pPr>
            <w:r w:rsidRPr="00C158F9">
              <w:rPr>
                <w:rFonts w:ascii="Arial" w:eastAsia="Times New Roman" w:hAnsi="Arial" w:cs="Arial"/>
                <w:b/>
                <w:bCs/>
                <w:color w:val="000000"/>
                <w:sz w:val="18"/>
                <w:szCs w:val="18"/>
                <w:lang w:eastAsia="en-GB"/>
              </w:rPr>
              <w:t xml:space="preserve">Effect if Actual Results Differ from Assumptions </w:t>
            </w:r>
          </w:p>
        </w:tc>
      </w:tr>
      <w:tr w:rsidR="00C20BD8" w:rsidRPr="00DC1077" w14:paraId="3BE60532" w14:textId="77777777" w:rsidTr="00C158F9">
        <w:trPr>
          <w:trHeight w:val="1257"/>
        </w:trPr>
        <w:tc>
          <w:tcPr>
            <w:tcW w:w="2457" w:type="dxa"/>
            <w:tcBorders>
              <w:top w:val="nil"/>
              <w:left w:val="single" w:sz="4" w:space="0" w:color="auto"/>
              <w:bottom w:val="single" w:sz="4" w:space="0" w:color="auto"/>
              <w:right w:val="single" w:sz="4" w:space="0" w:color="auto"/>
            </w:tcBorders>
            <w:shd w:val="clear" w:color="auto" w:fill="auto"/>
            <w:hideMark/>
          </w:tcPr>
          <w:p w14:paraId="79DF361B" w14:textId="77777777" w:rsidR="00C20BD8" w:rsidRPr="00C158F9" w:rsidRDefault="00C20BD8" w:rsidP="007C11F3">
            <w:pPr>
              <w:pStyle w:val="Normal0"/>
              <w:spacing w:line="240" w:lineRule="auto"/>
              <w:jc w:val="both"/>
              <w:rPr>
                <w:rFonts w:ascii="Verdana" w:eastAsia="Times New Roman" w:hAnsi="Verdana" w:cs="Arial"/>
                <w:b/>
                <w:bCs/>
                <w:color w:val="000000"/>
                <w:sz w:val="18"/>
                <w:szCs w:val="18"/>
                <w:lang w:eastAsia="en-GB"/>
              </w:rPr>
            </w:pPr>
            <w:r w:rsidRPr="00C158F9">
              <w:rPr>
                <w:rFonts w:ascii="Verdana" w:eastAsia="Times New Roman" w:hAnsi="Verdana" w:cs="Arial"/>
                <w:b/>
                <w:bCs/>
                <w:color w:val="000000"/>
                <w:sz w:val="18"/>
                <w:szCs w:val="18"/>
                <w:lang w:eastAsia="en-GB"/>
              </w:rPr>
              <w:t xml:space="preserve">Pensions Liability </w:t>
            </w:r>
          </w:p>
        </w:tc>
        <w:tc>
          <w:tcPr>
            <w:tcW w:w="6147" w:type="dxa"/>
            <w:tcBorders>
              <w:top w:val="nil"/>
              <w:left w:val="nil"/>
              <w:bottom w:val="single" w:sz="4" w:space="0" w:color="auto"/>
              <w:right w:val="single" w:sz="4" w:space="0" w:color="auto"/>
            </w:tcBorders>
            <w:shd w:val="clear" w:color="auto" w:fill="auto"/>
            <w:hideMark/>
          </w:tcPr>
          <w:p w14:paraId="032BA72B" w14:textId="77777777" w:rsidR="00C20BD8" w:rsidRPr="00C158F9" w:rsidRDefault="00C20BD8" w:rsidP="007C11F3">
            <w:pPr>
              <w:pStyle w:val="Normal0"/>
              <w:spacing w:line="240" w:lineRule="auto"/>
              <w:jc w:val="both"/>
              <w:rPr>
                <w:rFonts w:ascii="Verdana" w:eastAsia="Times New Roman" w:hAnsi="Verdana" w:cs="Arial"/>
                <w:color w:val="000000"/>
                <w:sz w:val="18"/>
                <w:szCs w:val="18"/>
                <w:lang w:eastAsia="en-GB"/>
              </w:rPr>
            </w:pPr>
            <w:r w:rsidRPr="00C158F9">
              <w:rPr>
                <w:rFonts w:ascii="Verdana" w:eastAsia="Times New Roman" w:hAnsi="Verdana" w:cs="Arial"/>
                <w:color w:val="000000"/>
                <w:sz w:val="18"/>
                <w:szCs w:val="18"/>
                <w:lang w:eastAsia="en-GB"/>
              </w:rPr>
              <w:t xml:space="preserve">Estimation of the net liability to pay pensions depends on a number of complex judgements relating to the discount rate used, the rate at which salaries are projected to increase, changes in retirement ages, mortality rates and expected returns on pension fund assets. The Governments Actuary's Department have been engaged to provide the Group with expert advice about the assumptions to be applied for the Police Pension Schemes and Hymans Robertson LLP provides the same advice for the Police Staff Pension Scheme. </w:t>
            </w:r>
          </w:p>
          <w:p w14:paraId="3CB8CBC0" w14:textId="77777777" w:rsidR="00C20BD8" w:rsidRPr="00C158F9" w:rsidRDefault="00C20BD8" w:rsidP="007C11F3">
            <w:pPr>
              <w:pStyle w:val="Normal0"/>
              <w:spacing w:line="240" w:lineRule="auto"/>
              <w:jc w:val="both"/>
              <w:rPr>
                <w:rFonts w:ascii="Verdana" w:eastAsia="Times New Roman" w:hAnsi="Verdana" w:cs="Arial"/>
                <w:color w:val="000000"/>
                <w:sz w:val="18"/>
                <w:szCs w:val="18"/>
                <w:lang w:eastAsia="en-GB"/>
              </w:rPr>
            </w:pPr>
          </w:p>
          <w:p w14:paraId="5D2020A0" w14:textId="72E5441D" w:rsidR="00C20BD8" w:rsidRPr="00C158F9" w:rsidRDefault="00C20BD8" w:rsidP="00C158F9">
            <w:pPr>
              <w:pStyle w:val="Normal0"/>
              <w:spacing w:line="240" w:lineRule="auto"/>
              <w:jc w:val="both"/>
              <w:rPr>
                <w:rFonts w:ascii="Verdana" w:eastAsia="Times New Roman" w:hAnsi="Verdana" w:cs="Arial"/>
                <w:color w:val="000000"/>
                <w:sz w:val="18"/>
                <w:szCs w:val="18"/>
                <w:lang w:eastAsia="en-GB"/>
              </w:rPr>
            </w:pPr>
            <w:r w:rsidRPr="00C158F9">
              <w:rPr>
                <w:rFonts w:ascii="Verdana" w:eastAsia="Times New Roman" w:hAnsi="Verdana" w:cs="Arial"/>
                <w:color w:val="000000"/>
                <w:sz w:val="18"/>
                <w:szCs w:val="18"/>
                <w:lang w:eastAsia="en-GB"/>
              </w:rPr>
              <w:t>Pension assumptions now include the impact of ‘McCloud/Sargeant’ transitional protections for both officer and staff pension schemes to better reflect the Fund’s local assumptions, particularly those for salary increases and withdrawal rates. The Fund’s actuary also carried out calculations in order to estimate the impact that the Guaranteed Minimum Pension (GMP) equalisation will have on the pension fund liabilities.</w:t>
            </w:r>
          </w:p>
        </w:tc>
        <w:tc>
          <w:tcPr>
            <w:tcW w:w="6716" w:type="dxa"/>
            <w:tcBorders>
              <w:top w:val="nil"/>
              <w:left w:val="nil"/>
              <w:bottom w:val="single" w:sz="4" w:space="0" w:color="auto"/>
              <w:right w:val="single" w:sz="4" w:space="0" w:color="auto"/>
            </w:tcBorders>
            <w:shd w:val="clear" w:color="auto" w:fill="auto"/>
            <w:hideMark/>
          </w:tcPr>
          <w:p w14:paraId="34907324" w14:textId="289B113F" w:rsidR="00C20BD8" w:rsidRPr="00B54A0C" w:rsidRDefault="00C20BD8" w:rsidP="007C11F3">
            <w:pPr>
              <w:pStyle w:val="NoSpacing"/>
              <w:rPr>
                <w:sz w:val="18"/>
                <w:szCs w:val="18"/>
                <w:lang w:val="en-GB" w:eastAsia="en-GB"/>
              </w:rPr>
            </w:pPr>
            <w:r w:rsidRPr="00C158F9">
              <w:rPr>
                <w:sz w:val="18"/>
                <w:szCs w:val="18"/>
                <w:lang w:val="en-GB" w:eastAsia="en-GB"/>
              </w:rPr>
              <w:t xml:space="preserve">The effects on the net pension liability of changes in individual assumptions can </w:t>
            </w:r>
            <w:r w:rsidR="00CC6FE1" w:rsidRPr="00C158F9">
              <w:rPr>
                <w:sz w:val="18"/>
                <w:szCs w:val="18"/>
                <w:lang w:val="en-GB" w:eastAsia="en-GB"/>
              </w:rPr>
              <w:t xml:space="preserve">be measured. For instance, a </w:t>
            </w:r>
            <w:r w:rsidR="0098712B" w:rsidRPr="00C158F9">
              <w:rPr>
                <w:sz w:val="18"/>
                <w:szCs w:val="18"/>
                <w:lang w:val="en-GB" w:eastAsia="en-GB"/>
              </w:rPr>
              <w:t>0.5</w:t>
            </w:r>
            <w:r w:rsidRPr="00C158F9">
              <w:rPr>
                <w:sz w:val="18"/>
                <w:szCs w:val="18"/>
                <w:lang w:val="en-GB" w:eastAsia="en-GB"/>
              </w:rPr>
              <w:t xml:space="preserve">% decrease in the real discount rate </w:t>
            </w:r>
            <w:r w:rsidRPr="00B54A0C">
              <w:rPr>
                <w:sz w:val="18"/>
                <w:szCs w:val="18"/>
                <w:lang w:val="en-GB" w:eastAsia="en-GB"/>
              </w:rPr>
              <w:t>assumption would result in an increase in the staff scheme pension liability of £</w:t>
            </w:r>
            <w:r w:rsidR="00C158F9" w:rsidRPr="00B54A0C">
              <w:rPr>
                <w:sz w:val="18"/>
                <w:szCs w:val="18"/>
                <w:lang w:val="en-GB" w:eastAsia="en-GB"/>
              </w:rPr>
              <w:t>74.2</w:t>
            </w:r>
            <w:r w:rsidRPr="00B54A0C">
              <w:rPr>
                <w:sz w:val="18"/>
                <w:szCs w:val="18"/>
                <w:lang w:val="en-GB" w:eastAsia="en-GB"/>
              </w:rPr>
              <w:t>m and an increase in the police officer pension scheme pension liability of £</w:t>
            </w:r>
            <w:r w:rsidR="00B54A0C" w:rsidRPr="00B54A0C">
              <w:rPr>
                <w:sz w:val="18"/>
                <w:szCs w:val="18"/>
                <w:lang w:val="en-GB" w:eastAsia="en-GB"/>
              </w:rPr>
              <w:t>202</w:t>
            </w:r>
            <w:r w:rsidR="00A42AC5" w:rsidRPr="00B54A0C">
              <w:rPr>
                <w:sz w:val="18"/>
                <w:szCs w:val="18"/>
                <w:lang w:val="en-GB" w:eastAsia="en-GB"/>
              </w:rPr>
              <w:t>.0</w:t>
            </w:r>
            <w:r w:rsidRPr="00B54A0C">
              <w:rPr>
                <w:sz w:val="18"/>
                <w:szCs w:val="18"/>
                <w:lang w:val="en-GB" w:eastAsia="en-GB"/>
              </w:rPr>
              <w:t xml:space="preserve">m. However, the assumptions interact in complex ways. During 2019/20, the </w:t>
            </w:r>
            <w:r w:rsidR="004E070E" w:rsidRPr="00B54A0C">
              <w:rPr>
                <w:sz w:val="18"/>
                <w:szCs w:val="18"/>
                <w:lang w:val="en-GB" w:eastAsia="en-GB"/>
              </w:rPr>
              <w:t>CC</w:t>
            </w:r>
            <w:r w:rsidRPr="00B54A0C">
              <w:rPr>
                <w:sz w:val="18"/>
                <w:szCs w:val="18"/>
                <w:lang w:val="en-GB" w:eastAsia="en-GB"/>
              </w:rPr>
              <w:t>'s actuaries advised that the net pension liability</w:t>
            </w:r>
            <w:r w:rsidR="00B33F2E" w:rsidRPr="00B54A0C">
              <w:rPr>
                <w:sz w:val="18"/>
                <w:szCs w:val="18"/>
                <w:lang w:val="en-GB" w:eastAsia="en-GB"/>
              </w:rPr>
              <w:t xml:space="preserve"> had decreased in total by £1</w:t>
            </w:r>
            <w:r w:rsidR="00B54A0C" w:rsidRPr="00B54A0C">
              <w:rPr>
                <w:sz w:val="18"/>
                <w:szCs w:val="18"/>
                <w:lang w:val="en-GB" w:eastAsia="en-GB"/>
              </w:rPr>
              <w:t>47</w:t>
            </w:r>
            <w:r w:rsidR="007C4FDE" w:rsidRPr="00B54A0C">
              <w:rPr>
                <w:sz w:val="18"/>
                <w:szCs w:val="18"/>
                <w:lang w:val="en-GB" w:eastAsia="en-GB"/>
              </w:rPr>
              <w:t>.</w:t>
            </w:r>
            <w:r w:rsidR="00B54A0C" w:rsidRPr="00B54A0C">
              <w:rPr>
                <w:sz w:val="18"/>
                <w:szCs w:val="18"/>
                <w:lang w:val="en-GB" w:eastAsia="en-GB"/>
              </w:rPr>
              <w:t>5</w:t>
            </w:r>
            <w:r w:rsidRPr="00B54A0C">
              <w:rPr>
                <w:sz w:val="18"/>
                <w:szCs w:val="18"/>
                <w:lang w:val="en-GB" w:eastAsia="en-GB"/>
              </w:rPr>
              <w:t>m as a result of revised actuarial assumptions.</w:t>
            </w:r>
          </w:p>
          <w:p w14:paraId="5C1F6802" w14:textId="5FF160A5" w:rsidR="00C20BD8" w:rsidRPr="00DC1077" w:rsidRDefault="00C20BD8" w:rsidP="007C11F3">
            <w:pPr>
              <w:pStyle w:val="Normal0"/>
              <w:spacing w:line="240" w:lineRule="auto"/>
              <w:jc w:val="both"/>
              <w:rPr>
                <w:rFonts w:ascii="Verdana" w:eastAsia="Times New Roman" w:hAnsi="Verdana" w:cs="Arial"/>
                <w:color w:val="000000"/>
                <w:sz w:val="18"/>
                <w:szCs w:val="18"/>
                <w:highlight w:val="yellow"/>
                <w:lang w:eastAsia="en-GB"/>
              </w:rPr>
            </w:pPr>
          </w:p>
        </w:tc>
      </w:tr>
      <w:tr w:rsidR="00C20BD8" w:rsidRPr="00DC1077" w14:paraId="100F576D" w14:textId="77777777" w:rsidTr="00C158F9">
        <w:trPr>
          <w:trHeight w:val="883"/>
        </w:trPr>
        <w:tc>
          <w:tcPr>
            <w:tcW w:w="2457" w:type="dxa"/>
            <w:tcBorders>
              <w:top w:val="single" w:sz="4" w:space="0" w:color="auto"/>
              <w:left w:val="single" w:sz="4" w:space="0" w:color="auto"/>
              <w:bottom w:val="single" w:sz="4" w:space="0" w:color="auto"/>
              <w:right w:val="single" w:sz="4" w:space="0" w:color="auto"/>
            </w:tcBorders>
            <w:vAlign w:val="center"/>
          </w:tcPr>
          <w:p w14:paraId="02621B4C" w14:textId="77777777" w:rsidR="00C20BD8" w:rsidRPr="00C158F9" w:rsidRDefault="00C20BD8" w:rsidP="007C11F3">
            <w:pPr>
              <w:pStyle w:val="NoSpacing"/>
              <w:rPr>
                <w:b/>
                <w:sz w:val="18"/>
                <w:szCs w:val="18"/>
                <w:lang w:val="en-GB" w:eastAsia="en-GB"/>
              </w:rPr>
            </w:pPr>
            <w:r w:rsidRPr="00C158F9">
              <w:rPr>
                <w:b/>
                <w:sz w:val="18"/>
                <w:szCs w:val="18"/>
                <w:lang w:val="en-GB" w:eastAsia="en-GB"/>
              </w:rPr>
              <w:t xml:space="preserve">Pensions Costs  </w:t>
            </w:r>
          </w:p>
        </w:tc>
        <w:tc>
          <w:tcPr>
            <w:tcW w:w="6147" w:type="dxa"/>
            <w:tcBorders>
              <w:top w:val="single" w:sz="4" w:space="0" w:color="auto"/>
              <w:left w:val="single" w:sz="4" w:space="0" w:color="auto"/>
              <w:bottom w:val="single" w:sz="4" w:space="0" w:color="auto"/>
              <w:right w:val="single" w:sz="4" w:space="0" w:color="auto"/>
            </w:tcBorders>
            <w:vAlign w:val="center"/>
          </w:tcPr>
          <w:p w14:paraId="08BDD4B5" w14:textId="77777777" w:rsidR="00C20BD8" w:rsidRPr="00C158F9" w:rsidRDefault="00C20BD8" w:rsidP="007C11F3">
            <w:pPr>
              <w:pStyle w:val="NoSpacing"/>
              <w:jc w:val="both"/>
              <w:rPr>
                <w:sz w:val="18"/>
                <w:szCs w:val="18"/>
                <w:lang w:val="en-GB" w:eastAsia="en-GB"/>
              </w:rPr>
            </w:pPr>
            <w:r w:rsidRPr="00C158F9">
              <w:rPr>
                <w:sz w:val="18"/>
                <w:szCs w:val="18"/>
                <w:lang w:val="en-GB" w:eastAsia="en-GB"/>
              </w:rPr>
              <w:t>There are three pension schemes for police officers, the 2006 Police Officer Pension Scheme (NPPS), the Police Pension Scheme (</w:t>
            </w:r>
            <w:smartTag w:uri="urn:schemas-microsoft-com:office:smarttags" w:element="stockticker">
              <w:r w:rsidRPr="00C158F9">
                <w:rPr>
                  <w:sz w:val="18"/>
                  <w:szCs w:val="18"/>
                  <w:lang w:val="en-GB" w:eastAsia="en-GB"/>
                </w:rPr>
                <w:t>PPS</w:t>
              </w:r>
            </w:smartTag>
            <w:r w:rsidRPr="00C158F9">
              <w:rPr>
                <w:sz w:val="18"/>
                <w:szCs w:val="18"/>
                <w:lang w:val="en-GB" w:eastAsia="en-GB"/>
              </w:rPr>
              <w:t xml:space="preserve">) and the Police Pension Scheme 2015 (2015 scheme); all of which are unfunded, defined benefit schemes. An unfunded scheme treated as a defined benefit scheme has no investment assets to meet its pension liability the Group must generate cash to meet the actual pension payments as they fall due. </w:t>
            </w:r>
          </w:p>
        </w:tc>
        <w:tc>
          <w:tcPr>
            <w:tcW w:w="6716" w:type="dxa"/>
            <w:tcBorders>
              <w:top w:val="single" w:sz="4" w:space="0" w:color="auto"/>
              <w:left w:val="single" w:sz="4" w:space="0" w:color="auto"/>
              <w:bottom w:val="single" w:sz="4" w:space="0" w:color="auto"/>
              <w:right w:val="single" w:sz="4" w:space="0" w:color="auto"/>
            </w:tcBorders>
            <w:vAlign w:val="center"/>
          </w:tcPr>
          <w:p w14:paraId="7595C9AB" w14:textId="5DE23093" w:rsidR="00C20BD8" w:rsidRPr="00C158F9" w:rsidRDefault="00C20BD8" w:rsidP="007C11F3">
            <w:pPr>
              <w:pStyle w:val="NoSpacing"/>
              <w:jc w:val="both"/>
              <w:rPr>
                <w:sz w:val="18"/>
                <w:szCs w:val="18"/>
                <w:lang w:val="en-GB" w:eastAsia="en-GB"/>
              </w:rPr>
            </w:pPr>
            <w:r w:rsidRPr="00C158F9">
              <w:rPr>
                <w:sz w:val="18"/>
                <w:szCs w:val="18"/>
                <w:lang w:val="en-GB" w:eastAsia="en-GB"/>
              </w:rPr>
              <w:t>The benefits payable are funded by contributions from employers and police officers and any shortfall is met by a top up grant from the Home Office</w:t>
            </w:r>
            <w:r w:rsidR="00C158F9" w:rsidRPr="00C158F9">
              <w:rPr>
                <w:sz w:val="18"/>
                <w:szCs w:val="18"/>
                <w:lang w:val="en-GB" w:eastAsia="en-GB"/>
              </w:rPr>
              <w:t xml:space="preserve"> of £13.3m</w:t>
            </w:r>
            <w:r w:rsidRPr="00C158F9">
              <w:rPr>
                <w:sz w:val="18"/>
                <w:szCs w:val="18"/>
                <w:lang w:val="en-GB" w:eastAsia="en-GB"/>
              </w:rPr>
              <w:t xml:space="preserve"> (£17.3m for 2019/20) and other Pension Grant to the PCC. Further details of the schemes can be found in the Police Officer Pension Fund Accounts.</w:t>
            </w:r>
          </w:p>
          <w:p w14:paraId="0E669283" w14:textId="77777777" w:rsidR="00C20BD8" w:rsidRPr="00C158F9" w:rsidRDefault="00C20BD8" w:rsidP="007C11F3">
            <w:pPr>
              <w:pStyle w:val="Normal0"/>
              <w:jc w:val="both"/>
              <w:rPr>
                <w:rFonts w:ascii="Verdana" w:eastAsia="Calibri" w:hAnsi="Verdana"/>
                <w:sz w:val="18"/>
                <w:szCs w:val="18"/>
                <w:lang w:val="en-GB" w:eastAsia="en-GB"/>
              </w:rPr>
            </w:pPr>
          </w:p>
        </w:tc>
      </w:tr>
    </w:tbl>
    <w:p w14:paraId="3799AE0A" w14:textId="77777777" w:rsidR="00C20BD8" w:rsidRPr="00DC1077" w:rsidRDefault="00C20BD8" w:rsidP="007D3C35">
      <w:pPr>
        <w:pStyle w:val="Normal0"/>
        <w:spacing w:after="160"/>
        <w:jc w:val="both"/>
        <w:rPr>
          <w:rFonts w:ascii="Verdana" w:eastAsia="Verdana" w:hAnsi="Verdana" w:cs="Verdana"/>
          <w:sz w:val="22"/>
          <w:szCs w:val="22"/>
          <w:highlight w:val="yellow"/>
          <w:lang w:val="en-GB"/>
        </w:rPr>
      </w:pPr>
    </w:p>
    <w:p w14:paraId="1DB68D60" w14:textId="77777777" w:rsidR="00C20BD8" w:rsidRPr="00DC1077" w:rsidRDefault="00C20BD8" w:rsidP="007D3C35">
      <w:pPr>
        <w:pStyle w:val="Normal0"/>
        <w:spacing w:after="160"/>
        <w:jc w:val="both"/>
        <w:rPr>
          <w:rFonts w:ascii="Verdana" w:eastAsia="Verdana" w:hAnsi="Verdana" w:cs="Verdana"/>
          <w:sz w:val="22"/>
          <w:szCs w:val="22"/>
          <w:highlight w:val="yellow"/>
          <w:lang w:val="en-GB"/>
        </w:rPr>
      </w:pPr>
    </w:p>
    <w:p w14:paraId="7F5A6A3F" w14:textId="77777777" w:rsidR="00C20BD8" w:rsidRPr="00DC1077" w:rsidRDefault="00C20BD8" w:rsidP="007D3C35">
      <w:pPr>
        <w:pStyle w:val="Normal0"/>
        <w:spacing w:after="160"/>
        <w:jc w:val="both"/>
        <w:rPr>
          <w:rFonts w:ascii="Verdana" w:eastAsia="Verdana" w:hAnsi="Verdana" w:cs="Verdana"/>
          <w:sz w:val="22"/>
          <w:szCs w:val="22"/>
          <w:highlight w:val="yellow"/>
          <w:lang w:val="en-GB"/>
        </w:rPr>
      </w:pPr>
    </w:p>
    <w:p w14:paraId="4AAAF2F0" w14:textId="77777777" w:rsidR="00F227D9" w:rsidRPr="00DC1077" w:rsidRDefault="00F227D9" w:rsidP="00F227D9">
      <w:pPr>
        <w:pStyle w:val="Normal0"/>
        <w:spacing w:after="160"/>
        <w:rPr>
          <w:rFonts w:ascii="Verdana" w:hAnsi="Verdana"/>
          <w:sz w:val="4"/>
          <w:szCs w:val="4"/>
          <w:highlight w:val="yellow"/>
          <w:lang w:val="pt-BR"/>
        </w:rPr>
      </w:pPr>
    </w:p>
    <w:p w14:paraId="1B36CB5D" w14:textId="77777777" w:rsidR="00F227D9" w:rsidRPr="00DC1077" w:rsidRDefault="00F227D9">
      <w:pPr>
        <w:pStyle w:val="Normal0"/>
        <w:rPr>
          <w:highlight w:val="yellow"/>
          <w:lang w:val="en-GB"/>
        </w:rPr>
      </w:pPr>
    </w:p>
    <w:p w14:paraId="20247106" w14:textId="77777777" w:rsidR="00EB0483" w:rsidRPr="00DC1077" w:rsidRDefault="00EB0483">
      <w:pPr>
        <w:pStyle w:val="Normal0"/>
        <w:rPr>
          <w:highlight w:val="yellow"/>
          <w:lang w:val="en-GB"/>
        </w:rPr>
      </w:pPr>
    </w:p>
    <w:p w14:paraId="3110BC89" w14:textId="77777777" w:rsidR="00EB0483" w:rsidRPr="00DC1077" w:rsidRDefault="00EB0483">
      <w:pPr>
        <w:pStyle w:val="Normal0"/>
        <w:rPr>
          <w:highlight w:val="yellow"/>
          <w:lang w:val="en-GB"/>
        </w:rPr>
        <w:sectPr w:rsidR="00EB0483" w:rsidRPr="00DC1077" w:rsidSect="00B54A0C">
          <w:type w:val="nextColumn"/>
          <w:pgSz w:w="16840" w:h="11900" w:orient="landscape"/>
          <w:pgMar w:top="709" w:right="720" w:bottom="567" w:left="720" w:header="708" w:footer="708" w:gutter="0"/>
          <w:cols w:space="708"/>
          <w:docGrid w:linePitch="360"/>
        </w:sectPr>
      </w:pPr>
    </w:p>
    <w:p w14:paraId="6A1DA6F0" w14:textId="77777777" w:rsidR="00F227D9" w:rsidRPr="00B93478" w:rsidRDefault="00F227D9" w:rsidP="00F227D9">
      <w:pPr>
        <w:pStyle w:val="Heading1"/>
        <w:spacing w:line="259" w:lineRule="auto"/>
        <w:rPr>
          <w:lang w:val="en-GB"/>
        </w:rPr>
      </w:pPr>
      <w:bookmarkStart w:id="13" w:name="_Toc77095564"/>
      <w:r w:rsidRPr="00B93478">
        <w:rPr>
          <w:lang w:val="en-GB"/>
        </w:rPr>
        <w:t>Note 5 -Expenditure and Funding Analysis</w:t>
      </w:r>
      <w:bookmarkEnd w:id="13"/>
    </w:p>
    <w:p w14:paraId="0E9A36DB" w14:textId="77777777" w:rsidR="00F227D9" w:rsidRPr="00DC1077" w:rsidRDefault="00F227D9" w:rsidP="00F227D9">
      <w:pPr>
        <w:pStyle w:val="Normal0"/>
        <w:spacing w:line="240" w:lineRule="auto"/>
        <w:rPr>
          <w:rFonts w:ascii="Verdana" w:hAnsi="Verdana"/>
          <w:sz w:val="22"/>
          <w:szCs w:val="22"/>
          <w:highlight w:val="yellow"/>
          <w:lang w:val="en-GB"/>
        </w:rPr>
      </w:pPr>
    </w:p>
    <w:p w14:paraId="4D373817" w14:textId="77777777" w:rsidR="00F227D9" w:rsidRPr="00DC1077" w:rsidRDefault="00F227D9" w:rsidP="00F227D9">
      <w:pPr>
        <w:pStyle w:val="Normal0"/>
        <w:spacing w:line="240" w:lineRule="auto"/>
        <w:rPr>
          <w:rFonts w:ascii="Verdana" w:hAnsi="Verdana"/>
          <w:sz w:val="22"/>
          <w:szCs w:val="22"/>
          <w:highlight w:val="yellow"/>
          <w:lang w:val="en-GB"/>
        </w:rPr>
      </w:pPr>
    </w:p>
    <w:tbl>
      <w:tblPr>
        <w:tblW w:w="0" w:type="auto"/>
        <w:jc w:val="center"/>
        <w:tblLayout w:type="fixed"/>
        <w:tblLook w:val="04A0" w:firstRow="1" w:lastRow="0" w:firstColumn="1" w:lastColumn="0" w:noHBand="0" w:noVBand="1"/>
      </w:tblPr>
      <w:tblGrid>
        <w:gridCol w:w="1482"/>
        <w:gridCol w:w="1482"/>
        <w:gridCol w:w="1484"/>
        <w:gridCol w:w="1949"/>
        <w:gridCol w:w="1482"/>
        <w:gridCol w:w="1482"/>
        <w:gridCol w:w="1484"/>
      </w:tblGrid>
      <w:tr w:rsidR="00AB41DA" w:rsidRPr="00DC1077" w14:paraId="5D9CEEBB" w14:textId="77777777" w:rsidTr="00B24845">
        <w:trPr>
          <w:trHeight w:val="245"/>
          <w:jc w:val="center"/>
        </w:trPr>
        <w:tc>
          <w:tcPr>
            <w:tcW w:w="4448" w:type="dxa"/>
            <w:gridSpan w:val="3"/>
            <w:shd w:val="clear" w:color="auto" w:fill="auto"/>
            <w:tcMar>
              <w:top w:w="20" w:type="dxa"/>
              <w:left w:w="20" w:type="dxa"/>
              <w:bottom w:w="20" w:type="dxa"/>
              <w:right w:w="20" w:type="dxa"/>
            </w:tcMar>
            <w:vAlign w:val="bottom"/>
          </w:tcPr>
          <w:p w14:paraId="5A6F9D99" w14:textId="77777777" w:rsidR="00AB41DA" w:rsidRPr="004D57BE" w:rsidRDefault="00AB41DA" w:rsidP="00AB41DA">
            <w:pPr>
              <w:pStyle w:val="T1TableStyle"/>
              <w:jc w:val="center"/>
              <w:rPr>
                <w:rFonts w:ascii="Verdana" w:eastAsia="Verdana" w:hAnsi="Verdana" w:cs="Verdana"/>
                <w:b/>
                <w:color w:val="000000"/>
                <w:sz w:val="16"/>
                <w:lang w:val="en-GB"/>
              </w:rPr>
            </w:pPr>
            <w:r w:rsidRPr="004D57BE">
              <w:rPr>
                <w:rFonts w:ascii="Verdana" w:eastAsia="Verdana" w:hAnsi="Verdana" w:cs="Verdana"/>
                <w:b/>
                <w:color w:val="000000"/>
                <w:sz w:val="16"/>
                <w:lang w:val="en-GB"/>
              </w:rPr>
              <w:t>2019/20</w:t>
            </w:r>
          </w:p>
        </w:tc>
        <w:tc>
          <w:tcPr>
            <w:tcW w:w="1949" w:type="dxa"/>
            <w:shd w:val="clear" w:color="auto" w:fill="auto"/>
            <w:tcMar>
              <w:top w:w="20" w:type="dxa"/>
              <w:left w:w="20" w:type="dxa"/>
              <w:bottom w:w="20" w:type="dxa"/>
              <w:right w:w="20" w:type="dxa"/>
            </w:tcMar>
            <w:vAlign w:val="bottom"/>
          </w:tcPr>
          <w:p w14:paraId="06FDEF38" w14:textId="77777777" w:rsidR="00AB41DA" w:rsidRPr="004D57BE" w:rsidRDefault="00AB41DA" w:rsidP="00AB41DA">
            <w:pPr>
              <w:pStyle w:val="T1TableStyle"/>
              <w:jc w:val="center"/>
              <w:rPr>
                <w:rFonts w:ascii="Verdana" w:eastAsia="Verdana" w:hAnsi="Verdana" w:cs="Verdana"/>
                <w:b/>
                <w:color w:val="000000"/>
                <w:sz w:val="2"/>
                <w:lang w:val="en-GB"/>
              </w:rPr>
            </w:pPr>
          </w:p>
        </w:tc>
        <w:tc>
          <w:tcPr>
            <w:tcW w:w="4448" w:type="dxa"/>
            <w:gridSpan w:val="3"/>
            <w:shd w:val="clear" w:color="auto" w:fill="auto"/>
            <w:tcMar>
              <w:top w:w="20" w:type="dxa"/>
              <w:left w:w="20" w:type="dxa"/>
              <w:bottom w:w="20" w:type="dxa"/>
              <w:right w:w="20" w:type="dxa"/>
            </w:tcMar>
            <w:vAlign w:val="bottom"/>
          </w:tcPr>
          <w:p w14:paraId="56CEFBC1" w14:textId="77777777" w:rsidR="00AB41DA" w:rsidRPr="004D57BE" w:rsidRDefault="00AB41DA" w:rsidP="00AB41DA">
            <w:pPr>
              <w:pStyle w:val="T1TableStyle"/>
              <w:jc w:val="center"/>
              <w:rPr>
                <w:rFonts w:ascii="Verdana" w:eastAsia="Verdana" w:hAnsi="Verdana" w:cs="Verdana"/>
                <w:b/>
                <w:color w:val="000000"/>
                <w:sz w:val="16"/>
                <w:lang w:val="en-GB"/>
              </w:rPr>
            </w:pPr>
            <w:r w:rsidRPr="004D57BE">
              <w:rPr>
                <w:rFonts w:ascii="Verdana" w:eastAsia="Verdana" w:hAnsi="Verdana" w:cs="Verdana"/>
                <w:b/>
                <w:color w:val="000000"/>
                <w:sz w:val="16"/>
                <w:lang w:val="en-GB"/>
              </w:rPr>
              <w:t>2020/21</w:t>
            </w:r>
          </w:p>
        </w:tc>
      </w:tr>
      <w:tr w:rsidR="00AB41DA" w:rsidRPr="00DC1077" w14:paraId="11C50808" w14:textId="77777777" w:rsidTr="009D3BDC">
        <w:trPr>
          <w:trHeight w:val="991"/>
          <w:jc w:val="center"/>
        </w:trPr>
        <w:tc>
          <w:tcPr>
            <w:tcW w:w="1482" w:type="dxa"/>
            <w:shd w:val="clear" w:color="auto" w:fill="auto"/>
            <w:tcMar>
              <w:top w:w="20" w:type="dxa"/>
              <w:left w:w="20" w:type="dxa"/>
              <w:bottom w:w="20" w:type="dxa"/>
              <w:right w:w="20" w:type="dxa"/>
            </w:tcMar>
          </w:tcPr>
          <w:p w14:paraId="687F710B" w14:textId="77777777" w:rsidR="00AB41DA" w:rsidRPr="004D57BE" w:rsidRDefault="00AB41DA" w:rsidP="00AB41DA">
            <w:pPr>
              <w:pStyle w:val="T1TableStyle"/>
              <w:jc w:val="center"/>
              <w:rPr>
                <w:rFonts w:ascii="Verdana" w:eastAsia="Verdana" w:hAnsi="Verdana" w:cs="Verdana"/>
                <w:b/>
                <w:color w:val="000000"/>
                <w:sz w:val="16"/>
                <w:lang w:val="en-GB"/>
              </w:rPr>
            </w:pPr>
            <w:r w:rsidRPr="004D57BE">
              <w:rPr>
                <w:rFonts w:ascii="Verdana" w:eastAsia="Verdana" w:hAnsi="Verdana" w:cs="Verdana"/>
                <w:b/>
                <w:color w:val="000000"/>
                <w:sz w:val="16"/>
                <w:lang w:val="en-GB"/>
              </w:rPr>
              <w:t>Net Expenditure Chargeable to the General Fund Balance</w:t>
            </w:r>
          </w:p>
        </w:tc>
        <w:tc>
          <w:tcPr>
            <w:tcW w:w="1482" w:type="dxa"/>
            <w:shd w:val="clear" w:color="auto" w:fill="auto"/>
            <w:tcMar>
              <w:top w:w="20" w:type="dxa"/>
              <w:left w:w="20" w:type="dxa"/>
              <w:bottom w:w="20" w:type="dxa"/>
              <w:right w:w="20" w:type="dxa"/>
            </w:tcMar>
          </w:tcPr>
          <w:p w14:paraId="7C20AF86" w14:textId="77777777" w:rsidR="00AB41DA" w:rsidRPr="004D57BE" w:rsidRDefault="00AB41DA" w:rsidP="00AB41DA">
            <w:pPr>
              <w:pStyle w:val="T1TableStyle"/>
              <w:jc w:val="center"/>
              <w:rPr>
                <w:rFonts w:ascii="Verdana" w:eastAsia="Verdana" w:hAnsi="Verdana" w:cs="Verdana"/>
                <w:b/>
                <w:color w:val="000000"/>
                <w:sz w:val="16"/>
                <w:lang w:val="en-GB"/>
              </w:rPr>
            </w:pPr>
            <w:r w:rsidRPr="004D57BE">
              <w:rPr>
                <w:rFonts w:ascii="Verdana" w:eastAsia="Verdana" w:hAnsi="Verdana" w:cs="Verdana"/>
                <w:b/>
                <w:color w:val="000000"/>
                <w:sz w:val="16"/>
                <w:lang w:val="en-GB"/>
              </w:rPr>
              <w:t>Adjustments</w:t>
            </w:r>
          </w:p>
        </w:tc>
        <w:tc>
          <w:tcPr>
            <w:tcW w:w="1484" w:type="dxa"/>
            <w:shd w:val="clear" w:color="auto" w:fill="auto"/>
            <w:tcMar>
              <w:top w:w="20" w:type="dxa"/>
              <w:left w:w="20" w:type="dxa"/>
              <w:bottom w:w="20" w:type="dxa"/>
              <w:right w:w="20" w:type="dxa"/>
            </w:tcMar>
          </w:tcPr>
          <w:p w14:paraId="0CFAA38A" w14:textId="77777777" w:rsidR="00AB41DA" w:rsidRPr="004D57BE" w:rsidRDefault="00AB41DA" w:rsidP="00AB41DA">
            <w:pPr>
              <w:pStyle w:val="T1TableStyle"/>
              <w:jc w:val="center"/>
              <w:rPr>
                <w:rFonts w:ascii="Verdana" w:eastAsia="Verdana" w:hAnsi="Verdana" w:cs="Verdana"/>
                <w:b/>
                <w:color w:val="000000"/>
                <w:sz w:val="16"/>
                <w:lang w:val="en-GB"/>
              </w:rPr>
            </w:pPr>
            <w:r w:rsidRPr="004D57BE">
              <w:rPr>
                <w:rFonts w:ascii="Verdana" w:eastAsia="Verdana" w:hAnsi="Verdana" w:cs="Verdana"/>
                <w:b/>
                <w:color w:val="000000"/>
                <w:sz w:val="16"/>
                <w:lang w:val="en-GB"/>
              </w:rPr>
              <w:t>Net Expenditure in the CIES</w:t>
            </w:r>
          </w:p>
        </w:tc>
        <w:tc>
          <w:tcPr>
            <w:tcW w:w="1949" w:type="dxa"/>
            <w:shd w:val="clear" w:color="auto" w:fill="auto"/>
            <w:tcMar>
              <w:top w:w="20" w:type="dxa"/>
              <w:left w:w="20" w:type="dxa"/>
              <w:bottom w:w="20" w:type="dxa"/>
              <w:right w:w="20" w:type="dxa"/>
            </w:tcMar>
            <w:vAlign w:val="bottom"/>
          </w:tcPr>
          <w:p w14:paraId="0660A25A" w14:textId="77777777" w:rsidR="00AB41DA" w:rsidRPr="004D57BE" w:rsidRDefault="00AB41DA" w:rsidP="00AB41DA">
            <w:pPr>
              <w:pStyle w:val="T1TableStyle"/>
              <w:jc w:val="center"/>
              <w:rPr>
                <w:rFonts w:ascii="Verdana" w:eastAsia="Verdana" w:hAnsi="Verdana" w:cs="Verdana"/>
                <w:b/>
                <w:color w:val="000000"/>
                <w:sz w:val="2"/>
                <w:lang w:val="en-GB"/>
              </w:rPr>
            </w:pPr>
            <w:r w:rsidRPr="004D57BE">
              <w:rPr>
                <w:rFonts w:ascii="Verdana" w:eastAsia="Verdana" w:hAnsi="Verdana" w:cs="Verdana"/>
                <w:b/>
                <w:color w:val="000000"/>
                <w:sz w:val="2"/>
                <w:lang w:val="en-GB"/>
              </w:rPr>
              <w:t xml:space="preserve"> </w:t>
            </w:r>
          </w:p>
        </w:tc>
        <w:tc>
          <w:tcPr>
            <w:tcW w:w="1482" w:type="dxa"/>
            <w:shd w:val="clear" w:color="auto" w:fill="auto"/>
            <w:tcMar>
              <w:top w:w="20" w:type="dxa"/>
              <w:left w:w="20" w:type="dxa"/>
              <w:bottom w:w="20" w:type="dxa"/>
              <w:right w:w="20" w:type="dxa"/>
            </w:tcMar>
          </w:tcPr>
          <w:p w14:paraId="44411988" w14:textId="77777777" w:rsidR="00AB41DA" w:rsidRPr="004D57BE" w:rsidRDefault="00AB41DA" w:rsidP="00AB41DA">
            <w:pPr>
              <w:pStyle w:val="T1TableStyle"/>
              <w:jc w:val="center"/>
              <w:rPr>
                <w:rFonts w:ascii="Verdana" w:eastAsia="Verdana" w:hAnsi="Verdana" w:cs="Verdana"/>
                <w:b/>
                <w:color w:val="000000"/>
                <w:sz w:val="16"/>
                <w:lang w:val="en-GB"/>
              </w:rPr>
            </w:pPr>
            <w:r w:rsidRPr="004D57BE">
              <w:rPr>
                <w:rFonts w:ascii="Verdana" w:eastAsia="Verdana" w:hAnsi="Verdana" w:cs="Verdana"/>
                <w:b/>
                <w:color w:val="000000"/>
                <w:sz w:val="16"/>
                <w:lang w:val="en-GB"/>
              </w:rPr>
              <w:t>Net Expenditure Chargeable to the General Fund Balance</w:t>
            </w:r>
          </w:p>
        </w:tc>
        <w:tc>
          <w:tcPr>
            <w:tcW w:w="1482" w:type="dxa"/>
            <w:shd w:val="clear" w:color="auto" w:fill="auto"/>
            <w:tcMar>
              <w:top w:w="20" w:type="dxa"/>
              <w:left w:w="20" w:type="dxa"/>
              <w:bottom w:w="20" w:type="dxa"/>
              <w:right w:w="20" w:type="dxa"/>
            </w:tcMar>
          </w:tcPr>
          <w:p w14:paraId="107D5126" w14:textId="77777777" w:rsidR="00AB41DA" w:rsidRPr="00E1691B" w:rsidRDefault="00AB41DA" w:rsidP="00AB41DA">
            <w:pPr>
              <w:pStyle w:val="T1TableStyle"/>
              <w:jc w:val="center"/>
              <w:rPr>
                <w:rFonts w:ascii="Verdana" w:eastAsia="Verdana" w:hAnsi="Verdana" w:cs="Verdana"/>
                <w:b/>
                <w:color w:val="000000"/>
                <w:sz w:val="16"/>
                <w:lang w:val="en-GB"/>
              </w:rPr>
            </w:pPr>
            <w:r w:rsidRPr="00E1691B">
              <w:rPr>
                <w:rFonts w:ascii="Verdana" w:eastAsia="Verdana" w:hAnsi="Verdana" w:cs="Verdana"/>
                <w:b/>
                <w:color w:val="000000"/>
                <w:sz w:val="16"/>
                <w:lang w:val="en-GB"/>
              </w:rPr>
              <w:t>Adjustments</w:t>
            </w:r>
          </w:p>
        </w:tc>
        <w:tc>
          <w:tcPr>
            <w:tcW w:w="1484" w:type="dxa"/>
            <w:shd w:val="clear" w:color="auto" w:fill="auto"/>
            <w:tcMar>
              <w:top w:w="20" w:type="dxa"/>
              <w:left w:w="20" w:type="dxa"/>
              <w:bottom w:w="20" w:type="dxa"/>
              <w:right w:w="20" w:type="dxa"/>
            </w:tcMar>
          </w:tcPr>
          <w:p w14:paraId="329ED102" w14:textId="77777777" w:rsidR="00AB41DA" w:rsidRPr="00E1691B" w:rsidRDefault="00AB41DA" w:rsidP="00AB41DA">
            <w:pPr>
              <w:pStyle w:val="T1TableStyle"/>
              <w:jc w:val="center"/>
              <w:rPr>
                <w:rFonts w:ascii="Verdana" w:eastAsia="Verdana" w:hAnsi="Verdana" w:cs="Verdana"/>
                <w:b/>
                <w:color w:val="000000"/>
                <w:sz w:val="16"/>
                <w:lang w:val="en-GB"/>
              </w:rPr>
            </w:pPr>
            <w:r w:rsidRPr="00E1691B">
              <w:rPr>
                <w:rFonts w:ascii="Verdana" w:eastAsia="Verdana" w:hAnsi="Verdana" w:cs="Verdana"/>
                <w:b/>
                <w:color w:val="000000"/>
                <w:sz w:val="16"/>
                <w:lang w:val="en-GB"/>
              </w:rPr>
              <w:t>Net Expenditure in the CIES</w:t>
            </w:r>
          </w:p>
        </w:tc>
      </w:tr>
      <w:tr w:rsidR="00AB41DA" w:rsidRPr="00DC1077" w14:paraId="18052DC1" w14:textId="77777777" w:rsidTr="009D3BDC">
        <w:trPr>
          <w:trHeight w:val="245"/>
          <w:jc w:val="center"/>
        </w:trPr>
        <w:tc>
          <w:tcPr>
            <w:tcW w:w="1482" w:type="dxa"/>
            <w:tcBorders>
              <w:bottom w:val="single" w:sz="2" w:space="0" w:color="000000"/>
            </w:tcBorders>
            <w:shd w:val="clear" w:color="auto" w:fill="auto"/>
            <w:tcMar>
              <w:top w:w="20" w:type="dxa"/>
              <w:left w:w="20" w:type="dxa"/>
              <w:bottom w:w="20" w:type="dxa"/>
              <w:right w:w="20" w:type="dxa"/>
            </w:tcMar>
            <w:vAlign w:val="bottom"/>
          </w:tcPr>
          <w:p w14:paraId="4ED1C743" w14:textId="77777777" w:rsidR="00AB41DA" w:rsidRPr="004D57BE" w:rsidRDefault="00AB41DA" w:rsidP="00AB41DA">
            <w:pPr>
              <w:pStyle w:val="T1TableStyle"/>
              <w:jc w:val="right"/>
              <w:rPr>
                <w:rFonts w:ascii="Verdana" w:eastAsia="Verdana" w:hAnsi="Verdana" w:cs="Verdana"/>
                <w:b/>
                <w:color w:val="000000"/>
                <w:sz w:val="16"/>
                <w:lang w:val="en-GB"/>
              </w:rPr>
            </w:pPr>
            <w:r w:rsidRPr="004D57BE">
              <w:rPr>
                <w:rFonts w:ascii="Verdana" w:eastAsia="Verdana" w:hAnsi="Verdana" w:cs="Verdana"/>
                <w:b/>
                <w:color w:val="000000"/>
                <w:sz w:val="16"/>
                <w:lang w:val="en-GB"/>
              </w:rPr>
              <w:t>£000</w:t>
            </w:r>
          </w:p>
        </w:tc>
        <w:tc>
          <w:tcPr>
            <w:tcW w:w="1482" w:type="dxa"/>
            <w:tcBorders>
              <w:bottom w:val="single" w:sz="2" w:space="0" w:color="000000"/>
            </w:tcBorders>
            <w:shd w:val="clear" w:color="auto" w:fill="auto"/>
            <w:tcMar>
              <w:top w:w="20" w:type="dxa"/>
              <w:left w:w="20" w:type="dxa"/>
              <w:bottom w:w="20" w:type="dxa"/>
              <w:right w:w="20" w:type="dxa"/>
            </w:tcMar>
            <w:vAlign w:val="bottom"/>
          </w:tcPr>
          <w:p w14:paraId="60D6438F" w14:textId="77777777" w:rsidR="00AB41DA" w:rsidRPr="004D57BE" w:rsidRDefault="00AB41DA" w:rsidP="00AB41DA">
            <w:pPr>
              <w:pStyle w:val="T1TableStyle"/>
              <w:jc w:val="right"/>
              <w:rPr>
                <w:rFonts w:ascii="Verdana" w:eastAsia="Verdana" w:hAnsi="Verdana" w:cs="Verdana"/>
                <w:b/>
                <w:color w:val="000000"/>
                <w:sz w:val="16"/>
                <w:lang w:val="en-GB"/>
              </w:rPr>
            </w:pPr>
            <w:r w:rsidRPr="004D57BE">
              <w:rPr>
                <w:rFonts w:ascii="Verdana" w:eastAsia="Verdana" w:hAnsi="Verdana" w:cs="Verdana"/>
                <w:b/>
                <w:color w:val="000000"/>
                <w:sz w:val="16"/>
                <w:lang w:val="en-GB"/>
              </w:rPr>
              <w:t>£000</w:t>
            </w:r>
          </w:p>
        </w:tc>
        <w:tc>
          <w:tcPr>
            <w:tcW w:w="1484" w:type="dxa"/>
            <w:tcBorders>
              <w:bottom w:val="single" w:sz="2" w:space="0" w:color="000000"/>
            </w:tcBorders>
            <w:shd w:val="clear" w:color="auto" w:fill="auto"/>
            <w:tcMar>
              <w:top w:w="20" w:type="dxa"/>
              <w:left w:w="20" w:type="dxa"/>
              <w:bottom w:w="20" w:type="dxa"/>
              <w:right w:w="20" w:type="dxa"/>
            </w:tcMar>
            <w:vAlign w:val="bottom"/>
          </w:tcPr>
          <w:p w14:paraId="16EAA635" w14:textId="77777777" w:rsidR="00AB41DA" w:rsidRPr="004D57BE" w:rsidRDefault="00AB41DA" w:rsidP="00AB41DA">
            <w:pPr>
              <w:pStyle w:val="T1TableStyle"/>
              <w:jc w:val="right"/>
              <w:rPr>
                <w:rFonts w:ascii="Verdana" w:eastAsia="Verdana" w:hAnsi="Verdana" w:cs="Verdana"/>
                <w:b/>
                <w:color w:val="000000"/>
                <w:sz w:val="16"/>
                <w:lang w:val="en-GB"/>
              </w:rPr>
            </w:pPr>
            <w:r w:rsidRPr="004D57BE">
              <w:rPr>
                <w:rFonts w:ascii="Verdana" w:eastAsia="Verdana" w:hAnsi="Verdana" w:cs="Verdana"/>
                <w:b/>
                <w:color w:val="000000"/>
                <w:sz w:val="16"/>
                <w:lang w:val="en-GB"/>
              </w:rPr>
              <w:t>£000</w:t>
            </w:r>
          </w:p>
        </w:tc>
        <w:tc>
          <w:tcPr>
            <w:tcW w:w="1949" w:type="dxa"/>
            <w:tcBorders>
              <w:bottom w:val="single" w:sz="2" w:space="0" w:color="000000"/>
            </w:tcBorders>
            <w:shd w:val="clear" w:color="auto" w:fill="auto"/>
            <w:tcMar>
              <w:top w:w="20" w:type="dxa"/>
              <w:left w:w="20" w:type="dxa"/>
              <w:bottom w:w="20" w:type="dxa"/>
              <w:right w:w="20" w:type="dxa"/>
            </w:tcMar>
            <w:vAlign w:val="bottom"/>
          </w:tcPr>
          <w:p w14:paraId="42F71040" w14:textId="77777777" w:rsidR="00AB41DA" w:rsidRPr="004D57BE" w:rsidRDefault="00AB41DA" w:rsidP="00AB41DA">
            <w:pPr>
              <w:pStyle w:val="T1TableStyle"/>
              <w:jc w:val="right"/>
              <w:rPr>
                <w:rFonts w:ascii="Verdana" w:eastAsia="Verdana" w:hAnsi="Verdana" w:cs="Verdana"/>
                <w:b/>
                <w:color w:val="000000"/>
                <w:sz w:val="2"/>
                <w:lang w:val="en-GB"/>
              </w:rPr>
            </w:pPr>
            <w:r w:rsidRPr="004D57BE">
              <w:rPr>
                <w:rFonts w:ascii="Verdana" w:eastAsia="Verdana" w:hAnsi="Verdana" w:cs="Verdana"/>
                <w:b/>
                <w:color w:val="000000"/>
                <w:sz w:val="2"/>
                <w:lang w:val="en-GB"/>
              </w:rPr>
              <w:t xml:space="preserve"> </w:t>
            </w:r>
          </w:p>
        </w:tc>
        <w:tc>
          <w:tcPr>
            <w:tcW w:w="1482" w:type="dxa"/>
            <w:tcBorders>
              <w:bottom w:val="single" w:sz="2" w:space="0" w:color="000000"/>
            </w:tcBorders>
            <w:shd w:val="clear" w:color="auto" w:fill="auto"/>
            <w:tcMar>
              <w:top w:w="20" w:type="dxa"/>
              <w:left w:w="20" w:type="dxa"/>
              <w:bottom w:w="20" w:type="dxa"/>
              <w:right w:w="20" w:type="dxa"/>
            </w:tcMar>
            <w:vAlign w:val="bottom"/>
          </w:tcPr>
          <w:p w14:paraId="1B374EA7" w14:textId="77777777" w:rsidR="00AB41DA" w:rsidRPr="004D57BE" w:rsidRDefault="00AB41DA" w:rsidP="00AB41DA">
            <w:pPr>
              <w:pStyle w:val="T1TableStyle"/>
              <w:jc w:val="right"/>
              <w:rPr>
                <w:rFonts w:ascii="Verdana" w:eastAsia="Verdana" w:hAnsi="Verdana" w:cs="Verdana"/>
                <w:b/>
                <w:color w:val="000000"/>
                <w:sz w:val="16"/>
                <w:lang w:val="en-GB"/>
              </w:rPr>
            </w:pPr>
            <w:r w:rsidRPr="004D57BE">
              <w:rPr>
                <w:rFonts w:ascii="Verdana" w:eastAsia="Verdana" w:hAnsi="Verdana" w:cs="Verdana"/>
                <w:b/>
                <w:color w:val="000000"/>
                <w:sz w:val="16"/>
                <w:lang w:val="en-GB"/>
              </w:rPr>
              <w:t>£000</w:t>
            </w:r>
          </w:p>
        </w:tc>
        <w:tc>
          <w:tcPr>
            <w:tcW w:w="1482" w:type="dxa"/>
            <w:tcBorders>
              <w:bottom w:val="single" w:sz="2" w:space="0" w:color="000000"/>
            </w:tcBorders>
            <w:shd w:val="clear" w:color="auto" w:fill="auto"/>
            <w:tcMar>
              <w:top w:w="20" w:type="dxa"/>
              <w:left w:w="20" w:type="dxa"/>
              <w:bottom w:w="20" w:type="dxa"/>
              <w:right w:w="20" w:type="dxa"/>
            </w:tcMar>
            <w:vAlign w:val="bottom"/>
          </w:tcPr>
          <w:p w14:paraId="33D1299F" w14:textId="77777777" w:rsidR="00AB41DA" w:rsidRPr="00E1691B" w:rsidRDefault="00AB41DA" w:rsidP="00AB41DA">
            <w:pPr>
              <w:pStyle w:val="T1TableStyle"/>
              <w:jc w:val="right"/>
              <w:rPr>
                <w:rFonts w:ascii="Verdana" w:eastAsia="Verdana" w:hAnsi="Verdana" w:cs="Verdana"/>
                <w:b/>
                <w:color w:val="000000"/>
                <w:sz w:val="16"/>
                <w:lang w:val="en-GB"/>
              </w:rPr>
            </w:pPr>
            <w:r w:rsidRPr="00E1691B">
              <w:rPr>
                <w:rFonts w:ascii="Verdana" w:eastAsia="Verdana" w:hAnsi="Verdana" w:cs="Verdana"/>
                <w:b/>
                <w:color w:val="000000"/>
                <w:sz w:val="16"/>
                <w:lang w:val="en-GB"/>
              </w:rPr>
              <w:t>£000</w:t>
            </w:r>
          </w:p>
        </w:tc>
        <w:tc>
          <w:tcPr>
            <w:tcW w:w="1484" w:type="dxa"/>
            <w:tcBorders>
              <w:bottom w:val="single" w:sz="2" w:space="0" w:color="000000"/>
            </w:tcBorders>
            <w:shd w:val="clear" w:color="auto" w:fill="auto"/>
            <w:tcMar>
              <w:top w:w="20" w:type="dxa"/>
              <w:left w:w="20" w:type="dxa"/>
              <w:bottom w:w="20" w:type="dxa"/>
              <w:right w:w="20" w:type="dxa"/>
            </w:tcMar>
            <w:vAlign w:val="bottom"/>
          </w:tcPr>
          <w:p w14:paraId="7A368124" w14:textId="77777777" w:rsidR="00AB41DA" w:rsidRPr="00E1691B" w:rsidRDefault="00AB41DA" w:rsidP="00AB41DA">
            <w:pPr>
              <w:pStyle w:val="T1TableStyle"/>
              <w:jc w:val="right"/>
              <w:rPr>
                <w:rFonts w:ascii="Verdana" w:eastAsia="Verdana" w:hAnsi="Verdana" w:cs="Verdana"/>
                <w:b/>
                <w:color w:val="000000"/>
                <w:sz w:val="16"/>
                <w:lang w:val="en-GB"/>
              </w:rPr>
            </w:pPr>
            <w:r w:rsidRPr="00E1691B">
              <w:rPr>
                <w:rFonts w:ascii="Verdana" w:eastAsia="Verdana" w:hAnsi="Verdana" w:cs="Verdana"/>
                <w:b/>
                <w:color w:val="000000"/>
                <w:sz w:val="16"/>
                <w:lang w:val="en-GB"/>
              </w:rPr>
              <w:t>£000</w:t>
            </w:r>
          </w:p>
        </w:tc>
      </w:tr>
      <w:tr w:rsidR="00AB41DA" w:rsidRPr="00DC1077" w14:paraId="623655EA" w14:textId="77777777" w:rsidTr="009D3BDC">
        <w:trPr>
          <w:trHeight w:val="245"/>
          <w:jc w:val="center"/>
        </w:trPr>
        <w:tc>
          <w:tcPr>
            <w:tcW w:w="1482" w:type="dxa"/>
            <w:shd w:val="clear" w:color="auto" w:fill="auto"/>
            <w:tcMar>
              <w:top w:w="20" w:type="dxa"/>
              <w:left w:w="20" w:type="dxa"/>
              <w:bottom w:w="20" w:type="dxa"/>
              <w:right w:w="20" w:type="dxa"/>
            </w:tcMar>
          </w:tcPr>
          <w:p w14:paraId="19B8F957" w14:textId="77777777" w:rsidR="00AB41DA" w:rsidRPr="004D57BE" w:rsidRDefault="00AB41DA" w:rsidP="00AB41DA">
            <w:pPr>
              <w:pStyle w:val="T1TableStyle"/>
              <w:jc w:val="right"/>
              <w:rPr>
                <w:rFonts w:ascii="Verdana" w:eastAsia="Verdana" w:hAnsi="Verdana" w:cs="Verdana"/>
                <w:color w:val="000000"/>
                <w:sz w:val="16"/>
                <w:lang w:val="en-GB"/>
              </w:rPr>
            </w:pPr>
            <w:r w:rsidRPr="004D57BE">
              <w:rPr>
                <w:rFonts w:ascii="Verdana" w:eastAsia="Verdana" w:hAnsi="Verdana" w:cs="Verdana"/>
                <w:color w:val="000000"/>
                <w:sz w:val="16"/>
                <w:lang w:val="en-GB"/>
              </w:rPr>
              <w:t>81,044</w:t>
            </w:r>
          </w:p>
        </w:tc>
        <w:tc>
          <w:tcPr>
            <w:tcW w:w="1482" w:type="dxa"/>
            <w:shd w:val="clear" w:color="auto" w:fill="auto"/>
            <w:tcMar>
              <w:top w:w="20" w:type="dxa"/>
              <w:left w:w="20" w:type="dxa"/>
              <w:bottom w:w="20" w:type="dxa"/>
              <w:right w:w="20" w:type="dxa"/>
            </w:tcMar>
          </w:tcPr>
          <w:p w14:paraId="6842493B" w14:textId="77777777" w:rsidR="00AB41DA" w:rsidRPr="004D57BE" w:rsidRDefault="00AB41DA" w:rsidP="00AB41DA">
            <w:pPr>
              <w:pStyle w:val="T1TableStyle"/>
              <w:jc w:val="right"/>
              <w:rPr>
                <w:rFonts w:ascii="Verdana" w:eastAsia="Verdana" w:hAnsi="Verdana" w:cs="Verdana"/>
                <w:color w:val="000000"/>
                <w:sz w:val="16"/>
                <w:lang w:val="en-GB"/>
              </w:rPr>
            </w:pPr>
            <w:r w:rsidRPr="004D57BE">
              <w:rPr>
                <w:rFonts w:ascii="Verdana" w:eastAsia="Verdana" w:hAnsi="Verdana" w:cs="Verdana"/>
                <w:color w:val="000000"/>
                <w:sz w:val="16"/>
                <w:lang w:val="en-GB"/>
              </w:rPr>
              <w:t>49,188</w:t>
            </w:r>
          </w:p>
        </w:tc>
        <w:tc>
          <w:tcPr>
            <w:tcW w:w="1484" w:type="dxa"/>
            <w:shd w:val="clear" w:color="auto" w:fill="auto"/>
            <w:tcMar>
              <w:top w:w="20" w:type="dxa"/>
              <w:left w:w="20" w:type="dxa"/>
              <w:bottom w:w="20" w:type="dxa"/>
              <w:right w:w="20" w:type="dxa"/>
            </w:tcMar>
          </w:tcPr>
          <w:p w14:paraId="52005957" w14:textId="77777777" w:rsidR="00AB41DA" w:rsidRPr="004D57BE" w:rsidRDefault="00AB41DA" w:rsidP="00AB41DA">
            <w:pPr>
              <w:pStyle w:val="T1TableStyle"/>
              <w:jc w:val="right"/>
              <w:rPr>
                <w:rFonts w:ascii="Verdana" w:eastAsia="Verdana" w:hAnsi="Verdana" w:cs="Verdana"/>
                <w:color w:val="000000"/>
                <w:sz w:val="16"/>
                <w:lang w:val="en-GB"/>
              </w:rPr>
            </w:pPr>
            <w:r w:rsidRPr="004D57BE">
              <w:rPr>
                <w:rFonts w:ascii="Verdana" w:eastAsia="Verdana" w:hAnsi="Verdana" w:cs="Verdana"/>
                <w:color w:val="000000"/>
                <w:sz w:val="16"/>
                <w:lang w:val="en-GB"/>
              </w:rPr>
              <w:t>130,232</w:t>
            </w:r>
          </w:p>
        </w:tc>
        <w:tc>
          <w:tcPr>
            <w:tcW w:w="1949" w:type="dxa"/>
            <w:shd w:val="clear" w:color="auto" w:fill="auto"/>
            <w:tcMar>
              <w:top w:w="20" w:type="dxa"/>
              <w:left w:w="20" w:type="dxa"/>
              <w:bottom w:w="20" w:type="dxa"/>
              <w:right w:w="20" w:type="dxa"/>
            </w:tcMar>
          </w:tcPr>
          <w:p w14:paraId="72703093" w14:textId="77777777" w:rsidR="00AB41DA" w:rsidRPr="004D57BE" w:rsidRDefault="00AB41DA" w:rsidP="00AB41DA">
            <w:pPr>
              <w:pStyle w:val="T1TableStyle"/>
              <w:rPr>
                <w:rFonts w:ascii="Verdana" w:eastAsia="Verdana" w:hAnsi="Verdana" w:cs="Verdana"/>
                <w:color w:val="000000"/>
                <w:sz w:val="16"/>
                <w:lang w:val="en-GB"/>
              </w:rPr>
            </w:pPr>
            <w:r w:rsidRPr="004D57BE">
              <w:rPr>
                <w:rFonts w:ascii="Verdana" w:eastAsia="Verdana" w:hAnsi="Verdana" w:cs="Verdana"/>
                <w:color w:val="000000"/>
                <w:sz w:val="16"/>
                <w:lang w:val="en-GB"/>
              </w:rPr>
              <w:t>Police Payroll</w:t>
            </w:r>
          </w:p>
        </w:tc>
        <w:tc>
          <w:tcPr>
            <w:tcW w:w="1482" w:type="dxa"/>
            <w:shd w:val="clear" w:color="auto" w:fill="auto"/>
            <w:tcMar>
              <w:top w:w="20" w:type="dxa"/>
              <w:left w:w="20" w:type="dxa"/>
              <w:bottom w:w="20" w:type="dxa"/>
              <w:right w:w="20" w:type="dxa"/>
            </w:tcMar>
          </w:tcPr>
          <w:p w14:paraId="55046CAA" w14:textId="77777777" w:rsidR="00AB41DA" w:rsidRPr="004D57BE" w:rsidRDefault="009D3BDC" w:rsidP="0033722E">
            <w:pPr>
              <w:pStyle w:val="T1TableStyle"/>
              <w:jc w:val="right"/>
              <w:rPr>
                <w:rFonts w:ascii="Verdana" w:eastAsia="Verdana" w:hAnsi="Verdana" w:cs="Verdana"/>
                <w:color w:val="000000"/>
                <w:sz w:val="16"/>
                <w:lang w:val="en-GB"/>
              </w:rPr>
            </w:pPr>
            <w:r w:rsidRPr="004D57BE">
              <w:rPr>
                <w:rFonts w:ascii="Verdana" w:eastAsia="Verdana" w:hAnsi="Verdana" w:cs="Verdana"/>
                <w:color w:val="000000"/>
                <w:sz w:val="16"/>
                <w:lang w:val="en-GB"/>
              </w:rPr>
              <w:t>90,334</w:t>
            </w:r>
          </w:p>
        </w:tc>
        <w:tc>
          <w:tcPr>
            <w:tcW w:w="1482" w:type="dxa"/>
            <w:shd w:val="clear" w:color="auto" w:fill="auto"/>
            <w:tcMar>
              <w:top w:w="20" w:type="dxa"/>
              <w:left w:w="20" w:type="dxa"/>
              <w:bottom w:w="20" w:type="dxa"/>
              <w:right w:w="20" w:type="dxa"/>
            </w:tcMar>
          </w:tcPr>
          <w:p w14:paraId="25C999F0" w14:textId="77777777" w:rsidR="00AB41DA" w:rsidRPr="009D3BDC" w:rsidRDefault="009D3BDC" w:rsidP="0033722E">
            <w:pPr>
              <w:pStyle w:val="T1TableStyle"/>
              <w:jc w:val="right"/>
              <w:rPr>
                <w:rFonts w:ascii="Verdana" w:eastAsia="Verdana" w:hAnsi="Verdana" w:cs="Verdana"/>
                <w:color w:val="000000"/>
                <w:sz w:val="16"/>
                <w:lang w:val="en-GB"/>
              </w:rPr>
            </w:pPr>
            <w:r w:rsidRPr="009D3BDC">
              <w:rPr>
                <w:rFonts w:ascii="Verdana" w:eastAsia="Verdana" w:hAnsi="Verdana" w:cs="Verdana"/>
                <w:color w:val="000000"/>
                <w:sz w:val="16"/>
                <w:lang w:val="en-GB"/>
              </w:rPr>
              <w:t>58,090</w:t>
            </w:r>
          </w:p>
        </w:tc>
        <w:tc>
          <w:tcPr>
            <w:tcW w:w="1484" w:type="dxa"/>
            <w:shd w:val="clear" w:color="auto" w:fill="auto"/>
            <w:tcMar>
              <w:top w:w="20" w:type="dxa"/>
              <w:left w:w="20" w:type="dxa"/>
              <w:bottom w:w="20" w:type="dxa"/>
              <w:right w:w="20" w:type="dxa"/>
            </w:tcMar>
          </w:tcPr>
          <w:p w14:paraId="42236068" w14:textId="77777777" w:rsidR="00AB41DA" w:rsidRPr="009D3BDC" w:rsidRDefault="009D3BDC" w:rsidP="0033722E">
            <w:pPr>
              <w:pStyle w:val="T1TableStyle"/>
              <w:jc w:val="right"/>
              <w:rPr>
                <w:rFonts w:ascii="Verdana" w:eastAsia="Verdana" w:hAnsi="Verdana" w:cs="Verdana"/>
                <w:color w:val="000000"/>
                <w:sz w:val="16"/>
                <w:lang w:val="en-GB"/>
              </w:rPr>
            </w:pPr>
            <w:r w:rsidRPr="009D3BDC">
              <w:rPr>
                <w:rFonts w:ascii="Verdana" w:eastAsia="Verdana" w:hAnsi="Verdana" w:cs="Verdana"/>
                <w:color w:val="000000"/>
                <w:sz w:val="16"/>
                <w:lang w:val="en-GB"/>
              </w:rPr>
              <w:t>148,424</w:t>
            </w:r>
          </w:p>
        </w:tc>
      </w:tr>
      <w:tr w:rsidR="00AB41DA" w:rsidRPr="00DC1077" w14:paraId="74DB32A6" w14:textId="77777777" w:rsidTr="009D3BDC">
        <w:trPr>
          <w:trHeight w:val="245"/>
          <w:jc w:val="center"/>
        </w:trPr>
        <w:tc>
          <w:tcPr>
            <w:tcW w:w="1482" w:type="dxa"/>
            <w:shd w:val="clear" w:color="auto" w:fill="auto"/>
            <w:tcMar>
              <w:top w:w="20" w:type="dxa"/>
              <w:left w:w="20" w:type="dxa"/>
              <w:bottom w:w="20" w:type="dxa"/>
              <w:right w:w="20" w:type="dxa"/>
            </w:tcMar>
          </w:tcPr>
          <w:p w14:paraId="598ACD92" w14:textId="77777777" w:rsidR="00AB41DA" w:rsidRPr="004D57BE" w:rsidRDefault="00AB41DA" w:rsidP="00AB41DA">
            <w:pPr>
              <w:pStyle w:val="T1TableStyle"/>
              <w:jc w:val="right"/>
              <w:rPr>
                <w:rFonts w:ascii="Verdana" w:eastAsia="Verdana" w:hAnsi="Verdana" w:cs="Verdana"/>
                <w:color w:val="000000"/>
                <w:sz w:val="16"/>
                <w:lang w:val="en-GB"/>
              </w:rPr>
            </w:pPr>
            <w:r w:rsidRPr="004D57BE">
              <w:rPr>
                <w:rFonts w:ascii="Verdana" w:eastAsia="Verdana" w:hAnsi="Verdana" w:cs="Verdana"/>
                <w:color w:val="000000"/>
                <w:sz w:val="16"/>
                <w:lang w:val="en-GB"/>
              </w:rPr>
              <w:t>5,377</w:t>
            </w:r>
          </w:p>
        </w:tc>
        <w:tc>
          <w:tcPr>
            <w:tcW w:w="1482" w:type="dxa"/>
            <w:shd w:val="clear" w:color="auto" w:fill="auto"/>
            <w:tcMar>
              <w:top w:w="20" w:type="dxa"/>
              <w:left w:w="20" w:type="dxa"/>
              <w:bottom w:w="20" w:type="dxa"/>
              <w:right w:w="20" w:type="dxa"/>
            </w:tcMar>
          </w:tcPr>
          <w:p w14:paraId="3CFD3288" w14:textId="77777777" w:rsidR="00AB41DA" w:rsidRPr="004D57BE" w:rsidRDefault="00AB41DA" w:rsidP="00AB41DA">
            <w:pPr>
              <w:pStyle w:val="T1TableStyle"/>
              <w:jc w:val="right"/>
              <w:rPr>
                <w:rFonts w:ascii="Verdana" w:eastAsia="Verdana" w:hAnsi="Verdana" w:cs="Verdana"/>
                <w:color w:val="000000"/>
                <w:sz w:val="16"/>
                <w:lang w:val="en-GB"/>
              </w:rPr>
            </w:pPr>
            <w:r w:rsidRPr="004D57BE">
              <w:rPr>
                <w:rFonts w:ascii="Verdana" w:eastAsia="Verdana" w:hAnsi="Verdana" w:cs="Verdana"/>
                <w:color w:val="000000"/>
                <w:sz w:val="16"/>
                <w:lang w:val="en-GB"/>
              </w:rPr>
              <w:t>0</w:t>
            </w:r>
          </w:p>
        </w:tc>
        <w:tc>
          <w:tcPr>
            <w:tcW w:w="1484" w:type="dxa"/>
            <w:shd w:val="clear" w:color="auto" w:fill="auto"/>
            <w:tcMar>
              <w:top w:w="20" w:type="dxa"/>
              <w:left w:w="20" w:type="dxa"/>
              <w:bottom w:w="20" w:type="dxa"/>
              <w:right w:w="20" w:type="dxa"/>
            </w:tcMar>
          </w:tcPr>
          <w:p w14:paraId="588852BD" w14:textId="77777777" w:rsidR="00AB41DA" w:rsidRPr="004D57BE" w:rsidRDefault="00AB41DA" w:rsidP="00AB41DA">
            <w:pPr>
              <w:pStyle w:val="T1TableStyle"/>
              <w:jc w:val="right"/>
              <w:rPr>
                <w:rFonts w:ascii="Verdana" w:eastAsia="Verdana" w:hAnsi="Verdana" w:cs="Verdana"/>
                <w:color w:val="000000"/>
                <w:sz w:val="16"/>
                <w:lang w:val="en-GB"/>
              </w:rPr>
            </w:pPr>
            <w:r w:rsidRPr="004D57BE">
              <w:rPr>
                <w:rFonts w:ascii="Verdana" w:eastAsia="Verdana" w:hAnsi="Verdana" w:cs="Verdana"/>
                <w:color w:val="000000"/>
                <w:sz w:val="16"/>
                <w:lang w:val="en-GB"/>
              </w:rPr>
              <w:t>5,377</w:t>
            </w:r>
          </w:p>
        </w:tc>
        <w:tc>
          <w:tcPr>
            <w:tcW w:w="1949" w:type="dxa"/>
            <w:shd w:val="clear" w:color="auto" w:fill="auto"/>
            <w:tcMar>
              <w:top w:w="20" w:type="dxa"/>
              <w:left w:w="20" w:type="dxa"/>
              <w:bottom w:w="20" w:type="dxa"/>
              <w:right w:w="20" w:type="dxa"/>
            </w:tcMar>
          </w:tcPr>
          <w:p w14:paraId="00DAF382" w14:textId="77777777" w:rsidR="00AB41DA" w:rsidRPr="004D57BE" w:rsidRDefault="00AB41DA" w:rsidP="00AB41DA">
            <w:pPr>
              <w:pStyle w:val="T1TableStyle"/>
              <w:rPr>
                <w:rFonts w:ascii="Verdana" w:eastAsia="Verdana" w:hAnsi="Verdana" w:cs="Verdana"/>
                <w:color w:val="000000"/>
                <w:sz w:val="16"/>
                <w:lang w:val="en-GB"/>
              </w:rPr>
            </w:pPr>
            <w:r w:rsidRPr="004D57BE">
              <w:rPr>
                <w:rFonts w:ascii="Verdana" w:eastAsia="Verdana" w:hAnsi="Verdana" w:cs="Verdana"/>
                <w:color w:val="000000"/>
                <w:sz w:val="16"/>
                <w:lang w:val="en-GB"/>
              </w:rPr>
              <w:t>Police Overtime</w:t>
            </w:r>
          </w:p>
        </w:tc>
        <w:tc>
          <w:tcPr>
            <w:tcW w:w="1482" w:type="dxa"/>
            <w:shd w:val="clear" w:color="auto" w:fill="auto"/>
            <w:tcMar>
              <w:top w:w="20" w:type="dxa"/>
              <w:left w:w="20" w:type="dxa"/>
              <w:bottom w:w="20" w:type="dxa"/>
              <w:right w:w="20" w:type="dxa"/>
            </w:tcMar>
          </w:tcPr>
          <w:p w14:paraId="6ABC6358" w14:textId="77777777" w:rsidR="00AB41DA" w:rsidRPr="004D57BE" w:rsidRDefault="009D3BDC" w:rsidP="0033722E">
            <w:pPr>
              <w:pStyle w:val="T1TableStyle"/>
              <w:jc w:val="right"/>
              <w:rPr>
                <w:rFonts w:ascii="Verdana" w:eastAsia="Verdana" w:hAnsi="Verdana" w:cs="Verdana"/>
                <w:color w:val="000000"/>
                <w:sz w:val="16"/>
                <w:lang w:val="en-GB"/>
              </w:rPr>
            </w:pPr>
            <w:r w:rsidRPr="004D57BE">
              <w:rPr>
                <w:rFonts w:ascii="Verdana" w:eastAsia="Verdana" w:hAnsi="Verdana" w:cs="Verdana"/>
                <w:color w:val="000000"/>
                <w:sz w:val="16"/>
                <w:lang w:val="en-GB"/>
              </w:rPr>
              <w:t>6,26</w:t>
            </w:r>
            <w:r w:rsidR="0033722E" w:rsidRPr="004D57BE">
              <w:rPr>
                <w:rFonts w:ascii="Verdana" w:eastAsia="Verdana" w:hAnsi="Verdana" w:cs="Verdana"/>
                <w:color w:val="000000"/>
                <w:sz w:val="16"/>
                <w:lang w:val="en-GB"/>
              </w:rPr>
              <w:t>9</w:t>
            </w:r>
          </w:p>
        </w:tc>
        <w:tc>
          <w:tcPr>
            <w:tcW w:w="1482" w:type="dxa"/>
            <w:shd w:val="clear" w:color="auto" w:fill="auto"/>
            <w:tcMar>
              <w:top w:w="20" w:type="dxa"/>
              <w:left w:w="20" w:type="dxa"/>
              <w:bottom w:w="20" w:type="dxa"/>
              <w:right w:w="20" w:type="dxa"/>
            </w:tcMar>
          </w:tcPr>
          <w:p w14:paraId="583C0BBF" w14:textId="77777777" w:rsidR="00AB41DA" w:rsidRPr="009D3BDC" w:rsidRDefault="00201546" w:rsidP="00AB41DA">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484" w:type="dxa"/>
            <w:shd w:val="clear" w:color="auto" w:fill="auto"/>
            <w:tcMar>
              <w:top w:w="20" w:type="dxa"/>
              <w:left w:w="20" w:type="dxa"/>
              <w:bottom w:w="20" w:type="dxa"/>
              <w:right w:w="20" w:type="dxa"/>
            </w:tcMar>
          </w:tcPr>
          <w:p w14:paraId="129B8F75" w14:textId="77777777" w:rsidR="00AB41DA" w:rsidRPr="009D3BDC" w:rsidRDefault="009D3BDC" w:rsidP="0033722E">
            <w:pPr>
              <w:pStyle w:val="T1TableStyle"/>
              <w:jc w:val="right"/>
              <w:rPr>
                <w:rFonts w:ascii="Verdana" w:eastAsia="Verdana" w:hAnsi="Verdana" w:cs="Verdana"/>
                <w:color w:val="000000"/>
                <w:sz w:val="16"/>
                <w:lang w:val="en-GB"/>
              </w:rPr>
            </w:pPr>
            <w:r w:rsidRPr="009D3BDC">
              <w:rPr>
                <w:rFonts w:ascii="Verdana" w:eastAsia="Verdana" w:hAnsi="Verdana" w:cs="Verdana"/>
                <w:color w:val="000000"/>
                <w:sz w:val="16"/>
                <w:lang w:val="en-GB"/>
              </w:rPr>
              <w:t>6,26</w:t>
            </w:r>
            <w:r w:rsidR="0033722E">
              <w:rPr>
                <w:rFonts w:ascii="Verdana" w:eastAsia="Verdana" w:hAnsi="Verdana" w:cs="Verdana"/>
                <w:color w:val="000000"/>
                <w:sz w:val="16"/>
                <w:lang w:val="en-GB"/>
              </w:rPr>
              <w:t>9</w:t>
            </w:r>
          </w:p>
        </w:tc>
      </w:tr>
      <w:tr w:rsidR="00AB41DA" w:rsidRPr="00DC1077" w14:paraId="4B34D378" w14:textId="77777777" w:rsidTr="009D3BDC">
        <w:trPr>
          <w:trHeight w:val="245"/>
          <w:jc w:val="center"/>
        </w:trPr>
        <w:tc>
          <w:tcPr>
            <w:tcW w:w="1482" w:type="dxa"/>
            <w:shd w:val="clear" w:color="auto" w:fill="auto"/>
            <w:tcMar>
              <w:top w:w="20" w:type="dxa"/>
              <w:left w:w="20" w:type="dxa"/>
              <w:bottom w:w="20" w:type="dxa"/>
              <w:right w:w="20" w:type="dxa"/>
            </w:tcMar>
          </w:tcPr>
          <w:p w14:paraId="1832FE85" w14:textId="77777777" w:rsidR="00AB41DA" w:rsidRPr="004D57BE" w:rsidRDefault="00AB41DA" w:rsidP="00AB41DA">
            <w:pPr>
              <w:pStyle w:val="T1TableStyle"/>
              <w:jc w:val="right"/>
              <w:rPr>
                <w:rFonts w:ascii="Verdana" w:eastAsia="Verdana" w:hAnsi="Verdana" w:cs="Verdana"/>
                <w:color w:val="000000"/>
                <w:sz w:val="16"/>
                <w:lang w:val="en-GB"/>
              </w:rPr>
            </w:pPr>
            <w:r w:rsidRPr="004D57BE">
              <w:rPr>
                <w:rFonts w:ascii="Verdana" w:eastAsia="Verdana" w:hAnsi="Verdana" w:cs="Verdana"/>
                <w:color w:val="000000"/>
                <w:sz w:val="16"/>
                <w:lang w:val="en-GB"/>
              </w:rPr>
              <w:t>61,953</w:t>
            </w:r>
          </w:p>
        </w:tc>
        <w:tc>
          <w:tcPr>
            <w:tcW w:w="1482" w:type="dxa"/>
            <w:shd w:val="clear" w:color="auto" w:fill="auto"/>
            <w:tcMar>
              <w:top w:w="20" w:type="dxa"/>
              <w:left w:w="20" w:type="dxa"/>
              <w:bottom w:w="20" w:type="dxa"/>
              <w:right w:w="20" w:type="dxa"/>
            </w:tcMar>
          </w:tcPr>
          <w:p w14:paraId="775B03AA" w14:textId="77777777" w:rsidR="00AB41DA" w:rsidRPr="004D57BE" w:rsidRDefault="00AB41DA" w:rsidP="00AB41DA">
            <w:pPr>
              <w:pStyle w:val="T1TableStyle"/>
              <w:jc w:val="right"/>
              <w:rPr>
                <w:rFonts w:ascii="Verdana" w:eastAsia="Verdana" w:hAnsi="Verdana" w:cs="Verdana"/>
                <w:color w:val="000000"/>
                <w:sz w:val="16"/>
                <w:lang w:val="en-GB"/>
              </w:rPr>
            </w:pPr>
            <w:r w:rsidRPr="004D57BE">
              <w:rPr>
                <w:rFonts w:ascii="Verdana" w:eastAsia="Verdana" w:hAnsi="Verdana" w:cs="Verdana"/>
                <w:color w:val="000000"/>
                <w:sz w:val="16"/>
                <w:lang w:val="en-GB"/>
              </w:rPr>
              <w:t>13,844</w:t>
            </w:r>
          </w:p>
        </w:tc>
        <w:tc>
          <w:tcPr>
            <w:tcW w:w="1484" w:type="dxa"/>
            <w:shd w:val="clear" w:color="auto" w:fill="auto"/>
            <w:tcMar>
              <w:top w:w="20" w:type="dxa"/>
              <w:left w:w="20" w:type="dxa"/>
              <w:bottom w:w="20" w:type="dxa"/>
              <w:right w:w="20" w:type="dxa"/>
            </w:tcMar>
          </w:tcPr>
          <w:p w14:paraId="79A8784E" w14:textId="77777777" w:rsidR="00AB41DA" w:rsidRPr="004D57BE" w:rsidRDefault="00AB41DA" w:rsidP="00AB41DA">
            <w:pPr>
              <w:pStyle w:val="T1TableStyle"/>
              <w:jc w:val="right"/>
              <w:rPr>
                <w:rFonts w:ascii="Verdana" w:eastAsia="Verdana" w:hAnsi="Verdana" w:cs="Verdana"/>
                <w:color w:val="000000"/>
                <w:sz w:val="16"/>
                <w:lang w:val="en-GB"/>
              </w:rPr>
            </w:pPr>
            <w:r w:rsidRPr="004D57BE">
              <w:rPr>
                <w:rFonts w:ascii="Verdana" w:eastAsia="Verdana" w:hAnsi="Verdana" w:cs="Verdana"/>
                <w:color w:val="000000"/>
                <w:sz w:val="16"/>
                <w:lang w:val="en-GB"/>
              </w:rPr>
              <w:t>75,797</w:t>
            </w:r>
          </w:p>
        </w:tc>
        <w:tc>
          <w:tcPr>
            <w:tcW w:w="1949" w:type="dxa"/>
            <w:shd w:val="clear" w:color="auto" w:fill="auto"/>
            <w:tcMar>
              <w:top w:w="20" w:type="dxa"/>
              <w:left w:w="20" w:type="dxa"/>
              <w:bottom w:w="20" w:type="dxa"/>
              <w:right w:w="20" w:type="dxa"/>
            </w:tcMar>
          </w:tcPr>
          <w:p w14:paraId="4F1C49BD" w14:textId="77777777" w:rsidR="00AB41DA" w:rsidRPr="004D57BE" w:rsidRDefault="00AB41DA" w:rsidP="00AB41DA">
            <w:pPr>
              <w:pStyle w:val="T1TableStyle"/>
              <w:rPr>
                <w:rFonts w:ascii="Verdana" w:eastAsia="Verdana" w:hAnsi="Verdana" w:cs="Verdana"/>
                <w:color w:val="000000"/>
                <w:sz w:val="16"/>
                <w:lang w:val="en-GB"/>
              </w:rPr>
            </w:pPr>
            <w:r w:rsidRPr="004D57BE">
              <w:rPr>
                <w:rFonts w:ascii="Verdana" w:eastAsia="Verdana" w:hAnsi="Verdana" w:cs="Verdana"/>
                <w:color w:val="000000"/>
                <w:sz w:val="16"/>
                <w:lang w:val="en-GB"/>
              </w:rPr>
              <w:t>Staff Payroll</w:t>
            </w:r>
          </w:p>
        </w:tc>
        <w:tc>
          <w:tcPr>
            <w:tcW w:w="1482" w:type="dxa"/>
            <w:shd w:val="clear" w:color="auto" w:fill="auto"/>
            <w:tcMar>
              <w:top w:w="20" w:type="dxa"/>
              <w:left w:w="20" w:type="dxa"/>
              <w:bottom w:w="20" w:type="dxa"/>
              <w:right w:w="20" w:type="dxa"/>
            </w:tcMar>
          </w:tcPr>
          <w:p w14:paraId="0B45A5D0" w14:textId="77777777" w:rsidR="00AB41DA" w:rsidRPr="004D57BE" w:rsidRDefault="009D3BDC" w:rsidP="0033722E">
            <w:pPr>
              <w:pStyle w:val="T1TableStyle"/>
              <w:jc w:val="right"/>
              <w:rPr>
                <w:rFonts w:ascii="Verdana" w:eastAsia="Verdana" w:hAnsi="Verdana" w:cs="Verdana"/>
                <w:color w:val="000000"/>
                <w:sz w:val="16"/>
                <w:lang w:val="en-GB"/>
              </w:rPr>
            </w:pPr>
            <w:r w:rsidRPr="004D57BE">
              <w:rPr>
                <w:rFonts w:ascii="Verdana" w:eastAsia="Verdana" w:hAnsi="Verdana" w:cs="Verdana"/>
                <w:color w:val="000000"/>
                <w:sz w:val="16"/>
                <w:lang w:val="en-GB"/>
              </w:rPr>
              <w:t>70,299</w:t>
            </w:r>
          </w:p>
        </w:tc>
        <w:tc>
          <w:tcPr>
            <w:tcW w:w="1482" w:type="dxa"/>
            <w:shd w:val="clear" w:color="auto" w:fill="auto"/>
            <w:tcMar>
              <w:top w:w="20" w:type="dxa"/>
              <w:left w:w="20" w:type="dxa"/>
              <w:bottom w:w="20" w:type="dxa"/>
              <w:right w:w="20" w:type="dxa"/>
            </w:tcMar>
          </w:tcPr>
          <w:p w14:paraId="09F6E15A" w14:textId="77777777" w:rsidR="00AB41DA" w:rsidRPr="009D3BDC" w:rsidRDefault="009D3BDC" w:rsidP="0033722E">
            <w:pPr>
              <w:pStyle w:val="T1TableStyle"/>
              <w:jc w:val="right"/>
              <w:rPr>
                <w:rFonts w:ascii="Verdana" w:eastAsia="Verdana" w:hAnsi="Verdana" w:cs="Verdana"/>
                <w:color w:val="000000"/>
                <w:sz w:val="16"/>
                <w:lang w:val="en-GB"/>
              </w:rPr>
            </w:pPr>
            <w:r w:rsidRPr="009D3BDC">
              <w:rPr>
                <w:rFonts w:ascii="Verdana" w:eastAsia="Verdana" w:hAnsi="Verdana" w:cs="Verdana"/>
                <w:color w:val="000000"/>
                <w:sz w:val="16"/>
                <w:lang w:val="en-GB"/>
              </w:rPr>
              <w:t>10,438</w:t>
            </w:r>
          </w:p>
        </w:tc>
        <w:tc>
          <w:tcPr>
            <w:tcW w:w="1484" w:type="dxa"/>
            <w:shd w:val="clear" w:color="auto" w:fill="auto"/>
            <w:tcMar>
              <w:top w:w="20" w:type="dxa"/>
              <w:left w:w="20" w:type="dxa"/>
              <w:bottom w:w="20" w:type="dxa"/>
              <w:right w:w="20" w:type="dxa"/>
            </w:tcMar>
          </w:tcPr>
          <w:p w14:paraId="5F2FE36E" w14:textId="77777777" w:rsidR="00AB41DA" w:rsidRPr="009D3BDC" w:rsidRDefault="009D3BDC" w:rsidP="0033722E">
            <w:pPr>
              <w:pStyle w:val="T1TableStyle"/>
              <w:jc w:val="right"/>
              <w:rPr>
                <w:rFonts w:ascii="Verdana" w:eastAsia="Verdana" w:hAnsi="Verdana" w:cs="Verdana"/>
                <w:color w:val="000000"/>
                <w:sz w:val="16"/>
                <w:lang w:val="en-GB"/>
              </w:rPr>
            </w:pPr>
            <w:r w:rsidRPr="009D3BDC">
              <w:rPr>
                <w:rFonts w:ascii="Verdana" w:eastAsia="Verdana" w:hAnsi="Verdana" w:cs="Verdana"/>
                <w:color w:val="000000"/>
                <w:sz w:val="16"/>
                <w:lang w:val="en-GB"/>
              </w:rPr>
              <w:t>80,737</w:t>
            </w:r>
          </w:p>
        </w:tc>
      </w:tr>
      <w:tr w:rsidR="009D3BDC" w:rsidRPr="00DC1077" w14:paraId="3A219B9B" w14:textId="77777777" w:rsidTr="009D3BDC">
        <w:trPr>
          <w:trHeight w:val="245"/>
          <w:jc w:val="center"/>
        </w:trPr>
        <w:tc>
          <w:tcPr>
            <w:tcW w:w="1482" w:type="dxa"/>
            <w:shd w:val="clear" w:color="auto" w:fill="auto"/>
            <w:tcMar>
              <w:top w:w="20" w:type="dxa"/>
              <w:left w:w="20" w:type="dxa"/>
              <w:bottom w:w="20" w:type="dxa"/>
              <w:right w:w="20" w:type="dxa"/>
            </w:tcMar>
          </w:tcPr>
          <w:p w14:paraId="44A17AA2" w14:textId="77777777" w:rsidR="009D3BDC" w:rsidRPr="004D57BE" w:rsidRDefault="009D3BDC" w:rsidP="009D3BDC">
            <w:pPr>
              <w:pStyle w:val="T1TableStyle"/>
              <w:jc w:val="right"/>
              <w:rPr>
                <w:rFonts w:ascii="Verdana" w:eastAsia="Verdana" w:hAnsi="Verdana" w:cs="Verdana"/>
                <w:color w:val="000000"/>
                <w:sz w:val="16"/>
                <w:lang w:val="en-GB"/>
              </w:rPr>
            </w:pPr>
            <w:r w:rsidRPr="004D57BE">
              <w:rPr>
                <w:rFonts w:ascii="Verdana" w:eastAsia="Verdana" w:hAnsi="Verdana" w:cs="Verdana"/>
                <w:color w:val="000000"/>
                <w:sz w:val="16"/>
                <w:lang w:val="en-GB"/>
              </w:rPr>
              <w:t>1,695</w:t>
            </w:r>
          </w:p>
        </w:tc>
        <w:tc>
          <w:tcPr>
            <w:tcW w:w="1482" w:type="dxa"/>
            <w:shd w:val="clear" w:color="auto" w:fill="auto"/>
            <w:tcMar>
              <w:top w:w="20" w:type="dxa"/>
              <w:left w:w="20" w:type="dxa"/>
              <w:bottom w:w="20" w:type="dxa"/>
              <w:right w:w="20" w:type="dxa"/>
            </w:tcMar>
          </w:tcPr>
          <w:p w14:paraId="01EA831B" w14:textId="77777777" w:rsidR="009D3BDC" w:rsidRPr="004D57BE" w:rsidRDefault="009D3BDC" w:rsidP="009D3BDC">
            <w:pPr>
              <w:pStyle w:val="T1TableStyle"/>
              <w:jc w:val="right"/>
              <w:rPr>
                <w:rFonts w:ascii="Verdana" w:eastAsia="Verdana" w:hAnsi="Verdana" w:cs="Verdana"/>
                <w:color w:val="000000"/>
                <w:sz w:val="16"/>
                <w:lang w:val="en-GB"/>
              </w:rPr>
            </w:pPr>
            <w:r w:rsidRPr="004D57BE">
              <w:rPr>
                <w:rFonts w:ascii="Verdana" w:eastAsia="Verdana" w:hAnsi="Verdana" w:cs="Verdana"/>
                <w:color w:val="000000"/>
                <w:sz w:val="16"/>
                <w:lang w:val="en-GB"/>
              </w:rPr>
              <w:t>0</w:t>
            </w:r>
          </w:p>
        </w:tc>
        <w:tc>
          <w:tcPr>
            <w:tcW w:w="1484" w:type="dxa"/>
            <w:shd w:val="clear" w:color="auto" w:fill="auto"/>
            <w:tcMar>
              <w:top w:w="20" w:type="dxa"/>
              <w:left w:w="20" w:type="dxa"/>
              <w:bottom w:w="20" w:type="dxa"/>
              <w:right w:w="20" w:type="dxa"/>
            </w:tcMar>
          </w:tcPr>
          <w:p w14:paraId="1CB445A7" w14:textId="77777777" w:rsidR="009D3BDC" w:rsidRPr="004D57BE" w:rsidRDefault="009D3BDC" w:rsidP="009D3BDC">
            <w:pPr>
              <w:pStyle w:val="T1TableStyle"/>
              <w:jc w:val="right"/>
              <w:rPr>
                <w:rFonts w:ascii="Verdana" w:eastAsia="Verdana" w:hAnsi="Verdana" w:cs="Verdana"/>
                <w:color w:val="000000"/>
                <w:sz w:val="16"/>
                <w:lang w:val="en-GB"/>
              </w:rPr>
            </w:pPr>
            <w:r w:rsidRPr="004D57BE">
              <w:rPr>
                <w:rFonts w:ascii="Verdana" w:eastAsia="Verdana" w:hAnsi="Verdana" w:cs="Verdana"/>
                <w:color w:val="000000"/>
                <w:sz w:val="16"/>
                <w:lang w:val="en-GB"/>
              </w:rPr>
              <w:t>1,695</w:t>
            </w:r>
          </w:p>
        </w:tc>
        <w:tc>
          <w:tcPr>
            <w:tcW w:w="1949" w:type="dxa"/>
            <w:shd w:val="clear" w:color="auto" w:fill="auto"/>
            <w:tcMar>
              <w:top w:w="20" w:type="dxa"/>
              <w:left w:w="20" w:type="dxa"/>
              <w:bottom w:w="20" w:type="dxa"/>
              <w:right w:w="20" w:type="dxa"/>
            </w:tcMar>
          </w:tcPr>
          <w:p w14:paraId="4AE0DCE7" w14:textId="77777777" w:rsidR="009D3BDC" w:rsidRPr="004D57BE" w:rsidRDefault="009D3BDC" w:rsidP="009D3BDC">
            <w:pPr>
              <w:pStyle w:val="T1TableStyle"/>
              <w:rPr>
                <w:rFonts w:ascii="Verdana" w:eastAsia="Verdana" w:hAnsi="Verdana" w:cs="Verdana"/>
                <w:color w:val="000000"/>
                <w:sz w:val="16"/>
                <w:lang w:val="en-GB"/>
              </w:rPr>
            </w:pPr>
            <w:r w:rsidRPr="004D57BE">
              <w:rPr>
                <w:rFonts w:ascii="Verdana" w:eastAsia="Verdana" w:hAnsi="Verdana" w:cs="Verdana"/>
                <w:color w:val="000000"/>
                <w:sz w:val="16"/>
                <w:lang w:val="en-GB"/>
              </w:rPr>
              <w:t>Staff Overtime</w:t>
            </w:r>
          </w:p>
        </w:tc>
        <w:tc>
          <w:tcPr>
            <w:tcW w:w="1482" w:type="dxa"/>
            <w:shd w:val="clear" w:color="auto" w:fill="auto"/>
            <w:tcMar>
              <w:top w:w="20" w:type="dxa"/>
              <w:left w:w="20" w:type="dxa"/>
              <w:bottom w:w="20" w:type="dxa"/>
              <w:right w:w="20" w:type="dxa"/>
            </w:tcMar>
          </w:tcPr>
          <w:p w14:paraId="2F877478" w14:textId="77777777" w:rsidR="009D3BDC" w:rsidRPr="004D57BE" w:rsidRDefault="009D3BDC" w:rsidP="0033722E">
            <w:pPr>
              <w:pStyle w:val="T1TableStyle"/>
              <w:jc w:val="right"/>
              <w:rPr>
                <w:rFonts w:ascii="Verdana" w:eastAsia="Verdana" w:hAnsi="Verdana" w:cs="Verdana"/>
                <w:color w:val="000000"/>
                <w:sz w:val="16"/>
                <w:lang w:val="en-GB"/>
              </w:rPr>
            </w:pPr>
            <w:r w:rsidRPr="004D57BE">
              <w:rPr>
                <w:rFonts w:ascii="Verdana" w:eastAsia="Verdana" w:hAnsi="Verdana" w:cs="Verdana"/>
                <w:color w:val="000000"/>
                <w:sz w:val="16"/>
                <w:lang w:val="en-GB"/>
              </w:rPr>
              <w:t>1,90</w:t>
            </w:r>
            <w:r w:rsidR="0033722E" w:rsidRPr="004D57BE">
              <w:rPr>
                <w:rFonts w:ascii="Verdana" w:eastAsia="Verdana" w:hAnsi="Verdana" w:cs="Verdana"/>
                <w:color w:val="000000"/>
                <w:sz w:val="16"/>
                <w:lang w:val="en-GB"/>
              </w:rPr>
              <w:t>4</w:t>
            </w:r>
          </w:p>
        </w:tc>
        <w:tc>
          <w:tcPr>
            <w:tcW w:w="1482" w:type="dxa"/>
            <w:shd w:val="clear" w:color="auto" w:fill="auto"/>
            <w:tcMar>
              <w:top w:w="20" w:type="dxa"/>
              <w:left w:w="20" w:type="dxa"/>
              <w:bottom w:w="20" w:type="dxa"/>
              <w:right w:w="20" w:type="dxa"/>
            </w:tcMar>
          </w:tcPr>
          <w:p w14:paraId="7A8BDE4E" w14:textId="77777777" w:rsidR="009D3BDC" w:rsidRPr="009D3BDC" w:rsidRDefault="00201546" w:rsidP="009D3BDC">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484" w:type="dxa"/>
            <w:shd w:val="clear" w:color="auto" w:fill="auto"/>
            <w:tcMar>
              <w:top w:w="20" w:type="dxa"/>
              <w:left w:w="20" w:type="dxa"/>
              <w:bottom w:w="20" w:type="dxa"/>
              <w:right w:w="20" w:type="dxa"/>
            </w:tcMar>
          </w:tcPr>
          <w:p w14:paraId="62DC57CF" w14:textId="77777777" w:rsidR="009D3BDC" w:rsidRPr="009D3BDC" w:rsidRDefault="009D3BDC" w:rsidP="0033722E">
            <w:pPr>
              <w:pStyle w:val="T1TableStyle"/>
              <w:jc w:val="right"/>
              <w:rPr>
                <w:rFonts w:ascii="Verdana" w:eastAsia="Verdana" w:hAnsi="Verdana" w:cs="Verdana"/>
                <w:color w:val="000000"/>
                <w:sz w:val="16"/>
                <w:lang w:val="en-GB"/>
              </w:rPr>
            </w:pPr>
            <w:r w:rsidRPr="009D3BDC">
              <w:rPr>
                <w:rFonts w:ascii="Verdana" w:eastAsia="Verdana" w:hAnsi="Verdana" w:cs="Verdana"/>
                <w:color w:val="000000"/>
                <w:sz w:val="16"/>
                <w:lang w:val="en-GB"/>
              </w:rPr>
              <w:t>1,90</w:t>
            </w:r>
            <w:r w:rsidR="0033722E">
              <w:rPr>
                <w:rFonts w:ascii="Verdana" w:eastAsia="Verdana" w:hAnsi="Verdana" w:cs="Verdana"/>
                <w:color w:val="000000"/>
                <w:sz w:val="16"/>
                <w:lang w:val="en-GB"/>
              </w:rPr>
              <w:t>4</w:t>
            </w:r>
          </w:p>
        </w:tc>
      </w:tr>
      <w:tr w:rsidR="009D3BDC" w:rsidRPr="00DC1077" w14:paraId="00007D01" w14:textId="77777777" w:rsidTr="009D3BDC">
        <w:trPr>
          <w:trHeight w:val="245"/>
          <w:jc w:val="center"/>
        </w:trPr>
        <w:tc>
          <w:tcPr>
            <w:tcW w:w="1482" w:type="dxa"/>
            <w:shd w:val="clear" w:color="auto" w:fill="auto"/>
            <w:tcMar>
              <w:top w:w="20" w:type="dxa"/>
              <w:left w:w="20" w:type="dxa"/>
              <w:bottom w:w="20" w:type="dxa"/>
              <w:right w:w="20" w:type="dxa"/>
            </w:tcMar>
          </w:tcPr>
          <w:p w14:paraId="365B695E" w14:textId="77777777" w:rsidR="009D3BDC" w:rsidRPr="004D57BE" w:rsidRDefault="009D3BDC" w:rsidP="009D3BDC">
            <w:pPr>
              <w:pStyle w:val="T1TableStyle"/>
              <w:jc w:val="right"/>
              <w:rPr>
                <w:rFonts w:ascii="Verdana" w:eastAsia="Verdana" w:hAnsi="Verdana" w:cs="Verdana"/>
                <w:color w:val="000000"/>
                <w:sz w:val="16"/>
                <w:lang w:val="en-GB"/>
              </w:rPr>
            </w:pPr>
            <w:r w:rsidRPr="004D57BE">
              <w:rPr>
                <w:rFonts w:ascii="Verdana" w:eastAsia="Verdana" w:hAnsi="Verdana" w:cs="Verdana"/>
                <w:color w:val="000000"/>
                <w:sz w:val="16"/>
                <w:lang w:val="en-GB"/>
              </w:rPr>
              <w:t>2,014</w:t>
            </w:r>
          </w:p>
        </w:tc>
        <w:tc>
          <w:tcPr>
            <w:tcW w:w="1482" w:type="dxa"/>
            <w:shd w:val="clear" w:color="auto" w:fill="auto"/>
            <w:tcMar>
              <w:top w:w="20" w:type="dxa"/>
              <w:left w:w="20" w:type="dxa"/>
              <w:bottom w:w="20" w:type="dxa"/>
              <w:right w:w="20" w:type="dxa"/>
            </w:tcMar>
          </w:tcPr>
          <w:p w14:paraId="6BE60FBD" w14:textId="77777777" w:rsidR="009D3BDC" w:rsidRPr="004D57BE" w:rsidRDefault="009D3BDC" w:rsidP="009D3BDC">
            <w:pPr>
              <w:pStyle w:val="T1TableStyle"/>
              <w:jc w:val="right"/>
              <w:rPr>
                <w:rFonts w:ascii="Verdana" w:eastAsia="Verdana" w:hAnsi="Verdana" w:cs="Verdana"/>
                <w:color w:val="000000"/>
                <w:sz w:val="16"/>
                <w:lang w:val="en-GB"/>
              </w:rPr>
            </w:pPr>
            <w:r w:rsidRPr="004D57BE">
              <w:rPr>
                <w:rFonts w:ascii="Verdana" w:eastAsia="Verdana" w:hAnsi="Verdana" w:cs="Verdana"/>
                <w:color w:val="000000"/>
                <w:sz w:val="16"/>
                <w:lang w:val="en-GB"/>
              </w:rPr>
              <w:t>0</w:t>
            </w:r>
          </w:p>
        </w:tc>
        <w:tc>
          <w:tcPr>
            <w:tcW w:w="1484" w:type="dxa"/>
            <w:shd w:val="clear" w:color="auto" w:fill="auto"/>
            <w:tcMar>
              <w:top w:w="20" w:type="dxa"/>
              <w:left w:w="20" w:type="dxa"/>
              <w:bottom w:w="20" w:type="dxa"/>
              <w:right w:w="20" w:type="dxa"/>
            </w:tcMar>
          </w:tcPr>
          <w:p w14:paraId="73F6C8A2" w14:textId="77777777" w:rsidR="009D3BDC" w:rsidRPr="004D57BE" w:rsidRDefault="009D3BDC" w:rsidP="009D3BDC">
            <w:pPr>
              <w:pStyle w:val="T1TableStyle"/>
              <w:jc w:val="right"/>
              <w:rPr>
                <w:rFonts w:ascii="Verdana" w:eastAsia="Verdana" w:hAnsi="Verdana" w:cs="Verdana"/>
                <w:color w:val="000000"/>
                <w:sz w:val="16"/>
                <w:lang w:val="en-GB"/>
              </w:rPr>
            </w:pPr>
            <w:r w:rsidRPr="004D57BE">
              <w:rPr>
                <w:rFonts w:ascii="Verdana" w:eastAsia="Verdana" w:hAnsi="Verdana" w:cs="Verdana"/>
                <w:color w:val="000000"/>
                <w:sz w:val="16"/>
                <w:lang w:val="en-GB"/>
              </w:rPr>
              <w:t>2,014</w:t>
            </w:r>
          </w:p>
        </w:tc>
        <w:tc>
          <w:tcPr>
            <w:tcW w:w="1949" w:type="dxa"/>
            <w:shd w:val="clear" w:color="auto" w:fill="auto"/>
            <w:tcMar>
              <w:top w:w="20" w:type="dxa"/>
              <w:left w:w="20" w:type="dxa"/>
              <w:bottom w:w="20" w:type="dxa"/>
              <w:right w:w="20" w:type="dxa"/>
            </w:tcMar>
          </w:tcPr>
          <w:p w14:paraId="5D7BDC2C" w14:textId="77777777" w:rsidR="009D3BDC" w:rsidRPr="004D57BE" w:rsidRDefault="009D3BDC" w:rsidP="009D3BDC">
            <w:pPr>
              <w:pStyle w:val="T1TableStyle"/>
              <w:rPr>
                <w:rFonts w:ascii="Verdana" w:eastAsia="Verdana" w:hAnsi="Verdana" w:cs="Verdana"/>
                <w:color w:val="000000"/>
                <w:sz w:val="16"/>
                <w:lang w:val="en-GB"/>
              </w:rPr>
            </w:pPr>
            <w:r w:rsidRPr="004D57BE">
              <w:rPr>
                <w:rFonts w:ascii="Verdana" w:eastAsia="Verdana" w:hAnsi="Verdana" w:cs="Verdana"/>
                <w:color w:val="000000"/>
                <w:sz w:val="16"/>
                <w:lang w:val="en-GB"/>
              </w:rPr>
              <w:t>Agency</w:t>
            </w:r>
          </w:p>
        </w:tc>
        <w:tc>
          <w:tcPr>
            <w:tcW w:w="1482" w:type="dxa"/>
            <w:shd w:val="clear" w:color="auto" w:fill="auto"/>
            <w:tcMar>
              <w:top w:w="20" w:type="dxa"/>
              <w:left w:w="20" w:type="dxa"/>
              <w:bottom w:w="20" w:type="dxa"/>
              <w:right w:w="20" w:type="dxa"/>
            </w:tcMar>
          </w:tcPr>
          <w:p w14:paraId="73BA5E6C" w14:textId="77777777" w:rsidR="009D3BDC" w:rsidRPr="004D57BE" w:rsidRDefault="009D3BDC" w:rsidP="009D3BDC">
            <w:pPr>
              <w:pStyle w:val="T1TableStyle"/>
              <w:jc w:val="right"/>
              <w:rPr>
                <w:rFonts w:ascii="Verdana" w:eastAsia="Verdana" w:hAnsi="Verdana" w:cs="Verdana"/>
                <w:color w:val="000000"/>
                <w:sz w:val="16"/>
                <w:lang w:val="en-GB"/>
              </w:rPr>
            </w:pPr>
            <w:r w:rsidRPr="004D57BE">
              <w:rPr>
                <w:rFonts w:ascii="Verdana" w:eastAsia="Verdana" w:hAnsi="Verdana" w:cs="Verdana"/>
                <w:color w:val="000000"/>
                <w:sz w:val="16"/>
                <w:lang w:val="en-GB"/>
              </w:rPr>
              <w:t>3,</w:t>
            </w:r>
            <w:r w:rsidR="007A3A39" w:rsidRPr="004D57BE">
              <w:rPr>
                <w:rFonts w:ascii="Verdana" w:eastAsia="Verdana" w:hAnsi="Verdana" w:cs="Verdana"/>
                <w:color w:val="000000"/>
                <w:sz w:val="16"/>
                <w:lang w:val="en-GB"/>
              </w:rPr>
              <w:t>414</w:t>
            </w:r>
          </w:p>
          <w:p w14:paraId="4FC5384A" w14:textId="77777777" w:rsidR="009D3BDC" w:rsidRPr="004D57BE" w:rsidRDefault="009D3BDC" w:rsidP="009D3BDC">
            <w:pPr>
              <w:pStyle w:val="T1TableStyle"/>
              <w:jc w:val="right"/>
              <w:rPr>
                <w:rFonts w:ascii="Verdana" w:eastAsia="Verdana" w:hAnsi="Verdana" w:cs="Verdana"/>
                <w:color w:val="000000"/>
                <w:sz w:val="16"/>
                <w:lang w:val="en-GB"/>
              </w:rPr>
            </w:pPr>
          </w:p>
        </w:tc>
        <w:tc>
          <w:tcPr>
            <w:tcW w:w="1482" w:type="dxa"/>
            <w:shd w:val="clear" w:color="auto" w:fill="auto"/>
            <w:tcMar>
              <w:top w:w="20" w:type="dxa"/>
              <w:left w:w="20" w:type="dxa"/>
              <w:bottom w:w="20" w:type="dxa"/>
              <w:right w:w="20" w:type="dxa"/>
            </w:tcMar>
          </w:tcPr>
          <w:p w14:paraId="5C0D4DD1" w14:textId="77777777" w:rsidR="009D3BDC" w:rsidRPr="009D3BDC" w:rsidRDefault="00201546" w:rsidP="009D3BDC">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484" w:type="dxa"/>
            <w:shd w:val="clear" w:color="auto" w:fill="auto"/>
            <w:tcMar>
              <w:top w:w="20" w:type="dxa"/>
              <w:left w:w="20" w:type="dxa"/>
              <w:bottom w:w="20" w:type="dxa"/>
              <w:right w:w="20" w:type="dxa"/>
            </w:tcMar>
          </w:tcPr>
          <w:p w14:paraId="056F2A17" w14:textId="77777777" w:rsidR="009D3BDC" w:rsidRPr="009D3BDC" w:rsidRDefault="009D3BDC" w:rsidP="009D3BDC">
            <w:pPr>
              <w:pStyle w:val="T1TableStyle"/>
              <w:jc w:val="right"/>
              <w:rPr>
                <w:rFonts w:ascii="Verdana" w:eastAsia="Verdana" w:hAnsi="Verdana" w:cs="Verdana"/>
                <w:color w:val="000000"/>
                <w:sz w:val="16"/>
                <w:lang w:val="en-GB"/>
              </w:rPr>
            </w:pPr>
            <w:r w:rsidRPr="009D3BDC">
              <w:rPr>
                <w:rFonts w:ascii="Verdana" w:eastAsia="Verdana" w:hAnsi="Verdana" w:cs="Verdana"/>
                <w:color w:val="000000"/>
                <w:sz w:val="16"/>
                <w:lang w:val="en-GB"/>
              </w:rPr>
              <w:t>3,</w:t>
            </w:r>
            <w:r w:rsidR="007A3A39">
              <w:rPr>
                <w:rFonts w:ascii="Verdana" w:eastAsia="Verdana" w:hAnsi="Verdana" w:cs="Verdana"/>
                <w:color w:val="000000"/>
                <w:sz w:val="16"/>
                <w:lang w:val="en-GB"/>
              </w:rPr>
              <w:t>414</w:t>
            </w:r>
          </w:p>
          <w:p w14:paraId="14AE5BB2" w14:textId="77777777" w:rsidR="009D3BDC" w:rsidRPr="009D3BDC" w:rsidRDefault="009D3BDC" w:rsidP="009D3BDC">
            <w:pPr>
              <w:pStyle w:val="T1TableStyle"/>
              <w:jc w:val="right"/>
              <w:rPr>
                <w:rFonts w:ascii="Verdana" w:eastAsia="Verdana" w:hAnsi="Verdana" w:cs="Verdana"/>
                <w:color w:val="000000"/>
                <w:sz w:val="16"/>
                <w:lang w:val="en-GB"/>
              </w:rPr>
            </w:pPr>
          </w:p>
        </w:tc>
      </w:tr>
      <w:tr w:rsidR="009D3BDC" w:rsidRPr="00DC1077" w14:paraId="76E0E8AF" w14:textId="77777777" w:rsidTr="009D3BDC">
        <w:trPr>
          <w:trHeight w:val="245"/>
          <w:jc w:val="center"/>
        </w:trPr>
        <w:tc>
          <w:tcPr>
            <w:tcW w:w="1482" w:type="dxa"/>
            <w:shd w:val="clear" w:color="auto" w:fill="auto"/>
            <w:tcMar>
              <w:top w:w="20" w:type="dxa"/>
              <w:left w:w="20" w:type="dxa"/>
              <w:bottom w:w="20" w:type="dxa"/>
              <w:right w:w="20" w:type="dxa"/>
            </w:tcMar>
          </w:tcPr>
          <w:p w14:paraId="2DC851D3" w14:textId="77777777" w:rsidR="009D3BDC" w:rsidRPr="004D57BE" w:rsidRDefault="009D3BDC" w:rsidP="009D3BDC">
            <w:pPr>
              <w:pStyle w:val="T1TableStyle"/>
              <w:jc w:val="right"/>
              <w:rPr>
                <w:rFonts w:ascii="Verdana" w:eastAsia="Verdana" w:hAnsi="Verdana" w:cs="Verdana"/>
                <w:color w:val="000000"/>
                <w:sz w:val="16"/>
                <w:lang w:val="en-GB"/>
              </w:rPr>
            </w:pPr>
            <w:r w:rsidRPr="004D57BE">
              <w:rPr>
                <w:rFonts w:ascii="Verdana" w:eastAsia="Verdana" w:hAnsi="Verdana" w:cs="Verdana"/>
                <w:color w:val="000000"/>
                <w:sz w:val="16"/>
                <w:lang w:val="en-GB"/>
              </w:rPr>
              <w:t>1,144</w:t>
            </w:r>
          </w:p>
        </w:tc>
        <w:tc>
          <w:tcPr>
            <w:tcW w:w="1482" w:type="dxa"/>
            <w:shd w:val="clear" w:color="auto" w:fill="auto"/>
            <w:tcMar>
              <w:top w:w="20" w:type="dxa"/>
              <w:left w:w="20" w:type="dxa"/>
              <w:bottom w:w="20" w:type="dxa"/>
              <w:right w:w="20" w:type="dxa"/>
            </w:tcMar>
          </w:tcPr>
          <w:p w14:paraId="78F7E9E9" w14:textId="77777777" w:rsidR="009D3BDC" w:rsidRPr="004D57BE" w:rsidRDefault="009D3BDC" w:rsidP="009D3BDC">
            <w:pPr>
              <w:pStyle w:val="T1TableStyle"/>
              <w:jc w:val="right"/>
              <w:rPr>
                <w:rFonts w:ascii="Verdana" w:eastAsia="Verdana" w:hAnsi="Verdana" w:cs="Verdana"/>
                <w:color w:val="000000"/>
                <w:sz w:val="16"/>
                <w:lang w:val="en-GB"/>
              </w:rPr>
            </w:pPr>
            <w:r w:rsidRPr="004D57BE">
              <w:rPr>
                <w:rFonts w:ascii="Verdana" w:eastAsia="Verdana" w:hAnsi="Verdana" w:cs="Verdana"/>
                <w:color w:val="000000"/>
                <w:sz w:val="16"/>
                <w:lang w:val="en-GB"/>
              </w:rPr>
              <w:t>0</w:t>
            </w:r>
          </w:p>
        </w:tc>
        <w:tc>
          <w:tcPr>
            <w:tcW w:w="1484" w:type="dxa"/>
            <w:shd w:val="clear" w:color="auto" w:fill="auto"/>
            <w:tcMar>
              <w:top w:w="20" w:type="dxa"/>
              <w:left w:w="20" w:type="dxa"/>
              <w:bottom w:w="20" w:type="dxa"/>
              <w:right w:w="20" w:type="dxa"/>
            </w:tcMar>
          </w:tcPr>
          <w:p w14:paraId="59D58A9A" w14:textId="77777777" w:rsidR="009D3BDC" w:rsidRPr="004D57BE" w:rsidRDefault="009D3BDC" w:rsidP="009D3BDC">
            <w:pPr>
              <w:pStyle w:val="T1TableStyle"/>
              <w:jc w:val="right"/>
              <w:rPr>
                <w:rFonts w:ascii="Verdana" w:eastAsia="Verdana" w:hAnsi="Verdana" w:cs="Verdana"/>
                <w:color w:val="000000"/>
                <w:sz w:val="16"/>
                <w:lang w:val="en-GB"/>
              </w:rPr>
            </w:pPr>
            <w:r w:rsidRPr="004D57BE">
              <w:rPr>
                <w:rFonts w:ascii="Verdana" w:eastAsia="Verdana" w:hAnsi="Verdana" w:cs="Verdana"/>
                <w:color w:val="000000"/>
                <w:sz w:val="16"/>
                <w:lang w:val="en-GB"/>
              </w:rPr>
              <w:t>1,144</w:t>
            </w:r>
          </w:p>
        </w:tc>
        <w:tc>
          <w:tcPr>
            <w:tcW w:w="1949" w:type="dxa"/>
            <w:shd w:val="clear" w:color="auto" w:fill="auto"/>
            <w:tcMar>
              <w:top w:w="20" w:type="dxa"/>
              <w:left w:w="20" w:type="dxa"/>
              <w:bottom w:w="20" w:type="dxa"/>
              <w:right w:w="20" w:type="dxa"/>
            </w:tcMar>
          </w:tcPr>
          <w:p w14:paraId="703312A1" w14:textId="77777777" w:rsidR="009D3BDC" w:rsidRPr="004D57BE" w:rsidRDefault="009D3BDC" w:rsidP="009D3BDC">
            <w:pPr>
              <w:pStyle w:val="T1TableStyle"/>
              <w:rPr>
                <w:rFonts w:ascii="Verdana" w:eastAsia="Verdana" w:hAnsi="Verdana" w:cs="Verdana"/>
                <w:color w:val="000000"/>
                <w:sz w:val="16"/>
                <w:lang w:val="en-GB"/>
              </w:rPr>
            </w:pPr>
            <w:r w:rsidRPr="004D57BE">
              <w:rPr>
                <w:rFonts w:ascii="Verdana" w:eastAsia="Verdana" w:hAnsi="Verdana" w:cs="Verdana"/>
                <w:color w:val="000000"/>
                <w:sz w:val="16"/>
                <w:lang w:val="en-GB"/>
              </w:rPr>
              <w:t>Training</w:t>
            </w:r>
          </w:p>
        </w:tc>
        <w:tc>
          <w:tcPr>
            <w:tcW w:w="1482" w:type="dxa"/>
            <w:shd w:val="clear" w:color="auto" w:fill="auto"/>
            <w:tcMar>
              <w:top w:w="20" w:type="dxa"/>
              <w:left w:w="20" w:type="dxa"/>
              <w:bottom w:w="20" w:type="dxa"/>
              <w:right w:w="20" w:type="dxa"/>
            </w:tcMar>
          </w:tcPr>
          <w:p w14:paraId="725E9EC6" w14:textId="77777777" w:rsidR="009D3BDC" w:rsidRPr="004D57BE" w:rsidRDefault="009D3BDC" w:rsidP="0033722E">
            <w:pPr>
              <w:pStyle w:val="T1TableStyle"/>
              <w:jc w:val="right"/>
              <w:rPr>
                <w:rFonts w:ascii="Verdana" w:eastAsia="Verdana" w:hAnsi="Verdana" w:cs="Verdana"/>
                <w:color w:val="000000"/>
                <w:sz w:val="16"/>
                <w:lang w:val="en-GB"/>
              </w:rPr>
            </w:pPr>
            <w:r w:rsidRPr="004D57BE">
              <w:rPr>
                <w:rFonts w:ascii="Verdana" w:eastAsia="Verdana" w:hAnsi="Verdana" w:cs="Verdana"/>
                <w:color w:val="000000"/>
                <w:sz w:val="16"/>
                <w:lang w:val="en-GB"/>
              </w:rPr>
              <w:t>2,366</w:t>
            </w:r>
          </w:p>
        </w:tc>
        <w:tc>
          <w:tcPr>
            <w:tcW w:w="1482" w:type="dxa"/>
            <w:shd w:val="clear" w:color="auto" w:fill="auto"/>
            <w:tcMar>
              <w:top w:w="20" w:type="dxa"/>
              <w:left w:w="20" w:type="dxa"/>
              <w:bottom w:w="20" w:type="dxa"/>
              <w:right w:w="20" w:type="dxa"/>
            </w:tcMar>
          </w:tcPr>
          <w:p w14:paraId="32FE0E89" w14:textId="77777777" w:rsidR="009D3BDC" w:rsidRPr="009D3BDC" w:rsidRDefault="00201546" w:rsidP="009D3BDC">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484" w:type="dxa"/>
            <w:shd w:val="clear" w:color="auto" w:fill="auto"/>
            <w:tcMar>
              <w:top w:w="20" w:type="dxa"/>
              <w:left w:w="20" w:type="dxa"/>
              <w:bottom w:w="20" w:type="dxa"/>
              <w:right w:w="20" w:type="dxa"/>
            </w:tcMar>
          </w:tcPr>
          <w:p w14:paraId="57807A4E" w14:textId="77777777" w:rsidR="009D3BDC" w:rsidRPr="009D3BDC" w:rsidRDefault="009D3BDC" w:rsidP="0033722E">
            <w:pPr>
              <w:pStyle w:val="T1TableStyle"/>
              <w:jc w:val="right"/>
              <w:rPr>
                <w:rFonts w:ascii="Verdana" w:eastAsia="Verdana" w:hAnsi="Verdana" w:cs="Verdana"/>
                <w:color w:val="000000"/>
                <w:sz w:val="16"/>
                <w:lang w:val="en-GB"/>
              </w:rPr>
            </w:pPr>
            <w:r w:rsidRPr="009D3BDC">
              <w:rPr>
                <w:rFonts w:ascii="Verdana" w:eastAsia="Verdana" w:hAnsi="Verdana" w:cs="Verdana"/>
                <w:color w:val="000000"/>
                <w:sz w:val="16"/>
                <w:lang w:val="en-GB"/>
              </w:rPr>
              <w:t>2,366</w:t>
            </w:r>
          </w:p>
        </w:tc>
      </w:tr>
      <w:tr w:rsidR="009D3BDC" w:rsidRPr="00DC1077" w14:paraId="498EDD1E" w14:textId="77777777" w:rsidTr="009D3BDC">
        <w:trPr>
          <w:trHeight w:val="245"/>
          <w:jc w:val="center"/>
        </w:trPr>
        <w:tc>
          <w:tcPr>
            <w:tcW w:w="1482" w:type="dxa"/>
            <w:shd w:val="clear" w:color="auto" w:fill="auto"/>
            <w:tcMar>
              <w:top w:w="20" w:type="dxa"/>
              <w:left w:w="20" w:type="dxa"/>
              <w:bottom w:w="20" w:type="dxa"/>
              <w:right w:w="20" w:type="dxa"/>
            </w:tcMar>
          </w:tcPr>
          <w:p w14:paraId="2D4B866C" w14:textId="77777777" w:rsidR="009D3BDC" w:rsidRPr="004D57BE" w:rsidRDefault="009D3BDC" w:rsidP="009D3BDC">
            <w:pPr>
              <w:pStyle w:val="T1TableStyle"/>
              <w:jc w:val="right"/>
              <w:rPr>
                <w:rFonts w:ascii="Verdana" w:eastAsia="Verdana" w:hAnsi="Verdana" w:cs="Verdana"/>
                <w:color w:val="000000"/>
                <w:sz w:val="16"/>
                <w:lang w:val="en-GB"/>
              </w:rPr>
            </w:pPr>
            <w:r w:rsidRPr="004D57BE">
              <w:rPr>
                <w:rFonts w:ascii="Verdana" w:eastAsia="Verdana" w:hAnsi="Verdana" w:cs="Verdana"/>
                <w:color w:val="000000"/>
                <w:sz w:val="16"/>
                <w:lang w:val="en-GB"/>
              </w:rPr>
              <w:t>1,736</w:t>
            </w:r>
          </w:p>
        </w:tc>
        <w:tc>
          <w:tcPr>
            <w:tcW w:w="1482" w:type="dxa"/>
            <w:shd w:val="clear" w:color="auto" w:fill="auto"/>
            <w:tcMar>
              <w:top w:w="20" w:type="dxa"/>
              <w:left w:w="20" w:type="dxa"/>
              <w:bottom w:w="20" w:type="dxa"/>
              <w:right w:w="20" w:type="dxa"/>
            </w:tcMar>
          </w:tcPr>
          <w:p w14:paraId="4570B906" w14:textId="77777777" w:rsidR="009D3BDC" w:rsidRPr="004D57BE" w:rsidRDefault="009D3BDC" w:rsidP="009D3BDC">
            <w:pPr>
              <w:pStyle w:val="T1TableStyle"/>
              <w:jc w:val="right"/>
              <w:rPr>
                <w:rFonts w:ascii="Verdana" w:eastAsia="Verdana" w:hAnsi="Verdana" w:cs="Verdana"/>
                <w:color w:val="000000"/>
                <w:sz w:val="16"/>
                <w:lang w:val="en-GB"/>
              </w:rPr>
            </w:pPr>
            <w:r w:rsidRPr="004D57BE">
              <w:rPr>
                <w:rFonts w:ascii="Verdana" w:eastAsia="Verdana" w:hAnsi="Verdana" w:cs="Verdana"/>
                <w:color w:val="000000"/>
                <w:sz w:val="16"/>
                <w:lang w:val="en-GB"/>
              </w:rPr>
              <w:t>0</w:t>
            </w:r>
          </w:p>
        </w:tc>
        <w:tc>
          <w:tcPr>
            <w:tcW w:w="1484" w:type="dxa"/>
            <w:shd w:val="clear" w:color="auto" w:fill="auto"/>
            <w:tcMar>
              <w:top w:w="20" w:type="dxa"/>
              <w:left w:w="20" w:type="dxa"/>
              <w:bottom w:w="20" w:type="dxa"/>
              <w:right w:w="20" w:type="dxa"/>
            </w:tcMar>
          </w:tcPr>
          <w:p w14:paraId="1076E237" w14:textId="77777777" w:rsidR="009D3BDC" w:rsidRPr="004D57BE" w:rsidRDefault="009D3BDC" w:rsidP="009D3BDC">
            <w:pPr>
              <w:pStyle w:val="T1TableStyle"/>
              <w:jc w:val="right"/>
              <w:rPr>
                <w:rFonts w:ascii="Verdana" w:eastAsia="Verdana" w:hAnsi="Verdana" w:cs="Verdana"/>
                <w:color w:val="000000"/>
                <w:sz w:val="16"/>
                <w:lang w:val="en-GB"/>
              </w:rPr>
            </w:pPr>
            <w:r w:rsidRPr="004D57BE">
              <w:rPr>
                <w:rFonts w:ascii="Verdana" w:eastAsia="Verdana" w:hAnsi="Verdana" w:cs="Verdana"/>
                <w:color w:val="000000"/>
                <w:sz w:val="16"/>
                <w:lang w:val="en-GB"/>
              </w:rPr>
              <w:t>1,736</w:t>
            </w:r>
          </w:p>
        </w:tc>
        <w:tc>
          <w:tcPr>
            <w:tcW w:w="1949" w:type="dxa"/>
            <w:shd w:val="clear" w:color="auto" w:fill="auto"/>
            <w:tcMar>
              <w:top w:w="20" w:type="dxa"/>
              <w:left w:w="20" w:type="dxa"/>
              <w:bottom w:w="20" w:type="dxa"/>
              <w:right w:w="20" w:type="dxa"/>
            </w:tcMar>
          </w:tcPr>
          <w:p w14:paraId="3BD112F3" w14:textId="77777777" w:rsidR="009D3BDC" w:rsidRPr="004D57BE" w:rsidRDefault="009D3BDC" w:rsidP="009D3BDC">
            <w:pPr>
              <w:pStyle w:val="T1TableStyle"/>
              <w:rPr>
                <w:rFonts w:ascii="Verdana" w:eastAsia="Verdana" w:hAnsi="Verdana" w:cs="Verdana"/>
                <w:color w:val="000000"/>
                <w:sz w:val="16"/>
                <w:lang w:val="en-GB"/>
              </w:rPr>
            </w:pPr>
            <w:r w:rsidRPr="004D57BE">
              <w:rPr>
                <w:rFonts w:ascii="Verdana" w:eastAsia="Verdana" w:hAnsi="Verdana" w:cs="Verdana"/>
                <w:color w:val="000000"/>
                <w:sz w:val="16"/>
                <w:lang w:val="en-GB"/>
              </w:rPr>
              <w:t>Other Payroll Costs</w:t>
            </w:r>
          </w:p>
        </w:tc>
        <w:tc>
          <w:tcPr>
            <w:tcW w:w="1482" w:type="dxa"/>
            <w:shd w:val="clear" w:color="auto" w:fill="auto"/>
            <w:tcMar>
              <w:top w:w="20" w:type="dxa"/>
              <w:left w:w="20" w:type="dxa"/>
              <w:bottom w:w="20" w:type="dxa"/>
              <w:right w:w="20" w:type="dxa"/>
            </w:tcMar>
          </w:tcPr>
          <w:p w14:paraId="5ED0CC3E" w14:textId="77777777" w:rsidR="009D3BDC" w:rsidRPr="004D57BE" w:rsidRDefault="009D3BDC" w:rsidP="0033722E">
            <w:pPr>
              <w:pStyle w:val="T1TableStyle"/>
              <w:jc w:val="right"/>
              <w:rPr>
                <w:rFonts w:ascii="Verdana" w:eastAsia="Verdana" w:hAnsi="Verdana" w:cs="Verdana"/>
                <w:color w:val="000000"/>
                <w:sz w:val="16"/>
                <w:lang w:val="en-GB"/>
              </w:rPr>
            </w:pPr>
            <w:r w:rsidRPr="004D57BE">
              <w:rPr>
                <w:rFonts w:ascii="Verdana" w:eastAsia="Verdana" w:hAnsi="Verdana" w:cs="Verdana"/>
                <w:color w:val="000000"/>
                <w:sz w:val="16"/>
                <w:lang w:val="en-GB"/>
              </w:rPr>
              <w:t>2,29</w:t>
            </w:r>
            <w:r w:rsidR="0033722E" w:rsidRPr="004D57BE">
              <w:rPr>
                <w:rFonts w:ascii="Verdana" w:eastAsia="Verdana" w:hAnsi="Verdana" w:cs="Verdana"/>
                <w:color w:val="000000"/>
                <w:sz w:val="16"/>
                <w:lang w:val="en-GB"/>
              </w:rPr>
              <w:t>8</w:t>
            </w:r>
          </w:p>
        </w:tc>
        <w:tc>
          <w:tcPr>
            <w:tcW w:w="1482" w:type="dxa"/>
            <w:shd w:val="clear" w:color="auto" w:fill="auto"/>
            <w:tcMar>
              <w:top w:w="20" w:type="dxa"/>
              <w:left w:w="20" w:type="dxa"/>
              <w:bottom w:w="20" w:type="dxa"/>
              <w:right w:w="20" w:type="dxa"/>
            </w:tcMar>
          </w:tcPr>
          <w:p w14:paraId="0B3849CF" w14:textId="77777777" w:rsidR="009D3BDC" w:rsidRPr="009D3BDC" w:rsidRDefault="00201546" w:rsidP="009D3BDC">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484" w:type="dxa"/>
            <w:shd w:val="clear" w:color="auto" w:fill="auto"/>
            <w:tcMar>
              <w:top w:w="20" w:type="dxa"/>
              <w:left w:w="20" w:type="dxa"/>
              <w:bottom w:w="20" w:type="dxa"/>
              <w:right w:w="20" w:type="dxa"/>
            </w:tcMar>
          </w:tcPr>
          <w:p w14:paraId="0974312A" w14:textId="77777777" w:rsidR="009D3BDC" w:rsidRPr="009D3BDC" w:rsidRDefault="009D3BDC" w:rsidP="0033722E">
            <w:pPr>
              <w:pStyle w:val="T1TableStyle"/>
              <w:jc w:val="right"/>
              <w:rPr>
                <w:rFonts w:ascii="Verdana" w:eastAsia="Verdana" w:hAnsi="Verdana" w:cs="Verdana"/>
                <w:color w:val="000000"/>
                <w:sz w:val="16"/>
                <w:lang w:val="en-GB"/>
              </w:rPr>
            </w:pPr>
            <w:r w:rsidRPr="009D3BDC">
              <w:rPr>
                <w:rFonts w:ascii="Verdana" w:eastAsia="Verdana" w:hAnsi="Verdana" w:cs="Verdana"/>
                <w:color w:val="000000"/>
                <w:sz w:val="16"/>
                <w:lang w:val="en-GB"/>
              </w:rPr>
              <w:t>2,29</w:t>
            </w:r>
            <w:r w:rsidR="0033722E">
              <w:rPr>
                <w:rFonts w:ascii="Verdana" w:eastAsia="Verdana" w:hAnsi="Verdana" w:cs="Verdana"/>
                <w:color w:val="000000"/>
                <w:sz w:val="16"/>
                <w:lang w:val="en-GB"/>
              </w:rPr>
              <w:t>8</w:t>
            </w:r>
          </w:p>
        </w:tc>
      </w:tr>
      <w:tr w:rsidR="009D3BDC" w:rsidRPr="00DC1077" w14:paraId="594BC6C1" w14:textId="77777777" w:rsidTr="009D3BDC">
        <w:trPr>
          <w:trHeight w:val="245"/>
          <w:jc w:val="center"/>
        </w:trPr>
        <w:tc>
          <w:tcPr>
            <w:tcW w:w="1482" w:type="dxa"/>
            <w:shd w:val="clear" w:color="auto" w:fill="auto"/>
            <w:tcMar>
              <w:top w:w="20" w:type="dxa"/>
              <w:left w:w="20" w:type="dxa"/>
              <w:bottom w:w="20" w:type="dxa"/>
              <w:right w:w="20" w:type="dxa"/>
            </w:tcMar>
          </w:tcPr>
          <w:p w14:paraId="08C59EF8" w14:textId="77777777" w:rsidR="009D3BDC" w:rsidRPr="004D57BE" w:rsidRDefault="009D3BDC" w:rsidP="009D3BDC">
            <w:pPr>
              <w:pStyle w:val="T1TableStyle"/>
              <w:jc w:val="right"/>
              <w:rPr>
                <w:rFonts w:ascii="Verdana" w:eastAsia="Verdana" w:hAnsi="Verdana" w:cs="Verdana"/>
                <w:color w:val="000000"/>
                <w:sz w:val="16"/>
                <w:lang w:val="en-GB"/>
              </w:rPr>
            </w:pPr>
            <w:r w:rsidRPr="004D57BE">
              <w:rPr>
                <w:rFonts w:ascii="Verdana" w:eastAsia="Verdana" w:hAnsi="Verdana" w:cs="Verdana"/>
                <w:color w:val="000000"/>
                <w:sz w:val="16"/>
                <w:lang w:val="en-GB"/>
              </w:rPr>
              <w:t>12,643</w:t>
            </w:r>
          </w:p>
        </w:tc>
        <w:tc>
          <w:tcPr>
            <w:tcW w:w="1482" w:type="dxa"/>
            <w:shd w:val="clear" w:color="auto" w:fill="auto"/>
            <w:tcMar>
              <w:top w:w="20" w:type="dxa"/>
              <w:left w:w="20" w:type="dxa"/>
              <w:bottom w:w="20" w:type="dxa"/>
              <w:right w:w="20" w:type="dxa"/>
            </w:tcMar>
          </w:tcPr>
          <w:p w14:paraId="2070461F" w14:textId="77777777" w:rsidR="009D3BDC" w:rsidRPr="004D57BE" w:rsidRDefault="009D3BDC" w:rsidP="009D3BDC">
            <w:pPr>
              <w:pStyle w:val="T1TableStyle"/>
              <w:jc w:val="right"/>
              <w:rPr>
                <w:rFonts w:ascii="Verdana" w:eastAsia="Verdana" w:hAnsi="Verdana" w:cs="Verdana"/>
                <w:color w:val="000000"/>
                <w:sz w:val="16"/>
                <w:lang w:val="en-GB"/>
              </w:rPr>
            </w:pPr>
            <w:r w:rsidRPr="004D57BE">
              <w:rPr>
                <w:rFonts w:ascii="Verdana" w:eastAsia="Verdana" w:hAnsi="Verdana" w:cs="Verdana"/>
                <w:color w:val="000000"/>
                <w:sz w:val="16"/>
                <w:lang w:val="en-GB"/>
              </w:rPr>
              <w:t>0</w:t>
            </w:r>
          </w:p>
        </w:tc>
        <w:tc>
          <w:tcPr>
            <w:tcW w:w="1484" w:type="dxa"/>
            <w:shd w:val="clear" w:color="auto" w:fill="auto"/>
            <w:tcMar>
              <w:top w:w="20" w:type="dxa"/>
              <w:left w:w="20" w:type="dxa"/>
              <w:bottom w:w="20" w:type="dxa"/>
              <w:right w:w="20" w:type="dxa"/>
            </w:tcMar>
          </w:tcPr>
          <w:p w14:paraId="0E3EC551" w14:textId="77777777" w:rsidR="009D3BDC" w:rsidRPr="004D57BE" w:rsidRDefault="009D3BDC" w:rsidP="009D3BDC">
            <w:pPr>
              <w:pStyle w:val="T1TableStyle"/>
              <w:jc w:val="right"/>
              <w:rPr>
                <w:rFonts w:ascii="Verdana" w:eastAsia="Verdana" w:hAnsi="Verdana" w:cs="Verdana"/>
                <w:color w:val="000000"/>
                <w:sz w:val="16"/>
                <w:lang w:val="en-GB"/>
              </w:rPr>
            </w:pPr>
            <w:r w:rsidRPr="004D57BE">
              <w:rPr>
                <w:rFonts w:ascii="Verdana" w:eastAsia="Verdana" w:hAnsi="Verdana" w:cs="Verdana"/>
                <w:color w:val="000000"/>
                <w:sz w:val="16"/>
                <w:lang w:val="en-GB"/>
              </w:rPr>
              <w:t>12,643</w:t>
            </w:r>
          </w:p>
        </w:tc>
        <w:tc>
          <w:tcPr>
            <w:tcW w:w="1949" w:type="dxa"/>
            <w:shd w:val="clear" w:color="auto" w:fill="auto"/>
            <w:tcMar>
              <w:top w:w="20" w:type="dxa"/>
              <w:left w:w="20" w:type="dxa"/>
              <w:bottom w:w="20" w:type="dxa"/>
              <w:right w:w="20" w:type="dxa"/>
            </w:tcMar>
          </w:tcPr>
          <w:p w14:paraId="192474CB" w14:textId="77777777" w:rsidR="009D3BDC" w:rsidRPr="004D57BE" w:rsidRDefault="009D3BDC" w:rsidP="009D3BDC">
            <w:pPr>
              <w:pStyle w:val="T1TableStyle"/>
              <w:rPr>
                <w:rFonts w:ascii="Verdana" w:eastAsia="Verdana" w:hAnsi="Verdana" w:cs="Verdana"/>
                <w:color w:val="000000"/>
                <w:sz w:val="16"/>
                <w:lang w:val="en-GB"/>
              </w:rPr>
            </w:pPr>
            <w:r w:rsidRPr="004D57BE">
              <w:rPr>
                <w:rFonts w:ascii="Verdana" w:eastAsia="Verdana" w:hAnsi="Verdana" w:cs="Verdana"/>
                <w:color w:val="000000"/>
                <w:sz w:val="16"/>
                <w:lang w:val="en-GB"/>
              </w:rPr>
              <w:t>Premises</w:t>
            </w:r>
          </w:p>
        </w:tc>
        <w:tc>
          <w:tcPr>
            <w:tcW w:w="1482" w:type="dxa"/>
            <w:shd w:val="clear" w:color="auto" w:fill="auto"/>
            <w:tcMar>
              <w:top w:w="20" w:type="dxa"/>
              <w:left w:w="20" w:type="dxa"/>
              <w:bottom w:w="20" w:type="dxa"/>
              <w:right w:w="20" w:type="dxa"/>
            </w:tcMar>
          </w:tcPr>
          <w:p w14:paraId="26A14459" w14:textId="77777777" w:rsidR="009D3BDC" w:rsidRPr="004D57BE" w:rsidRDefault="009D3BDC" w:rsidP="0033722E">
            <w:pPr>
              <w:pStyle w:val="T1TableStyle"/>
              <w:jc w:val="right"/>
              <w:rPr>
                <w:rFonts w:ascii="Verdana" w:eastAsia="Verdana" w:hAnsi="Verdana" w:cs="Verdana"/>
                <w:color w:val="000000"/>
                <w:sz w:val="16"/>
                <w:lang w:val="en-GB"/>
              </w:rPr>
            </w:pPr>
            <w:r w:rsidRPr="004D57BE">
              <w:rPr>
                <w:rFonts w:ascii="Verdana" w:eastAsia="Verdana" w:hAnsi="Verdana" w:cs="Verdana"/>
                <w:color w:val="000000"/>
                <w:sz w:val="16"/>
                <w:lang w:val="en-GB"/>
              </w:rPr>
              <w:t>9,435</w:t>
            </w:r>
          </w:p>
        </w:tc>
        <w:tc>
          <w:tcPr>
            <w:tcW w:w="1482" w:type="dxa"/>
            <w:shd w:val="clear" w:color="auto" w:fill="auto"/>
            <w:tcMar>
              <w:top w:w="20" w:type="dxa"/>
              <w:left w:w="20" w:type="dxa"/>
              <w:bottom w:w="20" w:type="dxa"/>
              <w:right w:w="20" w:type="dxa"/>
            </w:tcMar>
          </w:tcPr>
          <w:p w14:paraId="13C7D171" w14:textId="77777777" w:rsidR="009D3BDC" w:rsidRPr="009D3BDC" w:rsidRDefault="00201546" w:rsidP="009D3BDC">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484" w:type="dxa"/>
            <w:shd w:val="clear" w:color="auto" w:fill="auto"/>
            <w:tcMar>
              <w:top w:w="20" w:type="dxa"/>
              <w:left w:w="20" w:type="dxa"/>
              <w:bottom w:w="20" w:type="dxa"/>
              <w:right w:w="20" w:type="dxa"/>
            </w:tcMar>
          </w:tcPr>
          <w:p w14:paraId="73BA9DFC" w14:textId="77777777" w:rsidR="009D3BDC" w:rsidRPr="009D3BDC" w:rsidRDefault="009D3BDC" w:rsidP="0033722E">
            <w:pPr>
              <w:pStyle w:val="T1TableStyle"/>
              <w:jc w:val="right"/>
              <w:rPr>
                <w:rFonts w:ascii="Verdana" w:eastAsia="Verdana" w:hAnsi="Verdana" w:cs="Verdana"/>
                <w:color w:val="000000"/>
                <w:sz w:val="16"/>
                <w:lang w:val="en-GB"/>
              </w:rPr>
            </w:pPr>
            <w:r w:rsidRPr="009D3BDC">
              <w:rPr>
                <w:rFonts w:ascii="Verdana" w:eastAsia="Verdana" w:hAnsi="Verdana" w:cs="Verdana"/>
                <w:color w:val="000000"/>
                <w:sz w:val="16"/>
                <w:lang w:val="en-GB"/>
              </w:rPr>
              <w:t>9,435</w:t>
            </w:r>
          </w:p>
        </w:tc>
      </w:tr>
      <w:tr w:rsidR="009D3BDC" w:rsidRPr="00DC1077" w14:paraId="2073F7BC" w14:textId="77777777" w:rsidTr="009D3BDC">
        <w:trPr>
          <w:trHeight w:val="245"/>
          <w:jc w:val="center"/>
        </w:trPr>
        <w:tc>
          <w:tcPr>
            <w:tcW w:w="1482" w:type="dxa"/>
            <w:shd w:val="clear" w:color="auto" w:fill="auto"/>
            <w:tcMar>
              <w:top w:w="20" w:type="dxa"/>
              <w:left w:w="20" w:type="dxa"/>
              <w:bottom w:w="20" w:type="dxa"/>
              <w:right w:w="20" w:type="dxa"/>
            </w:tcMar>
          </w:tcPr>
          <w:p w14:paraId="4B14BDD8" w14:textId="77777777" w:rsidR="009D3BDC" w:rsidRPr="004D57BE" w:rsidRDefault="009D3BDC" w:rsidP="009D3BDC">
            <w:pPr>
              <w:pStyle w:val="T1TableStyle"/>
              <w:jc w:val="right"/>
              <w:rPr>
                <w:rFonts w:ascii="Verdana" w:eastAsia="Verdana" w:hAnsi="Verdana" w:cs="Verdana"/>
                <w:color w:val="000000"/>
                <w:sz w:val="16"/>
                <w:lang w:val="en-GB"/>
              </w:rPr>
            </w:pPr>
            <w:r w:rsidRPr="004D57BE">
              <w:rPr>
                <w:rFonts w:ascii="Verdana" w:eastAsia="Verdana" w:hAnsi="Verdana" w:cs="Verdana"/>
                <w:color w:val="000000"/>
                <w:sz w:val="16"/>
                <w:lang w:val="en-GB"/>
              </w:rPr>
              <w:t>26,876</w:t>
            </w:r>
          </w:p>
        </w:tc>
        <w:tc>
          <w:tcPr>
            <w:tcW w:w="1482" w:type="dxa"/>
            <w:shd w:val="clear" w:color="auto" w:fill="auto"/>
            <w:tcMar>
              <w:top w:w="20" w:type="dxa"/>
              <w:left w:w="20" w:type="dxa"/>
              <w:bottom w:w="20" w:type="dxa"/>
              <w:right w:w="20" w:type="dxa"/>
            </w:tcMar>
          </w:tcPr>
          <w:p w14:paraId="75C3D83D" w14:textId="77777777" w:rsidR="009D3BDC" w:rsidRPr="004D57BE" w:rsidRDefault="009D3BDC" w:rsidP="009D3BDC">
            <w:pPr>
              <w:pStyle w:val="T1TableStyle"/>
              <w:jc w:val="right"/>
              <w:rPr>
                <w:rFonts w:ascii="Verdana" w:eastAsia="Verdana" w:hAnsi="Verdana" w:cs="Verdana"/>
                <w:color w:val="000000"/>
                <w:sz w:val="16"/>
                <w:lang w:val="en-GB"/>
              </w:rPr>
            </w:pPr>
            <w:r w:rsidRPr="004D57BE">
              <w:rPr>
                <w:rFonts w:ascii="Verdana" w:eastAsia="Verdana" w:hAnsi="Verdana" w:cs="Verdana"/>
                <w:color w:val="000000"/>
                <w:sz w:val="16"/>
                <w:lang w:val="en-GB"/>
              </w:rPr>
              <w:t>0</w:t>
            </w:r>
          </w:p>
        </w:tc>
        <w:tc>
          <w:tcPr>
            <w:tcW w:w="1484" w:type="dxa"/>
            <w:shd w:val="clear" w:color="auto" w:fill="auto"/>
            <w:tcMar>
              <w:top w:w="20" w:type="dxa"/>
              <w:left w:w="20" w:type="dxa"/>
              <w:bottom w:w="20" w:type="dxa"/>
              <w:right w:w="20" w:type="dxa"/>
            </w:tcMar>
          </w:tcPr>
          <w:p w14:paraId="754B9504" w14:textId="77777777" w:rsidR="009D3BDC" w:rsidRPr="004D57BE" w:rsidRDefault="009D3BDC" w:rsidP="009D3BDC">
            <w:pPr>
              <w:pStyle w:val="T1TableStyle"/>
              <w:jc w:val="right"/>
              <w:rPr>
                <w:rFonts w:ascii="Verdana" w:eastAsia="Verdana" w:hAnsi="Verdana" w:cs="Verdana"/>
                <w:color w:val="000000"/>
                <w:sz w:val="16"/>
                <w:lang w:val="en-GB"/>
              </w:rPr>
            </w:pPr>
            <w:r w:rsidRPr="004D57BE">
              <w:rPr>
                <w:rFonts w:ascii="Verdana" w:eastAsia="Verdana" w:hAnsi="Verdana" w:cs="Verdana"/>
                <w:color w:val="000000"/>
                <w:sz w:val="16"/>
                <w:lang w:val="en-GB"/>
              </w:rPr>
              <w:t>26,876</w:t>
            </w:r>
          </w:p>
        </w:tc>
        <w:tc>
          <w:tcPr>
            <w:tcW w:w="1949" w:type="dxa"/>
            <w:shd w:val="clear" w:color="auto" w:fill="auto"/>
            <w:tcMar>
              <w:top w:w="20" w:type="dxa"/>
              <w:left w:w="20" w:type="dxa"/>
              <w:bottom w:w="20" w:type="dxa"/>
              <w:right w:w="20" w:type="dxa"/>
            </w:tcMar>
          </w:tcPr>
          <w:p w14:paraId="6FA0BA34" w14:textId="77777777" w:rsidR="009D3BDC" w:rsidRPr="004D57BE" w:rsidRDefault="009D3BDC" w:rsidP="009D3BDC">
            <w:pPr>
              <w:pStyle w:val="T1TableStyle"/>
              <w:rPr>
                <w:rFonts w:ascii="Verdana" w:eastAsia="Verdana" w:hAnsi="Verdana" w:cs="Verdana"/>
                <w:color w:val="000000"/>
                <w:sz w:val="16"/>
                <w:lang w:val="en-GB"/>
              </w:rPr>
            </w:pPr>
            <w:r w:rsidRPr="004D57BE">
              <w:rPr>
                <w:rFonts w:ascii="Verdana" w:eastAsia="Verdana" w:hAnsi="Verdana" w:cs="Verdana"/>
                <w:color w:val="000000"/>
                <w:sz w:val="16"/>
                <w:lang w:val="en-GB"/>
              </w:rPr>
              <w:t>Supplies and Services</w:t>
            </w:r>
          </w:p>
        </w:tc>
        <w:tc>
          <w:tcPr>
            <w:tcW w:w="1482" w:type="dxa"/>
            <w:shd w:val="clear" w:color="auto" w:fill="auto"/>
            <w:tcMar>
              <w:top w:w="20" w:type="dxa"/>
              <w:left w:w="20" w:type="dxa"/>
              <w:bottom w:w="20" w:type="dxa"/>
              <w:right w:w="20" w:type="dxa"/>
            </w:tcMar>
          </w:tcPr>
          <w:p w14:paraId="0414518F" w14:textId="28031C12" w:rsidR="009D3BDC" w:rsidRPr="004D57BE" w:rsidRDefault="00DB179E" w:rsidP="0033722E">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29,579</w:t>
            </w:r>
          </w:p>
        </w:tc>
        <w:tc>
          <w:tcPr>
            <w:tcW w:w="1482" w:type="dxa"/>
            <w:shd w:val="clear" w:color="auto" w:fill="auto"/>
            <w:tcMar>
              <w:top w:w="20" w:type="dxa"/>
              <w:left w:w="20" w:type="dxa"/>
              <w:bottom w:w="20" w:type="dxa"/>
              <w:right w:w="20" w:type="dxa"/>
            </w:tcMar>
          </w:tcPr>
          <w:p w14:paraId="1A898762" w14:textId="77777777" w:rsidR="009D3BDC" w:rsidRPr="009D3BDC" w:rsidRDefault="00201546" w:rsidP="009D3BDC">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484" w:type="dxa"/>
            <w:shd w:val="clear" w:color="auto" w:fill="auto"/>
            <w:tcMar>
              <w:top w:w="20" w:type="dxa"/>
              <w:left w:w="20" w:type="dxa"/>
              <w:bottom w:w="20" w:type="dxa"/>
              <w:right w:w="20" w:type="dxa"/>
            </w:tcMar>
          </w:tcPr>
          <w:p w14:paraId="291B896E" w14:textId="1A5895FD" w:rsidR="009D3BDC" w:rsidRPr="009D3BDC" w:rsidRDefault="00DB179E" w:rsidP="0033722E">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29,579</w:t>
            </w:r>
          </w:p>
        </w:tc>
      </w:tr>
      <w:tr w:rsidR="009D3BDC" w:rsidRPr="00DC1077" w14:paraId="681D7DF7" w14:textId="77777777" w:rsidTr="009D3BDC">
        <w:trPr>
          <w:trHeight w:val="245"/>
          <w:jc w:val="center"/>
        </w:trPr>
        <w:tc>
          <w:tcPr>
            <w:tcW w:w="1482" w:type="dxa"/>
            <w:shd w:val="clear" w:color="auto" w:fill="auto"/>
            <w:tcMar>
              <w:top w:w="20" w:type="dxa"/>
              <w:left w:w="20" w:type="dxa"/>
              <w:bottom w:w="20" w:type="dxa"/>
              <w:right w:w="20" w:type="dxa"/>
            </w:tcMar>
          </w:tcPr>
          <w:p w14:paraId="1BF3B8AC" w14:textId="77777777" w:rsidR="009D3BDC" w:rsidRPr="004D57BE" w:rsidRDefault="009D3BDC" w:rsidP="009D3BDC">
            <w:pPr>
              <w:pStyle w:val="T1TableStyle"/>
              <w:jc w:val="right"/>
              <w:rPr>
                <w:rFonts w:ascii="Verdana" w:eastAsia="Verdana" w:hAnsi="Verdana" w:cs="Verdana"/>
                <w:color w:val="000000"/>
                <w:sz w:val="16"/>
                <w:lang w:val="en-GB"/>
              </w:rPr>
            </w:pPr>
            <w:r w:rsidRPr="004D57BE">
              <w:rPr>
                <w:rFonts w:ascii="Verdana" w:eastAsia="Verdana" w:hAnsi="Verdana" w:cs="Verdana"/>
                <w:color w:val="000000"/>
                <w:sz w:val="16"/>
                <w:lang w:val="en-GB"/>
              </w:rPr>
              <w:t>5,273</w:t>
            </w:r>
          </w:p>
        </w:tc>
        <w:tc>
          <w:tcPr>
            <w:tcW w:w="1482" w:type="dxa"/>
            <w:shd w:val="clear" w:color="auto" w:fill="auto"/>
            <w:tcMar>
              <w:top w:w="20" w:type="dxa"/>
              <w:left w:w="20" w:type="dxa"/>
              <w:bottom w:w="20" w:type="dxa"/>
              <w:right w:w="20" w:type="dxa"/>
            </w:tcMar>
          </w:tcPr>
          <w:p w14:paraId="70005BFF" w14:textId="77777777" w:rsidR="009D3BDC" w:rsidRPr="004D57BE" w:rsidRDefault="009D3BDC" w:rsidP="009D3BDC">
            <w:pPr>
              <w:pStyle w:val="T1TableStyle"/>
              <w:jc w:val="right"/>
              <w:rPr>
                <w:rFonts w:ascii="Verdana" w:eastAsia="Verdana" w:hAnsi="Verdana" w:cs="Verdana"/>
                <w:color w:val="000000"/>
                <w:sz w:val="16"/>
                <w:lang w:val="en-GB"/>
              </w:rPr>
            </w:pPr>
            <w:r w:rsidRPr="004D57BE">
              <w:rPr>
                <w:rFonts w:ascii="Verdana" w:eastAsia="Verdana" w:hAnsi="Verdana" w:cs="Verdana"/>
                <w:color w:val="000000"/>
                <w:sz w:val="16"/>
                <w:lang w:val="en-GB"/>
              </w:rPr>
              <w:t>0</w:t>
            </w:r>
          </w:p>
        </w:tc>
        <w:tc>
          <w:tcPr>
            <w:tcW w:w="1484" w:type="dxa"/>
            <w:shd w:val="clear" w:color="auto" w:fill="auto"/>
            <w:tcMar>
              <w:top w:w="20" w:type="dxa"/>
              <w:left w:w="20" w:type="dxa"/>
              <w:bottom w:w="20" w:type="dxa"/>
              <w:right w:w="20" w:type="dxa"/>
            </w:tcMar>
          </w:tcPr>
          <w:p w14:paraId="58D64AB5" w14:textId="77777777" w:rsidR="009D3BDC" w:rsidRPr="004D57BE" w:rsidRDefault="009D3BDC" w:rsidP="009D3BDC">
            <w:pPr>
              <w:pStyle w:val="T1TableStyle"/>
              <w:jc w:val="right"/>
              <w:rPr>
                <w:rFonts w:ascii="Verdana" w:eastAsia="Verdana" w:hAnsi="Verdana" w:cs="Verdana"/>
                <w:color w:val="000000"/>
                <w:sz w:val="16"/>
                <w:lang w:val="en-GB"/>
              </w:rPr>
            </w:pPr>
            <w:r w:rsidRPr="004D57BE">
              <w:rPr>
                <w:rFonts w:ascii="Verdana" w:eastAsia="Verdana" w:hAnsi="Verdana" w:cs="Verdana"/>
                <w:color w:val="000000"/>
                <w:sz w:val="16"/>
                <w:lang w:val="en-GB"/>
              </w:rPr>
              <w:t>5,273</w:t>
            </w:r>
          </w:p>
        </w:tc>
        <w:tc>
          <w:tcPr>
            <w:tcW w:w="1949" w:type="dxa"/>
            <w:shd w:val="clear" w:color="auto" w:fill="auto"/>
            <w:tcMar>
              <w:top w:w="20" w:type="dxa"/>
              <w:left w:w="20" w:type="dxa"/>
              <w:bottom w:w="20" w:type="dxa"/>
              <w:right w:w="20" w:type="dxa"/>
            </w:tcMar>
          </w:tcPr>
          <w:p w14:paraId="2FFCF25F" w14:textId="77777777" w:rsidR="009D3BDC" w:rsidRPr="004D57BE" w:rsidRDefault="009D3BDC" w:rsidP="009D3BDC">
            <w:pPr>
              <w:pStyle w:val="T1TableStyle"/>
              <w:rPr>
                <w:rFonts w:ascii="Verdana" w:eastAsia="Verdana" w:hAnsi="Verdana" w:cs="Verdana"/>
                <w:color w:val="000000"/>
                <w:sz w:val="16"/>
                <w:lang w:val="en-GB"/>
              </w:rPr>
            </w:pPr>
            <w:r w:rsidRPr="004D57BE">
              <w:rPr>
                <w:rFonts w:ascii="Verdana" w:eastAsia="Verdana" w:hAnsi="Verdana" w:cs="Verdana"/>
                <w:color w:val="000000"/>
                <w:sz w:val="16"/>
                <w:lang w:val="en-GB"/>
              </w:rPr>
              <w:t>Transport</w:t>
            </w:r>
          </w:p>
        </w:tc>
        <w:tc>
          <w:tcPr>
            <w:tcW w:w="1482" w:type="dxa"/>
            <w:shd w:val="clear" w:color="auto" w:fill="auto"/>
            <w:tcMar>
              <w:top w:w="20" w:type="dxa"/>
              <w:left w:w="20" w:type="dxa"/>
              <w:bottom w:w="20" w:type="dxa"/>
              <w:right w:w="20" w:type="dxa"/>
            </w:tcMar>
          </w:tcPr>
          <w:p w14:paraId="15EB0094" w14:textId="77777777" w:rsidR="009D3BDC" w:rsidRPr="004D57BE" w:rsidRDefault="009D3BDC" w:rsidP="0033722E">
            <w:pPr>
              <w:pStyle w:val="T1TableStyle"/>
              <w:jc w:val="right"/>
              <w:rPr>
                <w:rFonts w:ascii="Verdana" w:eastAsia="Verdana" w:hAnsi="Verdana" w:cs="Verdana"/>
                <w:color w:val="000000"/>
                <w:sz w:val="16"/>
                <w:lang w:val="en-GB"/>
              </w:rPr>
            </w:pPr>
            <w:r w:rsidRPr="004D57BE">
              <w:rPr>
                <w:rFonts w:ascii="Verdana" w:eastAsia="Verdana" w:hAnsi="Verdana" w:cs="Verdana"/>
                <w:color w:val="000000"/>
                <w:sz w:val="16"/>
                <w:lang w:val="en-GB"/>
              </w:rPr>
              <w:t>5,75</w:t>
            </w:r>
            <w:r w:rsidR="0033722E" w:rsidRPr="004D57BE">
              <w:rPr>
                <w:rFonts w:ascii="Verdana" w:eastAsia="Verdana" w:hAnsi="Verdana" w:cs="Verdana"/>
                <w:color w:val="000000"/>
                <w:sz w:val="16"/>
                <w:lang w:val="en-GB"/>
              </w:rPr>
              <w:t>6</w:t>
            </w:r>
          </w:p>
        </w:tc>
        <w:tc>
          <w:tcPr>
            <w:tcW w:w="1482" w:type="dxa"/>
            <w:shd w:val="clear" w:color="auto" w:fill="auto"/>
            <w:tcMar>
              <w:top w:w="20" w:type="dxa"/>
              <w:left w:w="20" w:type="dxa"/>
              <w:bottom w:w="20" w:type="dxa"/>
              <w:right w:w="20" w:type="dxa"/>
            </w:tcMar>
          </w:tcPr>
          <w:p w14:paraId="7381EDFA" w14:textId="77777777" w:rsidR="009D3BDC" w:rsidRPr="009D3BDC" w:rsidRDefault="00201546" w:rsidP="009D3BDC">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484" w:type="dxa"/>
            <w:shd w:val="clear" w:color="auto" w:fill="auto"/>
            <w:tcMar>
              <w:top w:w="20" w:type="dxa"/>
              <w:left w:w="20" w:type="dxa"/>
              <w:bottom w:w="20" w:type="dxa"/>
              <w:right w:w="20" w:type="dxa"/>
            </w:tcMar>
          </w:tcPr>
          <w:p w14:paraId="5A938335" w14:textId="77777777" w:rsidR="009D3BDC" w:rsidRPr="009D3BDC" w:rsidRDefault="009D3BDC" w:rsidP="0033722E">
            <w:pPr>
              <w:pStyle w:val="T1TableStyle"/>
              <w:jc w:val="right"/>
              <w:rPr>
                <w:rFonts w:ascii="Verdana" w:eastAsia="Verdana" w:hAnsi="Verdana" w:cs="Verdana"/>
                <w:color w:val="000000"/>
                <w:sz w:val="16"/>
                <w:lang w:val="en-GB"/>
              </w:rPr>
            </w:pPr>
            <w:r w:rsidRPr="009D3BDC">
              <w:rPr>
                <w:rFonts w:ascii="Verdana" w:eastAsia="Verdana" w:hAnsi="Verdana" w:cs="Verdana"/>
                <w:color w:val="000000"/>
                <w:sz w:val="16"/>
                <w:lang w:val="en-GB"/>
              </w:rPr>
              <w:t>5,75</w:t>
            </w:r>
            <w:r w:rsidR="0033722E">
              <w:rPr>
                <w:rFonts w:ascii="Verdana" w:eastAsia="Verdana" w:hAnsi="Verdana" w:cs="Verdana"/>
                <w:color w:val="000000"/>
                <w:sz w:val="16"/>
                <w:lang w:val="en-GB"/>
              </w:rPr>
              <w:t>6</w:t>
            </w:r>
          </w:p>
        </w:tc>
      </w:tr>
      <w:tr w:rsidR="009D3BDC" w:rsidRPr="00DC1077" w14:paraId="1C9FA250" w14:textId="77777777" w:rsidTr="009D3BDC">
        <w:trPr>
          <w:trHeight w:val="245"/>
          <w:jc w:val="center"/>
        </w:trPr>
        <w:tc>
          <w:tcPr>
            <w:tcW w:w="1482" w:type="dxa"/>
            <w:shd w:val="clear" w:color="auto" w:fill="auto"/>
            <w:tcMar>
              <w:top w:w="20" w:type="dxa"/>
              <w:left w:w="20" w:type="dxa"/>
              <w:bottom w:w="20" w:type="dxa"/>
              <w:right w:w="20" w:type="dxa"/>
            </w:tcMar>
          </w:tcPr>
          <w:p w14:paraId="4E765448" w14:textId="77777777" w:rsidR="009D3BDC" w:rsidRPr="004D57BE" w:rsidRDefault="009D3BDC" w:rsidP="009D3BDC">
            <w:pPr>
              <w:pStyle w:val="T1TableStyle"/>
              <w:jc w:val="right"/>
              <w:rPr>
                <w:rFonts w:ascii="Verdana" w:eastAsia="Verdana" w:hAnsi="Verdana" w:cs="Verdana"/>
                <w:color w:val="000000"/>
                <w:sz w:val="16"/>
                <w:lang w:val="en-GB"/>
              </w:rPr>
            </w:pPr>
            <w:r w:rsidRPr="004D57BE">
              <w:rPr>
                <w:rFonts w:ascii="Verdana" w:eastAsia="Verdana" w:hAnsi="Verdana" w:cs="Verdana"/>
                <w:color w:val="000000"/>
                <w:sz w:val="16"/>
                <w:lang w:val="en-GB"/>
              </w:rPr>
              <w:t>11,196</w:t>
            </w:r>
          </w:p>
        </w:tc>
        <w:tc>
          <w:tcPr>
            <w:tcW w:w="1482" w:type="dxa"/>
            <w:shd w:val="clear" w:color="auto" w:fill="auto"/>
            <w:tcMar>
              <w:top w:w="20" w:type="dxa"/>
              <w:left w:w="20" w:type="dxa"/>
              <w:bottom w:w="20" w:type="dxa"/>
              <w:right w:w="20" w:type="dxa"/>
            </w:tcMar>
          </w:tcPr>
          <w:p w14:paraId="2C8C290C" w14:textId="77777777" w:rsidR="009D3BDC" w:rsidRPr="004D57BE" w:rsidRDefault="009D3BDC" w:rsidP="009D3BDC">
            <w:pPr>
              <w:pStyle w:val="T1TableStyle"/>
              <w:jc w:val="right"/>
              <w:rPr>
                <w:rFonts w:ascii="Verdana" w:eastAsia="Verdana" w:hAnsi="Verdana" w:cs="Verdana"/>
                <w:color w:val="000000"/>
                <w:sz w:val="16"/>
                <w:lang w:val="en-GB"/>
              </w:rPr>
            </w:pPr>
            <w:r w:rsidRPr="004D57BE">
              <w:rPr>
                <w:rFonts w:ascii="Verdana" w:eastAsia="Verdana" w:hAnsi="Verdana" w:cs="Verdana"/>
                <w:color w:val="000000"/>
                <w:sz w:val="16"/>
                <w:lang w:val="en-GB"/>
              </w:rPr>
              <w:t>0</w:t>
            </w:r>
          </w:p>
        </w:tc>
        <w:tc>
          <w:tcPr>
            <w:tcW w:w="1484" w:type="dxa"/>
            <w:shd w:val="clear" w:color="auto" w:fill="auto"/>
            <w:tcMar>
              <w:top w:w="20" w:type="dxa"/>
              <w:left w:w="20" w:type="dxa"/>
              <w:bottom w:w="20" w:type="dxa"/>
              <w:right w:w="20" w:type="dxa"/>
            </w:tcMar>
          </w:tcPr>
          <w:p w14:paraId="180F7180" w14:textId="77777777" w:rsidR="009D3BDC" w:rsidRPr="004D57BE" w:rsidRDefault="009D3BDC" w:rsidP="009D3BDC">
            <w:pPr>
              <w:pStyle w:val="T1TableStyle"/>
              <w:jc w:val="right"/>
              <w:rPr>
                <w:rFonts w:ascii="Verdana" w:eastAsia="Verdana" w:hAnsi="Verdana" w:cs="Verdana"/>
                <w:color w:val="000000"/>
                <w:sz w:val="16"/>
                <w:lang w:val="en-GB"/>
              </w:rPr>
            </w:pPr>
            <w:r w:rsidRPr="004D57BE">
              <w:rPr>
                <w:rFonts w:ascii="Verdana" w:eastAsia="Verdana" w:hAnsi="Verdana" w:cs="Verdana"/>
                <w:color w:val="000000"/>
                <w:sz w:val="16"/>
                <w:lang w:val="en-GB"/>
              </w:rPr>
              <w:t>11,196</w:t>
            </w:r>
          </w:p>
        </w:tc>
        <w:tc>
          <w:tcPr>
            <w:tcW w:w="1949" w:type="dxa"/>
            <w:shd w:val="clear" w:color="auto" w:fill="auto"/>
            <w:tcMar>
              <w:top w:w="20" w:type="dxa"/>
              <w:left w:w="20" w:type="dxa"/>
              <w:bottom w:w="20" w:type="dxa"/>
              <w:right w:w="20" w:type="dxa"/>
            </w:tcMar>
          </w:tcPr>
          <w:p w14:paraId="2382018F" w14:textId="77777777" w:rsidR="009D3BDC" w:rsidRPr="004D57BE" w:rsidRDefault="009D3BDC" w:rsidP="009D3BDC">
            <w:pPr>
              <w:pStyle w:val="T1TableStyle"/>
              <w:rPr>
                <w:rFonts w:ascii="Verdana" w:eastAsia="Verdana" w:hAnsi="Verdana" w:cs="Verdana"/>
                <w:color w:val="000000"/>
                <w:sz w:val="16"/>
                <w:lang w:val="en-GB"/>
              </w:rPr>
            </w:pPr>
            <w:r w:rsidRPr="004D57BE">
              <w:rPr>
                <w:rFonts w:ascii="Verdana" w:eastAsia="Verdana" w:hAnsi="Verdana" w:cs="Verdana"/>
                <w:color w:val="000000"/>
                <w:sz w:val="16"/>
                <w:lang w:val="en-GB"/>
              </w:rPr>
              <w:t>*Depreciation/Amortisation (Proxy)</w:t>
            </w:r>
          </w:p>
        </w:tc>
        <w:tc>
          <w:tcPr>
            <w:tcW w:w="1482" w:type="dxa"/>
            <w:shd w:val="clear" w:color="auto" w:fill="auto"/>
            <w:tcMar>
              <w:top w:w="20" w:type="dxa"/>
              <w:left w:w="20" w:type="dxa"/>
              <w:bottom w:w="20" w:type="dxa"/>
              <w:right w:w="20" w:type="dxa"/>
            </w:tcMar>
          </w:tcPr>
          <w:p w14:paraId="4D829E6B" w14:textId="77777777" w:rsidR="009D3BDC" w:rsidRPr="004D57BE" w:rsidRDefault="00A30DA8" w:rsidP="0033722E">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10,521</w:t>
            </w:r>
          </w:p>
        </w:tc>
        <w:tc>
          <w:tcPr>
            <w:tcW w:w="1482" w:type="dxa"/>
            <w:shd w:val="clear" w:color="auto" w:fill="auto"/>
            <w:tcMar>
              <w:top w:w="20" w:type="dxa"/>
              <w:left w:w="20" w:type="dxa"/>
              <w:bottom w:w="20" w:type="dxa"/>
              <w:right w:w="20" w:type="dxa"/>
            </w:tcMar>
          </w:tcPr>
          <w:p w14:paraId="2704560D" w14:textId="77777777" w:rsidR="009D3BDC" w:rsidRPr="009D3BDC" w:rsidRDefault="00201546" w:rsidP="009D3BDC">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484" w:type="dxa"/>
            <w:shd w:val="clear" w:color="auto" w:fill="auto"/>
            <w:tcMar>
              <w:top w:w="20" w:type="dxa"/>
              <w:left w:w="20" w:type="dxa"/>
              <w:bottom w:w="20" w:type="dxa"/>
              <w:right w:w="20" w:type="dxa"/>
            </w:tcMar>
          </w:tcPr>
          <w:p w14:paraId="6C65E8C4" w14:textId="77777777" w:rsidR="009D3BDC" w:rsidRPr="009D3BDC" w:rsidRDefault="00A30DA8" w:rsidP="0033722E">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10,521</w:t>
            </w:r>
          </w:p>
        </w:tc>
      </w:tr>
      <w:tr w:rsidR="009D3BDC" w:rsidRPr="00DC1077" w14:paraId="413D6F80" w14:textId="77777777" w:rsidTr="009D3BDC">
        <w:trPr>
          <w:trHeight w:val="245"/>
          <w:jc w:val="center"/>
        </w:trPr>
        <w:tc>
          <w:tcPr>
            <w:tcW w:w="1482" w:type="dxa"/>
            <w:shd w:val="clear" w:color="auto" w:fill="auto"/>
            <w:tcMar>
              <w:top w:w="20" w:type="dxa"/>
              <w:left w:w="20" w:type="dxa"/>
              <w:bottom w:w="20" w:type="dxa"/>
              <w:right w:w="20" w:type="dxa"/>
            </w:tcMar>
          </w:tcPr>
          <w:p w14:paraId="33229B53" w14:textId="77777777" w:rsidR="009D3BDC" w:rsidRPr="004D57BE" w:rsidRDefault="009D3BDC" w:rsidP="009D3BDC">
            <w:pPr>
              <w:pStyle w:val="T1TableStyle"/>
              <w:jc w:val="right"/>
              <w:rPr>
                <w:rFonts w:ascii="Verdana" w:eastAsia="Verdana" w:hAnsi="Verdana" w:cs="Verdana"/>
                <w:color w:val="000000"/>
                <w:sz w:val="16"/>
                <w:lang w:val="en-GB"/>
              </w:rPr>
            </w:pPr>
            <w:r w:rsidRPr="004D57BE">
              <w:rPr>
                <w:rFonts w:ascii="Verdana" w:eastAsia="Verdana" w:hAnsi="Verdana" w:cs="Verdana"/>
                <w:color w:val="000000"/>
                <w:sz w:val="16"/>
                <w:lang w:val="en-GB"/>
              </w:rPr>
              <w:t>(13,233)</w:t>
            </w:r>
          </w:p>
        </w:tc>
        <w:tc>
          <w:tcPr>
            <w:tcW w:w="1482" w:type="dxa"/>
            <w:shd w:val="clear" w:color="auto" w:fill="auto"/>
            <w:tcMar>
              <w:top w:w="20" w:type="dxa"/>
              <w:left w:w="20" w:type="dxa"/>
              <w:bottom w:w="20" w:type="dxa"/>
              <w:right w:w="20" w:type="dxa"/>
            </w:tcMar>
          </w:tcPr>
          <w:p w14:paraId="51AD84D6" w14:textId="77777777" w:rsidR="009D3BDC" w:rsidRPr="004D57BE" w:rsidRDefault="009D3BDC" w:rsidP="009D3BDC">
            <w:pPr>
              <w:pStyle w:val="T1TableStyle"/>
              <w:jc w:val="right"/>
              <w:rPr>
                <w:rFonts w:ascii="Verdana" w:eastAsia="Verdana" w:hAnsi="Verdana" w:cs="Verdana"/>
                <w:color w:val="000000"/>
                <w:sz w:val="16"/>
                <w:lang w:val="en-GB"/>
              </w:rPr>
            </w:pPr>
            <w:r w:rsidRPr="004D57BE">
              <w:rPr>
                <w:rFonts w:ascii="Verdana" w:eastAsia="Verdana" w:hAnsi="Verdana" w:cs="Verdana"/>
                <w:color w:val="000000"/>
                <w:sz w:val="16"/>
                <w:lang w:val="en-GB"/>
              </w:rPr>
              <w:t>0</w:t>
            </w:r>
          </w:p>
        </w:tc>
        <w:tc>
          <w:tcPr>
            <w:tcW w:w="1484" w:type="dxa"/>
            <w:shd w:val="clear" w:color="auto" w:fill="auto"/>
            <w:tcMar>
              <w:top w:w="20" w:type="dxa"/>
              <w:left w:w="20" w:type="dxa"/>
              <w:bottom w:w="20" w:type="dxa"/>
              <w:right w:w="20" w:type="dxa"/>
            </w:tcMar>
          </w:tcPr>
          <w:p w14:paraId="08CDDCBD" w14:textId="77777777" w:rsidR="009D3BDC" w:rsidRPr="004D57BE" w:rsidRDefault="009D3BDC" w:rsidP="009D3BDC">
            <w:pPr>
              <w:pStyle w:val="T1TableStyle"/>
              <w:jc w:val="right"/>
              <w:rPr>
                <w:rFonts w:ascii="Verdana" w:eastAsia="Verdana" w:hAnsi="Verdana" w:cs="Verdana"/>
                <w:color w:val="000000"/>
                <w:sz w:val="16"/>
                <w:lang w:val="en-GB"/>
              </w:rPr>
            </w:pPr>
            <w:r w:rsidRPr="004D57BE">
              <w:rPr>
                <w:rFonts w:ascii="Verdana" w:eastAsia="Verdana" w:hAnsi="Verdana" w:cs="Verdana"/>
                <w:color w:val="000000"/>
                <w:sz w:val="16"/>
                <w:lang w:val="en-GB"/>
              </w:rPr>
              <w:t>(13,233)</w:t>
            </w:r>
          </w:p>
        </w:tc>
        <w:tc>
          <w:tcPr>
            <w:tcW w:w="1949" w:type="dxa"/>
            <w:shd w:val="clear" w:color="auto" w:fill="auto"/>
            <w:tcMar>
              <w:top w:w="20" w:type="dxa"/>
              <w:left w:w="20" w:type="dxa"/>
              <w:bottom w:w="20" w:type="dxa"/>
              <w:right w:w="20" w:type="dxa"/>
            </w:tcMar>
          </w:tcPr>
          <w:p w14:paraId="5C99EDB7" w14:textId="77777777" w:rsidR="009D3BDC" w:rsidRPr="004D57BE" w:rsidRDefault="009D3BDC" w:rsidP="009D3BDC">
            <w:pPr>
              <w:pStyle w:val="T1TableStyle"/>
              <w:rPr>
                <w:rFonts w:ascii="Verdana" w:eastAsia="Verdana" w:hAnsi="Verdana" w:cs="Verdana"/>
                <w:color w:val="000000"/>
                <w:sz w:val="16"/>
                <w:lang w:val="en-GB"/>
              </w:rPr>
            </w:pPr>
            <w:r w:rsidRPr="004D57BE">
              <w:rPr>
                <w:rFonts w:ascii="Verdana" w:eastAsia="Verdana" w:hAnsi="Verdana" w:cs="Verdana"/>
                <w:color w:val="000000"/>
                <w:sz w:val="16"/>
                <w:lang w:val="en-GB"/>
              </w:rPr>
              <w:t>Income</w:t>
            </w:r>
          </w:p>
        </w:tc>
        <w:tc>
          <w:tcPr>
            <w:tcW w:w="1482" w:type="dxa"/>
            <w:shd w:val="clear" w:color="auto" w:fill="auto"/>
            <w:tcMar>
              <w:top w:w="20" w:type="dxa"/>
              <w:left w:w="20" w:type="dxa"/>
              <w:bottom w:w="20" w:type="dxa"/>
              <w:right w:w="20" w:type="dxa"/>
            </w:tcMar>
          </w:tcPr>
          <w:p w14:paraId="18416205" w14:textId="42BC1238" w:rsidR="009D3BDC" w:rsidRPr="004D57BE" w:rsidRDefault="009D3BDC" w:rsidP="0033722E">
            <w:pPr>
              <w:pStyle w:val="T1TableStyle"/>
              <w:jc w:val="right"/>
              <w:rPr>
                <w:rFonts w:ascii="Verdana" w:eastAsia="Verdana" w:hAnsi="Verdana" w:cs="Verdana"/>
                <w:color w:val="000000"/>
                <w:sz w:val="16"/>
                <w:lang w:val="en-GB"/>
              </w:rPr>
            </w:pPr>
            <w:r w:rsidRPr="004D57BE">
              <w:rPr>
                <w:rFonts w:ascii="Verdana" w:eastAsia="Verdana" w:hAnsi="Verdana" w:cs="Verdana"/>
                <w:color w:val="000000"/>
                <w:sz w:val="16"/>
                <w:lang w:val="en-GB"/>
              </w:rPr>
              <w:t>(1</w:t>
            </w:r>
            <w:r w:rsidR="0039141E">
              <w:rPr>
                <w:rFonts w:ascii="Verdana" w:eastAsia="Verdana" w:hAnsi="Verdana" w:cs="Verdana"/>
                <w:color w:val="000000"/>
                <w:sz w:val="16"/>
                <w:lang w:val="en-GB"/>
              </w:rPr>
              <w:t>7,197</w:t>
            </w:r>
            <w:r w:rsidRPr="004D57BE">
              <w:rPr>
                <w:rFonts w:ascii="Verdana" w:eastAsia="Verdana" w:hAnsi="Verdana" w:cs="Verdana"/>
                <w:color w:val="000000"/>
                <w:sz w:val="16"/>
                <w:lang w:val="en-GB"/>
              </w:rPr>
              <w:t>)</w:t>
            </w:r>
          </w:p>
        </w:tc>
        <w:tc>
          <w:tcPr>
            <w:tcW w:w="1482" w:type="dxa"/>
            <w:shd w:val="clear" w:color="auto" w:fill="auto"/>
            <w:tcMar>
              <w:top w:w="20" w:type="dxa"/>
              <w:left w:w="20" w:type="dxa"/>
              <w:bottom w:w="20" w:type="dxa"/>
              <w:right w:w="20" w:type="dxa"/>
            </w:tcMar>
          </w:tcPr>
          <w:p w14:paraId="1F5A19CF" w14:textId="77777777" w:rsidR="009D3BDC" w:rsidRPr="009D3BDC" w:rsidRDefault="00201546" w:rsidP="009D3BDC">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484" w:type="dxa"/>
            <w:shd w:val="clear" w:color="auto" w:fill="auto"/>
            <w:tcMar>
              <w:top w:w="20" w:type="dxa"/>
              <w:left w:w="20" w:type="dxa"/>
              <w:bottom w:w="20" w:type="dxa"/>
              <w:right w:w="20" w:type="dxa"/>
            </w:tcMar>
          </w:tcPr>
          <w:p w14:paraId="5E9CD252" w14:textId="472FB685" w:rsidR="009D3BDC" w:rsidRPr="009D3BDC" w:rsidRDefault="009D3BDC">
            <w:pPr>
              <w:pStyle w:val="T1TableStyle"/>
              <w:jc w:val="right"/>
              <w:rPr>
                <w:rFonts w:ascii="Verdana" w:eastAsia="Verdana" w:hAnsi="Verdana" w:cs="Verdana"/>
                <w:color w:val="000000"/>
                <w:sz w:val="16"/>
                <w:lang w:val="en-GB"/>
              </w:rPr>
            </w:pPr>
            <w:r w:rsidRPr="009D3BDC">
              <w:rPr>
                <w:rFonts w:ascii="Verdana" w:eastAsia="Verdana" w:hAnsi="Verdana" w:cs="Verdana"/>
                <w:color w:val="000000"/>
                <w:sz w:val="16"/>
                <w:lang w:val="en-GB"/>
              </w:rPr>
              <w:t>(1</w:t>
            </w:r>
            <w:r w:rsidR="0039141E">
              <w:rPr>
                <w:rFonts w:ascii="Verdana" w:eastAsia="Verdana" w:hAnsi="Verdana" w:cs="Verdana"/>
                <w:color w:val="000000"/>
                <w:sz w:val="16"/>
                <w:lang w:val="en-GB"/>
              </w:rPr>
              <w:t>7</w:t>
            </w:r>
            <w:r w:rsidRPr="009D3BDC">
              <w:rPr>
                <w:rFonts w:ascii="Verdana" w:eastAsia="Verdana" w:hAnsi="Verdana" w:cs="Verdana"/>
                <w:color w:val="000000"/>
                <w:sz w:val="16"/>
                <w:lang w:val="en-GB"/>
              </w:rPr>
              <w:t>,1</w:t>
            </w:r>
            <w:r w:rsidR="0039141E">
              <w:rPr>
                <w:rFonts w:ascii="Verdana" w:eastAsia="Verdana" w:hAnsi="Verdana" w:cs="Verdana"/>
                <w:color w:val="000000"/>
                <w:sz w:val="16"/>
                <w:lang w:val="en-GB"/>
              </w:rPr>
              <w:t>97</w:t>
            </w:r>
            <w:r w:rsidRPr="009D3BDC">
              <w:rPr>
                <w:rFonts w:ascii="Verdana" w:eastAsia="Verdana" w:hAnsi="Verdana" w:cs="Verdana"/>
                <w:color w:val="000000"/>
                <w:sz w:val="16"/>
                <w:lang w:val="en-GB"/>
              </w:rPr>
              <w:t>)</w:t>
            </w:r>
          </w:p>
        </w:tc>
      </w:tr>
      <w:tr w:rsidR="009D3BDC" w:rsidRPr="00DC1077" w14:paraId="58048570" w14:textId="77777777" w:rsidTr="009D3BDC">
        <w:trPr>
          <w:trHeight w:val="245"/>
          <w:jc w:val="center"/>
        </w:trPr>
        <w:tc>
          <w:tcPr>
            <w:tcW w:w="1482" w:type="dxa"/>
            <w:shd w:val="clear" w:color="auto" w:fill="auto"/>
            <w:tcMar>
              <w:top w:w="20" w:type="dxa"/>
              <w:left w:w="20" w:type="dxa"/>
              <w:bottom w:w="20" w:type="dxa"/>
              <w:right w:w="20" w:type="dxa"/>
            </w:tcMar>
          </w:tcPr>
          <w:p w14:paraId="6CEB67ED" w14:textId="77777777" w:rsidR="009D3BDC" w:rsidRPr="004D57BE" w:rsidRDefault="009D3BDC" w:rsidP="009D3BDC">
            <w:pPr>
              <w:pStyle w:val="T1TableStyle"/>
              <w:jc w:val="right"/>
              <w:rPr>
                <w:rFonts w:ascii="Verdana" w:eastAsia="Verdana" w:hAnsi="Verdana" w:cs="Verdana"/>
                <w:color w:val="000000"/>
                <w:sz w:val="16"/>
                <w:lang w:val="en-GB"/>
              </w:rPr>
            </w:pPr>
          </w:p>
        </w:tc>
        <w:tc>
          <w:tcPr>
            <w:tcW w:w="1482" w:type="dxa"/>
            <w:shd w:val="clear" w:color="auto" w:fill="auto"/>
            <w:tcMar>
              <w:top w:w="20" w:type="dxa"/>
              <w:left w:w="20" w:type="dxa"/>
              <w:bottom w:w="20" w:type="dxa"/>
              <w:right w:w="20" w:type="dxa"/>
            </w:tcMar>
          </w:tcPr>
          <w:p w14:paraId="1DFED48E" w14:textId="77777777" w:rsidR="009D3BDC" w:rsidRPr="004D57BE" w:rsidRDefault="009D3BDC" w:rsidP="009D3BDC">
            <w:pPr>
              <w:pStyle w:val="T1TableStyle"/>
              <w:jc w:val="right"/>
              <w:rPr>
                <w:rFonts w:ascii="Verdana" w:eastAsia="Verdana" w:hAnsi="Verdana" w:cs="Verdana"/>
                <w:color w:val="000000"/>
                <w:sz w:val="16"/>
                <w:lang w:val="en-GB"/>
              </w:rPr>
            </w:pPr>
            <w:r w:rsidRPr="004D57BE">
              <w:rPr>
                <w:rFonts w:ascii="Verdana" w:eastAsia="Verdana" w:hAnsi="Verdana" w:cs="Verdana"/>
                <w:color w:val="000000"/>
                <w:sz w:val="16"/>
                <w:lang w:val="en-GB"/>
              </w:rPr>
              <w:t>(1)</w:t>
            </w:r>
          </w:p>
        </w:tc>
        <w:tc>
          <w:tcPr>
            <w:tcW w:w="1484" w:type="dxa"/>
            <w:shd w:val="clear" w:color="auto" w:fill="auto"/>
            <w:tcMar>
              <w:top w:w="20" w:type="dxa"/>
              <w:left w:w="20" w:type="dxa"/>
              <w:bottom w:w="20" w:type="dxa"/>
              <w:right w:w="20" w:type="dxa"/>
            </w:tcMar>
          </w:tcPr>
          <w:p w14:paraId="542CFCF6" w14:textId="77777777" w:rsidR="009D3BDC" w:rsidRPr="004D57BE" w:rsidRDefault="009D3BDC" w:rsidP="009D3BDC">
            <w:pPr>
              <w:pStyle w:val="T1TableStyle"/>
              <w:jc w:val="right"/>
              <w:rPr>
                <w:rFonts w:ascii="Verdana" w:eastAsia="Verdana" w:hAnsi="Verdana" w:cs="Verdana"/>
                <w:color w:val="000000"/>
                <w:sz w:val="16"/>
                <w:lang w:val="en-GB"/>
              </w:rPr>
            </w:pPr>
            <w:r w:rsidRPr="004D57BE">
              <w:rPr>
                <w:rFonts w:ascii="Verdana" w:eastAsia="Verdana" w:hAnsi="Verdana" w:cs="Verdana"/>
                <w:color w:val="000000"/>
                <w:sz w:val="16"/>
                <w:lang w:val="en-GB"/>
              </w:rPr>
              <w:t xml:space="preserve">        (1)</w:t>
            </w:r>
          </w:p>
        </w:tc>
        <w:tc>
          <w:tcPr>
            <w:tcW w:w="1949" w:type="dxa"/>
            <w:shd w:val="clear" w:color="auto" w:fill="auto"/>
            <w:tcMar>
              <w:top w:w="20" w:type="dxa"/>
              <w:left w:w="20" w:type="dxa"/>
              <w:bottom w:w="20" w:type="dxa"/>
              <w:right w:w="20" w:type="dxa"/>
            </w:tcMar>
          </w:tcPr>
          <w:p w14:paraId="5CF15E1B" w14:textId="77777777" w:rsidR="009D3BDC" w:rsidRPr="004D57BE" w:rsidRDefault="009D3BDC" w:rsidP="009D3BDC">
            <w:pPr>
              <w:pStyle w:val="T1TableStyle"/>
              <w:rPr>
                <w:rFonts w:ascii="Verdana" w:eastAsia="Verdana" w:hAnsi="Verdana" w:cs="Verdana"/>
                <w:color w:val="000000"/>
                <w:sz w:val="16"/>
                <w:lang w:val="en-GB"/>
              </w:rPr>
            </w:pPr>
            <w:r w:rsidRPr="004D57BE">
              <w:rPr>
                <w:rFonts w:ascii="Verdana" w:eastAsia="Verdana" w:hAnsi="Verdana" w:cs="Verdana"/>
                <w:color w:val="000000"/>
                <w:sz w:val="16"/>
                <w:lang w:val="en-GB"/>
              </w:rPr>
              <w:t>Rounding</w:t>
            </w:r>
          </w:p>
        </w:tc>
        <w:tc>
          <w:tcPr>
            <w:tcW w:w="1482" w:type="dxa"/>
            <w:shd w:val="clear" w:color="auto" w:fill="auto"/>
            <w:tcMar>
              <w:top w:w="20" w:type="dxa"/>
              <w:left w:w="20" w:type="dxa"/>
              <w:bottom w:w="20" w:type="dxa"/>
              <w:right w:w="20" w:type="dxa"/>
            </w:tcMar>
          </w:tcPr>
          <w:p w14:paraId="32B40B80" w14:textId="0C79ECC1" w:rsidR="009D3BDC" w:rsidRPr="004D57BE" w:rsidRDefault="0039141E" w:rsidP="009D3BDC">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482" w:type="dxa"/>
            <w:shd w:val="clear" w:color="auto" w:fill="auto"/>
            <w:tcMar>
              <w:top w:w="20" w:type="dxa"/>
              <w:left w:w="20" w:type="dxa"/>
              <w:bottom w:w="20" w:type="dxa"/>
              <w:right w:w="20" w:type="dxa"/>
            </w:tcMar>
          </w:tcPr>
          <w:p w14:paraId="4029F13C" w14:textId="77777777" w:rsidR="009D3BDC" w:rsidRPr="00567D01" w:rsidRDefault="00201546" w:rsidP="009D3BDC">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484" w:type="dxa"/>
            <w:shd w:val="clear" w:color="auto" w:fill="auto"/>
            <w:tcMar>
              <w:top w:w="20" w:type="dxa"/>
              <w:left w:w="20" w:type="dxa"/>
              <w:bottom w:w="20" w:type="dxa"/>
              <w:right w:w="20" w:type="dxa"/>
            </w:tcMar>
          </w:tcPr>
          <w:p w14:paraId="24186C6E" w14:textId="3C7C52D3" w:rsidR="009D3BDC" w:rsidRPr="00567D01" w:rsidRDefault="0039141E" w:rsidP="009D3BDC">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r>
      <w:tr w:rsidR="009D3BDC" w:rsidRPr="00DC1077" w14:paraId="04CF7356" w14:textId="77777777" w:rsidTr="00C10622">
        <w:trPr>
          <w:trHeight w:val="132"/>
          <w:jc w:val="center"/>
        </w:trPr>
        <w:tc>
          <w:tcPr>
            <w:tcW w:w="1482" w:type="dxa"/>
            <w:tcBorders>
              <w:top w:val="single" w:sz="2" w:space="0" w:color="000000"/>
              <w:bottom w:val="single" w:sz="12" w:space="0" w:color="000000"/>
            </w:tcBorders>
            <w:shd w:val="clear" w:color="auto" w:fill="auto"/>
            <w:tcMar>
              <w:top w:w="20" w:type="dxa"/>
              <w:left w:w="20" w:type="dxa"/>
              <w:bottom w:w="20" w:type="dxa"/>
              <w:right w:w="20" w:type="dxa"/>
            </w:tcMar>
          </w:tcPr>
          <w:p w14:paraId="407FEC7C" w14:textId="77777777" w:rsidR="009D3BDC" w:rsidRPr="004D57BE" w:rsidRDefault="009D3BDC" w:rsidP="009D3BDC">
            <w:pPr>
              <w:pStyle w:val="T1TableStyle"/>
              <w:jc w:val="right"/>
              <w:rPr>
                <w:rFonts w:ascii="Verdana" w:eastAsia="Verdana" w:hAnsi="Verdana" w:cs="Verdana"/>
                <w:b/>
                <w:color w:val="000000"/>
                <w:sz w:val="16"/>
                <w:lang w:val="en-GB"/>
              </w:rPr>
            </w:pPr>
            <w:r w:rsidRPr="004D57BE">
              <w:rPr>
                <w:rFonts w:ascii="Verdana" w:eastAsia="Verdana" w:hAnsi="Verdana" w:cs="Verdana"/>
                <w:b/>
                <w:color w:val="000000"/>
                <w:sz w:val="16"/>
                <w:lang w:val="en-GB"/>
              </w:rPr>
              <w:t>197,718</w:t>
            </w:r>
          </w:p>
        </w:tc>
        <w:tc>
          <w:tcPr>
            <w:tcW w:w="1482" w:type="dxa"/>
            <w:tcBorders>
              <w:top w:val="single" w:sz="2" w:space="0" w:color="000000"/>
              <w:bottom w:val="single" w:sz="12" w:space="0" w:color="000000"/>
            </w:tcBorders>
            <w:shd w:val="clear" w:color="auto" w:fill="auto"/>
            <w:tcMar>
              <w:top w:w="20" w:type="dxa"/>
              <w:left w:w="20" w:type="dxa"/>
              <w:bottom w:w="20" w:type="dxa"/>
              <w:right w:w="20" w:type="dxa"/>
            </w:tcMar>
          </w:tcPr>
          <w:p w14:paraId="06A01FE0" w14:textId="77777777" w:rsidR="009D3BDC" w:rsidRPr="004D57BE" w:rsidRDefault="009D3BDC" w:rsidP="009D3BDC">
            <w:pPr>
              <w:pStyle w:val="T1TableStyle"/>
              <w:jc w:val="right"/>
              <w:rPr>
                <w:rFonts w:ascii="Verdana" w:eastAsia="Verdana" w:hAnsi="Verdana" w:cs="Verdana"/>
                <w:b/>
                <w:color w:val="000000"/>
                <w:sz w:val="16"/>
                <w:lang w:val="en-GB"/>
              </w:rPr>
            </w:pPr>
            <w:r w:rsidRPr="004D57BE">
              <w:rPr>
                <w:rFonts w:ascii="Verdana" w:eastAsia="Verdana" w:hAnsi="Verdana" w:cs="Verdana"/>
                <w:b/>
                <w:color w:val="000000"/>
                <w:sz w:val="16"/>
                <w:lang w:val="en-GB"/>
              </w:rPr>
              <w:t>63,031</w:t>
            </w:r>
          </w:p>
        </w:tc>
        <w:tc>
          <w:tcPr>
            <w:tcW w:w="1484" w:type="dxa"/>
            <w:tcBorders>
              <w:top w:val="single" w:sz="2" w:space="0" w:color="000000"/>
              <w:bottom w:val="single" w:sz="12" w:space="0" w:color="000000"/>
            </w:tcBorders>
            <w:shd w:val="clear" w:color="auto" w:fill="auto"/>
            <w:tcMar>
              <w:top w:w="20" w:type="dxa"/>
              <w:left w:w="20" w:type="dxa"/>
              <w:bottom w:w="20" w:type="dxa"/>
              <w:right w:w="20" w:type="dxa"/>
            </w:tcMar>
          </w:tcPr>
          <w:p w14:paraId="47F38B26" w14:textId="77777777" w:rsidR="009D3BDC" w:rsidRPr="004D57BE" w:rsidRDefault="009D3BDC" w:rsidP="009D3BDC">
            <w:pPr>
              <w:pStyle w:val="T1TableStyle"/>
              <w:jc w:val="right"/>
              <w:rPr>
                <w:rFonts w:ascii="Verdana" w:eastAsia="Verdana" w:hAnsi="Verdana" w:cs="Verdana"/>
                <w:b/>
                <w:color w:val="000000"/>
                <w:sz w:val="16"/>
                <w:lang w:val="en-GB"/>
              </w:rPr>
            </w:pPr>
            <w:r w:rsidRPr="004D57BE">
              <w:rPr>
                <w:rFonts w:ascii="Verdana" w:eastAsia="Verdana" w:hAnsi="Verdana" w:cs="Verdana"/>
                <w:b/>
                <w:color w:val="000000"/>
                <w:sz w:val="16"/>
                <w:lang w:val="en-GB"/>
              </w:rPr>
              <w:t>260,749</w:t>
            </w:r>
          </w:p>
          <w:p w14:paraId="652E022D" w14:textId="77777777" w:rsidR="009D3BDC" w:rsidRPr="004D57BE" w:rsidRDefault="009D3BDC" w:rsidP="009D3BDC">
            <w:pPr>
              <w:pStyle w:val="T1TableStyle"/>
              <w:jc w:val="right"/>
              <w:rPr>
                <w:rFonts w:ascii="Verdana" w:eastAsia="Verdana" w:hAnsi="Verdana" w:cs="Verdana"/>
                <w:b/>
                <w:color w:val="000000"/>
                <w:sz w:val="16"/>
                <w:lang w:val="en-GB"/>
              </w:rPr>
            </w:pPr>
          </w:p>
        </w:tc>
        <w:tc>
          <w:tcPr>
            <w:tcW w:w="1949" w:type="dxa"/>
            <w:tcBorders>
              <w:top w:val="single" w:sz="2" w:space="0" w:color="000000"/>
              <w:bottom w:val="single" w:sz="12" w:space="0" w:color="000000"/>
            </w:tcBorders>
            <w:shd w:val="clear" w:color="auto" w:fill="auto"/>
            <w:tcMar>
              <w:top w:w="20" w:type="dxa"/>
              <w:left w:w="20" w:type="dxa"/>
              <w:bottom w:w="20" w:type="dxa"/>
              <w:right w:w="20" w:type="dxa"/>
            </w:tcMar>
          </w:tcPr>
          <w:p w14:paraId="31165C3A" w14:textId="77777777" w:rsidR="009D3BDC" w:rsidRPr="004D57BE" w:rsidRDefault="009D3BDC" w:rsidP="009D3BDC">
            <w:pPr>
              <w:pStyle w:val="T1TableStyle"/>
              <w:rPr>
                <w:rFonts w:ascii="Verdana" w:eastAsia="Verdana" w:hAnsi="Verdana" w:cs="Verdana"/>
                <w:b/>
                <w:color w:val="000000"/>
                <w:sz w:val="16"/>
                <w:lang w:val="en-GB"/>
              </w:rPr>
            </w:pPr>
            <w:r w:rsidRPr="004D57BE">
              <w:rPr>
                <w:rFonts w:ascii="Verdana" w:eastAsia="Verdana" w:hAnsi="Verdana" w:cs="Verdana"/>
                <w:b/>
                <w:color w:val="000000"/>
                <w:sz w:val="16"/>
                <w:lang w:val="en-GB"/>
              </w:rPr>
              <w:t>Net Cost of Services</w:t>
            </w:r>
          </w:p>
        </w:tc>
        <w:tc>
          <w:tcPr>
            <w:tcW w:w="1482" w:type="dxa"/>
            <w:tcBorders>
              <w:top w:val="single" w:sz="2" w:space="0" w:color="000000"/>
              <w:bottom w:val="single" w:sz="12" w:space="0" w:color="000000"/>
            </w:tcBorders>
            <w:shd w:val="clear" w:color="auto" w:fill="auto"/>
            <w:tcMar>
              <w:top w:w="20" w:type="dxa"/>
              <w:left w:w="20" w:type="dxa"/>
              <w:bottom w:w="20" w:type="dxa"/>
              <w:right w:w="20" w:type="dxa"/>
            </w:tcMar>
          </w:tcPr>
          <w:p w14:paraId="41DCFBC8" w14:textId="699267CD" w:rsidR="009D3BDC" w:rsidRPr="004D57BE" w:rsidRDefault="00E9330B">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214,978</w:t>
            </w:r>
          </w:p>
        </w:tc>
        <w:tc>
          <w:tcPr>
            <w:tcW w:w="1482" w:type="dxa"/>
            <w:tcBorders>
              <w:top w:val="single" w:sz="2" w:space="0" w:color="000000"/>
              <w:bottom w:val="single" w:sz="12" w:space="0" w:color="000000"/>
            </w:tcBorders>
            <w:shd w:val="clear" w:color="auto" w:fill="auto"/>
            <w:tcMar>
              <w:top w:w="20" w:type="dxa"/>
              <w:left w:w="20" w:type="dxa"/>
              <w:bottom w:w="20" w:type="dxa"/>
              <w:right w:w="20" w:type="dxa"/>
            </w:tcMar>
          </w:tcPr>
          <w:p w14:paraId="55B3F1E9" w14:textId="77777777" w:rsidR="009D3BDC" w:rsidRPr="00385AF4" w:rsidRDefault="009D3BDC" w:rsidP="0033722E">
            <w:pPr>
              <w:pStyle w:val="T1TableStyle"/>
              <w:jc w:val="right"/>
              <w:rPr>
                <w:rFonts w:ascii="Verdana" w:eastAsia="Verdana" w:hAnsi="Verdana" w:cs="Verdana"/>
                <w:b/>
                <w:color w:val="000000"/>
                <w:sz w:val="16"/>
                <w:lang w:val="en-GB"/>
              </w:rPr>
            </w:pPr>
            <w:r w:rsidRPr="00385AF4">
              <w:rPr>
                <w:rFonts w:ascii="Verdana" w:eastAsia="Verdana" w:hAnsi="Verdana" w:cs="Verdana"/>
                <w:b/>
                <w:color w:val="000000"/>
                <w:sz w:val="16"/>
                <w:lang w:val="en-GB"/>
              </w:rPr>
              <w:t>68,528</w:t>
            </w:r>
          </w:p>
        </w:tc>
        <w:tc>
          <w:tcPr>
            <w:tcW w:w="1484" w:type="dxa"/>
            <w:tcBorders>
              <w:top w:val="single" w:sz="2" w:space="0" w:color="000000"/>
              <w:bottom w:val="single" w:sz="12" w:space="0" w:color="000000"/>
            </w:tcBorders>
            <w:shd w:val="clear" w:color="auto" w:fill="auto"/>
            <w:tcMar>
              <w:top w:w="20" w:type="dxa"/>
              <w:left w:w="20" w:type="dxa"/>
              <w:bottom w:w="20" w:type="dxa"/>
              <w:right w:w="20" w:type="dxa"/>
            </w:tcMar>
          </w:tcPr>
          <w:p w14:paraId="735451B5" w14:textId="6391C00B" w:rsidR="009D3BDC" w:rsidRPr="00385AF4" w:rsidRDefault="00E9330B">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283,506</w:t>
            </w:r>
          </w:p>
        </w:tc>
      </w:tr>
      <w:tr w:rsidR="009D3BDC" w:rsidRPr="004648C0" w14:paraId="0543A7F2" w14:textId="77777777" w:rsidTr="00C10622">
        <w:trPr>
          <w:trHeight w:val="404"/>
          <w:jc w:val="center"/>
        </w:trPr>
        <w:tc>
          <w:tcPr>
            <w:tcW w:w="1482" w:type="dxa"/>
            <w:tcBorders>
              <w:top w:val="single" w:sz="12" w:space="0" w:color="000000"/>
              <w:bottom w:val="single" w:sz="4" w:space="0" w:color="000000"/>
            </w:tcBorders>
            <w:shd w:val="clear" w:color="auto" w:fill="auto"/>
            <w:tcMar>
              <w:top w:w="20" w:type="dxa"/>
              <w:left w:w="20" w:type="dxa"/>
              <w:bottom w:w="20" w:type="dxa"/>
              <w:right w:w="20" w:type="dxa"/>
            </w:tcMar>
          </w:tcPr>
          <w:p w14:paraId="258850FB" w14:textId="77777777" w:rsidR="009D3BDC" w:rsidRPr="004D57BE" w:rsidRDefault="009D3BDC" w:rsidP="009D3BDC">
            <w:pPr>
              <w:pStyle w:val="T1TableStyle"/>
              <w:jc w:val="right"/>
              <w:rPr>
                <w:rFonts w:ascii="Verdana" w:eastAsia="Verdana" w:hAnsi="Verdana" w:cs="Verdana"/>
                <w:color w:val="000000"/>
                <w:sz w:val="16"/>
                <w:lang w:val="en-GB"/>
              </w:rPr>
            </w:pPr>
            <w:r w:rsidRPr="004D57BE">
              <w:rPr>
                <w:rFonts w:ascii="Verdana" w:eastAsia="Verdana" w:hAnsi="Verdana" w:cs="Verdana"/>
                <w:color w:val="000000"/>
                <w:sz w:val="16"/>
                <w:lang w:val="en-GB"/>
              </w:rPr>
              <w:t>(197,718)</w:t>
            </w:r>
          </w:p>
        </w:tc>
        <w:tc>
          <w:tcPr>
            <w:tcW w:w="1482" w:type="dxa"/>
            <w:tcBorders>
              <w:top w:val="single" w:sz="12" w:space="0" w:color="000000"/>
              <w:bottom w:val="single" w:sz="4" w:space="0" w:color="000000"/>
            </w:tcBorders>
            <w:shd w:val="clear" w:color="auto" w:fill="auto"/>
            <w:tcMar>
              <w:top w:w="20" w:type="dxa"/>
              <w:left w:w="20" w:type="dxa"/>
              <w:bottom w:w="20" w:type="dxa"/>
              <w:right w:w="20" w:type="dxa"/>
            </w:tcMar>
          </w:tcPr>
          <w:p w14:paraId="7997837F" w14:textId="77777777" w:rsidR="009D3BDC" w:rsidRPr="004D57BE" w:rsidRDefault="009D3BDC" w:rsidP="009D3BDC">
            <w:pPr>
              <w:pStyle w:val="T1TableStyle"/>
              <w:jc w:val="right"/>
              <w:rPr>
                <w:rFonts w:ascii="Verdana" w:eastAsia="Verdana" w:hAnsi="Verdana" w:cs="Verdana"/>
                <w:color w:val="000000"/>
                <w:sz w:val="16"/>
                <w:lang w:val="en-GB"/>
              </w:rPr>
            </w:pPr>
            <w:r w:rsidRPr="004D57BE">
              <w:rPr>
                <w:rFonts w:ascii="Verdana" w:eastAsia="Verdana" w:hAnsi="Verdana" w:cs="Verdana"/>
                <w:color w:val="000000"/>
                <w:sz w:val="16"/>
                <w:lang w:val="en-GB"/>
              </w:rPr>
              <w:t>0</w:t>
            </w:r>
          </w:p>
        </w:tc>
        <w:tc>
          <w:tcPr>
            <w:tcW w:w="1484" w:type="dxa"/>
            <w:tcBorders>
              <w:top w:val="single" w:sz="12" w:space="0" w:color="000000"/>
              <w:bottom w:val="single" w:sz="4" w:space="0" w:color="000000"/>
            </w:tcBorders>
            <w:shd w:val="clear" w:color="auto" w:fill="auto"/>
            <w:tcMar>
              <w:top w:w="20" w:type="dxa"/>
              <w:left w:w="20" w:type="dxa"/>
              <w:bottom w:w="20" w:type="dxa"/>
              <w:right w:w="20" w:type="dxa"/>
            </w:tcMar>
          </w:tcPr>
          <w:p w14:paraId="449CA8EE" w14:textId="77777777" w:rsidR="009D3BDC" w:rsidRPr="004D57BE" w:rsidRDefault="009D3BDC" w:rsidP="009D3BDC">
            <w:pPr>
              <w:pStyle w:val="T1TableStyle"/>
              <w:jc w:val="right"/>
              <w:rPr>
                <w:rFonts w:ascii="Verdana" w:eastAsia="Verdana" w:hAnsi="Verdana" w:cs="Verdana"/>
                <w:color w:val="000000"/>
                <w:sz w:val="16"/>
                <w:lang w:val="en-GB"/>
              </w:rPr>
            </w:pPr>
            <w:r w:rsidRPr="004D57BE">
              <w:rPr>
                <w:rFonts w:ascii="Verdana" w:eastAsia="Verdana" w:hAnsi="Verdana" w:cs="Verdana"/>
                <w:color w:val="000000"/>
                <w:sz w:val="16"/>
                <w:lang w:val="en-GB"/>
              </w:rPr>
              <w:t>(197,718)</w:t>
            </w:r>
          </w:p>
        </w:tc>
        <w:tc>
          <w:tcPr>
            <w:tcW w:w="1949" w:type="dxa"/>
            <w:tcBorders>
              <w:top w:val="single" w:sz="12" w:space="0" w:color="000000"/>
              <w:bottom w:val="single" w:sz="4" w:space="0" w:color="000000"/>
            </w:tcBorders>
            <w:shd w:val="clear" w:color="auto" w:fill="auto"/>
            <w:tcMar>
              <w:top w:w="20" w:type="dxa"/>
              <w:left w:w="20" w:type="dxa"/>
              <w:bottom w:w="20" w:type="dxa"/>
              <w:right w:w="20" w:type="dxa"/>
            </w:tcMar>
          </w:tcPr>
          <w:p w14:paraId="49098DCC" w14:textId="77777777" w:rsidR="009D3BDC" w:rsidRPr="004D57BE" w:rsidRDefault="009D3BDC" w:rsidP="009D3BDC">
            <w:pPr>
              <w:pStyle w:val="T1TableStyle"/>
              <w:rPr>
                <w:rFonts w:ascii="Verdana" w:eastAsia="Verdana" w:hAnsi="Verdana" w:cs="Verdana"/>
                <w:color w:val="000000"/>
                <w:sz w:val="16"/>
                <w:lang w:val="en-GB"/>
              </w:rPr>
            </w:pPr>
            <w:r w:rsidRPr="004D57BE">
              <w:rPr>
                <w:rFonts w:ascii="Verdana" w:eastAsia="Verdana" w:hAnsi="Verdana" w:cs="Verdana"/>
                <w:color w:val="000000"/>
                <w:sz w:val="16"/>
                <w:lang w:val="en-GB"/>
              </w:rPr>
              <w:t>Other Income and Expenditure</w:t>
            </w:r>
          </w:p>
        </w:tc>
        <w:tc>
          <w:tcPr>
            <w:tcW w:w="1482" w:type="dxa"/>
            <w:tcBorders>
              <w:top w:val="single" w:sz="12" w:space="0" w:color="000000"/>
              <w:bottom w:val="single" w:sz="4" w:space="0" w:color="000000"/>
            </w:tcBorders>
            <w:shd w:val="clear" w:color="auto" w:fill="auto"/>
            <w:tcMar>
              <w:top w:w="20" w:type="dxa"/>
              <w:left w:w="20" w:type="dxa"/>
              <w:bottom w:w="20" w:type="dxa"/>
              <w:right w:w="20" w:type="dxa"/>
            </w:tcMar>
          </w:tcPr>
          <w:p w14:paraId="0E91B510" w14:textId="5AB4D00D" w:rsidR="009D3BDC" w:rsidRPr="004648C0" w:rsidRDefault="004648C0">
            <w:pPr>
              <w:pStyle w:val="T1TableStyle"/>
              <w:jc w:val="right"/>
              <w:rPr>
                <w:rFonts w:ascii="Verdana" w:eastAsia="Verdana" w:hAnsi="Verdana" w:cs="Verdana"/>
                <w:color w:val="000000"/>
                <w:sz w:val="16"/>
                <w:lang w:val="en-GB"/>
              </w:rPr>
            </w:pPr>
            <w:r w:rsidRPr="004648C0">
              <w:rPr>
                <w:rFonts w:ascii="Verdana" w:eastAsia="Verdana" w:hAnsi="Verdana" w:cs="Verdana"/>
                <w:color w:val="000000"/>
                <w:sz w:val="16"/>
                <w:lang w:val="en-GB"/>
              </w:rPr>
              <w:t>(</w:t>
            </w:r>
            <w:r w:rsidR="00E9330B">
              <w:rPr>
                <w:rFonts w:ascii="Verdana" w:eastAsia="Verdana" w:hAnsi="Verdana" w:cs="Verdana"/>
                <w:color w:val="000000"/>
                <w:sz w:val="16"/>
                <w:lang w:val="en-GB"/>
              </w:rPr>
              <w:t>214,978</w:t>
            </w:r>
            <w:r w:rsidR="009D3BDC" w:rsidRPr="004648C0">
              <w:rPr>
                <w:rFonts w:ascii="Verdana" w:eastAsia="Verdana" w:hAnsi="Verdana" w:cs="Verdana"/>
                <w:color w:val="000000"/>
                <w:sz w:val="16"/>
                <w:lang w:val="en-GB"/>
              </w:rPr>
              <w:t>)</w:t>
            </w:r>
          </w:p>
        </w:tc>
        <w:tc>
          <w:tcPr>
            <w:tcW w:w="1482" w:type="dxa"/>
            <w:tcBorders>
              <w:top w:val="single" w:sz="12" w:space="0" w:color="000000"/>
              <w:bottom w:val="single" w:sz="4" w:space="0" w:color="000000"/>
            </w:tcBorders>
            <w:shd w:val="clear" w:color="auto" w:fill="auto"/>
            <w:tcMar>
              <w:top w:w="20" w:type="dxa"/>
              <w:left w:w="20" w:type="dxa"/>
              <w:bottom w:w="20" w:type="dxa"/>
              <w:right w:w="20" w:type="dxa"/>
            </w:tcMar>
          </w:tcPr>
          <w:p w14:paraId="06DBD426" w14:textId="77777777" w:rsidR="009D3BDC" w:rsidRPr="004648C0" w:rsidRDefault="004648C0" w:rsidP="009D3BDC">
            <w:pPr>
              <w:pStyle w:val="T1TableStyle"/>
              <w:jc w:val="right"/>
              <w:rPr>
                <w:rFonts w:ascii="Verdana" w:eastAsia="Verdana" w:hAnsi="Verdana" w:cs="Verdana"/>
                <w:color w:val="000000"/>
                <w:sz w:val="16"/>
                <w:lang w:val="en-GB"/>
              </w:rPr>
            </w:pPr>
            <w:r w:rsidRPr="004648C0">
              <w:rPr>
                <w:rFonts w:ascii="Verdana" w:eastAsia="Verdana" w:hAnsi="Verdana" w:cs="Verdana"/>
                <w:color w:val="000000"/>
                <w:sz w:val="16"/>
                <w:lang w:val="en-GB"/>
              </w:rPr>
              <w:t>0</w:t>
            </w:r>
          </w:p>
        </w:tc>
        <w:tc>
          <w:tcPr>
            <w:tcW w:w="1484" w:type="dxa"/>
            <w:tcBorders>
              <w:top w:val="single" w:sz="12" w:space="0" w:color="000000"/>
              <w:bottom w:val="single" w:sz="4" w:space="0" w:color="000000"/>
            </w:tcBorders>
            <w:shd w:val="clear" w:color="auto" w:fill="auto"/>
            <w:tcMar>
              <w:top w:w="20" w:type="dxa"/>
              <w:left w:w="20" w:type="dxa"/>
              <w:bottom w:w="20" w:type="dxa"/>
              <w:right w:w="20" w:type="dxa"/>
            </w:tcMar>
          </w:tcPr>
          <w:p w14:paraId="3A666529" w14:textId="34D503F6" w:rsidR="009D3BDC" w:rsidRPr="004648C0" w:rsidRDefault="004648C0">
            <w:pPr>
              <w:pStyle w:val="T1TableStyle"/>
              <w:jc w:val="right"/>
              <w:rPr>
                <w:rFonts w:ascii="Verdana" w:eastAsia="Verdana" w:hAnsi="Verdana" w:cs="Verdana"/>
                <w:color w:val="000000"/>
                <w:sz w:val="16"/>
                <w:lang w:val="en-GB"/>
              </w:rPr>
            </w:pPr>
            <w:r w:rsidRPr="004648C0">
              <w:rPr>
                <w:rFonts w:ascii="Verdana" w:eastAsia="Verdana" w:hAnsi="Verdana" w:cs="Verdana"/>
                <w:color w:val="000000"/>
                <w:sz w:val="16"/>
                <w:lang w:val="en-GB"/>
              </w:rPr>
              <w:t>(</w:t>
            </w:r>
            <w:r w:rsidR="00E9330B">
              <w:rPr>
                <w:rFonts w:ascii="Verdana" w:eastAsia="Verdana" w:hAnsi="Verdana" w:cs="Verdana"/>
                <w:color w:val="000000"/>
                <w:sz w:val="16"/>
                <w:lang w:val="en-GB"/>
              </w:rPr>
              <w:t>214,978</w:t>
            </w:r>
            <w:r w:rsidR="009D3BDC" w:rsidRPr="004648C0">
              <w:rPr>
                <w:rFonts w:ascii="Verdana" w:eastAsia="Verdana" w:hAnsi="Verdana" w:cs="Verdana"/>
                <w:color w:val="000000"/>
                <w:sz w:val="16"/>
                <w:lang w:val="en-GB"/>
              </w:rPr>
              <w:t>)</w:t>
            </w:r>
          </w:p>
        </w:tc>
      </w:tr>
      <w:tr w:rsidR="009D3BDC" w:rsidRPr="004648C0" w14:paraId="1785D4B7" w14:textId="77777777" w:rsidTr="00C10622">
        <w:trPr>
          <w:trHeight w:val="404"/>
          <w:jc w:val="center"/>
        </w:trPr>
        <w:tc>
          <w:tcPr>
            <w:tcW w:w="1482" w:type="dxa"/>
            <w:tcBorders>
              <w:top w:val="single" w:sz="4" w:space="0" w:color="000000"/>
              <w:bottom w:val="single" w:sz="12" w:space="0" w:color="auto"/>
            </w:tcBorders>
            <w:shd w:val="clear" w:color="auto" w:fill="auto"/>
            <w:tcMar>
              <w:top w:w="20" w:type="dxa"/>
              <w:left w:w="20" w:type="dxa"/>
              <w:bottom w:w="20" w:type="dxa"/>
              <w:right w:w="20" w:type="dxa"/>
            </w:tcMar>
          </w:tcPr>
          <w:p w14:paraId="0F8E9E6C" w14:textId="77777777" w:rsidR="009D3BDC" w:rsidRPr="004D57BE" w:rsidRDefault="009D3BDC" w:rsidP="009D3BDC">
            <w:pPr>
              <w:pStyle w:val="T1TableStyle"/>
              <w:jc w:val="right"/>
              <w:rPr>
                <w:rFonts w:ascii="Verdana" w:eastAsia="Verdana" w:hAnsi="Verdana" w:cs="Verdana"/>
                <w:b/>
                <w:color w:val="000000"/>
                <w:sz w:val="16"/>
                <w:lang w:val="en-GB"/>
              </w:rPr>
            </w:pPr>
          </w:p>
          <w:p w14:paraId="6D604EDA" w14:textId="77777777" w:rsidR="009D3BDC" w:rsidRPr="004D57BE" w:rsidRDefault="009D3BDC" w:rsidP="009D3BDC">
            <w:pPr>
              <w:pStyle w:val="T1TableStyle"/>
              <w:jc w:val="right"/>
              <w:rPr>
                <w:rFonts w:ascii="Verdana" w:eastAsia="Verdana" w:hAnsi="Verdana" w:cs="Verdana"/>
                <w:b/>
                <w:color w:val="000000"/>
                <w:sz w:val="16"/>
                <w:lang w:val="en-GB"/>
              </w:rPr>
            </w:pPr>
            <w:r w:rsidRPr="004D57BE">
              <w:rPr>
                <w:rFonts w:ascii="Verdana" w:eastAsia="Verdana" w:hAnsi="Verdana" w:cs="Verdana"/>
                <w:b/>
                <w:color w:val="000000"/>
                <w:sz w:val="16"/>
                <w:lang w:val="en-GB"/>
              </w:rPr>
              <w:t>0</w:t>
            </w:r>
          </w:p>
        </w:tc>
        <w:tc>
          <w:tcPr>
            <w:tcW w:w="1482" w:type="dxa"/>
            <w:tcBorders>
              <w:top w:val="single" w:sz="4" w:space="0" w:color="000000"/>
              <w:bottom w:val="single" w:sz="12" w:space="0" w:color="auto"/>
            </w:tcBorders>
            <w:shd w:val="clear" w:color="auto" w:fill="auto"/>
            <w:tcMar>
              <w:top w:w="20" w:type="dxa"/>
              <w:left w:w="20" w:type="dxa"/>
              <w:bottom w:w="20" w:type="dxa"/>
              <w:right w:w="20" w:type="dxa"/>
            </w:tcMar>
          </w:tcPr>
          <w:p w14:paraId="22BDF530" w14:textId="77777777" w:rsidR="009D3BDC" w:rsidRPr="004D57BE" w:rsidRDefault="009D3BDC" w:rsidP="009D3BDC">
            <w:pPr>
              <w:rPr>
                <w:b/>
                <w:sz w:val="16"/>
                <w:szCs w:val="16"/>
                <w:lang w:val="en-GB"/>
              </w:rPr>
            </w:pPr>
            <w:r w:rsidRPr="004D57BE">
              <w:rPr>
                <w:b/>
                <w:sz w:val="16"/>
                <w:szCs w:val="16"/>
                <w:lang w:val="en-GB"/>
              </w:rPr>
              <w:t xml:space="preserve">                         </w:t>
            </w:r>
          </w:p>
          <w:p w14:paraId="6C73ECCE" w14:textId="7B0CD520" w:rsidR="009D3BDC" w:rsidRPr="004D57BE" w:rsidRDefault="009D3BDC" w:rsidP="009D3BDC">
            <w:pPr>
              <w:rPr>
                <w:rFonts w:ascii="Verdana" w:hAnsi="Verdana"/>
                <w:b/>
                <w:sz w:val="16"/>
                <w:szCs w:val="16"/>
                <w:lang w:val="en-GB"/>
              </w:rPr>
            </w:pPr>
            <w:r w:rsidRPr="004D57BE">
              <w:rPr>
                <w:rFonts w:ascii="Verdana" w:hAnsi="Verdana"/>
                <w:b/>
                <w:sz w:val="16"/>
                <w:szCs w:val="16"/>
                <w:lang w:val="en-GB"/>
              </w:rPr>
              <w:t xml:space="preserve">            </w:t>
            </w:r>
            <w:r w:rsidR="00C10622">
              <w:rPr>
                <w:rFonts w:ascii="Verdana" w:hAnsi="Verdana"/>
                <w:b/>
                <w:sz w:val="16"/>
                <w:szCs w:val="16"/>
                <w:lang w:val="en-GB"/>
              </w:rPr>
              <w:t xml:space="preserve">  </w:t>
            </w:r>
            <w:r w:rsidRPr="004D57BE">
              <w:rPr>
                <w:rFonts w:ascii="Verdana" w:hAnsi="Verdana"/>
                <w:b/>
                <w:sz w:val="16"/>
                <w:szCs w:val="16"/>
                <w:lang w:val="en-GB"/>
              </w:rPr>
              <w:t xml:space="preserve">63,031                                  </w:t>
            </w:r>
          </w:p>
        </w:tc>
        <w:tc>
          <w:tcPr>
            <w:tcW w:w="1484" w:type="dxa"/>
            <w:tcBorders>
              <w:top w:val="single" w:sz="4" w:space="0" w:color="000000"/>
              <w:bottom w:val="single" w:sz="12" w:space="0" w:color="auto"/>
            </w:tcBorders>
            <w:shd w:val="clear" w:color="auto" w:fill="auto"/>
            <w:tcMar>
              <w:top w:w="20" w:type="dxa"/>
              <w:left w:w="20" w:type="dxa"/>
              <w:bottom w:w="20" w:type="dxa"/>
              <w:right w:w="20" w:type="dxa"/>
            </w:tcMar>
          </w:tcPr>
          <w:p w14:paraId="365087C8" w14:textId="77777777" w:rsidR="009D3BDC" w:rsidRPr="004D57BE" w:rsidRDefault="009D3BDC" w:rsidP="009D3BDC">
            <w:pPr>
              <w:pStyle w:val="T1TableStyle"/>
              <w:jc w:val="right"/>
              <w:rPr>
                <w:rFonts w:ascii="Verdana" w:eastAsia="Verdana" w:hAnsi="Verdana" w:cs="Verdana"/>
                <w:b/>
                <w:color w:val="000000"/>
                <w:sz w:val="16"/>
                <w:lang w:val="en-GB"/>
              </w:rPr>
            </w:pPr>
          </w:p>
          <w:p w14:paraId="4A75E1B1" w14:textId="77777777" w:rsidR="009D3BDC" w:rsidRPr="004D57BE" w:rsidRDefault="009D3BDC" w:rsidP="009D3BDC">
            <w:pPr>
              <w:pStyle w:val="T1TableStyle"/>
              <w:jc w:val="right"/>
              <w:rPr>
                <w:rFonts w:ascii="Verdana" w:eastAsia="Verdana" w:hAnsi="Verdana" w:cs="Verdana"/>
                <w:b/>
                <w:color w:val="000000"/>
                <w:sz w:val="16"/>
                <w:lang w:val="en-GB"/>
              </w:rPr>
            </w:pPr>
            <w:r w:rsidRPr="004D57BE">
              <w:rPr>
                <w:rFonts w:ascii="Verdana" w:eastAsia="Verdana" w:hAnsi="Verdana" w:cs="Verdana"/>
                <w:b/>
                <w:color w:val="000000"/>
                <w:sz w:val="16"/>
                <w:lang w:val="en-GB"/>
              </w:rPr>
              <w:t>63,031</w:t>
            </w:r>
          </w:p>
        </w:tc>
        <w:tc>
          <w:tcPr>
            <w:tcW w:w="1949" w:type="dxa"/>
            <w:tcBorders>
              <w:top w:val="single" w:sz="4" w:space="0" w:color="000000"/>
              <w:bottom w:val="single" w:sz="12" w:space="0" w:color="auto"/>
            </w:tcBorders>
            <w:shd w:val="clear" w:color="auto" w:fill="auto"/>
            <w:tcMar>
              <w:top w:w="20" w:type="dxa"/>
              <w:left w:w="20" w:type="dxa"/>
              <w:bottom w:w="20" w:type="dxa"/>
              <w:right w:w="20" w:type="dxa"/>
            </w:tcMar>
          </w:tcPr>
          <w:p w14:paraId="27601B91" w14:textId="77777777" w:rsidR="009D3BDC" w:rsidRPr="004D57BE" w:rsidRDefault="009D3BDC" w:rsidP="009D3BDC">
            <w:pPr>
              <w:pStyle w:val="T1TableStyle"/>
              <w:rPr>
                <w:rFonts w:ascii="Verdana" w:eastAsia="Verdana" w:hAnsi="Verdana" w:cs="Verdana"/>
                <w:b/>
                <w:color w:val="000000"/>
                <w:sz w:val="16"/>
                <w:lang w:val="en-GB"/>
              </w:rPr>
            </w:pPr>
          </w:p>
          <w:p w14:paraId="2D0E6278" w14:textId="77777777" w:rsidR="009D3BDC" w:rsidRPr="004D57BE" w:rsidRDefault="009D3BDC" w:rsidP="009D3BDC">
            <w:pPr>
              <w:pStyle w:val="T1TableStyle"/>
              <w:rPr>
                <w:rFonts w:ascii="Verdana" w:eastAsia="Verdana" w:hAnsi="Verdana" w:cs="Verdana"/>
                <w:b/>
                <w:color w:val="000000"/>
                <w:sz w:val="16"/>
                <w:lang w:val="en-GB"/>
              </w:rPr>
            </w:pPr>
            <w:r w:rsidRPr="004D57BE">
              <w:rPr>
                <w:rFonts w:ascii="Verdana" w:eastAsia="Verdana" w:hAnsi="Verdana" w:cs="Verdana"/>
                <w:b/>
                <w:color w:val="000000"/>
                <w:sz w:val="16"/>
                <w:lang w:val="en-GB"/>
              </w:rPr>
              <w:t>Surplus or Deficit Provision of Services</w:t>
            </w:r>
          </w:p>
        </w:tc>
        <w:tc>
          <w:tcPr>
            <w:tcW w:w="1482" w:type="dxa"/>
            <w:tcBorders>
              <w:top w:val="single" w:sz="4" w:space="0" w:color="000000"/>
              <w:bottom w:val="single" w:sz="12" w:space="0" w:color="auto"/>
            </w:tcBorders>
            <w:shd w:val="clear" w:color="auto" w:fill="auto"/>
            <w:tcMar>
              <w:top w:w="20" w:type="dxa"/>
              <w:left w:w="20" w:type="dxa"/>
              <w:bottom w:w="20" w:type="dxa"/>
              <w:right w:w="20" w:type="dxa"/>
            </w:tcMar>
          </w:tcPr>
          <w:p w14:paraId="1BE45270" w14:textId="77777777" w:rsidR="009D3BDC" w:rsidRPr="004648C0" w:rsidRDefault="009D3BDC" w:rsidP="009D3BDC">
            <w:pPr>
              <w:pStyle w:val="T1TableStyle"/>
              <w:jc w:val="right"/>
              <w:rPr>
                <w:rFonts w:ascii="Verdana" w:eastAsia="Verdana" w:hAnsi="Verdana" w:cs="Verdana"/>
                <w:b/>
                <w:color w:val="000000"/>
                <w:sz w:val="16"/>
                <w:lang w:val="en-GB"/>
              </w:rPr>
            </w:pPr>
          </w:p>
          <w:p w14:paraId="213B590C" w14:textId="77777777" w:rsidR="00385AF4" w:rsidRPr="004648C0" w:rsidRDefault="0033722E" w:rsidP="009D3BDC">
            <w:pPr>
              <w:pStyle w:val="T1TableStyle"/>
              <w:jc w:val="right"/>
              <w:rPr>
                <w:rFonts w:ascii="Verdana" w:eastAsia="Verdana" w:hAnsi="Verdana" w:cs="Verdana"/>
                <w:b/>
                <w:color w:val="000000"/>
                <w:sz w:val="16"/>
                <w:lang w:val="en-GB"/>
              </w:rPr>
            </w:pPr>
            <w:r w:rsidRPr="004648C0">
              <w:rPr>
                <w:rFonts w:ascii="Verdana" w:eastAsia="Verdana" w:hAnsi="Verdana" w:cs="Verdana"/>
                <w:b/>
                <w:color w:val="000000"/>
                <w:sz w:val="16"/>
                <w:lang w:val="en-GB"/>
              </w:rPr>
              <w:t>0</w:t>
            </w:r>
          </w:p>
          <w:p w14:paraId="7CD3EA56" w14:textId="77777777" w:rsidR="00385AF4" w:rsidRPr="004648C0" w:rsidRDefault="00385AF4" w:rsidP="009D3BDC">
            <w:pPr>
              <w:pStyle w:val="T1TableStyle"/>
              <w:jc w:val="right"/>
              <w:rPr>
                <w:rFonts w:ascii="Verdana" w:eastAsia="Verdana" w:hAnsi="Verdana" w:cs="Verdana"/>
                <w:b/>
                <w:color w:val="000000"/>
                <w:sz w:val="16"/>
                <w:lang w:val="en-GB"/>
              </w:rPr>
            </w:pPr>
          </w:p>
        </w:tc>
        <w:tc>
          <w:tcPr>
            <w:tcW w:w="1482" w:type="dxa"/>
            <w:tcBorders>
              <w:top w:val="single" w:sz="4" w:space="0" w:color="000000"/>
              <w:bottom w:val="single" w:sz="12" w:space="0" w:color="auto"/>
            </w:tcBorders>
            <w:shd w:val="clear" w:color="auto" w:fill="auto"/>
            <w:tcMar>
              <w:top w:w="20" w:type="dxa"/>
              <w:left w:w="20" w:type="dxa"/>
              <w:bottom w:w="20" w:type="dxa"/>
              <w:right w:w="20" w:type="dxa"/>
            </w:tcMar>
          </w:tcPr>
          <w:p w14:paraId="68D1E24C" w14:textId="77777777" w:rsidR="004648C0" w:rsidRPr="004648C0" w:rsidRDefault="004648C0" w:rsidP="009D3BDC">
            <w:pPr>
              <w:rPr>
                <w:rFonts w:ascii="Verdana" w:hAnsi="Verdana"/>
                <w:b/>
                <w:sz w:val="16"/>
                <w:szCs w:val="16"/>
                <w:lang w:val="en-GB"/>
              </w:rPr>
            </w:pPr>
          </w:p>
          <w:p w14:paraId="56E35D97" w14:textId="54579BEA" w:rsidR="009D3BDC" w:rsidRPr="00C10622" w:rsidRDefault="00C10622" w:rsidP="00C10622">
            <w:pPr>
              <w:tabs>
                <w:tab w:val="left" w:pos="1335"/>
              </w:tabs>
              <w:rPr>
                <w:rFonts w:ascii="Verdana" w:hAnsi="Verdana"/>
                <w:b/>
                <w:sz w:val="16"/>
                <w:szCs w:val="16"/>
                <w:lang w:val="en-GB"/>
              </w:rPr>
            </w:pPr>
            <w:r>
              <w:rPr>
                <w:rFonts w:ascii="Verdana" w:hAnsi="Verdana"/>
                <w:sz w:val="16"/>
                <w:szCs w:val="16"/>
                <w:lang w:val="en-GB"/>
              </w:rPr>
              <w:t xml:space="preserve">              </w:t>
            </w:r>
            <w:r w:rsidRPr="00C10622">
              <w:rPr>
                <w:rFonts w:ascii="Verdana" w:hAnsi="Verdana"/>
                <w:b/>
                <w:sz w:val="16"/>
                <w:szCs w:val="16"/>
                <w:lang w:val="en-GB"/>
              </w:rPr>
              <w:t>68,528</w:t>
            </w:r>
          </w:p>
        </w:tc>
        <w:tc>
          <w:tcPr>
            <w:tcW w:w="1484" w:type="dxa"/>
            <w:tcBorders>
              <w:top w:val="single" w:sz="4" w:space="0" w:color="000000"/>
              <w:bottom w:val="single" w:sz="12" w:space="0" w:color="auto"/>
            </w:tcBorders>
            <w:shd w:val="clear" w:color="auto" w:fill="auto"/>
            <w:tcMar>
              <w:top w:w="20" w:type="dxa"/>
              <w:left w:w="20" w:type="dxa"/>
              <w:bottom w:w="20" w:type="dxa"/>
              <w:right w:w="20" w:type="dxa"/>
            </w:tcMar>
          </w:tcPr>
          <w:p w14:paraId="6B8A5DD8" w14:textId="77777777" w:rsidR="009D3BDC" w:rsidRPr="004648C0" w:rsidRDefault="009D3BDC" w:rsidP="009D3BDC">
            <w:pPr>
              <w:pStyle w:val="T1TableStyle"/>
              <w:jc w:val="right"/>
              <w:rPr>
                <w:rFonts w:ascii="Verdana" w:eastAsia="Verdana" w:hAnsi="Verdana" w:cs="Verdana"/>
                <w:b/>
                <w:color w:val="000000"/>
                <w:sz w:val="16"/>
                <w:lang w:val="en-GB"/>
              </w:rPr>
            </w:pPr>
          </w:p>
          <w:p w14:paraId="363F0834" w14:textId="77777777" w:rsidR="00385AF4" w:rsidRPr="004648C0" w:rsidRDefault="00B52D92" w:rsidP="0033722E">
            <w:pPr>
              <w:pStyle w:val="T1TableStyle"/>
              <w:jc w:val="right"/>
              <w:rPr>
                <w:rFonts w:ascii="Verdana" w:eastAsia="Verdana" w:hAnsi="Verdana" w:cs="Verdana"/>
                <w:b/>
                <w:color w:val="000000"/>
                <w:sz w:val="16"/>
                <w:lang w:val="en-GB"/>
              </w:rPr>
            </w:pPr>
            <w:r w:rsidRPr="004648C0">
              <w:rPr>
                <w:rFonts w:ascii="Verdana" w:eastAsia="Verdana" w:hAnsi="Verdana" w:cs="Verdana"/>
                <w:b/>
                <w:color w:val="000000"/>
                <w:sz w:val="16"/>
                <w:lang w:val="en-GB"/>
              </w:rPr>
              <w:t>68</w:t>
            </w:r>
            <w:r w:rsidR="004648C0" w:rsidRPr="004648C0">
              <w:rPr>
                <w:rFonts w:ascii="Verdana" w:eastAsia="Verdana" w:hAnsi="Verdana" w:cs="Verdana"/>
                <w:b/>
                <w:color w:val="000000"/>
                <w:sz w:val="16"/>
                <w:lang w:val="en-GB"/>
              </w:rPr>
              <w:t>,528</w:t>
            </w:r>
          </w:p>
          <w:p w14:paraId="2B2A798D" w14:textId="77777777" w:rsidR="00201546" w:rsidRPr="004648C0" w:rsidRDefault="00201546" w:rsidP="00201546">
            <w:pPr>
              <w:pStyle w:val="T1TableStyle"/>
              <w:jc w:val="center"/>
              <w:rPr>
                <w:rFonts w:ascii="Verdana" w:eastAsia="Verdana" w:hAnsi="Verdana" w:cs="Verdana"/>
                <w:b/>
                <w:color w:val="000000"/>
                <w:sz w:val="16"/>
                <w:lang w:val="en-GB"/>
              </w:rPr>
            </w:pPr>
          </w:p>
        </w:tc>
      </w:tr>
      <w:tr w:rsidR="009D3BDC" w:rsidRPr="00DC1077" w14:paraId="64F0B148" w14:textId="77777777" w:rsidTr="00B54A0C">
        <w:trPr>
          <w:trHeight w:hRule="exact" w:val="86"/>
          <w:jc w:val="center"/>
        </w:trPr>
        <w:tc>
          <w:tcPr>
            <w:tcW w:w="1482" w:type="dxa"/>
            <w:tcBorders>
              <w:top w:val="single" w:sz="12" w:space="0" w:color="auto"/>
            </w:tcBorders>
            <w:shd w:val="clear" w:color="auto" w:fill="auto"/>
            <w:tcMar>
              <w:top w:w="20" w:type="dxa"/>
              <w:left w:w="20" w:type="dxa"/>
              <w:bottom w:w="20" w:type="dxa"/>
              <w:right w:w="20" w:type="dxa"/>
            </w:tcMar>
          </w:tcPr>
          <w:p w14:paraId="043E36B1" w14:textId="77777777" w:rsidR="009D3BDC" w:rsidRPr="00DC1077" w:rsidRDefault="009D3BDC" w:rsidP="009D3BDC">
            <w:pPr>
              <w:pStyle w:val="T1TableStyle"/>
              <w:jc w:val="center"/>
              <w:rPr>
                <w:rFonts w:ascii="Calibri" w:eastAsia="Calibri" w:hAnsi="Calibri" w:cs="Calibri"/>
                <w:b/>
                <w:color w:val="000000"/>
                <w:sz w:val="2"/>
                <w:highlight w:val="yellow"/>
                <w:lang w:val="en-GB"/>
              </w:rPr>
            </w:pPr>
            <w:r w:rsidRPr="00DC1077">
              <w:rPr>
                <w:rFonts w:ascii="Calibri" w:eastAsia="Calibri" w:hAnsi="Calibri" w:cs="Calibri"/>
                <w:b/>
                <w:color w:val="000000"/>
                <w:sz w:val="2"/>
                <w:highlight w:val="yellow"/>
                <w:lang w:val="en-GB"/>
              </w:rPr>
              <w:t xml:space="preserve"> </w:t>
            </w:r>
          </w:p>
        </w:tc>
        <w:tc>
          <w:tcPr>
            <w:tcW w:w="1482" w:type="dxa"/>
            <w:tcBorders>
              <w:top w:val="single" w:sz="12" w:space="0" w:color="auto"/>
            </w:tcBorders>
            <w:shd w:val="clear" w:color="auto" w:fill="auto"/>
            <w:tcMar>
              <w:top w:w="20" w:type="dxa"/>
              <w:left w:w="20" w:type="dxa"/>
              <w:bottom w:w="20" w:type="dxa"/>
              <w:right w:w="20" w:type="dxa"/>
            </w:tcMar>
          </w:tcPr>
          <w:p w14:paraId="61C4DF58" w14:textId="77777777" w:rsidR="009D3BDC" w:rsidRPr="00DC1077" w:rsidRDefault="009D3BDC" w:rsidP="009D3BDC">
            <w:pPr>
              <w:pStyle w:val="T1TableStyle"/>
              <w:jc w:val="center"/>
              <w:rPr>
                <w:rFonts w:ascii="Calibri" w:eastAsia="Calibri" w:hAnsi="Calibri" w:cs="Calibri"/>
                <w:b/>
                <w:color w:val="000000"/>
                <w:sz w:val="2"/>
                <w:highlight w:val="yellow"/>
                <w:lang w:val="en-GB"/>
              </w:rPr>
            </w:pPr>
            <w:r w:rsidRPr="00DC1077">
              <w:rPr>
                <w:rFonts w:ascii="Calibri" w:eastAsia="Calibri" w:hAnsi="Calibri" w:cs="Calibri"/>
                <w:b/>
                <w:color w:val="000000"/>
                <w:sz w:val="2"/>
                <w:highlight w:val="yellow"/>
                <w:lang w:val="en-GB"/>
              </w:rPr>
              <w:t xml:space="preserve"> </w:t>
            </w:r>
          </w:p>
        </w:tc>
        <w:tc>
          <w:tcPr>
            <w:tcW w:w="1484" w:type="dxa"/>
            <w:tcBorders>
              <w:top w:val="single" w:sz="12" w:space="0" w:color="auto"/>
            </w:tcBorders>
            <w:shd w:val="clear" w:color="auto" w:fill="auto"/>
            <w:tcMar>
              <w:top w:w="20" w:type="dxa"/>
              <w:left w:w="20" w:type="dxa"/>
              <w:bottom w:w="20" w:type="dxa"/>
              <w:right w:w="20" w:type="dxa"/>
            </w:tcMar>
          </w:tcPr>
          <w:p w14:paraId="58B911E7" w14:textId="77777777" w:rsidR="009D3BDC" w:rsidRPr="00DC1077" w:rsidRDefault="009D3BDC" w:rsidP="009D3BDC">
            <w:pPr>
              <w:pStyle w:val="T1TableStyle"/>
              <w:jc w:val="center"/>
              <w:rPr>
                <w:rFonts w:ascii="Calibri" w:eastAsia="Calibri" w:hAnsi="Calibri" w:cs="Calibri"/>
                <w:b/>
                <w:color w:val="000000"/>
                <w:sz w:val="2"/>
                <w:highlight w:val="yellow"/>
                <w:lang w:val="en-GB"/>
              </w:rPr>
            </w:pPr>
            <w:r w:rsidRPr="00DC1077">
              <w:rPr>
                <w:rFonts w:ascii="Calibri" w:eastAsia="Calibri" w:hAnsi="Calibri" w:cs="Calibri"/>
                <w:b/>
                <w:color w:val="000000"/>
                <w:sz w:val="2"/>
                <w:highlight w:val="yellow"/>
                <w:lang w:val="en-GB"/>
              </w:rPr>
              <w:t xml:space="preserve"> </w:t>
            </w:r>
          </w:p>
        </w:tc>
        <w:tc>
          <w:tcPr>
            <w:tcW w:w="1949" w:type="dxa"/>
            <w:tcBorders>
              <w:top w:val="single" w:sz="12" w:space="0" w:color="auto"/>
            </w:tcBorders>
            <w:shd w:val="clear" w:color="auto" w:fill="auto"/>
            <w:tcMar>
              <w:top w:w="20" w:type="dxa"/>
              <w:left w:w="20" w:type="dxa"/>
              <w:bottom w:w="20" w:type="dxa"/>
              <w:right w:w="20" w:type="dxa"/>
            </w:tcMar>
          </w:tcPr>
          <w:p w14:paraId="4EF0AA14" w14:textId="77777777" w:rsidR="009D3BDC" w:rsidRPr="00DC1077" w:rsidRDefault="009D3BDC" w:rsidP="009D3BDC">
            <w:pPr>
              <w:pStyle w:val="T1TableStyle"/>
              <w:jc w:val="center"/>
              <w:rPr>
                <w:rFonts w:ascii="Calibri" w:eastAsia="Calibri" w:hAnsi="Calibri" w:cs="Calibri"/>
                <w:b/>
                <w:color w:val="000000"/>
                <w:sz w:val="2"/>
                <w:highlight w:val="yellow"/>
                <w:lang w:val="en-GB"/>
              </w:rPr>
            </w:pPr>
            <w:r w:rsidRPr="00DC1077">
              <w:rPr>
                <w:rFonts w:ascii="Calibri" w:eastAsia="Calibri" w:hAnsi="Calibri" w:cs="Calibri"/>
                <w:b/>
                <w:color w:val="000000"/>
                <w:sz w:val="2"/>
                <w:highlight w:val="yellow"/>
                <w:lang w:val="en-GB"/>
              </w:rPr>
              <w:t xml:space="preserve"> </w:t>
            </w:r>
          </w:p>
        </w:tc>
        <w:tc>
          <w:tcPr>
            <w:tcW w:w="1482" w:type="dxa"/>
            <w:tcBorders>
              <w:top w:val="single" w:sz="12" w:space="0" w:color="auto"/>
            </w:tcBorders>
            <w:shd w:val="clear" w:color="auto" w:fill="auto"/>
            <w:tcMar>
              <w:top w:w="20" w:type="dxa"/>
              <w:left w:w="20" w:type="dxa"/>
              <w:bottom w:w="20" w:type="dxa"/>
              <w:right w:w="20" w:type="dxa"/>
            </w:tcMar>
          </w:tcPr>
          <w:p w14:paraId="01B98EF8" w14:textId="77777777" w:rsidR="009D3BDC" w:rsidRPr="00385AF4" w:rsidRDefault="009D3BDC" w:rsidP="009D3BDC">
            <w:pPr>
              <w:pStyle w:val="T1TableStyle"/>
              <w:jc w:val="center"/>
              <w:rPr>
                <w:rFonts w:ascii="Calibri" w:eastAsia="Calibri" w:hAnsi="Calibri" w:cs="Calibri"/>
                <w:b/>
                <w:color w:val="000000"/>
                <w:sz w:val="2"/>
                <w:lang w:val="en-GB"/>
              </w:rPr>
            </w:pPr>
            <w:r w:rsidRPr="00385AF4">
              <w:rPr>
                <w:rFonts w:ascii="Calibri" w:eastAsia="Calibri" w:hAnsi="Calibri" w:cs="Calibri"/>
                <w:b/>
                <w:color w:val="000000"/>
                <w:sz w:val="2"/>
                <w:lang w:val="en-GB"/>
              </w:rPr>
              <w:t xml:space="preserve"> </w:t>
            </w:r>
          </w:p>
        </w:tc>
        <w:tc>
          <w:tcPr>
            <w:tcW w:w="1482" w:type="dxa"/>
            <w:tcBorders>
              <w:top w:val="single" w:sz="12" w:space="0" w:color="auto"/>
            </w:tcBorders>
            <w:shd w:val="clear" w:color="auto" w:fill="auto"/>
            <w:tcMar>
              <w:top w:w="20" w:type="dxa"/>
              <w:left w:w="20" w:type="dxa"/>
              <w:bottom w:w="20" w:type="dxa"/>
              <w:right w:w="20" w:type="dxa"/>
            </w:tcMar>
          </w:tcPr>
          <w:p w14:paraId="46AE816E" w14:textId="77777777" w:rsidR="009D3BDC" w:rsidRPr="00385AF4" w:rsidRDefault="009D3BDC" w:rsidP="009D3BDC">
            <w:pPr>
              <w:pStyle w:val="T1TableStyle"/>
              <w:jc w:val="center"/>
              <w:rPr>
                <w:rFonts w:ascii="Calibri" w:eastAsia="Calibri" w:hAnsi="Calibri" w:cs="Calibri"/>
                <w:b/>
                <w:color w:val="000000"/>
                <w:sz w:val="2"/>
                <w:lang w:val="en-GB"/>
              </w:rPr>
            </w:pPr>
            <w:r w:rsidRPr="00385AF4">
              <w:rPr>
                <w:rFonts w:ascii="Calibri" w:eastAsia="Calibri" w:hAnsi="Calibri" w:cs="Calibri"/>
                <w:b/>
                <w:color w:val="000000"/>
                <w:sz w:val="2"/>
                <w:lang w:val="en-GB"/>
              </w:rPr>
              <w:t xml:space="preserve"> </w:t>
            </w:r>
          </w:p>
        </w:tc>
        <w:tc>
          <w:tcPr>
            <w:tcW w:w="1484" w:type="dxa"/>
            <w:tcBorders>
              <w:top w:val="single" w:sz="12" w:space="0" w:color="auto"/>
            </w:tcBorders>
            <w:shd w:val="clear" w:color="auto" w:fill="auto"/>
            <w:tcMar>
              <w:top w:w="20" w:type="dxa"/>
              <w:left w:w="20" w:type="dxa"/>
              <w:bottom w:w="20" w:type="dxa"/>
              <w:right w:w="20" w:type="dxa"/>
            </w:tcMar>
          </w:tcPr>
          <w:p w14:paraId="2FA841CA" w14:textId="77777777" w:rsidR="009D3BDC" w:rsidRPr="00385AF4" w:rsidRDefault="009D3BDC" w:rsidP="009D3BDC">
            <w:pPr>
              <w:pStyle w:val="T1TableStyle"/>
              <w:jc w:val="center"/>
              <w:rPr>
                <w:rFonts w:ascii="Calibri" w:eastAsia="Calibri" w:hAnsi="Calibri" w:cs="Calibri"/>
                <w:b/>
                <w:color w:val="000000"/>
                <w:sz w:val="2"/>
                <w:lang w:val="en-GB"/>
              </w:rPr>
            </w:pPr>
            <w:r w:rsidRPr="00385AF4">
              <w:rPr>
                <w:rFonts w:ascii="Calibri" w:eastAsia="Calibri" w:hAnsi="Calibri" w:cs="Calibri"/>
                <w:b/>
                <w:color w:val="000000"/>
                <w:sz w:val="2"/>
                <w:lang w:val="en-GB"/>
              </w:rPr>
              <w:t xml:space="preserve"> </w:t>
            </w:r>
          </w:p>
        </w:tc>
      </w:tr>
    </w:tbl>
    <w:p w14:paraId="00CDFB44" w14:textId="77777777" w:rsidR="00F227D9" w:rsidRPr="00DC1077" w:rsidRDefault="00F227D9">
      <w:pPr>
        <w:pStyle w:val="T1TableStyle"/>
        <w:rPr>
          <w:b/>
          <w:highlight w:val="yellow"/>
          <w:lang w:val="en-GB"/>
        </w:rPr>
      </w:pPr>
    </w:p>
    <w:p w14:paraId="792D0696" w14:textId="209AD259" w:rsidR="00F227D9" w:rsidRPr="00A30DA8" w:rsidRDefault="00C53179">
      <w:pPr>
        <w:pStyle w:val="Normal0"/>
        <w:spacing w:after="160" w:line="259" w:lineRule="auto"/>
        <w:rPr>
          <w:sz w:val="22"/>
          <w:szCs w:val="22"/>
          <w:lang w:val="en-GB"/>
        </w:rPr>
      </w:pPr>
      <w:r>
        <w:rPr>
          <w:sz w:val="22"/>
          <w:szCs w:val="22"/>
          <w:lang w:val="en-GB"/>
        </w:rPr>
        <w:t>*</w:t>
      </w:r>
      <w:r w:rsidR="0095140D" w:rsidRPr="00A30DA8">
        <w:rPr>
          <w:sz w:val="22"/>
          <w:szCs w:val="22"/>
          <w:lang w:val="en-GB"/>
        </w:rPr>
        <w:t xml:space="preserve">Depreciation/ Amortisation in </w:t>
      </w:r>
      <w:r w:rsidR="00B54A0C">
        <w:rPr>
          <w:sz w:val="22"/>
          <w:szCs w:val="22"/>
          <w:lang w:val="en-GB"/>
        </w:rPr>
        <w:t>20</w:t>
      </w:r>
      <w:r w:rsidR="00AB41DA" w:rsidRPr="00A30DA8">
        <w:rPr>
          <w:sz w:val="22"/>
          <w:szCs w:val="22"/>
          <w:lang w:val="en-GB"/>
        </w:rPr>
        <w:t>20</w:t>
      </w:r>
      <w:r w:rsidR="0095140D" w:rsidRPr="00A30DA8">
        <w:rPr>
          <w:sz w:val="22"/>
          <w:szCs w:val="22"/>
          <w:lang w:val="en-GB"/>
        </w:rPr>
        <w:t>/2</w:t>
      </w:r>
      <w:r w:rsidR="00AB41DA" w:rsidRPr="00A30DA8">
        <w:rPr>
          <w:sz w:val="22"/>
          <w:szCs w:val="22"/>
          <w:lang w:val="en-GB"/>
        </w:rPr>
        <w:t>1</w:t>
      </w:r>
      <w:r w:rsidR="0095140D" w:rsidRPr="00A30DA8">
        <w:rPr>
          <w:sz w:val="22"/>
          <w:szCs w:val="22"/>
          <w:lang w:val="en-GB"/>
        </w:rPr>
        <w:t xml:space="preserve"> includes a figure of £</w:t>
      </w:r>
      <w:r w:rsidR="00A30DA8" w:rsidRPr="00A30DA8">
        <w:rPr>
          <w:sz w:val="22"/>
          <w:szCs w:val="22"/>
          <w:lang w:val="en-GB"/>
        </w:rPr>
        <w:t>2.049</w:t>
      </w:r>
      <w:r w:rsidR="0095140D" w:rsidRPr="00A30DA8">
        <w:rPr>
          <w:sz w:val="22"/>
          <w:szCs w:val="22"/>
          <w:lang w:val="en-GB"/>
        </w:rPr>
        <w:t>m for downward PPE revalua</w:t>
      </w:r>
      <w:r w:rsidR="002E4C7E" w:rsidRPr="00A30DA8">
        <w:rPr>
          <w:sz w:val="22"/>
          <w:szCs w:val="22"/>
          <w:lang w:val="en-GB"/>
        </w:rPr>
        <w:t>t</w:t>
      </w:r>
      <w:r w:rsidR="0095140D" w:rsidRPr="00A30DA8">
        <w:rPr>
          <w:sz w:val="22"/>
          <w:szCs w:val="22"/>
          <w:lang w:val="en-GB"/>
        </w:rPr>
        <w:t>ions</w:t>
      </w:r>
    </w:p>
    <w:p w14:paraId="4F62B31C" w14:textId="77777777" w:rsidR="00F93CA0" w:rsidRPr="00DC1077" w:rsidRDefault="00F93CA0">
      <w:pPr>
        <w:pStyle w:val="Normal0"/>
        <w:spacing w:after="160" w:line="259" w:lineRule="auto"/>
        <w:rPr>
          <w:sz w:val="22"/>
          <w:szCs w:val="22"/>
          <w:highlight w:val="yellow"/>
          <w:lang w:val="en-GB"/>
        </w:rPr>
      </w:pPr>
    </w:p>
    <w:p w14:paraId="187E1FE7" w14:textId="77777777" w:rsidR="003D5B85" w:rsidRPr="00DC1077" w:rsidRDefault="003D5B85">
      <w:pPr>
        <w:pStyle w:val="Normal0"/>
        <w:spacing w:after="160" w:line="259" w:lineRule="auto"/>
        <w:rPr>
          <w:sz w:val="22"/>
          <w:szCs w:val="22"/>
          <w:highlight w:val="yellow"/>
          <w:lang w:val="en-GB"/>
        </w:rPr>
      </w:pPr>
    </w:p>
    <w:p w14:paraId="399A9585" w14:textId="77777777" w:rsidR="00F93CA0" w:rsidRPr="00DC1077" w:rsidRDefault="00F93CA0">
      <w:pPr>
        <w:pStyle w:val="Normal0"/>
        <w:spacing w:after="160" w:line="259" w:lineRule="auto"/>
        <w:rPr>
          <w:sz w:val="22"/>
          <w:szCs w:val="22"/>
          <w:highlight w:val="yellow"/>
          <w:lang w:val="en-GB"/>
        </w:rPr>
      </w:pPr>
    </w:p>
    <w:p w14:paraId="7A66D66C" w14:textId="77777777" w:rsidR="00F227D9" w:rsidRPr="00D83D1A" w:rsidRDefault="00F227D9" w:rsidP="007D3C35">
      <w:pPr>
        <w:pStyle w:val="Heading1"/>
        <w:spacing w:line="259" w:lineRule="auto"/>
        <w:rPr>
          <w:lang w:val="en-GB"/>
        </w:rPr>
      </w:pPr>
      <w:bookmarkStart w:id="14" w:name="_Toc77095565"/>
      <w:r w:rsidRPr="00D83D1A">
        <w:rPr>
          <w:lang w:val="en-GB"/>
        </w:rPr>
        <w:t>Note 6 - Adjustments between Accounting Basis and Funding Basis under Regulations</w:t>
      </w:r>
      <w:bookmarkEnd w:id="14"/>
    </w:p>
    <w:p w14:paraId="563CD589" w14:textId="77777777" w:rsidR="007D3C35" w:rsidRPr="00D83D1A" w:rsidRDefault="007D3C35" w:rsidP="007D3C35">
      <w:pPr>
        <w:pStyle w:val="Normal0"/>
        <w:spacing w:after="160" w:line="259" w:lineRule="auto"/>
        <w:jc w:val="both"/>
        <w:rPr>
          <w:rFonts w:ascii="Verdana" w:eastAsia="Verdana" w:hAnsi="Verdana" w:cs="Verdana"/>
          <w:sz w:val="22"/>
          <w:szCs w:val="22"/>
          <w:lang w:val="en-GB"/>
        </w:rPr>
      </w:pPr>
    </w:p>
    <w:p w14:paraId="76D8BC9C" w14:textId="77777777" w:rsidR="00F227D9" w:rsidRPr="00D83D1A" w:rsidRDefault="00F227D9" w:rsidP="007D3C35">
      <w:pPr>
        <w:pStyle w:val="Normal0"/>
        <w:spacing w:after="160" w:line="259" w:lineRule="auto"/>
        <w:jc w:val="both"/>
        <w:rPr>
          <w:rFonts w:ascii="Verdana" w:eastAsia="Verdana" w:hAnsi="Verdana" w:cs="Verdana"/>
          <w:sz w:val="22"/>
          <w:szCs w:val="22"/>
          <w:lang w:val="en-GB"/>
        </w:rPr>
      </w:pPr>
      <w:r w:rsidRPr="00D83D1A">
        <w:rPr>
          <w:rFonts w:ascii="Verdana" w:eastAsia="Verdana" w:hAnsi="Verdana" w:cs="Verdana"/>
          <w:sz w:val="22"/>
          <w:szCs w:val="22"/>
          <w:lang w:val="en-GB"/>
        </w:rPr>
        <w:t>The table below details the adjustments made to the Total Comprehensive Income and Expenditure Statement recognised by the Chief Constable in the year, in accordance with proper accounting practice to the resources that are specified by statutory provisions as being available to the Chief Constable to meet future capital and revenue expenditure.</w:t>
      </w:r>
    </w:p>
    <w:tbl>
      <w:tblPr>
        <w:tblW w:w="0" w:type="auto"/>
        <w:jc w:val="center"/>
        <w:tblLayout w:type="fixed"/>
        <w:tblLook w:val="04A0" w:firstRow="1" w:lastRow="0" w:firstColumn="1" w:lastColumn="0" w:noHBand="0" w:noVBand="1"/>
      </w:tblPr>
      <w:tblGrid>
        <w:gridCol w:w="6286"/>
        <w:gridCol w:w="2193"/>
        <w:gridCol w:w="2193"/>
      </w:tblGrid>
      <w:tr w:rsidR="0053376B" w:rsidRPr="00C06862" w14:paraId="49E7B114" w14:textId="77777777" w:rsidTr="00B54A0C">
        <w:trPr>
          <w:trHeight w:val="492"/>
          <w:jc w:val="center"/>
        </w:trPr>
        <w:tc>
          <w:tcPr>
            <w:tcW w:w="6286" w:type="dxa"/>
            <w:shd w:val="clear" w:color="auto" w:fill="auto"/>
            <w:tcMar>
              <w:top w:w="20" w:type="dxa"/>
              <w:left w:w="20" w:type="dxa"/>
              <w:bottom w:w="20" w:type="dxa"/>
              <w:right w:w="20" w:type="dxa"/>
            </w:tcMar>
          </w:tcPr>
          <w:p w14:paraId="76156E41" w14:textId="77777777" w:rsidR="00F227D9" w:rsidRPr="00C06862" w:rsidRDefault="00F227D9" w:rsidP="00C56350">
            <w:pPr>
              <w:pStyle w:val="T1TableStyle"/>
              <w:jc w:val="center"/>
              <w:rPr>
                <w:rFonts w:ascii="Verdana" w:eastAsia="Verdana" w:hAnsi="Verdana" w:cs="Verdana"/>
                <w:b/>
                <w:color w:val="000000"/>
                <w:sz w:val="16"/>
                <w:lang w:val="en-GB"/>
              </w:rPr>
            </w:pPr>
            <w:r w:rsidRPr="00C06862">
              <w:rPr>
                <w:rFonts w:ascii="Verdana" w:eastAsia="Verdana" w:hAnsi="Verdana" w:cs="Verdana"/>
                <w:b/>
                <w:color w:val="000000"/>
                <w:sz w:val="16"/>
                <w:lang w:val="en-GB"/>
              </w:rPr>
              <w:t>20</w:t>
            </w:r>
            <w:r w:rsidR="00C56350" w:rsidRPr="00C06862">
              <w:rPr>
                <w:rFonts w:ascii="Verdana" w:eastAsia="Verdana" w:hAnsi="Verdana" w:cs="Verdana"/>
                <w:b/>
                <w:color w:val="000000"/>
                <w:sz w:val="16"/>
                <w:lang w:val="en-GB"/>
              </w:rPr>
              <w:t>20</w:t>
            </w:r>
            <w:r w:rsidRPr="00C06862">
              <w:rPr>
                <w:rFonts w:ascii="Verdana" w:eastAsia="Verdana" w:hAnsi="Verdana" w:cs="Verdana"/>
                <w:b/>
                <w:color w:val="000000"/>
                <w:sz w:val="16"/>
                <w:lang w:val="en-GB"/>
              </w:rPr>
              <w:t>/202</w:t>
            </w:r>
            <w:r w:rsidR="00C56350" w:rsidRPr="00C06862">
              <w:rPr>
                <w:rFonts w:ascii="Verdana" w:eastAsia="Verdana" w:hAnsi="Verdana" w:cs="Verdana"/>
                <w:b/>
                <w:color w:val="000000"/>
                <w:sz w:val="16"/>
                <w:lang w:val="en-GB"/>
              </w:rPr>
              <w:t>1</w:t>
            </w:r>
          </w:p>
        </w:tc>
        <w:tc>
          <w:tcPr>
            <w:tcW w:w="2193" w:type="dxa"/>
            <w:shd w:val="clear" w:color="auto" w:fill="auto"/>
            <w:tcMar>
              <w:top w:w="20" w:type="dxa"/>
              <w:left w:w="20" w:type="dxa"/>
              <w:bottom w:w="20" w:type="dxa"/>
              <w:right w:w="20" w:type="dxa"/>
            </w:tcMar>
          </w:tcPr>
          <w:p w14:paraId="2F33983E" w14:textId="77777777" w:rsidR="00F227D9" w:rsidRPr="00C06862" w:rsidRDefault="00F227D9">
            <w:pPr>
              <w:pStyle w:val="T1TableStyle"/>
              <w:jc w:val="center"/>
              <w:rPr>
                <w:rFonts w:ascii="Verdana" w:eastAsia="Verdana" w:hAnsi="Verdana" w:cs="Verdana"/>
                <w:b/>
                <w:color w:val="000000"/>
                <w:sz w:val="16"/>
                <w:lang w:val="en-GB"/>
              </w:rPr>
            </w:pPr>
            <w:r w:rsidRPr="00C06862">
              <w:rPr>
                <w:rFonts w:ascii="Verdana" w:eastAsia="Verdana" w:hAnsi="Verdana" w:cs="Verdana"/>
                <w:b/>
                <w:color w:val="000000"/>
                <w:sz w:val="16"/>
                <w:lang w:val="en-GB"/>
              </w:rPr>
              <w:t>General Fund Balance</w:t>
            </w:r>
          </w:p>
        </w:tc>
        <w:tc>
          <w:tcPr>
            <w:tcW w:w="2193" w:type="dxa"/>
            <w:shd w:val="clear" w:color="auto" w:fill="auto"/>
            <w:tcMar>
              <w:top w:w="20" w:type="dxa"/>
              <w:left w:w="20" w:type="dxa"/>
              <w:bottom w:w="20" w:type="dxa"/>
              <w:right w:w="20" w:type="dxa"/>
            </w:tcMar>
          </w:tcPr>
          <w:p w14:paraId="69645A43" w14:textId="77777777" w:rsidR="00F227D9" w:rsidRPr="00C06862" w:rsidRDefault="00F227D9">
            <w:pPr>
              <w:pStyle w:val="T1TableStyle"/>
              <w:jc w:val="center"/>
              <w:rPr>
                <w:rFonts w:ascii="Verdana" w:eastAsia="Verdana" w:hAnsi="Verdana" w:cs="Verdana"/>
                <w:b/>
                <w:color w:val="000000"/>
                <w:sz w:val="16"/>
                <w:lang w:val="en-GB"/>
              </w:rPr>
            </w:pPr>
            <w:r w:rsidRPr="00C06862">
              <w:rPr>
                <w:rFonts w:ascii="Verdana" w:eastAsia="Verdana" w:hAnsi="Verdana" w:cs="Verdana"/>
                <w:b/>
                <w:color w:val="000000"/>
                <w:sz w:val="16"/>
                <w:lang w:val="en-GB"/>
              </w:rPr>
              <w:t>Movement in Unusable Reserves</w:t>
            </w:r>
          </w:p>
        </w:tc>
      </w:tr>
      <w:tr w:rsidR="0053376B" w:rsidRPr="00C06862" w14:paraId="1C2071CD" w14:textId="77777777" w:rsidTr="00B54A0C">
        <w:trPr>
          <w:trHeight w:val="246"/>
          <w:jc w:val="center"/>
        </w:trPr>
        <w:tc>
          <w:tcPr>
            <w:tcW w:w="6286" w:type="dxa"/>
            <w:tcBorders>
              <w:bottom w:val="single" w:sz="2" w:space="0" w:color="000000"/>
            </w:tcBorders>
            <w:shd w:val="clear" w:color="auto" w:fill="auto"/>
            <w:tcMar>
              <w:top w:w="20" w:type="dxa"/>
              <w:left w:w="20" w:type="dxa"/>
              <w:bottom w:w="20" w:type="dxa"/>
              <w:right w:w="20" w:type="dxa"/>
            </w:tcMar>
          </w:tcPr>
          <w:p w14:paraId="588125F4" w14:textId="77777777" w:rsidR="00F227D9" w:rsidRPr="00C06862" w:rsidRDefault="00F227D9">
            <w:pPr>
              <w:pStyle w:val="T1TableStyle"/>
              <w:jc w:val="center"/>
              <w:rPr>
                <w:rFonts w:ascii="Verdana" w:eastAsia="Verdana" w:hAnsi="Verdana" w:cs="Verdana"/>
                <w:b/>
                <w:color w:val="000000"/>
                <w:sz w:val="2"/>
                <w:lang w:val="en-GB"/>
              </w:rPr>
            </w:pPr>
            <w:r w:rsidRPr="00C06862">
              <w:rPr>
                <w:rFonts w:ascii="Verdana" w:eastAsia="Verdana" w:hAnsi="Verdana" w:cs="Verdana"/>
                <w:b/>
                <w:color w:val="000000"/>
                <w:sz w:val="2"/>
                <w:lang w:val="en-GB"/>
              </w:rPr>
              <w:t xml:space="preserve"> </w:t>
            </w:r>
          </w:p>
        </w:tc>
        <w:tc>
          <w:tcPr>
            <w:tcW w:w="2193" w:type="dxa"/>
            <w:tcBorders>
              <w:bottom w:val="single" w:sz="2" w:space="0" w:color="000000"/>
            </w:tcBorders>
            <w:shd w:val="clear" w:color="auto" w:fill="auto"/>
            <w:tcMar>
              <w:top w:w="20" w:type="dxa"/>
              <w:left w:w="20" w:type="dxa"/>
              <w:bottom w:w="20" w:type="dxa"/>
              <w:right w:w="20" w:type="dxa"/>
            </w:tcMar>
          </w:tcPr>
          <w:p w14:paraId="6D99EBBD" w14:textId="77777777" w:rsidR="00F227D9" w:rsidRPr="00C06862" w:rsidRDefault="00F227D9">
            <w:pPr>
              <w:pStyle w:val="T1TableStyle"/>
              <w:jc w:val="right"/>
              <w:rPr>
                <w:rFonts w:ascii="Verdana" w:eastAsia="Verdana" w:hAnsi="Verdana" w:cs="Verdana"/>
                <w:b/>
                <w:color w:val="000000"/>
                <w:sz w:val="16"/>
                <w:lang w:val="en-GB"/>
              </w:rPr>
            </w:pPr>
            <w:r w:rsidRPr="00C06862">
              <w:rPr>
                <w:rFonts w:ascii="Verdana" w:eastAsia="Verdana" w:hAnsi="Verdana" w:cs="Verdana"/>
                <w:b/>
                <w:color w:val="000000"/>
                <w:sz w:val="16"/>
                <w:lang w:val="en-GB"/>
              </w:rPr>
              <w:t>£000</w:t>
            </w:r>
          </w:p>
        </w:tc>
        <w:tc>
          <w:tcPr>
            <w:tcW w:w="2193" w:type="dxa"/>
            <w:tcBorders>
              <w:bottom w:val="single" w:sz="2" w:space="0" w:color="000000"/>
            </w:tcBorders>
            <w:shd w:val="clear" w:color="auto" w:fill="auto"/>
            <w:tcMar>
              <w:top w:w="20" w:type="dxa"/>
              <w:left w:w="20" w:type="dxa"/>
              <w:bottom w:w="20" w:type="dxa"/>
              <w:right w:w="20" w:type="dxa"/>
            </w:tcMar>
          </w:tcPr>
          <w:p w14:paraId="44F5934B" w14:textId="77777777" w:rsidR="00F227D9" w:rsidRPr="00C06862" w:rsidRDefault="00F227D9">
            <w:pPr>
              <w:pStyle w:val="T1TableStyle"/>
              <w:jc w:val="right"/>
              <w:rPr>
                <w:rFonts w:ascii="Verdana" w:eastAsia="Verdana" w:hAnsi="Verdana" w:cs="Verdana"/>
                <w:b/>
                <w:color w:val="000000"/>
                <w:sz w:val="16"/>
                <w:lang w:val="en-GB"/>
              </w:rPr>
            </w:pPr>
            <w:r w:rsidRPr="00C06862">
              <w:rPr>
                <w:rFonts w:ascii="Verdana" w:eastAsia="Verdana" w:hAnsi="Verdana" w:cs="Verdana"/>
                <w:b/>
                <w:color w:val="000000"/>
                <w:sz w:val="16"/>
                <w:lang w:val="en-GB"/>
              </w:rPr>
              <w:t>£000</w:t>
            </w:r>
          </w:p>
        </w:tc>
      </w:tr>
      <w:tr w:rsidR="0053376B" w:rsidRPr="00C06862" w14:paraId="484C2025" w14:textId="77777777" w:rsidTr="00B54A0C">
        <w:trPr>
          <w:trHeight w:val="209"/>
          <w:jc w:val="center"/>
        </w:trPr>
        <w:tc>
          <w:tcPr>
            <w:tcW w:w="6286" w:type="dxa"/>
            <w:shd w:val="clear" w:color="auto" w:fill="auto"/>
            <w:tcMar>
              <w:top w:w="20" w:type="dxa"/>
              <w:left w:w="20" w:type="dxa"/>
              <w:bottom w:w="20" w:type="dxa"/>
              <w:right w:w="20" w:type="dxa"/>
            </w:tcMar>
          </w:tcPr>
          <w:p w14:paraId="23BA78E0" w14:textId="77777777" w:rsidR="00F227D9" w:rsidRPr="00C06862" w:rsidRDefault="00F227D9">
            <w:pPr>
              <w:pStyle w:val="T1TableStyle"/>
              <w:rPr>
                <w:rFonts w:ascii="Verdana" w:eastAsia="Verdana" w:hAnsi="Verdana" w:cs="Verdana"/>
                <w:color w:val="000000"/>
                <w:sz w:val="16"/>
                <w:lang w:val="en-GB"/>
              </w:rPr>
            </w:pPr>
            <w:r w:rsidRPr="00C06862">
              <w:rPr>
                <w:rFonts w:ascii="Verdana" w:eastAsia="Verdana" w:hAnsi="Verdana" w:cs="Verdana"/>
                <w:color w:val="000000"/>
                <w:sz w:val="16"/>
                <w:lang w:val="en-GB"/>
              </w:rPr>
              <w:t>Adjustments to the Revenue Resources</w:t>
            </w:r>
          </w:p>
        </w:tc>
        <w:tc>
          <w:tcPr>
            <w:tcW w:w="2193" w:type="dxa"/>
            <w:shd w:val="clear" w:color="auto" w:fill="auto"/>
            <w:tcMar>
              <w:top w:w="20" w:type="dxa"/>
              <w:left w:w="20" w:type="dxa"/>
              <w:bottom w:w="20" w:type="dxa"/>
              <w:right w:w="20" w:type="dxa"/>
            </w:tcMar>
          </w:tcPr>
          <w:p w14:paraId="43BBF414" w14:textId="77777777" w:rsidR="00F227D9" w:rsidRPr="00C06862" w:rsidRDefault="00F227D9">
            <w:pPr>
              <w:pStyle w:val="T1TableStyle"/>
              <w:jc w:val="center"/>
              <w:rPr>
                <w:rFonts w:ascii="Verdana" w:eastAsia="Verdana" w:hAnsi="Verdana" w:cs="Verdana"/>
                <w:b/>
                <w:color w:val="000000"/>
                <w:sz w:val="2"/>
                <w:lang w:val="en-GB"/>
              </w:rPr>
            </w:pPr>
            <w:r w:rsidRPr="00C06862">
              <w:rPr>
                <w:rFonts w:ascii="Verdana" w:eastAsia="Verdana" w:hAnsi="Verdana" w:cs="Verdana"/>
                <w:b/>
                <w:color w:val="000000"/>
                <w:sz w:val="2"/>
                <w:lang w:val="en-GB"/>
              </w:rPr>
              <w:t xml:space="preserve"> </w:t>
            </w:r>
          </w:p>
        </w:tc>
        <w:tc>
          <w:tcPr>
            <w:tcW w:w="2193" w:type="dxa"/>
            <w:shd w:val="clear" w:color="auto" w:fill="auto"/>
            <w:tcMar>
              <w:top w:w="20" w:type="dxa"/>
              <w:left w:w="20" w:type="dxa"/>
              <w:bottom w:w="20" w:type="dxa"/>
              <w:right w:w="20" w:type="dxa"/>
            </w:tcMar>
          </w:tcPr>
          <w:p w14:paraId="1C8F80C7" w14:textId="77777777" w:rsidR="00F227D9" w:rsidRPr="00C06862" w:rsidRDefault="00F227D9">
            <w:pPr>
              <w:pStyle w:val="T1TableStyle"/>
              <w:jc w:val="center"/>
              <w:rPr>
                <w:rFonts w:ascii="Verdana" w:eastAsia="Verdana" w:hAnsi="Verdana" w:cs="Verdana"/>
                <w:b/>
                <w:color w:val="000000"/>
                <w:sz w:val="2"/>
                <w:lang w:val="en-GB"/>
              </w:rPr>
            </w:pPr>
            <w:r w:rsidRPr="00C06862">
              <w:rPr>
                <w:rFonts w:ascii="Verdana" w:eastAsia="Verdana" w:hAnsi="Verdana" w:cs="Verdana"/>
                <w:b/>
                <w:color w:val="000000"/>
                <w:sz w:val="2"/>
                <w:lang w:val="en-GB"/>
              </w:rPr>
              <w:t xml:space="preserve"> </w:t>
            </w:r>
          </w:p>
        </w:tc>
      </w:tr>
      <w:tr w:rsidR="0053376B" w:rsidRPr="00C06862" w14:paraId="6CFF696A" w14:textId="77777777" w:rsidTr="00B54A0C">
        <w:trPr>
          <w:trHeight w:val="209"/>
          <w:jc w:val="center"/>
        </w:trPr>
        <w:tc>
          <w:tcPr>
            <w:tcW w:w="6286" w:type="dxa"/>
            <w:shd w:val="clear" w:color="auto" w:fill="auto"/>
            <w:tcMar>
              <w:top w:w="20" w:type="dxa"/>
              <w:left w:w="20" w:type="dxa"/>
              <w:bottom w:w="20" w:type="dxa"/>
              <w:right w:w="20" w:type="dxa"/>
            </w:tcMar>
          </w:tcPr>
          <w:p w14:paraId="2B79FAB8" w14:textId="77777777" w:rsidR="00F227D9" w:rsidRPr="00C06862" w:rsidRDefault="00F227D9">
            <w:pPr>
              <w:pStyle w:val="T1TableStyle"/>
              <w:rPr>
                <w:rFonts w:ascii="Verdana" w:eastAsia="Verdana" w:hAnsi="Verdana" w:cs="Verdana"/>
                <w:color w:val="000000"/>
                <w:sz w:val="16"/>
                <w:lang w:val="en-GB"/>
              </w:rPr>
            </w:pPr>
            <w:r w:rsidRPr="00C06862">
              <w:rPr>
                <w:rFonts w:ascii="Verdana" w:eastAsia="Verdana" w:hAnsi="Verdana" w:cs="Verdana"/>
                <w:color w:val="000000"/>
                <w:sz w:val="16"/>
                <w:lang w:val="en-GB"/>
              </w:rPr>
              <w:t>Amounts by which income and expenditure included in the Comprehensive Income and Expenditure Statement are different from revenue for the year calculated in accordance with statutory requirements:</w:t>
            </w:r>
          </w:p>
        </w:tc>
        <w:tc>
          <w:tcPr>
            <w:tcW w:w="2193" w:type="dxa"/>
            <w:shd w:val="clear" w:color="auto" w:fill="auto"/>
            <w:tcMar>
              <w:top w:w="20" w:type="dxa"/>
              <w:left w:w="20" w:type="dxa"/>
              <w:bottom w:w="20" w:type="dxa"/>
              <w:right w:w="20" w:type="dxa"/>
            </w:tcMar>
          </w:tcPr>
          <w:p w14:paraId="01941F11" w14:textId="77777777" w:rsidR="00F227D9" w:rsidRPr="00C06862" w:rsidRDefault="00F227D9">
            <w:pPr>
              <w:pStyle w:val="T1TableStyle"/>
              <w:rPr>
                <w:rFonts w:ascii="Verdana" w:eastAsia="Verdana" w:hAnsi="Verdana" w:cs="Verdana"/>
                <w:color w:val="000000"/>
                <w:sz w:val="2"/>
                <w:lang w:val="en-GB"/>
              </w:rPr>
            </w:pPr>
            <w:r w:rsidRPr="00C06862">
              <w:rPr>
                <w:rFonts w:ascii="Verdana" w:eastAsia="Verdana" w:hAnsi="Verdana" w:cs="Verdana"/>
                <w:color w:val="000000"/>
                <w:sz w:val="2"/>
                <w:lang w:val="en-GB"/>
              </w:rPr>
              <w:t xml:space="preserve"> </w:t>
            </w:r>
          </w:p>
        </w:tc>
        <w:tc>
          <w:tcPr>
            <w:tcW w:w="2193" w:type="dxa"/>
            <w:shd w:val="clear" w:color="auto" w:fill="auto"/>
            <w:tcMar>
              <w:top w:w="20" w:type="dxa"/>
              <w:left w:w="20" w:type="dxa"/>
              <w:bottom w:w="20" w:type="dxa"/>
              <w:right w:w="20" w:type="dxa"/>
            </w:tcMar>
          </w:tcPr>
          <w:p w14:paraId="2A7887D3" w14:textId="77777777" w:rsidR="00F227D9" w:rsidRPr="00C06862" w:rsidRDefault="00F227D9">
            <w:pPr>
              <w:pStyle w:val="T1TableStyle"/>
              <w:rPr>
                <w:rFonts w:ascii="Verdana" w:eastAsia="Verdana" w:hAnsi="Verdana" w:cs="Verdana"/>
                <w:color w:val="000000"/>
                <w:sz w:val="2"/>
                <w:lang w:val="en-GB"/>
              </w:rPr>
            </w:pPr>
            <w:r w:rsidRPr="00C06862">
              <w:rPr>
                <w:rFonts w:ascii="Verdana" w:eastAsia="Verdana" w:hAnsi="Verdana" w:cs="Verdana"/>
                <w:color w:val="000000"/>
                <w:sz w:val="2"/>
                <w:lang w:val="en-GB"/>
              </w:rPr>
              <w:t xml:space="preserve"> </w:t>
            </w:r>
          </w:p>
        </w:tc>
      </w:tr>
      <w:tr w:rsidR="0053376B" w:rsidRPr="00C06862" w14:paraId="5856E239" w14:textId="77777777" w:rsidTr="00B54A0C">
        <w:trPr>
          <w:trHeight w:val="209"/>
          <w:jc w:val="center"/>
        </w:trPr>
        <w:tc>
          <w:tcPr>
            <w:tcW w:w="6286" w:type="dxa"/>
            <w:shd w:val="clear" w:color="auto" w:fill="auto"/>
            <w:tcMar>
              <w:top w:w="20" w:type="dxa"/>
              <w:left w:w="20" w:type="dxa"/>
              <w:bottom w:w="20" w:type="dxa"/>
              <w:right w:w="20" w:type="dxa"/>
            </w:tcMar>
          </w:tcPr>
          <w:p w14:paraId="1D7C02F4" w14:textId="77777777" w:rsidR="00F227D9" w:rsidRPr="00C06862" w:rsidRDefault="00F227D9">
            <w:pPr>
              <w:pStyle w:val="T1TableStyle"/>
              <w:rPr>
                <w:rFonts w:ascii="Verdana" w:eastAsia="Verdana" w:hAnsi="Verdana" w:cs="Verdana"/>
                <w:color w:val="000000"/>
                <w:sz w:val="16"/>
                <w:lang w:val="en-GB"/>
              </w:rPr>
            </w:pPr>
            <w:r w:rsidRPr="00C06862">
              <w:rPr>
                <w:rFonts w:ascii="Verdana" w:eastAsia="Verdana" w:hAnsi="Verdana" w:cs="Verdana"/>
                <w:color w:val="000000"/>
                <w:sz w:val="16"/>
                <w:lang w:val="en-GB"/>
              </w:rPr>
              <w:t>Pension cost (transferred to (or from) the Pensions Reserve)</w:t>
            </w:r>
          </w:p>
        </w:tc>
        <w:tc>
          <w:tcPr>
            <w:tcW w:w="2193" w:type="dxa"/>
            <w:shd w:val="clear" w:color="auto" w:fill="auto"/>
            <w:tcMar>
              <w:top w:w="20" w:type="dxa"/>
              <w:left w:w="20" w:type="dxa"/>
              <w:bottom w:w="20" w:type="dxa"/>
              <w:right w:w="20" w:type="dxa"/>
            </w:tcMar>
          </w:tcPr>
          <w:p w14:paraId="398A1B0A" w14:textId="77777777" w:rsidR="00F227D9" w:rsidRPr="00C06862" w:rsidRDefault="00C06862">
            <w:pPr>
              <w:pStyle w:val="T1TableStyle"/>
              <w:jc w:val="right"/>
              <w:rPr>
                <w:rFonts w:ascii="Verdana" w:eastAsia="Verdana" w:hAnsi="Verdana" w:cs="Verdana"/>
                <w:color w:val="000000"/>
                <w:sz w:val="16"/>
                <w:lang w:val="en-GB"/>
              </w:rPr>
            </w:pPr>
            <w:r w:rsidRPr="00C06862">
              <w:rPr>
                <w:rFonts w:ascii="Verdana" w:eastAsia="Verdana" w:hAnsi="Verdana" w:cs="Verdana"/>
                <w:color w:val="000000"/>
                <w:sz w:val="16"/>
                <w:lang w:val="en-GB"/>
              </w:rPr>
              <w:t>(67,631)</w:t>
            </w:r>
          </w:p>
        </w:tc>
        <w:tc>
          <w:tcPr>
            <w:tcW w:w="2193" w:type="dxa"/>
            <w:shd w:val="clear" w:color="auto" w:fill="auto"/>
            <w:tcMar>
              <w:top w:w="20" w:type="dxa"/>
              <w:left w:w="20" w:type="dxa"/>
              <w:bottom w:w="20" w:type="dxa"/>
              <w:right w:w="20" w:type="dxa"/>
            </w:tcMar>
          </w:tcPr>
          <w:p w14:paraId="023C24A8" w14:textId="77777777" w:rsidR="00F227D9" w:rsidRPr="00C06862" w:rsidRDefault="00C06862">
            <w:pPr>
              <w:pStyle w:val="T1TableStyle"/>
              <w:jc w:val="right"/>
              <w:rPr>
                <w:rFonts w:ascii="Verdana" w:eastAsia="Verdana" w:hAnsi="Verdana" w:cs="Verdana"/>
                <w:color w:val="000000"/>
                <w:sz w:val="16"/>
                <w:lang w:val="en-GB"/>
              </w:rPr>
            </w:pPr>
            <w:r w:rsidRPr="00C06862">
              <w:rPr>
                <w:rFonts w:ascii="Verdana" w:eastAsia="Verdana" w:hAnsi="Verdana" w:cs="Verdana"/>
                <w:color w:val="000000"/>
                <w:sz w:val="16"/>
                <w:lang w:val="en-GB"/>
              </w:rPr>
              <w:t>67,631</w:t>
            </w:r>
          </w:p>
        </w:tc>
      </w:tr>
      <w:tr w:rsidR="0053376B" w:rsidRPr="00C06862" w14:paraId="2A15F13B" w14:textId="77777777" w:rsidTr="00B54A0C">
        <w:trPr>
          <w:trHeight w:val="209"/>
          <w:jc w:val="center"/>
        </w:trPr>
        <w:tc>
          <w:tcPr>
            <w:tcW w:w="6286" w:type="dxa"/>
            <w:shd w:val="clear" w:color="auto" w:fill="auto"/>
            <w:tcMar>
              <w:top w:w="20" w:type="dxa"/>
              <w:left w:w="20" w:type="dxa"/>
              <w:bottom w:w="20" w:type="dxa"/>
              <w:right w:w="20" w:type="dxa"/>
            </w:tcMar>
          </w:tcPr>
          <w:p w14:paraId="18319076" w14:textId="77777777" w:rsidR="00F227D9" w:rsidRPr="00C06862" w:rsidRDefault="00F227D9">
            <w:pPr>
              <w:pStyle w:val="T1TableStyle"/>
              <w:rPr>
                <w:rFonts w:ascii="Verdana" w:eastAsia="Verdana" w:hAnsi="Verdana" w:cs="Verdana"/>
                <w:color w:val="000000"/>
                <w:sz w:val="16"/>
                <w:lang w:val="en-GB"/>
              </w:rPr>
            </w:pPr>
            <w:r w:rsidRPr="00C06862">
              <w:rPr>
                <w:rFonts w:ascii="Verdana" w:eastAsia="Verdana" w:hAnsi="Verdana" w:cs="Verdana"/>
                <w:color w:val="000000"/>
                <w:sz w:val="16"/>
                <w:lang w:val="en-GB"/>
              </w:rPr>
              <w:t>Holiday pay (transferred to the Accumulated Absences reserve)</w:t>
            </w:r>
          </w:p>
        </w:tc>
        <w:tc>
          <w:tcPr>
            <w:tcW w:w="2193" w:type="dxa"/>
            <w:shd w:val="clear" w:color="auto" w:fill="auto"/>
            <w:tcMar>
              <w:top w:w="20" w:type="dxa"/>
              <w:left w:w="20" w:type="dxa"/>
              <w:bottom w:w="20" w:type="dxa"/>
              <w:right w:w="20" w:type="dxa"/>
            </w:tcMar>
          </w:tcPr>
          <w:p w14:paraId="407FAAA0" w14:textId="77777777" w:rsidR="00F227D9" w:rsidRPr="00C06862" w:rsidRDefault="00C06862">
            <w:pPr>
              <w:pStyle w:val="T1TableStyle"/>
              <w:jc w:val="right"/>
              <w:rPr>
                <w:rFonts w:ascii="Verdana" w:eastAsia="Verdana" w:hAnsi="Verdana" w:cs="Verdana"/>
                <w:color w:val="000000"/>
                <w:sz w:val="16"/>
                <w:lang w:val="en-GB"/>
              </w:rPr>
            </w:pPr>
            <w:r w:rsidRPr="00C06862">
              <w:rPr>
                <w:rFonts w:ascii="Verdana" w:eastAsia="Verdana" w:hAnsi="Verdana" w:cs="Verdana"/>
                <w:color w:val="000000"/>
                <w:sz w:val="16"/>
                <w:lang w:val="en-GB"/>
              </w:rPr>
              <w:t>(897)</w:t>
            </w:r>
          </w:p>
        </w:tc>
        <w:tc>
          <w:tcPr>
            <w:tcW w:w="2193" w:type="dxa"/>
            <w:shd w:val="clear" w:color="auto" w:fill="auto"/>
            <w:tcMar>
              <w:top w:w="20" w:type="dxa"/>
              <w:left w:w="20" w:type="dxa"/>
              <w:bottom w:w="20" w:type="dxa"/>
              <w:right w:w="20" w:type="dxa"/>
            </w:tcMar>
          </w:tcPr>
          <w:p w14:paraId="7CC198F5" w14:textId="77777777" w:rsidR="00F227D9" w:rsidRPr="00C06862" w:rsidRDefault="00C06862">
            <w:pPr>
              <w:pStyle w:val="T1TableStyle"/>
              <w:jc w:val="right"/>
              <w:rPr>
                <w:rFonts w:ascii="Verdana" w:eastAsia="Verdana" w:hAnsi="Verdana" w:cs="Verdana"/>
                <w:color w:val="000000"/>
                <w:sz w:val="16"/>
                <w:lang w:val="en-GB"/>
              </w:rPr>
            </w:pPr>
            <w:r w:rsidRPr="00C06862">
              <w:rPr>
                <w:rFonts w:ascii="Verdana" w:eastAsia="Verdana" w:hAnsi="Verdana" w:cs="Verdana"/>
                <w:color w:val="000000"/>
                <w:sz w:val="16"/>
                <w:lang w:val="en-GB"/>
              </w:rPr>
              <w:t>897</w:t>
            </w:r>
          </w:p>
        </w:tc>
      </w:tr>
      <w:tr w:rsidR="0053376B" w:rsidRPr="00C06862" w14:paraId="022A4357" w14:textId="77777777" w:rsidTr="00B54A0C">
        <w:trPr>
          <w:trHeight w:hRule="exact" w:val="123"/>
          <w:jc w:val="center"/>
        </w:trPr>
        <w:tc>
          <w:tcPr>
            <w:tcW w:w="6286" w:type="dxa"/>
            <w:shd w:val="clear" w:color="auto" w:fill="auto"/>
            <w:tcMar>
              <w:top w:w="20" w:type="dxa"/>
              <w:left w:w="20" w:type="dxa"/>
              <w:bottom w:w="20" w:type="dxa"/>
              <w:right w:w="20" w:type="dxa"/>
            </w:tcMar>
          </w:tcPr>
          <w:p w14:paraId="26D43296" w14:textId="77777777" w:rsidR="00F227D9" w:rsidRPr="00C06862" w:rsidRDefault="00F227D9">
            <w:pPr>
              <w:pStyle w:val="T1TableStyle"/>
              <w:jc w:val="center"/>
              <w:rPr>
                <w:rFonts w:ascii="Verdana" w:eastAsia="Verdana" w:hAnsi="Verdana" w:cs="Verdana"/>
                <w:color w:val="000000"/>
                <w:sz w:val="2"/>
                <w:lang w:val="en-GB"/>
              </w:rPr>
            </w:pPr>
            <w:r w:rsidRPr="00C06862">
              <w:rPr>
                <w:rFonts w:ascii="Verdana" w:eastAsia="Verdana" w:hAnsi="Verdana" w:cs="Verdana"/>
                <w:color w:val="000000"/>
                <w:sz w:val="2"/>
                <w:lang w:val="en-GB"/>
              </w:rPr>
              <w:t xml:space="preserve"> </w:t>
            </w:r>
          </w:p>
        </w:tc>
        <w:tc>
          <w:tcPr>
            <w:tcW w:w="2193" w:type="dxa"/>
            <w:shd w:val="clear" w:color="auto" w:fill="auto"/>
            <w:tcMar>
              <w:top w:w="20" w:type="dxa"/>
              <w:left w:w="20" w:type="dxa"/>
              <w:bottom w:w="20" w:type="dxa"/>
              <w:right w:w="20" w:type="dxa"/>
            </w:tcMar>
          </w:tcPr>
          <w:p w14:paraId="35A56947" w14:textId="77777777" w:rsidR="00F227D9" w:rsidRPr="00C06862" w:rsidRDefault="00F227D9">
            <w:pPr>
              <w:pStyle w:val="T1TableStyle"/>
              <w:jc w:val="center"/>
              <w:rPr>
                <w:rFonts w:ascii="Verdana" w:eastAsia="Verdana" w:hAnsi="Verdana" w:cs="Verdana"/>
                <w:color w:val="000000"/>
                <w:sz w:val="2"/>
                <w:lang w:val="en-GB"/>
              </w:rPr>
            </w:pPr>
            <w:r w:rsidRPr="00C06862">
              <w:rPr>
                <w:rFonts w:ascii="Verdana" w:eastAsia="Verdana" w:hAnsi="Verdana" w:cs="Verdana"/>
                <w:color w:val="000000"/>
                <w:sz w:val="2"/>
                <w:lang w:val="en-GB"/>
              </w:rPr>
              <w:t xml:space="preserve"> </w:t>
            </w:r>
          </w:p>
        </w:tc>
        <w:tc>
          <w:tcPr>
            <w:tcW w:w="2193" w:type="dxa"/>
            <w:shd w:val="clear" w:color="auto" w:fill="auto"/>
            <w:tcMar>
              <w:top w:w="20" w:type="dxa"/>
              <w:left w:w="20" w:type="dxa"/>
              <w:bottom w:w="20" w:type="dxa"/>
              <w:right w:w="20" w:type="dxa"/>
            </w:tcMar>
          </w:tcPr>
          <w:p w14:paraId="25C498E5" w14:textId="77777777" w:rsidR="00F227D9" w:rsidRPr="00C06862" w:rsidRDefault="00F227D9">
            <w:pPr>
              <w:pStyle w:val="T1TableStyle"/>
              <w:jc w:val="center"/>
              <w:rPr>
                <w:rFonts w:ascii="Verdana" w:eastAsia="Verdana" w:hAnsi="Verdana" w:cs="Verdana"/>
                <w:color w:val="000000"/>
                <w:sz w:val="2"/>
                <w:lang w:val="en-GB"/>
              </w:rPr>
            </w:pPr>
            <w:r w:rsidRPr="00C06862">
              <w:rPr>
                <w:rFonts w:ascii="Verdana" w:eastAsia="Verdana" w:hAnsi="Verdana" w:cs="Verdana"/>
                <w:color w:val="000000"/>
                <w:sz w:val="2"/>
                <w:lang w:val="en-GB"/>
              </w:rPr>
              <w:t xml:space="preserve"> </w:t>
            </w:r>
          </w:p>
        </w:tc>
      </w:tr>
      <w:tr w:rsidR="0053376B" w:rsidRPr="00C06862" w14:paraId="2775FB71" w14:textId="77777777" w:rsidTr="00B54A0C">
        <w:trPr>
          <w:trHeight w:hRule="exact" w:val="123"/>
          <w:jc w:val="center"/>
        </w:trPr>
        <w:tc>
          <w:tcPr>
            <w:tcW w:w="6286" w:type="dxa"/>
            <w:shd w:val="clear" w:color="auto" w:fill="auto"/>
            <w:tcMar>
              <w:top w:w="20" w:type="dxa"/>
              <w:left w:w="20" w:type="dxa"/>
              <w:bottom w:w="20" w:type="dxa"/>
              <w:right w:w="20" w:type="dxa"/>
            </w:tcMar>
          </w:tcPr>
          <w:p w14:paraId="2A661249" w14:textId="77777777" w:rsidR="00F227D9" w:rsidRPr="00C06862" w:rsidRDefault="00F227D9">
            <w:pPr>
              <w:pStyle w:val="T1TableStyle"/>
              <w:jc w:val="center"/>
              <w:rPr>
                <w:rFonts w:ascii="Verdana" w:eastAsia="Verdana" w:hAnsi="Verdana" w:cs="Verdana"/>
                <w:color w:val="000000"/>
                <w:sz w:val="2"/>
                <w:lang w:val="en-GB"/>
              </w:rPr>
            </w:pPr>
            <w:r w:rsidRPr="00C06862">
              <w:rPr>
                <w:rFonts w:ascii="Verdana" w:eastAsia="Verdana" w:hAnsi="Verdana" w:cs="Verdana"/>
                <w:color w:val="000000"/>
                <w:sz w:val="2"/>
                <w:lang w:val="en-GB"/>
              </w:rPr>
              <w:t xml:space="preserve"> </w:t>
            </w:r>
          </w:p>
        </w:tc>
        <w:tc>
          <w:tcPr>
            <w:tcW w:w="2193" w:type="dxa"/>
            <w:shd w:val="clear" w:color="auto" w:fill="auto"/>
            <w:tcMar>
              <w:top w:w="20" w:type="dxa"/>
              <w:left w:w="20" w:type="dxa"/>
              <w:bottom w:w="20" w:type="dxa"/>
              <w:right w:w="20" w:type="dxa"/>
            </w:tcMar>
          </w:tcPr>
          <w:p w14:paraId="28D83E69" w14:textId="77777777" w:rsidR="00F227D9" w:rsidRPr="00C06862" w:rsidRDefault="00F227D9">
            <w:pPr>
              <w:pStyle w:val="T1TableStyle"/>
              <w:jc w:val="center"/>
              <w:rPr>
                <w:rFonts w:ascii="Verdana" w:eastAsia="Verdana" w:hAnsi="Verdana" w:cs="Verdana"/>
                <w:color w:val="000000"/>
                <w:sz w:val="2"/>
                <w:lang w:val="en-GB"/>
              </w:rPr>
            </w:pPr>
            <w:r w:rsidRPr="00C06862">
              <w:rPr>
                <w:rFonts w:ascii="Verdana" w:eastAsia="Verdana" w:hAnsi="Verdana" w:cs="Verdana"/>
                <w:color w:val="000000"/>
                <w:sz w:val="2"/>
                <w:lang w:val="en-GB"/>
              </w:rPr>
              <w:t xml:space="preserve"> </w:t>
            </w:r>
          </w:p>
        </w:tc>
        <w:tc>
          <w:tcPr>
            <w:tcW w:w="2193" w:type="dxa"/>
            <w:shd w:val="clear" w:color="auto" w:fill="auto"/>
            <w:tcMar>
              <w:top w:w="20" w:type="dxa"/>
              <w:left w:w="20" w:type="dxa"/>
              <w:bottom w:w="20" w:type="dxa"/>
              <w:right w:w="20" w:type="dxa"/>
            </w:tcMar>
          </w:tcPr>
          <w:p w14:paraId="0ADEFBFE" w14:textId="77777777" w:rsidR="00F227D9" w:rsidRPr="00C06862" w:rsidRDefault="00F227D9">
            <w:pPr>
              <w:pStyle w:val="T1TableStyle"/>
              <w:jc w:val="center"/>
              <w:rPr>
                <w:rFonts w:ascii="Verdana" w:eastAsia="Verdana" w:hAnsi="Verdana" w:cs="Verdana"/>
                <w:color w:val="000000"/>
                <w:sz w:val="2"/>
                <w:lang w:val="en-GB"/>
              </w:rPr>
            </w:pPr>
            <w:r w:rsidRPr="00C06862">
              <w:rPr>
                <w:rFonts w:ascii="Verdana" w:eastAsia="Verdana" w:hAnsi="Verdana" w:cs="Verdana"/>
                <w:color w:val="000000"/>
                <w:sz w:val="2"/>
                <w:lang w:val="en-GB"/>
              </w:rPr>
              <w:t xml:space="preserve"> </w:t>
            </w:r>
          </w:p>
        </w:tc>
      </w:tr>
      <w:tr w:rsidR="0053376B" w:rsidRPr="00C06862" w14:paraId="052F3420" w14:textId="77777777" w:rsidTr="00B54A0C">
        <w:trPr>
          <w:trHeight w:val="209"/>
          <w:jc w:val="center"/>
        </w:trPr>
        <w:tc>
          <w:tcPr>
            <w:tcW w:w="6286" w:type="dxa"/>
            <w:tcBorders>
              <w:top w:val="single" w:sz="2" w:space="0" w:color="000000"/>
              <w:bottom w:val="single" w:sz="12" w:space="0" w:color="000000"/>
            </w:tcBorders>
            <w:shd w:val="clear" w:color="auto" w:fill="auto"/>
            <w:tcMar>
              <w:top w:w="20" w:type="dxa"/>
              <w:left w:w="20" w:type="dxa"/>
              <w:bottom w:w="20" w:type="dxa"/>
              <w:right w:w="20" w:type="dxa"/>
            </w:tcMar>
          </w:tcPr>
          <w:p w14:paraId="743BF26B" w14:textId="77777777" w:rsidR="00F227D9" w:rsidRPr="00C06862" w:rsidRDefault="00F227D9">
            <w:pPr>
              <w:pStyle w:val="T1TableStyle"/>
              <w:rPr>
                <w:rFonts w:ascii="Verdana" w:eastAsia="Verdana" w:hAnsi="Verdana" w:cs="Verdana"/>
                <w:b/>
                <w:color w:val="000000"/>
                <w:sz w:val="16"/>
                <w:lang w:val="en-GB"/>
              </w:rPr>
            </w:pPr>
            <w:r w:rsidRPr="00C06862">
              <w:rPr>
                <w:rFonts w:ascii="Verdana" w:eastAsia="Verdana" w:hAnsi="Verdana" w:cs="Verdana"/>
                <w:b/>
                <w:color w:val="000000"/>
                <w:sz w:val="16"/>
                <w:lang w:val="en-GB"/>
              </w:rPr>
              <w:t>Total Adjustments</w:t>
            </w:r>
          </w:p>
        </w:tc>
        <w:tc>
          <w:tcPr>
            <w:tcW w:w="2193" w:type="dxa"/>
            <w:tcBorders>
              <w:top w:val="single" w:sz="2" w:space="0" w:color="000000"/>
              <w:bottom w:val="single" w:sz="12" w:space="0" w:color="000000"/>
            </w:tcBorders>
            <w:shd w:val="clear" w:color="auto" w:fill="auto"/>
            <w:tcMar>
              <w:top w:w="20" w:type="dxa"/>
              <w:left w:w="20" w:type="dxa"/>
              <w:bottom w:w="20" w:type="dxa"/>
              <w:right w:w="20" w:type="dxa"/>
            </w:tcMar>
          </w:tcPr>
          <w:p w14:paraId="3ACFE0F1" w14:textId="77777777" w:rsidR="00F227D9" w:rsidRPr="00C06862" w:rsidRDefault="00C06862">
            <w:pPr>
              <w:pStyle w:val="T1TableStyle"/>
              <w:jc w:val="right"/>
              <w:rPr>
                <w:rFonts w:ascii="Verdana" w:eastAsia="Verdana" w:hAnsi="Verdana" w:cs="Verdana"/>
                <w:b/>
                <w:color w:val="000000"/>
                <w:sz w:val="16"/>
                <w:lang w:val="en-GB"/>
              </w:rPr>
            </w:pPr>
            <w:r w:rsidRPr="00C06862">
              <w:rPr>
                <w:rFonts w:ascii="Verdana" w:eastAsia="Verdana" w:hAnsi="Verdana" w:cs="Verdana"/>
                <w:b/>
                <w:color w:val="000000"/>
                <w:sz w:val="16"/>
                <w:lang w:val="en-GB"/>
              </w:rPr>
              <w:t>(68,528)</w:t>
            </w:r>
          </w:p>
        </w:tc>
        <w:tc>
          <w:tcPr>
            <w:tcW w:w="2193" w:type="dxa"/>
            <w:tcBorders>
              <w:top w:val="single" w:sz="2" w:space="0" w:color="000000"/>
              <w:bottom w:val="single" w:sz="12" w:space="0" w:color="000000"/>
            </w:tcBorders>
            <w:shd w:val="clear" w:color="auto" w:fill="auto"/>
            <w:tcMar>
              <w:top w:w="20" w:type="dxa"/>
              <w:left w:w="20" w:type="dxa"/>
              <w:bottom w:w="20" w:type="dxa"/>
              <w:right w:w="20" w:type="dxa"/>
            </w:tcMar>
          </w:tcPr>
          <w:p w14:paraId="53F550F2" w14:textId="77777777" w:rsidR="00F227D9" w:rsidRPr="00C06862" w:rsidRDefault="00C06862">
            <w:pPr>
              <w:pStyle w:val="T1TableStyle"/>
              <w:jc w:val="right"/>
              <w:rPr>
                <w:rFonts w:ascii="Verdana" w:eastAsia="Verdana" w:hAnsi="Verdana" w:cs="Verdana"/>
                <w:b/>
                <w:color w:val="000000"/>
                <w:sz w:val="16"/>
                <w:lang w:val="en-GB"/>
              </w:rPr>
            </w:pPr>
            <w:r w:rsidRPr="00C06862">
              <w:rPr>
                <w:rFonts w:ascii="Verdana" w:eastAsia="Verdana" w:hAnsi="Verdana" w:cs="Verdana"/>
                <w:b/>
                <w:color w:val="000000"/>
                <w:sz w:val="16"/>
                <w:lang w:val="en-GB"/>
              </w:rPr>
              <w:t>68,528</w:t>
            </w:r>
          </w:p>
        </w:tc>
      </w:tr>
    </w:tbl>
    <w:p w14:paraId="7EEF6BCA" w14:textId="77777777" w:rsidR="00F227D9" w:rsidRPr="00DC1077" w:rsidRDefault="00F227D9">
      <w:pPr>
        <w:pStyle w:val="T1TableStyle"/>
        <w:rPr>
          <w:rFonts w:ascii="Verdana" w:eastAsia="Verdana" w:hAnsi="Verdana" w:cs="Verdana"/>
          <w:sz w:val="22"/>
          <w:highlight w:val="yellow"/>
          <w:lang w:val="en-GB"/>
        </w:rPr>
      </w:pPr>
    </w:p>
    <w:tbl>
      <w:tblPr>
        <w:tblW w:w="0" w:type="auto"/>
        <w:jc w:val="center"/>
        <w:tblLayout w:type="fixed"/>
        <w:tblLook w:val="04A0" w:firstRow="1" w:lastRow="0" w:firstColumn="1" w:lastColumn="0" w:noHBand="0" w:noVBand="1"/>
      </w:tblPr>
      <w:tblGrid>
        <w:gridCol w:w="6242"/>
        <w:gridCol w:w="2177"/>
        <w:gridCol w:w="2177"/>
      </w:tblGrid>
      <w:tr w:rsidR="0053376B" w:rsidRPr="004D57BE" w14:paraId="50521782" w14:textId="77777777" w:rsidTr="00B54A0C">
        <w:trPr>
          <w:trHeight w:val="265"/>
          <w:jc w:val="center"/>
        </w:trPr>
        <w:tc>
          <w:tcPr>
            <w:tcW w:w="6242" w:type="dxa"/>
            <w:shd w:val="clear" w:color="auto" w:fill="auto"/>
            <w:tcMar>
              <w:top w:w="20" w:type="dxa"/>
              <w:left w:w="20" w:type="dxa"/>
              <w:bottom w:w="20" w:type="dxa"/>
              <w:right w:w="20" w:type="dxa"/>
            </w:tcMar>
          </w:tcPr>
          <w:p w14:paraId="42071F1E" w14:textId="77777777" w:rsidR="00F227D9" w:rsidRPr="004D57BE" w:rsidRDefault="004D57BE">
            <w:pPr>
              <w:pStyle w:val="T1TableStyle"/>
              <w:jc w:val="center"/>
              <w:rPr>
                <w:rFonts w:ascii="Verdana" w:eastAsia="Verdana" w:hAnsi="Verdana" w:cs="Verdana"/>
                <w:b/>
                <w:color w:val="000000"/>
                <w:sz w:val="16"/>
                <w:lang w:val="en-GB"/>
              </w:rPr>
            </w:pPr>
            <w:r w:rsidRPr="004D57BE">
              <w:rPr>
                <w:rFonts w:ascii="Verdana" w:eastAsia="Verdana" w:hAnsi="Verdana" w:cs="Verdana"/>
                <w:b/>
                <w:color w:val="000000"/>
                <w:sz w:val="16"/>
                <w:lang w:val="en-GB"/>
              </w:rPr>
              <w:t>2019/2020</w:t>
            </w:r>
          </w:p>
        </w:tc>
        <w:tc>
          <w:tcPr>
            <w:tcW w:w="2177" w:type="dxa"/>
            <w:shd w:val="clear" w:color="auto" w:fill="auto"/>
            <w:tcMar>
              <w:top w:w="20" w:type="dxa"/>
              <w:left w:w="20" w:type="dxa"/>
              <w:bottom w:w="20" w:type="dxa"/>
              <w:right w:w="20" w:type="dxa"/>
            </w:tcMar>
          </w:tcPr>
          <w:p w14:paraId="264189C2" w14:textId="77777777" w:rsidR="00F227D9" w:rsidRPr="004D57BE" w:rsidRDefault="00F227D9">
            <w:pPr>
              <w:pStyle w:val="T1TableStyle"/>
              <w:jc w:val="center"/>
              <w:rPr>
                <w:rFonts w:ascii="Verdana" w:eastAsia="Verdana" w:hAnsi="Verdana" w:cs="Verdana"/>
                <w:b/>
                <w:color w:val="000000"/>
                <w:sz w:val="16"/>
                <w:lang w:val="en-GB"/>
              </w:rPr>
            </w:pPr>
            <w:r w:rsidRPr="004D57BE">
              <w:rPr>
                <w:rFonts w:ascii="Verdana" w:eastAsia="Verdana" w:hAnsi="Verdana" w:cs="Verdana"/>
                <w:b/>
                <w:color w:val="000000"/>
                <w:sz w:val="16"/>
                <w:lang w:val="en-GB"/>
              </w:rPr>
              <w:t>General Fund Balance</w:t>
            </w:r>
          </w:p>
        </w:tc>
        <w:tc>
          <w:tcPr>
            <w:tcW w:w="2177" w:type="dxa"/>
            <w:shd w:val="clear" w:color="auto" w:fill="auto"/>
            <w:tcMar>
              <w:top w:w="20" w:type="dxa"/>
              <w:left w:w="20" w:type="dxa"/>
              <w:bottom w:w="20" w:type="dxa"/>
              <w:right w:w="20" w:type="dxa"/>
            </w:tcMar>
          </w:tcPr>
          <w:p w14:paraId="3B4E925F" w14:textId="77777777" w:rsidR="00F227D9" w:rsidRPr="004D57BE" w:rsidRDefault="00F227D9">
            <w:pPr>
              <w:pStyle w:val="T1TableStyle"/>
              <w:jc w:val="center"/>
              <w:rPr>
                <w:rFonts w:ascii="Verdana" w:eastAsia="Verdana" w:hAnsi="Verdana" w:cs="Verdana"/>
                <w:b/>
                <w:color w:val="000000"/>
                <w:sz w:val="16"/>
                <w:lang w:val="en-GB"/>
              </w:rPr>
            </w:pPr>
            <w:r w:rsidRPr="004D57BE">
              <w:rPr>
                <w:rFonts w:ascii="Verdana" w:eastAsia="Verdana" w:hAnsi="Verdana" w:cs="Verdana"/>
                <w:b/>
                <w:color w:val="000000"/>
                <w:sz w:val="16"/>
                <w:lang w:val="en-GB"/>
              </w:rPr>
              <w:t>Movement in Unusable Reserves</w:t>
            </w:r>
          </w:p>
        </w:tc>
      </w:tr>
      <w:tr w:rsidR="0053376B" w:rsidRPr="004D57BE" w14:paraId="58848881" w14:textId="77777777" w:rsidTr="00B54A0C">
        <w:trPr>
          <w:trHeight w:val="265"/>
          <w:jc w:val="center"/>
        </w:trPr>
        <w:tc>
          <w:tcPr>
            <w:tcW w:w="6242" w:type="dxa"/>
            <w:tcBorders>
              <w:bottom w:val="single" w:sz="2" w:space="0" w:color="000000"/>
            </w:tcBorders>
            <w:shd w:val="clear" w:color="auto" w:fill="auto"/>
            <w:tcMar>
              <w:top w:w="20" w:type="dxa"/>
              <w:left w:w="20" w:type="dxa"/>
              <w:bottom w:w="20" w:type="dxa"/>
              <w:right w:w="20" w:type="dxa"/>
            </w:tcMar>
          </w:tcPr>
          <w:p w14:paraId="785CBDA0" w14:textId="77777777" w:rsidR="00F227D9" w:rsidRPr="004D57BE" w:rsidRDefault="00F227D9">
            <w:pPr>
              <w:pStyle w:val="T1TableStyle"/>
              <w:jc w:val="center"/>
              <w:rPr>
                <w:rFonts w:ascii="Verdana" w:eastAsia="Verdana" w:hAnsi="Verdana" w:cs="Verdana"/>
                <w:b/>
                <w:color w:val="000000"/>
                <w:sz w:val="2"/>
                <w:lang w:val="en-GB"/>
              </w:rPr>
            </w:pPr>
            <w:r w:rsidRPr="004D57BE">
              <w:rPr>
                <w:rFonts w:ascii="Verdana" w:eastAsia="Verdana" w:hAnsi="Verdana" w:cs="Verdana"/>
                <w:b/>
                <w:color w:val="000000"/>
                <w:sz w:val="2"/>
                <w:lang w:val="en-GB"/>
              </w:rPr>
              <w:t xml:space="preserve"> </w:t>
            </w:r>
          </w:p>
        </w:tc>
        <w:tc>
          <w:tcPr>
            <w:tcW w:w="2177" w:type="dxa"/>
            <w:tcBorders>
              <w:bottom w:val="single" w:sz="2" w:space="0" w:color="000000"/>
            </w:tcBorders>
            <w:shd w:val="clear" w:color="auto" w:fill="auto"/>
            <w:tcMar>
              <w:top w:w="20" w:type="dxa"/>
              <w:left w:w="20" w:type="dxa"/>
              <w:bottom w:w="20" w:type="dxa"/>
              <w:right w:w="20" w:type="dxa"/>
            </w:tcMar>
          </w:tcPr>
          <w:p w14:paraId="18E39671" w14:textId="77777777" w:rsidR="00F227D9" w:rsidRPr="004D57BE" w:rsidRDefault="00F227D9">
            <w:pPr>
              <w:pStyle w:val="T1TableStyle"/>
              <w:jc w:val="right"/>
              <w:rPr>
                <w:rFonts w:ascii="Verdana" w:eastAsia="Verdana" w:hAnsi="Verdana" w:cs="Verdana"/>
                <w:b/>
                <w:color w:val="000000"/>
                <w:sz w:val="16"/>
                <w:lang w:val="en-GB"/>
              </w:rPr>
            </w:pPr>
            <w:r w:rsidRPr="004D57BE">
              <w:rPr>
                <w:rFonts w:ascii="Verdana" w:eastAsia="Verdana" w:hAnsi="Verdana" w:cs="Verdana"/>
                <w:b/>
                <w:color w:val="000000"/>
                <w:sz w:val="16"/>
                <w:lang w:val="en-GB"/>
              </w:rPr>
              <w:t>£000</w:t>
            </w:r>
          </w:p>
        </w:tc>
        <w:tc>
          <w:tcPr>
            <w:tcW w:w="2177" w:type="dxa"/>
            <w:tcBorders>
              <w:bottom w:val="single" w:sz="2" w:space="0" w:color="000000"/>
            </w:tcBorders>
            <w:shd w:val="clear" w:color="auto" w:fill="auto"/>
            <w:tcMar>
              <w:top w:w="20" w:type="dxa"/>
              <w:left w:w="20" w:type="dxa"/>
              <w:bottom w:w="20" w:type="dxa"/>
              <w:right w:w="20" w:type="dxa"/>
            </w:tcMar>
          </w:tcPr>
          <w:p w14:paraId="6E0F3581" w14:textId="77777777" w:rsidR="00F227D9" w:rsidRPr="004D57BE" w:rsidRDefault="00F227D9">
            <w:pPr>
              <w:pStyle w:val="T1TableStyle"/>
              <w:jc w:val="right"/>
              <w:rPr>
                <w:rFonts w:ascii="Verdana" w:eastAsia="Verdana" w:hAnsi="Verdana" w:cs="Verdana"/>
                <w:b/>
                <w:color w:val="000000"/>
                <w:sz w:val="16"/>
                <w:lang w:val="en-GB"/>
              </w:rPr>
            </w:pPr>
            <w:r w:rsidRPr="004D57BE">
              <w:rPr>
                <w:rFonts w:ascii="Verdana" w:eastAsia="Verdana" w:hAnsi="Verdana" w:cs="Verdana"/>
                <w:b/>
                <w:color w:val="000000"/>
                <w:sz w:val="16"/>
                <w:lang w:val="en-GB"/>
              </w:rPr>
              <w:t>£000</w:t>
            </w:r>
          </w:p>
        </w:tc>
      </w:tr>
      <w:tr w:rsidR="0053376B" w:rsidRPr="004D57BE" w14:paraId="7679C3EF" w14:textId="77777777" w:rsidTr="00B54A0C">
        <w:trPr>
          <w:trHeight w:val="265"/>
          <w:jc w:val="center"/>
        </w:trPr>
        <w:tc>
          <w:tcPr>
            <w:tcW w:w="6242" w:type="dxa"/>
            <w:shd w:val="clear" w:color="auto" w:fill="auto"/>
            <w:tcMar>
              <w:top w:w="20" w:type="dxa"/>
              <w:left w:w="20" w:type="dxa"/>
              <w:bottom w:w="20" w:type="dxa"/>
              <w:right w:w="20" w:type="dxa"/>
            </w:tcMar>
          </w:tcPr>
          <w:p w14:paraId="6F759367" w14:textId="77777777" w:rsidR="00F227D9" w:rsidRPr="004D57BE" w:rsidRDefault="00F227D9">
            <w:pPr>
              <w:pStyle w:val="T1TableStyle"/>
              <w:rPr>
                <w:rFonts w:ascii="Verdana" w:eastAsia="Verdana" w:hAnsi="Verdana" w:cs="Verdana"/>
                <w:color w:val="000000"/>
                <w:sz w:val="16"/>
                <w:lang w:val="en-GB"/>
              </w:rPr>
            </w:pPr>
            <w:r w:rsidRPr="004D57BE">
              <w:rPr>
                <w:rFonts w:ascii="Verdana" w:eastAsia="Verdana" w:hAnsi="Verdana" w:cs="Verdana"/>
                <w:color w:val="000000"/>
                <w:sz w:val="16"/>
                <w:lang w:val="en-GB"/>
              </w:rPr>
              <w:t>Adjustments to the Revenue Resources</w:t>
            </w:r>
          </w:p>
        </w:tc>
        <w:tc>
          <w:tcPr>
            <w:tcW w:w="2177" w:type="dxa"/>
            <w:shd w:val="clear" w:color="auto" w:fill="auto"/>
            <w:tcMar>
              <w:top w:w="20" w:type="dxa"/>
              <w:left w:w="20" w:type="dxa"/>
              <w:bottom w:w="20" w:type="dxa"/>
              <w:right w:w="20" w:type="dxa"/>
            </w:tcMar>
          </w:tcPr>
          <w:p w14:paraId="0CA4CEC2" w14:textId="77777777" w:rsidR="00F227D9" w:rsidRPr="004D57BE" w:rsidRDefault="00F227D9">
            <w:pPr>
              <w:pStyle w:val="T1TableStyle"/>
              <w:jc w:val="center"/>
              <w:rPr>
                <w:rFonts w:ascii="Verdana" w:eastAsia="Verdana" w:hAnsi="Verdana" w:cs="Verdana"/>
                <w:b/>
                <w:color w:val="000000"/>
                <w:sz w:val="2"/>
                <w:lang w:val="en-GB"/>
              </w:rPr>
            </w:pPr>
            <w:r w:rsidRPr="004D57BE">
              <w:rPr>
                <w:rFonts w:ascii="Verdana" w:eastAsia="Verdana" w:hAnsi="Verdana" w:cs="Verdana"/>
                <w:b/>
                <w:color w:val="000000"/>
                <w:sz w:val="2"/>
                <w:lang w:val="en-GB"/>
              </w:rPr>
              <w:t xml:space="preserve"> </w:t>
            </w:r>
          </w:p>
        </w:tc>
        <w:tc>
          <w:tcPr>
            <w:tcW w:w="2177" w:type="dxa"/>
            <w:shd w:val="clear" w:color="auto" w:fill="auto"/>
            <w:tcMar>
              <w:top w:w="20" w:type="dxa"/>
              <w:left w:w="20" w:type="dxa"/>
              <w:bottom w:w="20" w:type="dxa"/>
              <w:right w:w="20" w:type="dxa"/>
            </w:tcMar>
          </w:tcPr>
          <w:p w14:paraId="299C912A" w14:textId="77777777" w:rsidR="00F227D9" w:rsidRPr="004D57BE" w:rsidRDefault="00F227D9">
            <w:pPr>
              <w:pStyle w:val="T1TableStyle"/>
              <w:jc w:val="center"/>
              <w:rPr>
                <w:rFonts w:ascii="Verdana" w:eastAsia="Verdana" w:hAnsi="Verdana" w:cs="Verdana"/>
                <w:b/>
                <w:color w:val="000000"/>
                <w:sz w:val="2"/>
                <w:lang w:val="en-GB"/>
              </w:rPr>
            </w:pPr>
            <w:r w:rsidRPr="004D57BE">
              <w:rPr>
                <w:rFonts w:ascii="Verdana" w:eastAsia="Verdana" w:hAnsi="Verdana" w:cs="Verdana"/>
                <w:b/>
                <w:color w:val="000000"/>
                <w:sz w:val="2"/>
                <w:lang w:val="en-GB"/>
              </w:rPr>
              <w:t xml:space="preserve"> </w:t>
            </w:r>
          </w:p>
        </w:tc>
      </w:tr>
      <w:tr w:rsidR="0053376B" w:rsidRPr="004D57BE" w14:paraId="0E784D43" w14:textId="77777777" w:rsidTr="00B54A0C">
        <w:trPr>
          <w:trHeight w:val="265"/>
          <w:jc w:val="center"/>
        </w:trPr>
        <w:tc>
          <w:tcPr>
            <w:tcW w:w="6242" w:type="dxa"/>
            <w:shd w:val="clear" w:color="auto" w:fill="auto"/>
            <w:tcMar>
              <w:top w:w="20" w:type="dxa"/>
              <w:left w:w="20" w:type="dxa"/>
              <w:bottom w:w="20" w:type="dxa"/>
              <w:right w:w="20" w:type="dxa"/>
            </w:tcMar>
          </w:tcPr>
          <w:p w14:paraId="385E9332" w14:textId="77777777" w:rsidR="00F227D9" w:rsidRPr="004D57BE" w:rsidRDefault="00F227D9">
            <w:pPr>
              <w:pStyle w:val="T1TableStyle"/>
              <w:rPr>
                <w:rFonts w:ascii="Verdana" w:eastAsia="Verdana" w:hAnsi="Verdana" w:cs="Verdana"/>
                <w:color w:val="000000"/>
                <w:sz w:val="16"/>
                <w:lang w:val="en-GB"/>
              </w:rPr>
            </w:pPr>
            <w:r w:rsidRPr="004D57BE">
              <w:rPr>
                <w:rFonts w:ascii="Verdana" w:eastAsia="Verdana" w:hAnsi="Verdana" w:cs="Verdana"/>
                <w:color w:val="000000"/>
                <w:sz w:val="16"/>
                <w:lang w:val="en-GB"/>
              </w:rPr>
              <w:t>Amounts by which income and expenditure included in the Comprehensive Income and Expenditure Statement are different from revenue for the year calculated in accordance with statutory requirements:</w:t>
            </w:r>
          </w:p>
        </w:tc>
        <w:tc>
          <w:tcPr>
            <w:tcW w:w="2177" w:type="dxa"/>
            <w:shd w:val="clear" w:color="auto" w:fill="auto"/>
            <w:tcMar>
              <w:top w:w="20" w:type="dxa"/>
              <w:left w:w="20" w:type="dxa"/>
              <w:bottom w:w="20" w:type="dxa"/>
              <w:right w:w="20" w:type="dxa"/>
            </w:tcMar>
          </w:tcPr>
          <w:p w14:paraId="1F41CA3F" w14:textId="77777777" w:rsidR="00F227D9" w:rsidRPr="004D57BE" w:rsidRDefault="00F227D9">
            <w:pPr>
              <w:pStyle w:val="T1TableStyle"/>
              <w:rPr>
                <w:rFonts w:ascii="Verdana" w:eastAsia="Verdana" w:hAnsi="Verdana" w:cs="Verdana"/>
                <w:color w:val="000000"/>
                <w:sz w:val="2"/>
                <w:lang w:val="en-GB"/>
              </w:rPr>
            </w:pPr>
            <w:r w:rsidRPr="004D57BE">
              <w:rPr>
                <w:rFonts w:ascii="Verdana" w:eastAsia="Verdana" w:hAnsi="Verdana" w:cs="Verdana"/>
                <w:color w:val="000000"/>
                <w:sz w:val="2"/>
                <w:lang w:val="en-GB"/>
              </w:rPr>
              <w:t xml:space="preserve"> </w:t>
            </w:r>
          </w:p>
        </w:tc>
        <w:tc>
          <w:tcPr>
            <w:tcW w:w="2177" w:type="dxa"/>
            <w:shd w:val="clear" w:color="auto" w:fill="auto"/>
            <w:tcMar>
              <w:top w:w="20" w:type="dxa"/>
              <w:left w:w="20" w:type="dxa"/>
              <w:bottom w:w="20" w:type="dxa"/>
              <w:right w:w="20" w:type="dxa"/>
            </w:tcMar>
          </w:tcPr>
          <w:p w14:paraId="39F887A3" w14:textId="77777777" w:rsidR="00F227D9" w:rsidRPr="004D57BE" w:rsidRDefault="00F227D9">
            <w:pPr>
              <w:pStyle w:val="T1TableStyle"/>
              <w:rPr>
                <w:rFonts w:ascii="Verdana" w:eastAsia="Verdana" w:hAnsi="Verdana" w:cs="Verdana"/>
                <w:color w:val="000000"/>
                <w:sz w:val="2"/>
                <w:lang w:val="en-GB"/>
              </w:rPr>
            </w:pPr>
            <w:r w:rsidRPr="004D57BE">
              <w:rPr>
                <w:rFonts w:ascii="Verdana" w:eastAsia="Verdana" w:hAnsi="Verdana" w:cs="Verdana"/>
                <w:color w:val="000000"/>
                <w:sz w:val="2"/>
                <w:lang w:val="en-GB"/>
              </w:rPr>
              <w:t xml:space="preserve"> </w:t>
            </w:r>
          </w:p>
        </w:tc>
      </w:tr>
      <w:tr w:rsidR="00C56350" w:rsidRPr="004D57BE" w14:paraId="4A1D1683" w14:textId="77777777" w:rsidTr="00B54A0C">
        <w:trPr>
          <w:trHeight w:val="265"/>
          <w:jc w:val="center"/>
        </w:trPr>
        <w:tc>
          <w:tcPr>
            <w:tcW w:w="6242" w:type="dxa"/>
            <w:shd w:val="clear" w:color="auto" w:fill="auto"/>
            <w:tcMar>
              <w:top w:w="20" w:type="dxa"/>
              <w:left w:w="20" w:type="dxa"/>
              <w:bottom w:w="20" w:type="dxa"/>
              <w:right w:w="20" w:type="dxa"/>
            </w:tcMar>
          </w:tcPr>
          <w:p w14:paraId="3838BD09" w14:textId="77777777" w:rsidR="00C56350" w:rsidRPr="004D57BE" w:rsidRDefault="00C56350" w:rsidP="00C56350">
            <w:pPr>
              <w:pStyle w:val="T1TableStyle"/>
              <w:rPr>
                <w:rFonts w:ascii="Verdana" w:eastAsia="Verdana" w:hAnsi="Verdana" w:cs="Verdana"/>
                <w:color w:val="000000"/>
                <w:sz w:val="16"/>
                <w:lang w:val="en-GB"/>
              </w:rPr>
            </w:pPr>
            <w:r w:rsidRPr="004D57BE">
              <w:rPr>
                <w:rFonts w:ascii="Verdana" w:eastAsia="Verdana" w:hAnsi="Verdana" w:cs="Verdana"/>
                <w:color w:val="000000"/>
                <w:sz w:val="16"/>
                <w:lang w:val="en-GB"/>
              </w:rPr>
              <w:t>Pension cost (transferred to (or from) the Pensions Reserve)</w:t>
            </w:r>
          </w:p>
        </w:tc>
        <w:tc>
          <w:tcPr>
            <w:tcW w:w="2177" w:type="dxa"/>
            <w:shd w:val="clear" w:color="auto" w:fill="auto"/>
            <w:tcMar>
              <w:top w:w="20" w:type="dxa"/>
              <w:left w:w="20" w:type="dxa"/>
              <w:bottom w:w="20" w:type="dxa"/>
              <w:right w:w="20" w:type="dxa"/>
            </w:tcMar>
          </w:tcPr>
          <w:p w14:paraId="73B8D6DC" w14:textId="77777777" w:rsidR="00C56350" w:rsidRPr="004D57BE" w:rsidRDefault="00C56350" w:rsidP="00C56350">
            <w:pPr>
              <w:pStyle w:val="T1TableStyle"/>
              <w:jc w:val="right"/>
              <w:rPr>
                <w:rFonts w:ascii="Verdana" w:eastAsia="Verdana" w:hAnsi="Verdana" w:cs="Verdana"/>
                <w:color w:val="000000"/>
                <w:sz w:val="16"/>
                <w:lang w:val="en-GB"/>
              </w:rPr>
            </w:pPr>
            <w:r w:rsidRPr="004D57BE">
              <w:rPr>
                <w:rFonts w:ascii="Verdana" w:eastAsia="Verdana" w:hAnsi="Verdana" w:cs="Verdana"/>
                <w:color w:val="000000"/>
                <w:sz w:val="16"/>
                <w:lang w:val="en-GB"/>
              </w:rPr>
              <w:t>(62,886)</w:t>
            </w:r>
          </w:p>
        </w:tc>
        <w:tc>
          <w:tcPr>
            <w:tcW w:w="2177" w:type="dxa"/>
            <w:shd w:val="clear" w:color="auto" w:fill="auto"/>
            <w:tcMar>
              <w:top w:w="20" w:type="dxa"/>
              <w:left w:w="20" w:type="dxa"/>
              <w:bottom w:w="20" w:type="dxa"/>
              <w:right w:w="20" w:type="dxa"/>
            </w:tcMar>
          </w:tcPr>
          <w:p w14:paraId="1517B8E6" w14:textId="77777777" w:rsidR="00C56350" w:rsidRPr="004D57BE" w:rsidRDefault="00C56350" w:rsidP="00C56350">
            <w:pPr>
              <w:pStyle w:val="T1TableStyle"/>
              <w:jc w:val="right"/>
              <w:rPr>
                <w:rFonts w:ascii="Verdana" w:eastAsia="Verdana" w:hAnsi="Verdana" w:cs="Verdana"/>
                <w:color w:val="000000"/>
                <w:sz w:val="16"/>
                <w:lang w:val="en-GB"/>
              </w:rPr>
            </w:pPr>
            <w:r w:rsidRPr="004D57BE">
              <w:rPr>
                <w:rFonts w:ascii="Verdana" w:eastAsia="Verdana" w:hAnsi="Verdana" w:cs="Verdana"/>
                <w:color w:val="000000"/>
                <w:sz w:val="16"/>
                <w:lang w:val="en-GB"/>
              </w:rPr>
              <w:t>62,886</w:t>
            </w:r>
          </w:p>
        </w:tc>
      </w:tr>
      <w:tr w:rsidR="00C56350" w:rsidRPr="004D57BE" w14:paraId="2E96BC2B" w14:textId="77777777" w:rsidTr="00B54A0C">
        <w:trPr>
          <w:trHeight w:val="265"/>
          <w:jc w:val="center"/>
        </w:trPr>
        <w:tc>
          <w:tcPr>
            <w:tcW w:w="6242" w:type="dxa"/>
            <w:shd w:val="clear" w:color="auto" w:fill="auto"/>
            <w:tcMar>
              <w:top w:w="20" w:type="dxa"/>
              <w:left w:w="20" w:type="dxa"/>
              <w:bottom w:w="20" w:type="dxa"/>
              <w:right w:w="20" w:type="dxa"/>
            </w:tcMar>
          </w:tcPr>
          <w:p w14:paraId="58F579F4" w14:textId="77777777" w:rsidR="00C56350" w:rsidRPr="004D57BE" w:rsidRDefault="00C56350" w:rsidP="00C56350">
            <w:pPr>
              <w:pStyle w:val="T1TableStyle"/>
              <w:rPr>
                <w:rFonts w:ascii="Verdana" w:eastAsia="Verdana" w:hAnsi="Verdana" w:cs="Verdana"/>
                <w:color w:val="000000"/>
                <w:sz w:val="16"/>
                <w:lang w:val="en-GB"/>
              </w:rPr>
            </w:pPr>
            <w:r w:rsidRPr="004D57BE">
              <w:rPr>
                <w:rFonts w:ascii="Verdana" w:eastAsia="Verdana" w:hAnsi="Verdana" w:cs="Verdana"/>
                <w:color w:val="000000"/>
                <w:sz w:val="16"/>
                <w:lang w:val="en-GB"/>
              </w:rPr>
              <w:t>Holiday pay (transferred to the Accumulated Absences reserve)</w:t>
            </w:r>
          </w:p>
        </w:tc>
        <w:tc>
          <w:tcPr>
            <w:tcW w:w="2177" w:type="dxa"/>
            <w:shd w:val="clear" w:color="auto" w:fill="auto"/>
            <w:tcMar>
              <w:top w:w="20" w:type="dxa"/>
              <w:left w:w="20" w:type="dxa"/>
              <w:bottom w:w="20" w:type="dxa"/>
              <w:right w:w="20" w:type="dxa"/>
            </w:tcMar>
          </w:tcPr>
          <w:p w14:paraId="5C5461BA" w14:textId="77777777" w:rsidR="00C56350" w:rsidRPr="004D57BE" w:rsidRDefault="00C56350" w:rsidP="00C56350">
            <w:pPr>
              <w:pStyle w:val="T1TableStyle"/>
              <w:jc w:val="right"/>
              <w:rPr>
                <w:rFonts w:ascii="Verdana" w:eastAsia="Verdana" w:hAnsi="Verdana" w:cs="Verdana"/>
                <w:color w:val="000000"/>
                <w:sz w:val="16"/>
                <w:lang w:val="en-GB"/>
              </w:rPr>
            </w:pPr>
            <w:r w:rsidRPr="004D57BE">
              <w:rPr>
                <w:rFonts w:ascii="Verdana" w:eastAsia="Verdana" w:hAnsi="Verdana" w:cs="Verdana"/>
                <w:color w:val="000000"/>
                <w:sz w:val="16"/>
                <w:lang w:val="en-GB"/>
              </w:rPr>
              <w:t>(145)</w:t>
            </w:r>
          </w:p>
        </w:tc>
        <w:tc>
          <w:tcPr>
            <w:tcW w:w="2177" w:type="dxa"/>
            <w:shd w:val="clear" w:color="auto" w:fill="auto"/>
            <w:tcMar>
              <w:top w:w="20" w:type="dxa"/>
              <w:left w:w="20" w:type="dxa"/>
              <w:bottom w:w="20" w:type="dxa"/>
              <w:right w:w="20" w:type="dxa"/>
            </w:tcMar>
          </w:tcPr>
          <w:p w14:paraId="2C35FF7A" w14:textId="77777777" w:rsidR="00C56350" w:rsidRPr="004D57BE" w:rsidRDefault="00C56350" w:rsidP="00C56350">
            <w:pPr>
              <w:pStyle w:val="T1TableStyle"/>
              <w:jc w:val="right"/>
              <w:rPr>
                <w:rFonts w:ascii="Verdana" w:eastAsia="Verdana" w:hAnsi="Verdana" w:cs="Verdana"/>
                <w:color w:val="000000"/>
                <w:sz w:val="16"/>
                <w:lang w:val="en-GB"/>
              </w:rPr>
            </w:pPr>
            <w:r w:rsidRPr="004D57BE">
              <w:rPr>
                <w:rFonts w:ascii="Verdana" w:eastAsia="Verdana" w:hAnsi="Verdana" w:cs="Verdana"/>
                <w:color w:val="000000"/>
                <w:sz w:val="16"/>
                <w:lang w:val="en-GB"/>
              </w:rPr>
              <w:t>145</w:t>
            </w:r>
          </w:p>
        </w:tc>
      </w:tr>
      <w:tr w:rsidR="00C56350" w:rsidRPr="004D57BE" w14:paraId="48F9CFE4" w14:textId="77777777" w:rsidTr="00B54A0C">
        <w:trPr>
          <w:trHeight w:hRule="exact" w:val="83"/>
          <w:jc w:val="center"/>
        </w:trPr>
        <w:tc>
          <w:tcPr>
            <w:tcW w:w="6242" w:type="dxa"/>
            <w:shd w:val="clear" w:color="auto" w:fill="auto"/>
            <w:tcMar>
              <w:top w:w="20" w:type="dxa"/>
              <w:left w:w="20" w:type="dxa"/>
              <w:bottom w:w="20" w:type="dxa"/>
              <w:right w:w="20" w:type="dxa"/>
            </w:tcMar>
          </w:tcPr>
          <w:p w14:paraId="67BD9715" w14:textId="77777777" w:rsidR="00C56350" w:rsidRPr="004D57BE" w:rsidRDefault="00C56350" w:rsidP="00C56350">
            <w:pPr>
              <w:pStyle w:val="T1TableStyle"/>
              <w:jc w:val="center"/>
              <w:rPr>
                <w:rFonts w:ascii="Verdana" w:eastAsia="Verdana" w:hAnsi="Verdana" w:cs="Verdana"/>
                <w:color w:val="000000"/>
                <w:sz w:val="2"/>
                <w:lang w:val="en-GB"/>
              </w:rPr>
            </w:pPr>
            <w:r w:rsidRPr="004D57BE">
              <w:rPr>
                <w:rFonts w:ascii="Verdana" w:eastAsia="Verdana" w:hAnsi="Verdana" w:cs="Verdana"/>
                <w:color w:val="000000"/>
                <w:sz w:val="2"/>
                <w:lang w:val="en-GB"/>
              </w:rPr>
              <w:t xml:space="preserve"> </w:t>
            </w:r>
          </w:p>
        </w:tc>
        <w:tc>
          <w:tcPr>
            <w:tcW w:w="2177" w:type="dxa"/>
            <w:shd w:val="clear" w:color="auto" w:fill="auto"/>
            <w:tcMar>
              <w:top w:w="20" w:type="dxa"/>
              <w:left w:w="20" w:type="dxa"/>
              <w:bottom w:w="20" w:type="dxa"/>
              <w:right w:w="20" w:type="dxa"/>
            </w:tcMar>
          </w:tcPr>
          <w:p w14:paraId="6F59FC2F" w14:textId="77777777" w:rsidR="00C56350" w:rsidRPr="004D57BE" w:rsidRDefault="00C56350" w:rsidP="00C56350">
            <w:pPr>
              <w:pStyle w:val="T1TableStyle"/>
              <w:jc w:val="center"/>
              <w:rPr>
                <w:rFonts w:ascii="Verdana" w:eastAsia="Verdana" w:hAnsi="Verdana" w:cs="Verdana"/>
                <w:color w:val="000000"/>
                <w:sz w:val="2"/>
                <w:lang w:val="en-GB"/>
              </w:rPr>
            </w:pPr>
            <w:r w:rsidRPr="004D57BE">
              <w:rPr>
                <w:rFonts w:ascii="Verdana" w:eastAsia="Verdana" w:hAnsi="Verdana" w:cs="Verdana"/>
                <w:color w:val="000000"/>
                <w:sz w:val="2"/>
                <w:lang w:val="en-GB"/>
              </w:rPr>
              <w:t xml:space="preserve"> </w:t>
            </w:r>
          </w:p>
        </w:tc>
        <w:tc>
          <w:tcPr>
            <w:tcW w:w="2177" w:type="dxa"/>
            <w:shd w:val="clear" w:color="auto" w:fill="auto"/>
            <w:tcMar>
              <w:top w:w="20" w:type="dxa"/>
              <w:left w:w="20" w:type="dxa"/>
              <w:bottom w:w="20" w:type="dxa"/>
              <w:right w:w="20" w:type="dxa"/>
            </w:tcMar>
          </w:tcPr>
          <w:p w14:paraId="6A2C8511" w14:textId="77777777" w:rsidR="00C56350" w:rsidRPr="004D57BE" w:rsidRDefault="00C56350" w:rsidP="00C56350">
            <w:pPr>
              <w:pStyle w:val="T1TableStyle"/>
              <w:jc w:val="center"/>
              <w:rPr>
                <w:rFonts w:ascii="Verdana" w:eastAsia="Verdana" w:hAnsi="Verdana" w:cs="Verdana"/>
                <w:color w:val="000000"/>
                <w:sz w:val="2"/>
                <w:lang w:val="en-GB"/>
              </w:rPr>
            </w:pPr>
            <w:r w:rsidRPr="004D57BE">
              <w:rPr>
                <w:rFonts w:ascii="Verdana" w:eastAsia="Verdana" w:hAnsi="Verdana" w:cs="Verdana"/>
                <w:color w:val="000000"/>
                <w:sz w:val="2"/>
                <w:lang w:val="en-GB"/>
              </w:rPr>
              <w:t xml:space="preserve"> </w:t>
            </w:r>
          </w:p>
        </w:tc>
      </w:tr>
      <w:tr w:rsidR="00C56350" w:rsidRPr="004D57BE" w14:paraId="07ECA379" w14:textId="77777777" w:rsidTr="00B54A0C">
        <w:trPr>
          <w:trHeight w:hRule="exact" w:val="155"/>
          <w:jc w:val="center"/>
        </w:trPr>
        <w:tc>
          <w:tcPr>
            <w:tcW w:w="6242" w:type="dxa"/>
            <w:shd w:val="clear" w:color="auto" w:fill="auto"/>
            <w:tcMar>
              <w:top w:w="20" w:type="dxa"/>
              <w:left w:w="20" w:type="dxa"/>
              <w:bottom w:w="20" w:type="dxa"/>
              <w:right w:w="20" w:type="dxa"/>
            </w:tcMar>
          </w:tcPr>
          <w:p w14:paraId="32A93B31" w14:textId="77777777" w:rsidR="00C56350" w:rsidRPr="004D57BE" w:rsidRDefault="00C56350" w:rsidP="00C56350">
            <w:pPr>
              <w:pStyle w:val="T1TableStyle"/>
              <w:jc w:val="center"/>
              <w:rPr>
                <w:rFonts w:ascii="Verdana" w:eastAsia="Verdana" w:hAnsi="Verdana" w:cs="Verdana"/>
                <w:color w:val="000000"/>
                <w:sz w:val="2"/>
                <w:lang w:val="en-GB"/>
              </w:rPr>
            </w:pPr>
            <w:r w:rsidRPr="004D57BE">
              <w:rPr>
                <w:rFonts w:ascii="Verdana" w:eastAsia="Verdana" w:hAnsi="Verdana" w:cs="Verdana"/>
                <w:color w:val="000000"/>
                <w:sz w:val="2"/>
                <w:lang w:val="en-GB"/>
              </w:rPr>
              <w:t xml:space="preserve"> </w:t>
            </w:r>
          </w:p>
        </w:tc>
        <w:tc>
          <w:tcPr>
            <w:tcW w:w="2177" w:type="dxa"/>
            <w:shd w:val="clear" w:color="auto" w:fill="auto"/>
            <w:tcMar>
              <w:top w:w="20" w:type="dxa"/>
              <w:left w:w="20" w:type="dxa"/>
              <w:bottom w:w="20" w:type="dxa"/>
              <w:right w:w="20" w:type="dxa"/>
            </w:tcMar>
          </w:tcPr>
          <w:p w14:paraId="215086B8" w14:textId="77777777" w:rsidR="00C56350" w:rsidRPr="004D57BE" w:rsidRDefault="00C56350" w:rsidP="00C56350">
            <w:pPr>
              <w:pStyle w:val="T1TableStyle"/>
              <w:jc w:val="center"/>
              <w:rPr>
                <w:rFonts w:ascii="Verdana" w:eastAsia="Verdana" w:hAnsi="Verdana" w:cs="Verdana"/>
                <w:color w:val="000000"/>
                <w:sz w:val="2"/>
                <w:lang w:val="en-GB"/>
              </w:rPr>
            </w:pPr>
            <w:r w:rsidRPr="004D57BE">
              <w:rPr>
                <w:rFonts w:ascii="Verdana" w:eastAsia="Verdana" w:hAnsi="Verdana" w:cs="Verdana"/>
                <w:color w:val="000000"/>
                <w:sz w:val="2"/>
                <w:lang w:val="en-GB"/>
              </w:rPr>
              <w:t xml:space="preserve"> </w:t>
            </w:r>
          </w:p>
        </w:tc>
        <w:tc>
          <w:tcPr>
            <w:tcW w:w="2177" w:type="dxa"/>
            <w:shd w:val="clear" w:color="auto" w:fill="auto"/>
            <w:tcMar>
              <w:top w:w="20" w:type="dxa"/>
              <w:left w:w="20" w:type="dxa"/>
              <w:bottom w:w="20" w:type="dxa"/>
              <w:right w:w="20" w:type="dxa"/>
            </w:tcMar>
          </w:tcPr>
          <w:p w14:paraId="294CF200" w14:textId="77777777" w:rsidR="00C56350" w:rsidRPr="004D57BE" w:rsidRDefault="00C56350" w:rsidP="00C56350">
            <w:pPr>
              <w:pStyle w:val="T1TableStyle"/>
              <w:jc w:val="center"/>
              <w:rPr>
                <w:rFonts w:ascii="Verdana" w:eastAsia="Verdana" w:hAnsi="Verdana" w:cs="Verdana"/>
                <w:color w:val="000000"/>
                <w:sz w:val="2"/>
                <w:lang w:val="en-GB"/>
              </w:rPr>
            </w:pPr>
            <w:r w:rsidRPr="004D57BE">
              <w:rPr>
                <w:rFonts w:ascii="Verdana" w:eastAsia="Verdana" w:hAnsi="Verdana" w:cs="Verdana"/>
                <w:color w:val="000000"/>
                <w:sz w:val="2"/>
                <w:lang w:val="en-GB"/>
              </w:rPr>
              <w:t xml:space="preserve"> </w:t>
            </w:r>
          </w:p>
        </w:tc>
      </w:tr>
      <w:tr w:rsidR="00C56350" w:rsidRPr="004D57BE" w14:paraId="3A6042D2" w14:textId="77777777" w:rsidTr="00B54A0C">
        <w:trPr>
          <w:trHeight w:val="265"/>
          <w:jc w:val="center"/>
        </w:trPr>
        <w:tc>
          <w:tcPr>
            <w:tcW w:w="6242" w:type="dxa"/>
            <w:tcBorders>
              <w:top w:val="single" w:sz="2" w:space="0" w:color="000000"/>
              <w:bottom w:val="single" w:sz="12" w:space="0" w:color="000000"/>
            </w:tcBorders>
            <w:shd w:val="clear" w:color="auto" w:fill="auto"/>
            <w:tcMar>
              <w:top w:w="20" w:type="dxa"/>
              <w:left w:w="20" w:type="dxa"/>
              <w:bottom w:w="20" w:type="dxa"/>
              <w:right w:w="20" w:type="dxa"/>
            </w:tcMar>
          </w:tcPr>
          <w:p w14:paraId="1C4818A6" w14:textId="77777777" w:rsidR="00C56350" w:rsidRPr="004D57BE" w:rsidRDefault="00C56350" w:rsidP="00C56350">
            <w:pPr>
              <w:pStyle w:val="T1TableStyle"/>
              <w:rPr>
                <w:rFonts w:ascii="Verdana" w:eastAsia="Verdana" w:hAnsi="Verdana" w:cs="Verdana"/>
                <w:b/>
                <w:color w:val="000000"/>
                <w:sz w:val="16"/>
                <w:lang w:val="en-GB"/>
              </w:rPr>
            </w:pPr>
            <w:r w:rsidRPr="004D57BE">
              <w:rPr>
                <w:rFonts w:ascii="Verdana" w:eastAsia="Verdana" w:hAnsi="Verdana" w:cs="Verdana"/>
                <w:b/>
                <w:color w:val="000000"/>
                <w:sz w:val="16"/>
                <w:lang w:val="en-GB"/>
              </w:rPr>
              <w:t>Total Adjustments</w:t>
            </w:r>
          </w:p>
        </w:tc>
        <w:tc>
          <w:tcPr>
            <w:tcW w:w="2177" w:type="dxa"/>
            <w:tcBorders>
              <w:top w:val="single" w:sz="2" w:space="0" w:color="000000"/>
              <w:bottom w:val="single" w:sz="12" w:space="0" w:color="000000"/>
            </w:tcBorders>
            <w:shd w:val="clear" w:color="auto" w:fill="auto"/>
            <w:tcMar>
              <w:top w:w="20" w:type="dxa"/>
              <w:left w:w="20" w:type="dxa"/>
              <w:bottom w:w="20" w:type="dxa"/>
              <w:right w:w="20" w:type="dxa"/>
            </w:tcMar>
          </w:tcPr>
          <w:p w14:paraId="14E65AEB" w14:textId="77777777" w:rsidR="00C56350" w:rsidRPr="004D57BE" w:rsidRDefault="00C56350" w:rsidP="00C56350">
            <w:pPr>
              <w:pStyle w:val="T1TableStyle"/>
              <w:jc w:val="right"/>
              <w:rPr>
                <w:rFonts w:ascii="Verdana" w:eastAsia="Verdana" w:hAnsi="Verdana" w:cs="Verdana"/>
                <w:b/>
                <w:color w:val="000000"/>
                <w:sz w:val="16"/>
                <w:lang w:val="en-GB"/>
              </w:rPr>
            </w:pPr>
            <w:r w:rsidRPr="004D57BE">
              <w:rPr>
                <w:rFonts w:ascii="Verdana" w:eastAsia="Verdana" w:hAnsi="Verdana" w:cs="Verdana"/>
                <w:b/>
                <w:color w:val="000000"/>
                <w:sz w:val="16"/>
                <w:lang w:val="en-GB"/>
              </w:rPr>
              <w:t>(63,031)</w:t>
            </w:r>
          </w:p>
        </w:tc>
        <w:tc>
          <w:tcPr>
            <w:tcW w:w="2177" w:type="dxa"/>
            <w:tcBorders>
              <w:top w:val="single" w:sz="2" w:space="0" w:color="000000"/>
              <w:bottom w:val="single" w:sz="12" w:space="0" w:color="000000"/>
            </w:tcBorders>
            <w:shd w:val="clear" w:color="auto" w:fill="auto"/>
            <w:tcMar>
              <w:top w:w="20" w:type="dxa"/>
              <w:left w:w="20" w:type="dxa"/>
              <w:bottom w:w="20" w:type="dxa"/>
              <w:right w:w="20" w:type="dxa"/>
            </w:tcMar>
          </w:tcPr>
          <w:p w14:paraId="643AAF34" w14:textId="77777777" w:rsidR="00C56350" w:rsidRPr="004D57BE" w:rsidRDefault="00C56350" w:rsidP="00C56350">
            <w:pPr>
              <w:pStyle w:val="T1TableStyle"/>
              <w:jc w:val="right"/>
              <w:rPr>
                <w:rFonts w:ascii="Verdana" w:eastAsia="Verdana" w:hAnsi="Verdana" w:cs="Verdana"/>
                <w:b/>
                <w:color w:val="000000"/>
                <w:sz w:val="16"/>
                <w:lang w:val="en-GB"/>
              </w:rPr>
            </w:pPr>
            <w:r w:rsidRPr="004D57BE">
              <w:rPr>
                <w:rFonts w:ascii="Verdana" w:eastAsia="Verdana" w:hAnsi="Verdana" w:cs="Verdana"/>
                <w:b/>
                <w:color w:val="000000"/>
                <w:sz w:val="16"/>
                <w:lang w:val="en-GB"/>
              </w:rPr>
              <w:t>63,031</w:t>
            </w:r>
          </w:p>
        </w:tc>
      </w:tr>
    </w:tbl>
    <w:p w14:paraId="19F03F78" w14:textId="77777777" w:rsidR="00F227D9" w:rsidRPr="00DC1077" w:rsidRDefault="00F227D9">
      <w:pPr>
        <w:pStyle w:val="T1TableStyle"/>
        <w:rPr>
          <w:rFonts w:ascii="Verdana" w:eastAsia="Verdana" w:hAnsi="Verdana" w:cs="Verdana"/>
          <w:sz w:val="22"/>
          <w:highlight w:val="yellow"/>
          <w:lang w:val="en-GB"/>
        </w:rPr>
      </w:pPr>
    </w:p>
    <w:p w14:paraId="30BF9584" w14:textId="77777777" w:rsidR="00F227D9" w:rsidRPr="00DC1077" w:rsidRDefault="00F227D9">
      <w:pPr>
        <w:pStyle w:val="Normal0"/>
        <w:spacing w:after="160" w:line="259" w:lineRule="auto"/>
        <w:rPr>
          <w:rFonts w:ascii="Verdana" w:eastAsia="Verdana" w:hAnsi="Verdana" w:cs="Verdana"/>
          <w:sz w:val="22"/>
          <w:szCs w:val="22"/>
          <w:highlight w:val="yellow"/>
          <w:lang w:val="en-GB"/>
        </w:rPr>
      </w:pPr>
    </w:p>
    <w:p w14:paraId="40D7C843" w14:textId="77777777" w:rsidR="00F227D9" w:rsidRPr="00DC1077" w:rsidRDefault="00F227D9">
      <w:pPr>
        <w:pStyle w:val="Normal0"/>
        <w:spacing w:after="160" w:line="259" w:lineRule="auto"/>
        <w:rPr>
          <w:rFonts w:ascii="Verdana" w:eastAsia="Verdana" w:hAnsi="Verdana" w:cs="Verdana"/>
          <w:sz w:val="22"/>
          <w:szCs w:val="22"/>
          <w:highlight w:val="yellow"/>
          <w:lang w:val="en-GB"/>
        </w:rPr>
      </w:pPr>
    </w:p>
    <w:p w14:paraId="312A8DFA" w14:textId="77777777" w:rsidR="005B4F75" w:rsidRPr="00DC1077" w:rsidRDefault="005B4F75">
      <w:pPr>
        <w:pStyle w:val="Normal0"/>
        <w:spacing w:after="160" w:line="259" w:lineRule="auto"/>
        <w:rPr>
          <w:rFonts w:ascii="Verdana" w:eastAsia="Verdana" w:hAnsi="Verdana" w:cs="Verdana"/>
          <w:sz w:val="22"/>
          <w:szCs w:val="22"/>
          <w:highlight w:val="yellow"/>
          <w:lang w:val="en-GB"/>
        </w:rPr>
      </w:pPr>
    </w:p>
    <w:p w14:paraId="2CA6805E" w14:textId="77777777" w:rsidR="00F227D9" w:rsidRPr="00354335" w:rsidRDefault="00F227D9" w:rsidP="00F227D9">
      <w:pPr>
        <w:pStyle w:val="Heading1"/>
        <w:spacing w:after="240" w:line="259" w:lineRule="auto"/>
        <w:rPr>
          <w:lang w:val="pt-BR"/>
        </w:rPr>
      </w:pPr>
      <w:bookmarkStart w:id="15" w:name="_Toc77095566"/>
      <w:r w:rsidRPr="00354335">
        <w:rPr>
          <w:lang w:val="pt-BR"/>
        </w:rPr>
        <w:t>Note 7 - Grant Income</w:t>
      </w:r>
      <w:bookmarkEnd w:id="15"/>
      <w:r w:rsidRPr="00354335">
        <w:rPr>
          <w:lang w:val="pt-BR"/>
        </w:rPr>
        <w:t xml:space="preserve"> </w:t>
      </w:r>
    </w:p>
    <w:tbl>
      <w:tblPr>
        <w:tblW w:w="0" w:type="auto"/>
        <w:jc w:val="center"/>
        <w:tblLayout w:type="fixed"/>
        <w:tblLook w:val="04A0" w:firstRow="1" w:lastRow="0" w:firstColumn="1" w:lastColumn="0" w:noHBand="0" w:noVBand="1"/>
      </w:tblPr>
      <w:tblGrid>
        <w:gridCol w:w="1965"/>
        <w:gridCol w:w="195"/>
        <w:gridCol w:w="4800"/>
        <w:gridCol w:w="1965"/>
      </w:tblGrid>
      <w:tr w:rsidR="0053376B" w:rsidRPr="00354335" w14:paraId="6E4B731B" w14:textId="77777777" w:rsidTr="00B11A10">
        <w:trPr>
          <w:trHeight w:val="50"/>
          <w:jc w:val="center"/>
        </w:trPr>
        <w:tc>
          <w:tcPr>
            <w:tcW w:w="8925" w:type="dxa"/>
            <w:gridSpan w:val="4"/>
            <w:shd w:val="clear" w:color="auto" w:fill="auto"/>
            <w:tcMar>
              <w:top w:w="20" w:type="dxa"/>
              <w:left w:w="20" w:type="dxa"/>
              <w:bottom w:w="20" w:type="dxa"/>
              <w:right w:w="20" w:type="dxa"/>
            </w:tcMar>
            <w:vAlign w:val="bottom"/>
          </w:tcPr>
          <w:p w14:paraId="0A976D5E" w14:textId="77777777" w:rsidR="00F227D9" w:rsidRPr="00354335" w:rsidRDefault="00F227D9">
            <w:pPr>
              <w:pStyle w:val="T1TableStyle"/>
              <w:rPr>
                <w:rFonts w:ascii="Verdana" w:eastAsia="Verdana" w:hAnsi="Verdana" w:cs="Verdana"/>
                <w:b/>
                <w:color w:val="000000"/>
                <w:sz w:val="24"/>
                <w:lang w:val="en-GB"/>
              </w:rPr>
            </w:pPr>
            <w:r w:rsidRPr="00354335">
              <w:rPr>
                <w:rFonts w:ascii="Verdana" w:eastAsia="Verdana" w:hAnsi="Verdana" w:cs="Verdana"/>
                <w:b/>
                <w:color w:val="000000"/>
                <w:sz w:val="24"/>
                <w:lang w:val="en-GB"/>
              </w:rPr>
              <w:t xml:space="preserve">Credited to Services </w:t>
            </w:r>
          </w:p>
        </w:tc>
      </w:tr>
      <w:tr w:rsidR="0053376B" w:rsidRPr="00354335" w14:paraId="6AE92DB0" w14:textId="77777777" w:rsidTr="007D3C35">
        <w:trPr>
          <w:trHeight w:val="360"/>
          <w:jc w:val="center"/>
        </w:trPr>
        <w:tc>
          <w:tcPr>
            <w:tcW w:w="1965" w:type="dxa"/>
            <w:shd w:val="clear" w:color="auto" w:fill="auto"/>
            <w:tcMar>
              <w:top w:w="20" w:type="dxa"/>
              <w:left w:w="20" w:type="dxa"/>
              <w:bottom w:w="20" w:type="dxa"/>
              <w:right w:w="20" w:type="dxa"/>
            </w:tcMar>
            <w:vAlign w:val="bottom"/>
          </w:tcPr>
          <w:p w14:paraId="41889198" w14:textId="77777777" w:rsidR="00F227D9" w:rsidRPr="00354335" w:rsidRDefault="00F227D9" w:rsidP="001A532F">
            <w:pPr>
              <w:pStyle w:val="T1TableStyle"/>
              <w:jc w:val="center"/>
              <w:rPr>
                <w:rFonts w:ascii="Verdana" w:eastAsia="Verdana" w:hAnsi="Verdana" w:cs="Verdana"/>
                <w:b/>
                <w:color w:val="000000"/>
                <w:sz w:val="16"/>
                <w:lang w:val="en-GB"/>
              </w:rPr>
            </w:pPr>
            <w:r w:rsidRPr="00354335">
              <w:rPr>
                <w:rFonts w:ascii="Verdana" w:eastAsia="Verdana" w:hAnsi="Verdana" w:cs="Verdana"/>
                <w:b/>
                <w:color w:val="000000"/>
                <w:sz w:val="16"/>
                <w:lang w:val="en-GB"/>
              </w:rPr>
              <w:t>31 March 20</w:t>
            </w:r>
            <w:r w:rsidR="001A532F" w:rsidRPr="00354335">
              <w:rPr>
                <w:rFonts w:ascii="Verdana" w:eastAsia="Verdana" w:hAnsi="Verdana" w:cs="Verdana"/>
                <w:b/>
                <w:color w:val="000000"/>
                <w:sz w:val="16"/>
                <w:lang w:val="en-GB"/>
              </w:rPr>
              <w:t>20</w:t>
            </w:r>
          </w:p>
        </w:tc>
        <w:tc>
          <w:tcPr>
            <w:tcW w:w="195" w:type="dxa"/>
            <w:shd w:val="clear" w:color="auto" w:fill="auto"/>
            <w:tcMar>
              <w:top w:w="20" w:type="dxa"/>
              <w:left w:w="20" w:type="dxa"/>
              <w:bottom w:w="20" w:type="dxa"/>
              <w:right w:w="20" w:type="dxa"/>
            </w:tcMar>
          </w:tcPr>
          <w:p w14:paraId="2F463DBA" w14:textId="77777777" w:rsidR="00F227D9" w:rsidRPr="00354335" w:rsidRDefault="00F227D9">
            <w:pPr>
              <w:pStyle w:val="T1TableStyle"/>
              <w:rPr>
                <w:rFonts w:ascii="Verdana" w:eastAsia="Verdana" w:hAnsi="Verdana" w:cs="Verdana"/>
                <w:b/>
                <w:color w:val="000000"/>
                <w:sz w:val="2"/>
                <w:lang w:val="en-GB"/>
              </w:rPr>
            </w:pPr>
            <w:r w:rsidRPr="00354335">
              <w:rPr>
                <w:rFonts w:ascii="Verdana" w:eastAsia="Verdana" w:hAnsi="Verdana" w:cs="Verdana"/>
                <w:b/>
                <w:color w:val="000000"/>
                <w:sz w:val="2"/>
                <w:lang w:val="en-GB"/>
              </w:rPr>
              <w:t xml:space="preserve"> </w:t>
            </w:r>
          </w:p>
        </w:tc>
        <w:tc>
          <w:tcPr>
            <w:tcW w:w="4800" w:type="dxa"/>
            <w:shd w:val="clear" w:color="auto" w:fill="auto"/>
            <w:tcMar>
              <w:top w:w="20" w:type="dxa"/>
              <w:left w:w="20" w:type="dxa"/>
              <w:bottom w:w="20" w:type="dxa"/>
              <w:right w:w="20" w:type="dxa"/>
            </w:tcMar>
          </w:tcPr>
          <w:p w14:paraId="34BAC351" w14:textId="77777777" w:rsidR="00F227D9" w:rsidRPr="00354335" w:rsidRDefault="00F227D9">
            <w:pPr>
              <w:pStyle w:val="T1TableStyle"/>
              <w:rPr>
                <w:rFonts w:ascii="Verdana" w:eastAsia="Verdana" w:hAnsi="Verdana" w:cs="Verdana"/>
                <w:b/>
                <w:color w:val="000000"/>
                <w:sz w:val="2"/>
                <w:lang w:val="en-GB"/>
              </w:rPr>
            </w:pPr>
            <w:r w:rsidRPr="00354335">
              <w:rPr>
                <w:rFonts w:ascii="Verdana" w:eastAsia="Verdana" w:hAnsi="Verdana" w:cs="Verdana"/>
                <w:b/>
                <w:color w:val="000000"/>
                <w:sz w:val="2"/>
                <w:lang w:val="en-GB"/>
              </w:rPr>
              <w:t xml:space="preserve"> </w:t>
            </w:r>
          </w:p>
        </w:tc>
        <w:tc>
          <w:tcPr>
            <w:tcW w:w="1965" w:type="dxa"/>
            <w:shd w:val="clear" w:color="auto" w:fill="auto"/>
            <w:tcMar>
              <w:top w:w="20" w:type="dxa"/>
              <w:left w:w="20" w:type="dxa"/>
              <w:bottom w:w="20" w:type="dxa"/>
              <w:right w:w="20" w:type="dxa"/>
            </w:tcMar>
            <w:vAlign w:val="bottom"/>
          </w:tcPr>
          <w:p w14:paraId="7BE3BD7C" w14:textId="77777777" w:rsidR="00F227D9" w:rsidRPr="00354335" w:rsidRDefault="00F227D9" w:rsidP="001A532F">
            <w:pPr>
              <w:pStyle w:val="T1TableStyle"/>
              <w:jc w:val="center"/>
              <w:rPr>
                <w:rFonts w:ascii="Verdana" w:eastAsia="Verdana" w:hAnsi="Verdana" w:cs="Verdana"/>
                <w:b/>
                <w:color w:val="000000"/>
                <w:sz w:val="16"/>
                <w:lang w:val="en-GB"/>
              </w:rPr>
            </w:pPr>
            <w:r w:rsidRPr="00354335">
              <w:rPr>
                <w:rFonts w:ascii="Verdana" w:eastAsia="Verdana" w:hAnsi="Verdana" w:cs="Verdana"/>
                <w:b/>
                <w:color w:val="000000"/>
                <w:sz w:val="16"/>
                <w:lang w:val="en-GB"/>
              </w:rPr>
              <w:t>31 March 202</w:t>
            </w:r>
            <w:r w:rsidR="001A532F" w:rsidRPr="00354335">
              <w:rPr>
                <w:rFonts w:ascii="Verdana" w:eastAsia="Verdana" w:hAnsi="Verdana" w:cs="Verdana"/>
                <w:b/>
                <w:color w:val="000000"/>
                <w:sz w:val="16"/>
                <w:lang w:val="en-GB"/>
              </w:rPr>
              <w:t>1</w:t>
            </w:r>
          </w:p>
        </w:tc>
      </w:tr>
      <w:tr w:rsidR="0053376B" w:rsidRPr="00354335" w14:paraId="40CD92B0" w14:textId="77777777" w:rsidTr="007D3C35">
        <w:trPr>
          <w:trHeight w:val="255"/>
          <w:jc w:val="center"/>
        </w:trPr>
        <w:tc>
          <w:tcPr>
            <w:tcW w:w="1965" w:type="dxa"/>
            <w:tcBorders>
              <w:bottom w:val="single" w:sz="2" w:space="0" w:color="000000"/>
            </w:tcBorders>
            <w:shd w:val="clear" w:color="auto" w:fill="auto"/>
            <w:tcMar>
              <w:top w:w="20" w:type="dxa"/>
              <w:left w:w="20" w:type="dxa"/>
              <w:bottom w:w="20" w:type="dxa"/>
              <w:right w:w="20" w:type="dxa"/>
            </w:tcMar>
          </w:tcPr>
          <w:p w14:paraId="0E8AABA8" w14:textId="77777777" w:rsidR="00F227D9" w:rsidRPr="00354335" w:rsidRDefault="00F227D9">
            <w:pPr>
              <w:pStyle w:val="T1TableStyle"/>
              <w:jc w:val="right"/>
              <w:rPr>
                <w:rFonts w:ascii="Verdana" w:eastAsia="Verdana" w:hAnsi="Verdana" w:cs="Verdana"/>
                <w:b/>
                <w:color w:val="000000"/>
                <w:sz w:val="16"/>
                <w:lang w:val="en-GB"/>
              </w:rPr>
            </w:pPr>
            <w:r w:rsidRPr="00354335">
              <w:rPr>
                <w:rFonts w:ascii="Verdana" w:eastAsia="Verdana" w:hAnsi="Verdana" w:cs="Verdana"/>
                <w:b/>
                <w:color w:val="000000"/>
                <w:sz w:val="16"/>
                <w:lang w:val="en-GB"/>
              </w:rPr>
              <w:t>£000</w:t>
            </w:r>
          </w:p>
        </w:tc>
        <w:tc>
          <w:tcPr>
            <w:tcW w:w="195" w:type="dxa"/>
            <w:tcBorders>
              <w:bottom w:val="single" w:sz="2" w:space="0" w:color="000000"/>
            </w:tcBorders>
            <w:shd w:val="clear" w:color="auto" w:fill="auto"/>
            <w:tcMar>
              <w:top w:w="20" w:type="dxa"/>
              <w:left w:w="20" w:type="dxa"/>
              <w:bottom w:w="20" w:type="dxa"/>
              <w:right w:w="20" w:type="dxa"/>
            </w:tcMar>
          </w:tcPr>
          <w:p w14:paraId="78E8031A" w14:textId="77777777" w:rsidR="00F227D9" w:rsidRPr="00354335" w:rsidRDefault="00F227D9">
            <w:pPr>
              <w:pStyle w:val="T1TableStyle"/>
              <w:jc w:val="right"/>
              <w:rPr>
                <w:rFonts w:ascii="Verdana" w:eastAsia="Verdana" w:hAnsi="Verdana" w:cs="Verdana"/>
                <w:b/>
                <w:color w:val="000000"/>
                <w:sz w:val="2"/>
                <w:lang w:val="en-GB"/>
              </w:rPr>
            </w:pPr>
            <w:r w:rsidRPr="00354335">
              <w:rPr>
                <w:rFonts w:ascii="Verdana" w:eastAsia="Verdana" w:hAnsi="Verdana" w:cs="Verdana"/>
                <w:b/>
                <w:color w:val="000000"/>
                <w:sz w:val="2"/>
                <w:lang w:val="en-GB"/>
              </w:rPr>
              <w:t xml:space="preserve"> </w:t>
            </w:r>
          </w:p>
        </w:tc>
        <w:tc>
          <w:tcPr>
            <w:tcW w:w="4800" w:type="dxa"/>
            <w:tcBorders>
              <w:bottom w:val="single" w:sz="2" w:space="0" w:color="000000"/>
            </w:tcBorders>
            <w:shd w:val="clear" w:color="auto" w:fill="auto"/>
            <w:tcMar>
              <w:top w:w="20" w:type="dxa"/>
              <w:left w:w="20" w:type="dxa"/>
              <w:bottom w:w="20" w:type="dxa"/>
              <w:right w:w="20" w:type="dxa"/>
            </w:tcMar>
          </w:tcPr>
          <w:p w14:paraId="77CBE9B0" w14:textId="77777777" w:rsidR="00F227D9" w:rsidRPr="00354335" w:rsidRDefault="00F227D9">
            <w:pPr>
              <w:pStyle w:val="T1TableStyle"/>
              <w:jc w:val="right"/>
              <w:rPr>
                <w:rFonts w:ascii="Verdana" w:eastAsia="Verdana" w:hAnsi="Verdana" w:cs="Verdana"/>
                <w:b/>
                <w:color w:val="000000"/>
                <w:sz w:val="2"/>
                <w:lang w:val="en-GB"/>
              </w:rPr>
            </w:pPr>
            <w:r w:rsidRPr="00354335">
              <w:rPr>
                <w:rFonts w:ascii="Verdana" w:eastAsia="Verdana" w:hAnsi="Verdana" w:cs="Verdana"/>
                <w:b/>
                <w:color w:val="000000"/>
                <w:sz w:val="2"/>
                <w:lang w:val="en-GB"/>
              </w:rPr>
              <w:t xml:space="preserve"> </w:t>
            </w:r>
          </w:p>
        </w:tc>
        <w:tc>
          <w:tcPr>
            <w:tcW w:w="1965" w:type="dxa"/>
            <w:tcBorders>
              <w:bottom w:val="single" w:sz="2" w:space="0" w:color="000000"/>
            </w:tcBorders>
            <w:shd w:val="clear" w:color="auto" w:fill="auto"/>
            <w:tcMar>
              <w:top w:w="20" w:type="dxa"/>
              <w:left w:w="20" w:type="dxa"/>
              <w:bottom w:w="20" w:type="dxa"/>
              <w:right w:w="20" w:type="dxa"/>
            </w:tcMar>
          </w:tcPr>
          <w:p w14:paraId="64D0FED8" w14:textId="77777777" w:rsidR="00F227D9" w:rsidRPr="00354335" w:rsidRDefault="00F227D9">
            <w:pPr>
              <w:pStyle w:val="T1TableStyle"/>
              <w:jc w:val="right"/>
              <w:rPr>
                <w:rFonts w:ascii="Verdana" w:eastAsia="Verdana" w:hAnsi="Verdana" w:cs="Verdana"/>
                <w:b/>
                <w:color w:val="000000"/>
                <w:sz w:val="16"/>
                <w:lang w:val="en-GB"/>
              </w:rPr>
            </w:pPr>
            <w:r w:rsidRPr="00354335">
              <w:rPr>
                <w:rFonts w:ascii="Verdana" w:eastAsia="Verdana" w:hAnsi="Verdana" w:cs="Verdana"/>
                <w:b/>
                <w:color w:val="000000"/>
                <w:sz w:val="16"/>
                <w:lang w:val="en-GB"/>
              </w:rPr>
              <w:t>£000</w:t>
            </w:r>
          </w:p>
        </w:tc>
      </w:tr>
      <w:tr w:rsidR="001A532F" w:rsidRPr="00354335" w14:paraId="19B4FEC5" w14:textId="77777777" w:rsidTr="007D3C35">
        <w:trPr>
          <w:trHeight w:val="255"/>
          <w:jc w:val="center"/>
        </w:trPr>
        <w:tc>
          <w:tcPr>
            <w:tcW w:w="1965" w:type="dxa"/>
            <w:shd w:val="clear" w:color="auto" w:fill="auto"/>
            <w:tcMar>
              <w:top w:w="20" w:type="dxa"/>
              <w:left w:w="20" w:type="dxa"/>
              <w:bottom w:w="20" w:type="dxa"/>
              <w:right w:w="20" w:type="dxa"/>
            </w:tcMar>
          </w:tcPr>
          <w:p w14:paraId="29814B32" w14:textId="77777777" w:rsidR="001A532F" w:rsidRPr="00354335" w:rsidRDefault="001A532F" w:rsidP="001A532F">
            <w:pPr>
              <w:pStyle w:val="T1TableStyle"/>
              <w:jc w:val="right"/>
              <w:rPr>
                <w:rFonts w:ascii="Verdana" w:eastAsia="Verdana" w:hAnsi="Verdana" w:cs="Verdana"/>
                <w:color w:val="000000"/>
                <w:sz w:val="16"/>
                <w:lang w:val="en-GB"/>
              </w:rPr>
            </w:pPr>
            <w:r w:rsidRPr="00354335">
              <w:rPr>
                <w:rFonts w:ascii="Verdana" w:eastAsia="Verdana" w:hAnsi="Verdana" w:cs="Verdana"/>
                <w:color w:val="000000"/>
                <w:sz w:val="16"/>
                <w:lang w:val="en-GB"/>
              </w:rPr>
              <w:t>(955)</w:t>
            </w:r>
          </w:p>
        </w:tc>
        <w:tc>
          <w:tcPr>
            <w:tcW w:w="195" w:type="dxa"/>
            <w:shd w:val="clear" w:color="auto" w:fill="auto"/>
            <w:tcMar>
              <w:top w:w="20" w:type="dxa"/>
              <w:left w:w="20" w:type="dxa"/>
              <w:bottom w:w="20" w:type="dxa"/>
              <w:right w:w="20" w:type="dxa"/>
            </w:tcMar>
          </w:tcPr>
          <w:p w14:paraId="602E8E29" w14:textId="77777777" w:rsidR="001A532F" w:rsidRPr="00354335" w:rsidRDefault="001A532F" w:rsidP="001A532F">
            <w:pPr>
              <w:pStyle w:val="T1TableStyle"/>
              <w:jc w:val="center"/>
              <w:rPr>
                <w:rFonts w:ascii="Verdana" w:eastAsia="Verdana" w:hAnsi="Verdana" w:cs="Verdana"/>
                <w:color w:val="000000"/>
                <w:sz w:val="2"/>
                <w:lang w:val="en-GB"/>
              </w:rPr>
            </w:pPr>
            <w:r w:rsidRPr="00354335">
              <w:rPr>
                <w:rFonts w:ascii="Verdana" w:eastAsia="Verdana" w:hAnsi="Verdana" w:cs="Verdana"/>
                <w:color w:val="000000"/>
                <w:sz w:val="2"/>
                <w:lang w:val="en-GB"/>
              </w:rPr>
              <w:t xml:space="preserve"> </w:t>
            </w:r>
          </w:p>
        </w:tc>
        <w:tc>
          <w:tcPr>
            <w:tcW w:w="4800" w:type="dxa"/>
            <w:shd w:val="clear" w:color="auto" w:fill="auto"/>
            <w:tcMar>
              <w:top w:w="20" w:type="dxa"/>
              <w:left w:w="20" w:type="dxa"/>
              <w:bottom w:w="20" w:type="dxa"/>
              <w:right w:w="20" w:type="dxa"/>
            </w:tcMar>
          </w:tcPr>
          <w:p w14:paraId="7510A24B" w14:textId="77777777" w:rsidR="001A532F" w:rsidRPr="00354335" w:rsidRDefault="001A532F" w:rsidP="001A532F">
            <w:pPr>
              <w:pStyle w:val="T1TableStyle"/>
              <w:rPr>
                <w:rFonts w:ascii="Verdana" w:eastAsia="Verdana" w:hAnsi="Verdana" w:cs="Verdana"/>
                <w:color w:val="000000"/>
                <w:sz w:val="16"/>
                <w:lang w:val="en-GB"/>
              </w:rPr>
            </w:pPr>
            <w:r w:rsidRPr="00354335">
              <w:rPr>
                <w:rFonts w:ascii="Verdana" w:eastAsia="Verdana" w:hAnsi="Verdana" w:cs="Verdana"/>
                <w:color w:val="000000"/>
                <w:sz w:val="16"/>
                <w:lang w:val="en-GB"/>
              </w:rPr>
              <w:t>Counter Terrorism</w:t>
            </w:r>
          </w:p>
        </w:tc>
        <w:tc>
          <w:tcPr>
            <w:tcW w:w="1965" w:type="dxa"/>
            <w:shd w:val="clear" w:color="auto" w:fill="auto"/>
            <w:tcMar>
              <w:top w:w="20" w:type="dxa"/>
              <w:left w:w="20" w:type="dxa"/>
              <w:bottom w:w="20" w:type="dxa"/>
              <w:right w:w="20" w:type="dxa"/>
            </w:tcMar>
          </w:tcPr>
          <w:p w14:paraId="1A2F0A90" w14:textId="77777777" w:rsidR="001A532F" w:rsidRPr="00354335" w:rsidRDefault="00BD5D66" w:rsidP="001A532F">
            <w:pPr>
              <w:pStyle w:val="T1TableStyle"/>
              <w:jc w:val="right"/>
              <w:rPr>
                <w:rFonts w:ascii="Verdana" w:eastAsia="Verdana" w:hAnsi="Verdana" w:cs="Verdana"/>
                <w:color w:val="000000"/>
                <w:sz w:val="16"/>
                <w:lang w:val="en-GB"/>
              </w:rPr>
            </w:pPr>
            <w:r w:rsidRPr="00354335">
              <w:rPr>
                <w:rFonts w:ascii="Verdana" w:eastAsia="Verdana" w:hAnsi="Verdana" w:cs="Verdana"/>
                <w:color w:val="000000"/>
                <w:sz w:val="16"/>
                <w:lang w:val="en-GB"/>
              </w:rPr>
              <w:t>(</w:t>
            </w:r>
            <w:r w:rsidR="00BB14F6" w:rsidRPr="00354335">
              <w:rPr>
                <w:rFonts w:ascii="Verdana" w:eastAsia="Verdana" w:hAnsi="Verdana" w:cs="Verdana"/>
                <w:color w:val="000000"/>
                <w:sz w:val="16"/>
                <w:lang w:val="en-GB"/>
              </w:rPr>
              <w:t>1</w:t>
            </w:r>
            <w:r w:rsidRPr="00354335">
              <w:rPr>
                <w:rFonts w:ascii="Verdana" w:eastAsia="Verdana" w:hAnsi="Verdana" w:cs="Verdana"/>
                <w:color w:val="000000"/>
                <w:sz w:val="16"/>
                <w:lang w:val="en-GB"/>
              </w:rPr>
              <w:t>,</w:t>
            </w:r>
            <w:r w:rsidR="00BB14F6" w:rsidRPr="00354335">
              <w:rPr>
                <w:rFonts w:ascii="Verdana" w:eastAsia="Verdana" w:hAnsi="Verdana" w:cs="Verdana"/>
                <w:color w:val="000000"/>
                <w:sz w:val="16"/>
                <w:lang w:val="en-GB"/>
              </w:rPr>
              <w:t>041</w:t>
            </w:r>
            <w:r w:rsidRPr="00354335">
              <w:rPr>
                <w:rFonts w:ascii="Verdana" w:eastAsia="Verdana" w:hAnsi="Verdana" w:cs="Verdana"/>
                <w:color w:val="000000"/>
                <w:sz w:val="16"/>
                <w:lang w:val="en-GB"/>
              </w:rPr>
              <w:t>)</w:t>
            </w:r>
          </w:p>
        </w:tc>
      </w:tr>
      <w:tr w:rsidR="001A532F" w:rsidRPr="00354335" w14:paraId="66ADEAE4" w14:textId="77777777" w:rsidTr="007D3C35">
        <w:trPr>
          <w:trHeight w:val="255"/>
          <w:jc w:val="center"/>
        </w:trPr>
        <w:tc>
          <w:tcPr>
            <w:tcW w:w="1965" w:type="dxa"/>
            <w:shd w:val="clear" w:color="auto" w:fill="auto"/>
            <w:tcMar>
              <w:top w:w="20" w:type="dxa"/>
              <w:left w:w="20" w:type="dxa"/>
              <w:bottom w:w="20" w:type="dxa"/>
              <w:right w:w="20" w:type="dxa"/>
            </w:tcMar>
          </w:tcPr>
          <w:p w14:paraId="4F9E97D8" w14:textId="77777777" w:rsidR="001A532F" w:rsidRPr="00354335" w:rsidRDefault="001A532F" w:rsidP="001A532F">
            <w:pPr>
              <w:pStyle w:val="T1TableStyle"/>
              <w:jc w:val="right"/>
              <w:rPr>
                <w:rFonts w:ascii="Verdana" w:eastAsia="Verdana" w:hAnsi="Verdana" w:cs="Verdana"/>
                <w:color w:val="000000"/>
                <w:sz w:val="16"/>
                <w:lang w:val="en-GB"/>
              </w:rPr>
            </w:pPr>
            <w:r w:rsidRPr="00354335">
              <w:rPr>
                <w:rFonts w:ascii="Verdana" w:eastAsia="Verdana" w:hAnsi="Verdana" w:cs="Verdana"/>
                <w:color w:val="000000"/>
                <w:sz w:val="16"/>
                <w:lang w:val="en-GB"/>
              </w:rPr>
              <w:t>(594)</w:t>
            </w:r>
          </w:p>
        </w:tc>
        <w:tc>
          <w:tcPr>
            <w:tcW w:w="195" w:type="dxa"/>
            <w:shd w:val="clear" w:color="auto" w:fill="auto"/>
            <w:tcMar>
              <w:top w:w="20" w:type="dxa"/>
              <w:left w:w="20" w:type="dxa"/>
              <w:bottom w:w="20" w:type="dxa"/>
              <w:right w:w="20" w:type="dxa"/>
            </w:tcMar>
          </w:tcPr>
          <w:p w14:paraId="12340FDD" w14:textId="77777777" w:rsidR="001A532F" w:rsidRPr="00354335" w:rsidRDefault="001A532F" w:rsidP="001A532F">
            <w:pPr>
              <w:pStyle w:val="T1TableStyle"/>
              <w:jc w:val="center"/>
              <w:rPr>
                <w:rFonts w:ascii="Verdana" w:eastAsia="Verdana" w:hAnsi="Verdana" w:cs="Verdana"/>
                <w:color w:val="000000"/>
                <w:sz w:val="2"/>
                <w:lang w:val="en-GB"/>
              </w:rPr>
            </w:pPr>
            <w:r w:rsidRPr="00354335">
              <w:rPr>
                <w:rFonts w:ascii="Verdana" w:eastAsia="Verdana" w:hAnsi="Verdana" w:cs="Verdana"/>
                <w:color w:val="000000"/>
                <w:sz w:val="2"/>
                <w:lang w:val="en-GB"/>
              </w:rPr>
              <w:t xml:space="preserve"> </w:t>
            </w:r>
          </w:p>
        </w:tc>
        <w:tc>
          <w:tcPr>
            <w:tcW w:w="4800" w:type="dxa"/>
            <w:shd w:val="clear" w:color="auto" w:fill="auto"/>
            <w:tcMar>
              <w:top w:w="20" w:type="dxa"/>
              <w:left w:w="20" w:type="dxa"/>
              <w:bottom w:w="20" w:type="dxa"/>
              <w:right w:w="20" w:type="dxa"/>
            </w:tcMar>
          </w:tcPr>
          <w:p w14:paraId="72515551" w14:textId="77777777" w:rsidR="001A532F" w:rsidRPr="00354335" w:rsidRDefault="001A532F" w:rsidP="001A532F">
            <w:pPr>
              <w:pStyle w:val="T1TableStyle"/>
              <w:rPr>
                <w:rFonts w:ascii="Verdana" w:eastAsia="Verdana" w:hAnsi="Verdana" w:cs="Verdana"/>
                <w:color w:val="000000"/>
                <w:sz w:val="16"/>
                <w:lang w:val="en-GB"/>
              </w:rPr>
            </w:pPr>
            <w:r w:rsidRPr="00354335">
              <w:rPr>
                <w:rFonts w:ascii="Verdana" w:eastAsia="Verdana" w:hAnsi="Verdana" w:cs="Verdana"/>
                <w:color w:val="000000"/>
                <w:sz w:val="16"/>
                <w:lang w:val="en-GB"/>
              </w:rPr>
              <w:t>Other</w:t>
            </w:r>
          </w:p>
        </w:tc>
        <w:tc>
          <w:tcPr>
            <w:tcW w:w="1965" w:type="dxa"/>
            <w:shd w:val="clear" w:color="auto" w:fill="auto"/>
            <w:tcMar>
              <w:top w:w="20" w:type="dxa"/>
              <w:left w:w="20" w:type="dxa"/>
              <w:bottom w:w="20" w:type="dxa"/>
              <w:right w:w="20" w:type="dxa"/>
            </w:tcMar>
          </w:tcPr>
          <w:p w14:paraId="354301EF" w14:textId="77777777" w:rsidR="001A532F" w:rsidRPr="00354335" w:rsidRDefault="00BD5D66" w:rsidP="001A532F">
            <w:pPr>
              <w:pStyle w:val="T1TableStyle"/>
              <w:jc w:val="right"/>
              <w:rPr>
                <w:rFonts w:ascii="Verdana" w:eastAsia="Verdana" w:hAnsi="Verdana" w:cs="Verdana"/>
                <w:color w:val="000000"/>
                <w:sz w:val="16"/>
                <w:lang w:val="en-GB"/>
              </w:rPr>
            </w:pPr>
            <w:r w:rsidRPr="00354335">
              <w:rPr>
                <w:rFonts w:ascii="Verdana" w:eastAsia="Verdana" w:hAnsi="Verdana" w:cs="Verdana"/>
                <w:color w:val="000000"/>
                <w:sz w:val="16"/>
                <w:lang w:val="en-GB"/>
              </w:rPr>
              <w:t>(</w:t>
            </w:r>
            <w:r w:rsidR="00BB14F6" w:rsidRPr="00354335">
              <w:rPr>
                <w:rFonts w:ascii="Verdana" w:eastAsia="Verdana" w:hAnsi="Verdana" w:cs="Verdana"/>
                <w:color w:val="000000"/>
                <w:sz w:val="16"/>
                <w:lang w:val="en-GB"/>
              </w:rPr>
              <w:t>3</w:t>
            </w:r>
            <w:r w:rsidRPr="00354335">
              <w:rPr>
                <w:rFonts w:ascii="Verdana" w:eastAsia="Verdana" w:hAnsi="Verdana" w:cs="Verdana"/>
                <w:color w:val="000000"/>
                <w:sz w:val="16"/>
                <w:lang w:val="en-GB"/>
              </w:rPr>
              <w:t>,</w:t>
            </w:r>
            <w:r w:rsidR="00BB14F6" w:rsidRPr="00354335">
              <w:rPr>
                <w:rFonts w:ascii="Verdana" w:eastAsia="Verdana" w:hAnsi="Verdana" w:cs="Verdana"/>
                <w:color w:val="000000"/>
                <w:sz w:val="16"/>
                <w:lang w:val="en-GB"/>
              </w:rPr>
              <w:t>094</w:t>
            </w:r>
            <w:r w:rsidRPr="00354335">
              <w:rPr>
                <w:rFonts w:ascii="Verdana" w:eastAsia="Verdana" w:hAnsi="Verdana" w:cs="Verdana"/>
                <w:color w:val="000000"/>
                <w:sz w:val="16"/>
                <w:lang w:val="en-GB"/>
              </w:rPr>
              <w:t>)</w:t>
            </w:r>
          </w:p>
        </w:tc>
      </w:tr>
      <w:tr w:rsidR="001A532F" w:rsidRPr="00354335" w14:paraId="00418952" w14:textId="77777777" w:rsidTr="007D3C35">
        <w:trPr>
          <w:trHeight w:val="255"/>
          <w:jc w:val="center"/>
        </w:trPr>
        <w:tc>
          <w:tcPr>
            <w:tcW w:w="1965" w:type="dxa"/>
            <w:tcBorders>
              <w:top w:val="single" w:sz="2" w:space="0" w:color="000000"/>
              <w:bottom w:val="single" w:sz="12" w:space="0" w:color="000000"/>
            </w:tcBorders>
            <w:shd w:val="clear" w:color="auto" w:fill="auto"/>
            <w:tcMar>
              <w:top w:w="20" w:type="dxa"/>
              <w:left w:w="20" w:type="dxa"/>
              <w:bottom w:w="20" w:type="dxa"/>
              <w:right w:w="20" w:type="dxa"/>
            </w:tcMar>
          </w:tcPr>
          <w:p w14:paraId="39190817" w14:textId="77777777" w:rsidR="001A532F" w:rsidRPr="00354335" w:rsidRDefault="001A532F" w:rsidP="001A532F">
            <w:pPr>
              <w:pStyle w:val="T1TableStyle"/>
              <w:jc w:val="right"/>
              <w:rPr>
                <w:rFonts w:ascii="Verdana" w:eastAsia="Verdana" w:hAnsi="Verdana" w:cs="Verdana"/>
                <w:b/>
                <w:color w:val="000000"/>
                <w:sz w:val="16"/>
                <w:lang w:val="en-GB"/>
              </w:rPr>
            </w:pPr>
            <w:r w:rsidRPr="00354335">
              <w:rPr>
                <w:rFonts w:ascii="Verdana" w:eastAsia="Verdana" w:hAnsi="Verdana" w:cs="Verdana"/>
                <w:b/>
                <w:color w:val="000000"/>
                <w:sz w:val="16"/>
                <w:lang w:val="en-GB"/>
              </w:rPr>
              <w:t>(1,549)</w:t>
            </w:r>
          </w:p>
        </w:tc>
        <w:tc>
          <w:tcPr>
            <w:tcW w:w="195" w:type="dxa"/>
            <w:tcBorders>
              <w:top w:val="single" w:sz="2" w:space="0" w:color="000000"/>
              <w:bottom w:val="single" w:sz="12" w:space="0" w:color="000000"/>
            </w:tcBorders>
            <w:shd w:val="clear" w:color="auto" w:fill="auto"/>
            <w:tcMar>
              <w:top w:w="20" w:type="dxa"/>
              <w:left w:w="20" w:type="dxa"/>
              <w:bottom w:w="20" w:type="dxa"/>
              <w:right w:w="20" w:type="dxa"/>
            </w:tcMar>
          </w:tcPr>
          <w:p w14:paraId="10583D57" w14:textId="77777777" w:rsidR="001A532F" w:rsidRPr="00354335" w:rsidRDefault="001A532F" w:rsidP="001A532F">
            <w:pPr>
              <w:pStyle w:val="T1TableStyle"/>
              <w:jc w:val="center"/>
              <w:rPr>
                <w:rFonts w:ascii="Verdana" w:eastAsia="Verdana" w:hAnsi="Verdana" w:cs="Verdana"/>
                <w:b/>
                <w:color w:val="000000"/>
                <w:sz w:val="2"/>
                <w:lang w:val="en-GB"/>
              </w:rPr>
            </w:pPr>
            <w:r w:rsidRPr="00354335">
              <w:rPr>
                <w:rFonts w:ascii="Verdana" w:eastAsia="Verdana" w:hAnsi="Verdana" w:cs="Verdana"/>
                <w:b/>
                <w:color w:val="000000"/>
                <w:sz w:val="2"/>
                <w:lang w:val="en-GB"/>
              </w:rPr>
              <w:t xml:space="preserve"> </w:t>
            </w:r>
          </w:p>
        </w:tc>
        <w:tc>
          <w:tcPr>
            <w:tcW w:w="4800" w:type="dxa"/>
            <w:tcBorders>
              <w:top w:val="single" w:sz="2" w:space="0" w:color="000000"/>
              <w:bottom w:val="single" w:sz="12" w:space="0" w:color="000000"/>
            </w:tcBorders>
            <w:shd w:val="clear" w:color="auto" w:fill="auto"/>
            <w:tcMar>
              <w:top w:w="20" w:type="dxa"/>
              <w:left w:w="20" w:type="dxa"/>
              <w:bottom w:w="20" w:type="dxa"/>
              <w:right w:w="20" w:type="dxa"/>
            </w:tcMar>
          </w:tcPr>
          <w:p w14:paraId="2435E40F" w14:textId="77777777" w:rsidR="001A532F" w:rsidRPr="00354335" w:rsidRDefault="001A532F" w:rsidP="001A532F">
            <w:pPr>
              <w:pStyle w:val="T1TableStyle"/>
              <w:rPr>
                <w:rFonts w:ascii="Verdana" w:eastAsia="Verdana" w:hAnsi="Verdana" w:cs="Verdana"/>
                <w:b/>
                <w:color w:val="000000"/>
                <w:sz w:val="16"/>
                <w:lang w:val="en-GB"/>
              </w:rPr>
            </w:pPr>
            <w:r w:rsidRPr="00354335">
              <w:rPr>
                <w:rFonts w:ascii="Verdana" w:eastAsia="Verdana" w:hAnsi="Verdana" w:cs="Verdana"/>
                <w:b/>
                <w:color w:val="000000"/>
                <w:sz w:val="16"/>
                <w:lang w:val="en-GB"/>
              </w:rPr>
              <w:t>Total</w:t>
            </w:r>
          </w:p>
        </w:tc>
        <w:tc>
          <w:tcPr>
            <w:tcW w:w="1965" w:type="dxa"/>
            <w:tcBorders>
              <w:top w:val="single" w:sz="2" w:space="0" w:color="000000"/>
              <w:bottom w:val="single" w:sz="12" w:space="0" w:color="000000"/>
            </w:tcBorders>
            <w:shd w:val="clear" w:color="auto" w:fill="auto"/>
            <w:tcMar>
              <w:top w:w="20" w:type="dxa"/>
              <w:left w:w="20" w:type="dxa"/>
              <w:bottom w:w="20" w:type="dxa"/>
              <w:right w:w="20" w:type="dxa"/>
            </w:tcMar>
          </w:tcPr>
          <w:p w14:paraId="427AE8CB" w14:textId="77777777" w:rsidR="001A532F" w:rsidRPr="00354335" w:rsidRDefault="00CD2033" w:rsidP="001A532F">
            <w:pPr>
              <w:pStyle w:val="T1TableStyle"/>
              <w:jc w:val="right"/>
              <w:rPr>
                <w:rFonts w:ascii="Verdana" w:eastAsia="Verdana" w:hAnsi="Verdana" w:cs="Verdana"/>
                <w:b/>
                <w:color w:val="000000"/>
                <w:sz w:val="16"/>
                <w:lang w:val="en-GB"/>
              </w:rPr>
            </w:pPr>
            <w:r w:rsidRPr="00354335">
              <w:rPr>
                <w:rFonts w:ascii="Verdana" w:eastAsia="Verdana" w:hAnsi="Verdana" w:cs="Verdana"/>
                <w:b/>
                <w:color w:val="000000"/>
                <w:sz w:val="16"/>
                <w:lang w:val="en-GB"/>
              </w:rPr>
              <w:t>(4,135)</w:t>
            </w:r>
          </w:p>
        </w:tc>
      </w:tr>
    </w:tbl>
    <w:p w14:paraId="6D3DAC88" w14:textId="77777777" w:rsidR="00F227D9" w:rsidRPr="00354335" w:rsidRDefault="00F227D9">
      <w:pPr>
        <w:pStyle w:val="T1TableStyle"/>
        <w:rPr>
          <w:rFonts w:ascii="Verdana" w:eastAsia="Verdana" w:hAnsi="Verdana" w:cs="Verdana"/>
          <w:sz w:val="22"/>
          <w:lang w:val="en-GB"/>
        </w:rPr>
      </w:pPr>
    </w:p>
    <w:p w14:paraId="7210E1E1" w14:textId="77777777" w:rsidR="00F227D9" w:rsidRPr="00354335" w:rsidRDefault="00F227D9" w:rsidP="00F227D9">
      <w:pPr>
        <w:pStyle w:val="Heading1"/>
        <w:spacing w:after="240"/>
        <w:rPr>
          <w:lang w:val="pt-BR"/>
        </w:rPr>
      </w:pPr>
      <w:bookmarkStart w:id="16" w:name="_Toc77095567"/>
      <w:r w:rsidRPr="00354335">
        <w:rPr>
          <w:lang w:val="pt-BR"/>
        </w:rPr>
        <w:t>Note 8 - Unusable Reserves</w:t>
      </w:r>
      <w:bookmarkEnd w:id="16"/>
      <w:r w:rsidRPr="00354335">
        <w:rPr>
          <w:lang w:val="pt-BR"/>
        </w:rPr>
        <w:t xml:space="preserve"> </w:t>
      </w:r>
    </w:p>
    <w:tbl>
      <w:tblPr>
        <w:tblW w:w="0" w:type="auto"/>
        <w:jc w:val="center"/>
        <w:tblLayout w:type="fixed"/>
        <w:tblLook w:val="04A0" w:firstRow="1" w:lastRow="0" w:firstColumn="1" w:lastColumn="0" w:noHBand="0" w:noVBand="1"/>
      </w:tblPr>
      <w:tblGrid>
        <w:gridCol w:w="1335"/>
        <w:gridCol w:w="180"/>
        <w:gridCol w:w="3225"/>
        <w:gridCol w:w="1335"/>
      </w:tblGrid>
      <w:tr w:rsidR="0053376B" w:rsidRPr="00B11A10" w14:paraId="30726B25" w14:textId="77777777" w:rsidTr="007D3C35">
        <w:trPr>
          <w:trHeight w:val="255"/>
          <w:jc w:val="center"/>
        </w:trPr>
        <w:tc>
          <w:tcPr>
            <w:tcW w:w="1335" w:type="dxa"/>
            <w:shd w:val="clear" w:color="auto" w:fill="auto"/>
            <w:tcMar>
              <w:top w:w="20" w:type="dxa"/>
              <w:left w:w="20" w:type="dxa"/>
              <w:bottom w:w="20" w:type="dxa"/>
              <w:right w:w="20" w:type="dxa"/>
            </w:tcMar>
            <w:vAlign w:val="bottom"/>
          </w:tcPr>
          <w:p w14:paraId="0CB6625D" w14:textId="77777777" w:rsidR="00F227D9" w:rsidRPr="00B11A10" w:rsidRDefault="00F227D9" w:rsidP="001A532F">
            <w:pPr>
              <w:pStyle w:val="T1TableStyle"/>
              <w:jc w:val="center"/>
              <w:rPr>
                <w:rFonts w:ascii="Verdana" w:eastAsia="Verdana" w:hAnsi="Verdana" w:cs="Verdana"/>
                <w:b/>
                <w:color w:val="000000"/>
                <w:sz w:val="16"/>
                <w:lang w:val="en-GB"/>
              </w:rPr>
            </w:pPr>
            <w:r w:rsidRPr="00B11A10">
              <w:rPr>
                <w:rFonts w:ascii="Verdana" w:eastAsia="Verdana" w:hAnsi="Verdana" w:cs="Verdana"/>
                <w:b/>
                <w:color w:val="000000"/>
                <w:sz w:val="16"/>
                <w:lang w:val="en-GB"/>
              </w:rPr>
              <w:t>31 March 20</w:t>
            </w:r>
            <w:r w:rsidR="001A532F" w:rsidRPr="00B11A10">
              <w:rPr>
                <w:rFonts w:ascii="Verdana" w:eastAsia="Verdana" w:hAnsi="Verdana" w:cs="Verdana"/>
                <w:b/>
                <w:color w:val="000000"/>
                <w:sz w:val="16"/>
                <w:lang w:val="en-GB"/>
              </w:rPr>
              <w:t>20</w:t>
            </w:r>
          </w:p>
        </w:tc>
        <w:tc>
          <w:tcPr>
            <w:tcW w:w="180" w:type="dxa"/>
            <w:shd w:val="clear" w:color="auto" w:fill="auto"/>
            <w:tcMar>
              <w:top w:w="20" w:type="dxa"/>
              <w:left w:w="20" w:type="dxa"/>
              <w:bottom w:w="20" w:type="dxa"/>
              <w:right w:w="20" w:type="dxa"/>
            </w:tcMar>
            <w:vAlign w:val="bottom"/>
          </w:tcPr>
          <w:p w14:paraId="4BE8335F" w14:textId="77777777" w:rsidR="00F227D9" w:rsidRPr="00B11A10" w:rsidRDefault="00F227D9">
            <w:pPr>
              <w:pStyle w:val="T1TableStyle"/>
              <w:jc w:val="center"/>
              <w:rPr>
                <w:rFonts w:ascii="Verdana" w:eastAsia="Verdana" w:hAnsi="Verdana" w:cs="Verdana"/>
                <w:b/>
                <w:color w:val="000000"/>
                <w:sz w:val="2"/>
                <w:lang w:val="en-GB"/>
              </w:rPr>
            </w:pPr>
            <w:r w:rsidRPr="00B11A10">
              <w:rPr>
                <w:rFonts w:ascii="Verdana" w:eastAsia="Verdana" w:hAnsi="Verdana" w:cs="Verdana"/>
                <w:b/>
                <w:color w:val="000000"/>
                <w:sz w:val="2"/>
                <w:lang w:val="en-GB"/>
              </w:rPr>
              <w:t xml:space="preserve"> </w:t>
            </w:r>
          </w:p>
        </w:tc>
        <w:tc>
          <w:tcPr>
            <w:tcW w:w="3225" w:type="dxa"/>
            <w:shd w:val="clear" w:color="auto" w:fill="auto"/>
            <w:tcMar>
              <w:top w:w="20" w:type="dxa"/>
              <w:left w:w="20" w:type="dxa"/>
              <w:bottom w:w="20" w:type="dxa"/>
              <w:right w:w="20" w:type="dxa"/>
            </w:tcMar>
            <w:vAlign w:val="bottom"/>
          </w:tcPr>
          <w:p w14:paraId="26079616" w14:textId="77777777" w:rsidR="00F227D9" w:rsidRPr="00B11A10" w:rsidRDefault="00F227D9">
            <w:pPr>
              <w:pStyle w:val="T1TableStyle"/>
              <w:jc w:val="center"/>
              <w:rPr>
                <w:rFonts w:ascii="Verdana" w:eastAsia="Verdana" w:hAnsi="Verdana" w:cs="Verdana"/>
                <w:b/>
                <w:color w:val="000000"/>
                <w:sz w:val="2"/>
                <w:lang w:val="en-GB"/>
              </w:rPr>
            </w:pPr>
            <w:r w:rsidRPr="00B11A10">
              <w:rPr>
                <w:rFonts w:ascii="Verdana" w:eastAsia="Verdana" w:hAnsi="Verdana" w:cs="Verdana"/>
                <w:b/>
                <w:color w:val="000000"/>
                <w:sz w:val="2"/>
                <w:lang w:val="en-GB"/>
              </w:rPr>
              <w:t xml:space="preserve"> </w:t>
            </w:r>
          </w:p>
        </w:tc>
        <w:tc>
          <w:tcPr>
            <w:tcW w:w="1335" w:type="dxa"/>
            <w:shd w:val="clear" w:color="auto" w:fill="auto"/>
            <w:tcMar>
              <w:top w:w="20" w:type="dxa"/>
              <w:left w:w="20" w:type="dxa"/>
              <w:bottom w:w="20" w:type="dxa"/>
              <w:right w:w="20" w:type="dxa"/>
            </w:tcMar>
            <w:vAlign w:val="bottom"/>
          </w:tcPr>
          <w:p w14:paraId="0C1583EA" w14:textId="77777777" w:rsidR="00F227D9" w:rsidRPr="00B11A10" w:rsidRDefault="00F227D9" w:rsidP="001A532F">
            <w:pPr>
              <w:pStyle w:val="T1TableStyle"/>
              <w:jc w:val="center"/>
              <w:rPr>
                <w:rFonts w:ascii="Verdana" w:eastAsia="Verdana" w:hAnsi="Verdana" w:cs="Verdana"/>
                <w:b/>
                <w:color w:val="000000"/>
                <w:sz w:val="16"/>
                <w:lang w:val="en-GB"/>
              </w:rPr>
            </w:pPr>
            <w:r w:rsidRPr="00B11A10">
              <w:rPr>
                <w:rFonts w:ascii="Verdana" w:eastAsia="Verdana" w:hAnsi="Verdana" w:cs="Verdana"/>
                <w:b/>
                <w:color w:val="000000"/>
                <w:sz w:val="16"/>
                <w:lang w:val="en-GB"/>
              </w:rPr>
              <w:t>31 March 202</w:t>
            </w:r>
            <w:r w:rsidR="001A532F" w:rsidRPr="00B11A10">
              <w:rPr>
                <w:rFonts w:ascii="Verdana" w:eastAsia="Verdana" w:hAnsi="Verdana" w:cs="Verdana"/>
                <w:b/>
                <w:color w:val="000000"/>
                <w:sz w:val="16"/>
                <w:lang w:val="en-GB"/>
              </w:rPr>
              <w:t>1</w:t>
            </w:r>
          </w:p>
        </w:tc>
      </w:tr>
      <w:tr w:rsidR="0053376B" w:rsidRPr="00B11A10" w14:paraId="782E6D3D" w14:textId="77777777" w:rsidTr="007D3C35">
        <w:trPr>
          <w:trHeight w:val="255"/>
          <w:jc w:val="center"/>
        </w:trPr>
        <w:tc>
          <w:tcPr>
            <w:tcW w:w="1335" w:type="dxa"/>
            <w:tcBorders>
              <w:bottom w:val="single" w:sz="2" w:space="0" w:color="000000"/>
            </w:tcBorders>
            <w:shd w:val="clear" w:color="auto" w:fill="auto"/>
            <w:tcMar>
              <w:top w:w="20" w:type="dxa"/>
              <w:left w:w="20" w:type="dxa"/>
              <w:bottom w:w="20" w:type="dxa"/>
              <w:right w:w="20" w:type="dxa"/>
            </w:tcMar>
          </w:tcPr>
          <w:p w14:paraId="30853AB1" w14:textId="77777777" w:rsidR="00F227D9" w:rsidRPr="00B11A10" w:rsidRDefault="00F227D9">
            <w:pPr>
              <w:pStyle w:val="T1TableStyle"/>
              <w:jc w:val="right"/>
              <w:rPr>
                <w:rFonts w:ascii="Verdana" w:eastAsia="Verdana" w:hAnsi="Verdana" w:cs="Verdana"/>
                <w:b/>
                <w:color w:val="000000"/>
                <w:sz w:val="16"/>
                <w:lang w:val="en-GB"/>
              </w:rPr>
            </w:pPr>
            <w:r w:rsidRPr="00B11A10">
              <w:rPr>
                <w:rFonts w:ascii="Verdana" w:eastAsia="Verdana" w:hAnsi="Verdana" w:cs="Verdana"/>
                <w:b/>
                <w:color w:val="000000"/>
                <w:sz w:val="16"/>
                <w:lang w:val="en-GB"/>
              </w:rPr>
              <w:t>£000</w:t>
            </w:r>
          </w:p>
        </w:tc>
        <w:tc>
          <w:tcPr>
            <w:tcW w:w="180" w:type="dxa"/>
            <w:tcBorders>
              <w:bottom w:val="single" w:sz="2" w:space="0" w:color="000000"/>
            </w:tcBorders>
            <w:shd w:val="clear" w:color="auto" w:fill="auto"/>
            <w:tcMar>
              <w:top w:w="20" w:type="dxa"/>
              <w:left w:w="20" w:type="dxa"/>
              <w:bottom w:w="20" w:type="dxa"/>
              <w:right w:w="20" w:type="dxa"/>
            </w:tcMar>
          </w:tcPr>
          <w:p w14:paraId="02296063" w14:textId="77777777" w:rsidR="00F227D9" w:rsidRPr="00B11A10" w:rsidRDefault="00F227D9">
            <w:pPr>
              <w:pStyle w:val="T1TableStyle"/>
              <w:jc w:val="right"/>
              <w:rPr>
                <w:rFonts w:ascii="Verdana" w:eastAsia="Verdana" w:hAnsi="Verdana" w:cs="Verdana"/>
                <w:b/>
                <w:color w:val="000000"/>
                <w:sz w:val="2"/>
                <w:lang w:val="en-GB"/>
              </w:rPr>
            </w:pPr>
            <w:r w:rsidRPr="00B11A10">
              <w:rPr>
                <w:rFonts w:ascii="Verdana" w:eastAsia="Verdana" w:hAnsi="Verdana" w:cs="Verdana"/>
                <w:b/>
                <w:color w:val="000000"/>
                <w:sz w:val="2"/>
                <w:lang w:val="en-GB"/>
              </w:rPr>
              <w:t xml:space="preserve"> </w:t>
            </w:r>
          </w:p>
        </w:tc>
        <w:tc>
          <w:tcPr>
            <w:tcW w:w="3225" w:type="dxa"/>
            <w:tcBorders>
              <w:bottom w:val="single" w:sz="2" w:space="0" w:color="000000"/>
            </w:tcBorders>
            <w:shd w:val="clear" w:color="auto" w:fill="auto"/>
            <w:tcMar>
              <w:top w:w="20" w:type="dxa"/>
              <w:left w:w="20" w:type="dxa"/>
              <w:bottom w:w="20" w:type="dxa"/>
              <w:right w:w="20" w:type="dxa"/>
            </w:tcMar>
          </w:tcPr>
          <w:p w14:paraId="08635F67" w14:textId="77777777" w:rsidR="00F227D9" w:rsidRPr="00B11A10" w:rsidRDefault="00F227D9">
            <w:pPr>
              <w:pStyle w:val="T1TableStyle"/>
              <w:jc w:val="right"/>
              <w:rPr>
                <w:rFonts w:ascii="Verdana" w:eastAsia="Verdana" w:hAnsi="Verdana" w:cs="Verdana"/>
                <w:b/>
                <w:color w:val="000000"/>
                <w:sz w:val="2"/>
                <w:lang w:val="en-GB"/>
              </w:rPr>
            </w:pPr>
            <w:r w:rsidRPr="00B11A10">
              <w:rPr>
                <w:rFonts w:ascii="Verdana" w:eastAsia="Verdana" w:hAnsi="Verdana" w:cs="Verdana"/>
                <w:b/>
                <w:color w:val="000000"/>
                <w:sz w:val="2"/>
                <w:lang w:val="en-GB"/>
              </w:rPr>
              <w:t xml:space="preserve"> </w:t>
            </w:r>
          </w:p>
        </w:tc>
        <w:tc>
          <w:tcPr>
            <w:tcW w:w="1335" w:type="dxa"/>
            <w:tcBorders>
              <w:bottom w:val="single" w:sz="2" w:space="0" w:color="000000"/>
            </w:tcBorders>
            <w:shd w:val="clear" w:color="auto" w:fill="auto"/>
            <w:tcMar>
              <w:top w:w="20" w:type="dxa"/>
              <w:left w:w="20" w:type="dxa"/>
              <w:bottom w:w="20" w:type="dxa"/>
              <w:right w:w="20" w:type="dxa"/>
            </w:tcMar>
          </w:tcPr>
          <w:p w14:paraId="674FB70D" w14:textId="77777777" w:rsidR="00F227D9" w:rsidRPr="00B11A10" w:rsidRDefault="00F227D9">
            <w:pPr>
              <w:pStyle w:val="T1TableStyle"/>
              <w:jc w:val="right"/>
              <w:rPr>
                <w:rFonts w:ascii="Verdana" w:eastAsia="Verdana" w:hAnsi="Verdana" w:cs="Verdana"/>
                <w:b/>
                <w:color w:val="000000"/>
                <w:sz w:val="16"/>
                <w:lang w:val="en-GB"/>
              </w:rPr>
            </w:pPr>
            <w:r w:rsidRPr="00B11A10">
              <w:rPr>
                <w:rFonts w:ascii="Verdana" w:eastAsia="Verdana" w:hAnsi="Verdana" w:cs="Verdana"/>
                <w:b/>
                <w:color w:val="000000"/>
                <w:sz w:val="16"/>
                <w:lang w:val="en-GB"/>
              </w:rPr>
              <w:t>£000</w:t>
            </w:r>
          </w:p>
        </w:tc>
      </w:tr>
      <w:tr w:rsidR="001A532F" w:rsidRPr="00B11A10" w14:paraId="4952A255" w14:textId="77777777" w:rsidTr="007D3C35">
        <w:trPr>
          <w:trHeight w:val="255"/>
          <w:jc w:val="center"/>
        </w:trPr>
        <w:tc>
          <w:tcPr>
            <w:tcW w:w="1335" w:type="dxa"/>
            <w:shd w:val="clear" w:color="auto" w:fill="auto"/>
            <w:tcMar>
              <w:top w:w="20" w:type="dxa"/>
              <w:left w:w="20" w:type="dxa"/>
              <w:bottom w:w="20" w:type="dxa"/>
              <w:right w:w="20" w:type="dxa"/>
            </w:tcMar>
          </w:tcPr>
          <w:p w14:paraId="2821B3EC" w14:textId="77777777" w:rsidR="001A532F" w:rsidRPr="00B11A10" w:rsidRDefault="001A532F" w:rsidP="001A532F">
            <w:pPr>
              <w:pStyle w:val="T1TableStyle"/>
              <w:jc w:val="right"/>
              <w:rPr>
                <w:rFonts w:ascii="Verdana" w:eastAsia="Verdana" w:hAnsi="Verdana" w:cs="Verdana"/>
                <w:color w:val="000000"/>
                <w:sz w:val="16"/>
                <w:lang w:val="en-GB"/>
              </w:rPr>
            </w:pPr>
            <w:r w:rsidRPr="00B11A10">
              <w:rPr>
                <w:rFonts w:ascii="Verdana" w:eastAsia="Verdana" w:hAnsi="Verdana" w:cs="Verdana"/>
                <w:color w:val="000000"/>
                <w:sz w:val="16"/>
                <w:lang w:val="en-GB"/>
              </w:rPr>
              <w:t>2,026,555</w:t>
            </w:r>
          </w:p>
        </w:tc>
        <w:tc>
          <w:tcPr>
            <w:tcW w:w="180" w:type="dxa"/>
            <w:shd w:val="clear" w:color="auto" w:fill="auto"/>
            <w:tcMar>
              <w:top w:w="20" w:type="dxa"/>
              <w:left w:w="20" w:type="dxa"/>
              <w:bottom w:w="20" w:type="dxa"/>
              <w:right w:w="20" w:type="dxa"/>
            </w:tcMar>
          </w:tcPr>
          <w:p w14:paraId="30003AD4" w14:textId="77777777" w:rsidR="001A532F" w:rsidRPr="00B11A10" w:rsidRDefault="001A532F" w:rsidP="001A532F">
            <w:pPr>
              <w:pStyle w:val="T1TableStyle"/>
              <w:jc w:val="center"/>
              <w:rPr>
                <w:rFonts w:ascii="Verdana" w:eastAsia="Verdana" w:hAnsi="Verdana" w:cs="Verdana"/>
                <w:color w:val="000000"/>
                <w:sz w:val="2"/>
                <w:lang w:val="en-GB"/>
              </w:rPr>
            </w:pPr>
            <w:r w:rsidRPr="00B11A10">
              <w:rPr>
                <w:rFonts w:ascii="Verdana" w:eastAsia="Verdana" w:hAnsi="Verdana" w:cs="Verdana"/>
                <w:color w:val="000000"/>
                <w:sz w:val="2"/>
                <w:lang w:val="en-GB"/>
              </w:rPr>
              <w:t xml:space="preserve"> </w:t>
            </w:r>
          </w:p>
        </w:tc>
        <w:tc>
          <w:tcPr>
            <w:tcW w:w="3225" w:type="dxa"/>
            <w:shd w:val="clear" w:color="auto" w:fill="auto"/>
            <w:tcMar>
              <w:top w:w="20" w:type="dxa"/>
              <w:left w:w="20" w:type="dxa"/>
              <w:bottom w:w="20" w:type="dxa"/>
              <w:right w:w="20" w:type="dxa"/>
            </w:tcMar>
          </w:tcPr>
          <w:p w14:paraId="13DDA58B" w14:textId="77777777" w:rsidR="001A532F" w:rsidRPr="00B11A10" w:rsidRDefault="001A532F" w:rsidP="001A532F">
            <w:pPr>
              <w:pStyle w:val="T1TableStyle"/>
              <w:rPr>
                <w:rFonts w:ascii="Verdana" w:eastAsia="Verdana" w:hAnsi="Verdana" w:cs="Verdana"/>
                <w:color w:val="000000"/>
                <w:sz w:val="16"/>
                <w:lang w:val="en-GB"/>
              </w:rPr>
            </w:pPr>
            <w:r w:rsidRPr="00B11A10">
              <w:rPr>
                <w:rFonts w:ascii="Verdana" w:eastAsia="Verdana" w:hAnsi="Verdana" w:cs="Verdana"/>
                <w:color w:val="000000"/>
                <w:sz w:val="16"/>
                <w:lang w:val="en-GB"/>
              </w:rPr>
              <w:t>Pension Reserve</w:t>
            </w:r>
          </w:p>
        </w:tc>
        <w:tc>
          <w:tcPr>
            <w:tcW w:w="1335" w:type="dxa"/>
            <w:shd w:val="clear" w:color="auto" w:fill="auto"/>
            <w:tcMar>
              <w:top w:w="20" w:type="dxa"/>
              <w:left w:w="20" w:type="dxa"/>
              <w:bottom w:w="20" w:type="dxa"/>
              <w:right w:w="20" w:type="dxa"/>
            </w:tcMar>
          </w:tcPr>
          <w:p w14:paraId="392486C2" w14:textId="18865A59" w:rsidR="001A532F" w:rsidRPr="00B11A10" w:rsidRDefault="00B11A10" w:rsidP="001A532F">
            <w:pPr>
              <w:pStyle w:val="T1TableStyle"/>
              <w:jc w:val="right"/>
              <w:rPr>
                <w:rFonts w:ascii="Verdana" w:eastAsia="Verdana" w:hAnsi="Verdana" w:cs="Verdana"/>
                <w:color w:val="000000"/>
                <w:sz w:val="16"/>
                <w:lang w:val="en-GB"/>
              </w:rPr>
            </w:pPr>
            <w:r w:rsidRPr="00B11A10">
              <w:rPr>
                <w:rFonts w:ascii="Verdana" w:eastAsia="Verdana" w:hAnsi="Verdana" w:cs="Verdana"/>
                <w:color w:val="000000"/>
                <w:sz w:val="16"/>
                <w:lang w:val="en-GB"/>
              </w:rPr>
              <w:t>2,174,046</w:t>
            </w:r>
          </w:p>
        </w:tc>
      </w:tr>
      <w:tr w:rsidR="001A532F" w:rsidRPr="00B11A10" w14:paraId="2266BD48" w14:textId="77777777" w:rsidTr="007D3C35">
        <w:trPr>
          <w:trHeight w:val="255"/>
          <w:jc w:val="center"/>
        </w:trPr>
        <w:tc>
          <w:tcPr>
            <w:tcW w:w="1335" w:type="dxa"/>
            <w:shd w:val="clear" w:color="auto" w:fill="auto"/>
            <w:tcMar>
              <w:top w:w="20" w:type="dxa"/>
              <w:left w:w="20" w:type="dxa"/>
              <w:bottom w:w="20" w:type="dxa"/>
              <w:right w:w="20" w:type="dxa"/>
            </w:tcMar>
          </w:tcPr>
          <w:p w14:paraId="022A7944" w14:textId="77777777" w:rsidR="001A532F" w:rsidRPr="00B11A10" w:rsidRDefault="001A532F" w:rsidP="001A532F">
            <w:pPr>
              <w:pStyle w:val="T1TableStyle"/>
              <w:jc w:val="right"/>
              <w:rPr>
                <w:rFonts w:ascii="Verdana" w:eastAsia="Verdana" w:hAnsi="Verdana" w:cs="Verdana"/>
                <w:color w:val="000000"/>
                <w:sz w:val="16"/>
                <w:lang w:val="en-GB"/>
              </w:rPr>
            </w:pPr>
            <w:r w:rsidRPr="00B11A10">
              <w:rPr>
                <w:rFonts w:ascii="Verdana" w:eastAsia="Verdana" w:hAnsi="Verdana" w:cs="Verdana"/>
                <w:color w:val="000000"/>
                <w:sz w:val="16"/>
                <w:lang w:val="en-GB"/>
              </w:rPr>
              <w:t>1,053</w:t>
            </w:r>
          </w:p>
        </w:tc>
        <w:tc>
          <w:tcPr>
            <w:tcW w:w="180" w:type="dxa"/>
            <w:shd w:val="clear" w:color="auto" w:fill="auto"/>
            <w:tcMar>
              <w:top w:w="20" w:type="dxa"/>
              <w:left w:w="20" w:type="dxa"/>
              <w:bottom w:w="20" w:type="dxa"/>
              <w:right w:w="20" w:type="dxa"/>
            </w:tcMar>
          </w:tcPr>
          <w:p w14:paraId="327AC5C6" w14:textId="77777777" w:rsidR="001A532F" w:rsidRPr="00B11A10" w:rsidRDefault="001A532F" w:rsidP="001A532F">
            <w:pPr>
              <w:pStyle w:val="T1TableStyle"/>
              <w:jc w:val="center"/>
              <w:rPr>
                <w:rFonts w:ascii="Verdana" w:eastAsia="Verdana" w:hAnsi="Verdana" w:cs="Verdana"/>
                <w:color w:val="000000"/>
                <w:sz w:val="2"/>
                <w:lang w:val="en-GB"/>
              </w:rPr>
            </w:pPr>
            <w:r w:rsidRPr="00B11A10">
              <w:rPr>
                <w:rFonts w:ascii="Verdana" w:eastAsia="Verdana" w:hAnsi="Verdana" w:cs="Verdana"/>
                <w:color w:val="000000"/>
                <w:sz w:val="2"/>
                <w:lang w:val="en-GB"/>
              </w:rPr>
              <w:t xml:space="preserve"> </w:t>
            </w:r>
          </w:p>
        </w:tc>
        <w:tc>
          <w:tcPr>
            <w:tcW w:w="3225" w:type="dxa"/>
            <w:shd w:val="clear" w:color="auto" w:fill="auto"/>
            <w:tcMar>
              <w:top w:w="20" w:type="dxa"/>
              <w:left w:w="20" w:type="dxa"/>
              <w:bottom w:w="20" w:type="dxa"/>
              <w:right w:w="20" w:type="dxa"/>
            </w:tcMar>
          </w:tcPr>
          <w:p w14:paraId="2B020CE2" w14:textId="77777777" w:rsidR="001A532F" w:rsidRPr="00B11A10" w:rsidRDefault="001A532F" w:rsidP="001A532F">
            <w:pPr>
              <w:pStyle w:val="T1TableStyle"/>
              <w:rPr>
                <w:rFonts w:ascii="Verdana" w:eastAsia="Verdana" w:hAnsi="Verdana" w:cs="Verdana"/>
                <w:color w:val="000000"/>
                <w:sz w:val="16"/>
                <w:lang w:val="en-GB"/>
              </w:rPr>
            </w:pPr>
            <w:r w:rsidRPr="00B11A10">
              <w:rPr>
                <w:rFonts w:ascii="Verdana" w:eastAsia="Verdana" w:hAnsi="Verdana" w:cs="Verdana"/>
                <w:color w:val="000000"/>
                <w:sz w:val="16"/>
                <w:lang w:val="en-GB"/>
              </w:rPr>
              <w:t xml:space="preserve">Accumulated Absences Account </w:t>
            </w:r>
          </w:p>
        </w:tc>
        <w:tc>
          <w:tcPr>
            <w:tcW w:w="1335" w:type="dxa"/>
            <w:shd w:val="clear" w:color="auto" w:fill="auto"/>
            <w:tcMar>
              <w:top w:w="20" w:type="dxa"/>
              <w:left w:w="20" w:type="dxa"/>
              <w:bottom w:w="20" w:type="dxa"/>
              <w:right w:w="20" w:type="dxa"/>
            </w:tcMar>
          </w:tcPr>
          <w:p w14:paraId="08B4FD51" w14:textId="77777777" w:rsidR="001A532F" w:rsidRPr="00B11A10" w:rsidRDefault="00AD449C" w:rsidP="001A532F">
            <w:pPr>
              <w:pStyle w:val="T1TableStyle"/>
              <w:jc w:val="right"/>
              <w:rPr>
                <w:rFonts w:ascii="Verdana" w:eastAsia="Verdana" w:hAnsi="Verdana" w:cs="Verdana"/>
                <w:color w:val="000000"/>
                <w:sz w:val="16"/>
                <w:lang w:val="en-GB"/>
              </w:rPr>
            </w:pPr>
            <w:r w:rsidRPr="00B11A10">
              <w:rPr>
                <w:rFonts w:ascii="Verdana" w:eastAsia="Verdana" w:hAnsi="Verdana" w:cs="Verdana"/>
                <w:color w:val="000000"/>
                <w:sz w:val="16"/>
                <w:lang w:val="en-GB"/>
              </w:rPr>
              <w:t>1,951</w:t>
            </w:r>
          </w:p>
        </w:tc>
      </w:tr>
      <w:tr w:rsidR="001A532F" w:rsidRPr="00B11A10" w14:paraId="5B701C22" w14:textId="77777777" w:rsidTr="007D3C35">
        <w:trPr>
          <w:trHeight w:val="255"/>
          <w:jc w:val="center"/>
        </w:trPr>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14:paraId="5A78371D" w14:textId="77777777" w:rsidR="001A532F" w:rsidRPr="00B11A10" w:rsidRDefault="001A532F" w:rsidP="001A532F">
            <w:pPr>
              <w:pStyle w:val="T1TableStyle"/>
              <w:jc w:val="right"/>
              <w:rPr>
                <w:rFonts w:ascii="Verdana" w:eastAsia="Verdana" w:hAnsi="Verdana" w:cs="Verdana"/>
                <w:b/>
                <w:color w:val="000000"/>
                <w:sz w:val="16"/>
                <w:lang w:val="en-GB"/>
              </w:rPr>
            </w:pPr>
            <w:r w:rsidRPr="00B11A10">
              <w:rPr>
                <w:rFonts w:ascii="Verdana" w:eastAsia="Verdana" w:hAnsi="Verdana" w:cs="Verdana"/>
                <w:b/>
                <w:color w:val="000000"/>
                <w:sz w:val="16"/>
                <w:lang w:val="en-GB"/>
              </w:rPr>
              <w:t>2,027,608</w:t>
            </w:r>
          </w:p>
        </w:tc>
        <w:tc>
          <w:tcPr>
            <w:tcW w:w="180" w:type="dxa"/>
            <w:tcBorders>
              <w:top w:val="single" w:sz="2" w:space="0" w:color="000000"/>
              <w:bottom w:val="single" w:sz="12" w:space="0" w:color="000000"/>
            </w:tcBorders>
            <w:shd w:val="clear" w:color="auto" w:fill="auto"/>
            <w:tcMar>
              <w:top w:w="20" w:type="dxa"/>
              <w:left w:w="20" w:type="dxa"/>
              <w:bottom w:w="20" w:type="dxa"/>
              <w:right w:w="20" w:type="dxa"/>
            </w:tcMar>
          </w:tcPr>
          <w:p w14:paraId="50E74A12" w14:textId="77777777" w:rsidR="001A532F" w:rsidRPr="00B11A10" w:rsidRDefault="001A532F" w:rsidP="001A532F">
            <w:pPr>
              <w:pStyle w:val="T1TableStyle"/>
              <w:jc w:val="center"/>
              <w:rPr>
                <w:rFonts w:ascii="Verdana" w:eastAsia="Verdana" w:hAnsi="Verdana" w:cs="Verdana"/>
                <w:b/>
                <w:color w:val="000000"/>
                <w:sz w:val="2"/>
                <w:lang w:val="en-GB"/>
              </w:rPr>
            </w:pPr>
            <w:r w:rsidRPr="00B11A10">
              <w:rPr>
                <w:rFonts w:ascii="Verdana" w:eastAsia="Verdana" w:hAnsi="Verdana" w:cs="Verdana"/>
                <w:b/>
                <w:color w:val="000000"/>
                <w:sz w:val="2"/>
                <w:lang w:val="en-GB"/>
              </w:rPr>
              <w:t xml:space="preserve"> </w:t>
            </w:r>
          </w:p>
        </w:tc>
        <w:tc>
          <w:tcPr>
            <w:tcW w:w="3225" w:type="dxa"/>
            <w:tcBorders>
              <w:top w:val="single" w:sz="2" w:space="0" w:color="000000"/>
              <w:bottom w:val="single" w:sz="12" w:space="0" w:color="000000"/>
            </w:tcBorders>
            <w:shd w:val="clear" w:color="auto" w:fill="auto"/>
            <w:tcMar>
              <w:top w:w="20" w:type="dxa"/>
              <w:left w:w="20" w:type="dxa"/>
              <w:bottom w:w="20" w:type="dxa"/>
              <w:right w:w="20" w:type="dxa"/>
            </w:tcMar>
          </w:tcPr>
          <w:p w14:paraId="54117C04" w14:textId="77777777" w:rsidR="001A532F" w:rsidRPr="00B11A10" w:rsidRDefault="001A532F" w:rsidP="001A532F">
            <w:pPr>
              <w:pStyle w:val="T1TableStyle"/>
              <w:rPr>
                <w:rFonts w:ascii="Verdana" w:eastAsia="Verdana" w:hAnsi="Verdana" w:cs="Verdana"/>
                <w:b/>
                <w:color w:val="000000"/>
                <w:sz w:val="16"/>
                <w:lang w:val="en-GB"/>
              </w:rPr>
            </w:pPr>
            <w:r w:rsidRPr="00B11A10">
              <w:rPr>
                <w:rFonts w:ascii="Verdana" w:eastAsia="Verdana" w:hAnsi="Verdana" w:cs="Verdana"/>
                <w:b/>
                <w:color w:val="000000"/>
                <w:sz w:val="16"/>
                <w:lang w:val="en-GB"/>
              </w:rPr>
              <w:t>Total</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14:paraId="3DCF7960" w14:textId="7544CED6" w:rsidR="001A532F" w:rsidRPr="00B11A10" w:rsidRDefault="00B11A10" w:rsidP="001A532F">
            <w:pPr>
              <w:pStyle w:val="T1TableStyle"/>
              <w:jc w:val="right"/>
              <w:rPr>
                <w:rFonts w:ascii="Verdana" w:eastAsia="Verdana" w:hAnsi="Verdana" w:cs="Verdana"/>
                <w:b/>
                <w:color w:val="000000"/>
                <w:sz w:val="16"/>
                <w:lang w:val="en-GB"/>
              </w:rPr>
            </w:pPr>
            <w:r w:rsidRPr="00B11A10">
              <w:rPr>
                <w:rFonts w:ascii="Verdana" w:eastAsia="Verdana" w:hAnsi="Verdana" w:cs="Verdana"/>
                <w:b/>
                <w:color w:val="000000"/>
                <w:sz w:val="16"/>
                <w:lang w:val="en-GB"/>
              </w:rPr>
              <w:t>2,175,997</w:t>
            </w:r>
          </w:p>
        </w:tc>
      </w:tr>
    </w:tbl>
    <w:p w14:paraId="76F43065" w14:textId="77777777" w:rsidR="00F227D9" w:rsidRPr="00B11A10" w:rsidRDefault="00F227D9">
      <w:pPr>
        <w:pStyle w:val="T1TableStyle"/>
        <w:rPr>
          <w:rFonts w:ascii="Verdana" w:eastAsia="Verdana" w:hAnsi="Verdana" w:cs="Verdana"/>
          <w:sz w:val="22"/>
          <w:lang w:val="en-GB"/>
        </w:rPr>
      </w:pPr>
    </w:p>
    <w:p w14:paraId="10F1900D" w14:textId="77777777" w:rsidR="00CB3842" w:rsidRPr="00514B3B" w:rsidRDefault="00CB3842">
      <w:pPr>
        <w:pStyle w:val="T1TableStyle"/>
        <w:rPr>
          <w:rFonts w:ascii="Verdana" w:eastAsia="Verdana" w:hAnsi="Verdana" w:cs="Verdana"/>
          <w:sz w:val="22"/>
          <w:lang w:val="en-GB"/>
        </w:rPr>
      </w:pPr>
    </w:p>
    <w:tbl>
      <w:tblPr>
        <w:tblW w:w="0" w:type="auto"/>
        <w:jc w:val="center"/>
        <w:tblLayout w:type="fixed"/>
        <w:tblLook w:val="04A0" w:firstRow="1" w:lastRow="0" w:firstColumn="1" w:lastColumn="0" w:noHBand="0" w:noVBand="1"/>
      </w:tblPr>
      <w:tblGrid>
        <w:gridCol w:w="1971"/>
        <w:gridCol w:w="265"/>
        <w:gridCol w:w="4762"/>
        <w:gridCol w:w="1975"/>
      </w:tblGrid>
      <w:tr w:rsidR="0053376B" w:rsidRPr="00514B3B" w14:paraId="305E1BB4" w14:textId="77777777" w:rsidTr="00CB3842">
        <w:trPr>
          <w:trHeight w:val="193"/>
          <w:jc w:val="center"/>
        </w:trPr>
        <w:tc>
          <w:tcPr>
            <w:tcW w:w="8973" w:type="dxa"/>
            <w:gridSpan w:val="4"/>
            <w:shd w:val="clear" w:color="auto" w:fill="auto"/>
            <w:tcMar>
              <w:top w:w="20" w:type="dxa"/>
              <w:left w:w="20" w:type="dxa"/>
              <w:bottom w:w="20" w:type="dxa"/>
              <w:right w:w="20" w:type="dxa"/>
            </w:tcMar>
            <w:vAlign w:val="bottom"/>
          </w:tcPr>
          <w:p w14:paraId="1E2FF1DB" w14:textId="77777777" w:rsidR="00F227D9" w:rsidRPr="00514B3B" w:rsidRDefault="00F227D9">
            <w:pPr>
              <w:pStyle w:val="T1TableStyle"/>
              <w:rPr>
                <w:rFonts w:ascii="Verdana" w:eastAsia="Verdana" w:hAnsi="Verdana" w:cs="Verdana"/>
                <w:b/>
                <w:color w:val="000000"/>
                <w:lang w:val="en-GB"/>
              </w:rPr>
            </w:pPr>
            <w:r w:rsidRPr="00514B3B">
              <w:rPr>
                <w:rFonts w:ascii="Verdana" w:eastAsia="Verdana" w:hAnsi="Verdana" w:cs="Verdana"/>
                <w:b/>
                <w:color w:val="000000"/>
                <w:lang w:val="en-GB"/>
              </w:rPr>
              <w:t>Pension Reserve</w:t>
            </w:r>
          </w:p>
        </w:tc>
      </w:tr>
      <w:tr w:rsidR="0053376B" w:rsidRPr="00514B3B" w14:paraId="4059DA23" w14:textId="77777777" w:rsidTr="001A532F">
        <w:trPr>
          <w:trHeight w:hRule="exact" w:val="193"/>
          <w:jc w:val="center"/>
        </w:trPr>
        <w:tc>
          <w:tcPr>
            <w:tcW w:w="1971" w:type="dxa"/>
            <w:shd w:val="clear" w:color="auto" w:fill="auto"/>
            <w:tcMar>
              <w:top w:w="20" w:type="dxa"/>
              <w:left w:w="20" w:type="dxa"/>
              <w:bottom w:w="20" w:type="dxa"/>
              <w:right w:w="20" w:type="dxa"/>
            </w:tcMar>
            <w:vAlign w:val="bottom"/>
          </w:tcPr>
          <w:p w14:paraId="25598443" w14:textId="77777777" w:rsidR="00F227D9" w:rsidRPr="00514B3B" w:rsidRDefault="00F227D9">
            <w:pPr>
              <w:pStyle w:val="T1TableStyle"/>
              <w:rPr>
                <w:rFonts w:ascii="Verdana" w:eastAsia="Verdana" w:hAnsi="Verdana" w:cs="Verdana"/>
                <w:b/>
                <w:color w:val="000000"/>
                <w:sz w:val="2"/>
                <w:lang w:val="en-GB"/>
              </w:rPr>
            </w:pPr>
            <w:r w:rsidRPr="00514B3B">
              <w:rPr>
                <w:rFonts w:ascii="Verdana" w:eastAsia="Verdana" w:hAnsi="Verdana" w:cs="Verdana"/>
                <w:b/>
                <w:color w:val="000000"/>
                <w:sz w:val="2"/>
                <w:lang w:val="en-GB"/>
              </w:rPr>
              <w:t xml:space="preserve"> </w:t>
            </w:r>
          </w:p>
        </w:tc>
        <w:tc>
          <w:tcPr>
            <w:tcW w:w="265" w:type="dxa"/>
            <w:shd w:val="clear" w:color="auto" w:fill="auto"/>
            <w:tcMar>
              <w:top w:w="20" w:type="dxa"/>
              <w:left w:w="20" w:type="dxa"/>
              <w:bottom w:w="20" w:type="dxa"/>
              <w:right w:w="20" w:type="dxa"/>
            </w:tcMar>
            <w:vAlign w:val="bottom"/>
          </w:tcPr>
          <w:p w14:paraId="7633B6D5" w14:textId="77777777" w:rsidR="00F227D9" w:rsidRPr="00514B3B" w:rsidRDefault="00F227D9">
            <w:pPr>
              <w:pStyle w:val="T1TableStyle"/>
              <w:rPr>
                <w:rFonts w:ascii="Verdana" w:eastAsia="Verdana" w:hAnsi="Verdana" w:cs="Verdana"/>
                <w:b/>
                <w:color w:val="000000"/>
                <w:sz w:val="2"/>
                <w:lang w:val="en-GB"/>
              </w:rPr>
            </w:pPr>
            <w:r w:rsidRPr="00514B3B">
              <w:rPr>
                <w:rFonts w:ascii="Verdana" w:eastAsia="Verdana" w:hAnsi="Verdana" w:cs="Verdana"/>
                <w:b/>
                <w:color w:val="000000"/>
                <w:sz w:val="2"/>
                <w:lang w:val="en-GB"/>
              </w:rPr>
              <w:t xml:space="preserve"> </w:t>
            </w:r>
          </w:p>
        </w:tc>
        <w:tc>
          <w:tcPr>
            <w:tcW w:w="4762" w:type="dxa"/>
            <w:shd w:val="clear" w:color="auto" w:fill="auto"/>
            <w:tcMar>
              <w:top w:w="20" w:type="dxa"/>
              <w:left w:w="20" w:type="dxa"/>
              <w:bottom w:w="20" w:type="dxa"/>
              <w:right w:w="20" w:type="dxa"/>
            </w:tcMar>
            <w:vAlign w:val="bottom"/>
          </w:tcPr>
          <w:p w14:paraId="38FA07EF" w14:textId="77777777" w:rsidR="00F227D9" w:rsidRPr="00514B3B" w:rsidRDefault="00F227D9">
            <w:pPr>
              <w:pStyle w:val="T1TableStyle"/>
              <w:rPr>
                <w:rFonts w:ascii="Verdana" w:eastAsia="Verdana" w:hAnsi="Verdana" w:cs="Verdana"/>
                <w:b/>
                <w:color w:val="000000"/>
                <w:sz w:val="2"/>
                <w:lang w:val="en-GB"/>
              </w:rPr>
            </w:pPr>
            <w:r w:rsidRPr="00514B3B">
              <w:rPr>
                <w:rFonts w:ascii="Verdana" w:eastAsia="Verdana" w:hAnsi="Verdana" w:cs="Verdana"/>
                <w:b/>
                <w:color w:val="000000"/>
                <w:sz w:val="2"/>
                <w:lang w:val="en-GB"/>
              </w:rPr>
              <w:t xml:space="preserve"> </w:t>
            </w:r>
          </w:p>
        </w:tc>
        <w:tc>
          <w:tcPr>
            <w:tcW w:w="1975" w:type="dxa"/>
            <w:shd w:val="clear" w:color="auto" w:fill="auto"/>
            <w:tcMar>
              <w:top w:w="20" w:type="dxa"/>
              <w:left w:w="20" w:type="dxa"/>
              <w:bottom w:w="20" w:type="dxa"/>
              <w:right w:w="20" w:type="dxa"/>
            </w:tcMar>
            <w:vAlign w:val="bottom"/>
          </w:tcPr>
          <w:p w14:paraId="6B0F2DB8" w14:textId="77777777" w:rsidR="00F227D9" w:rsidRPr="00514B3B" w:rsidRDefault="00F227D9">
            <w:pPr>
              <w:pStyle w:val="T1TableStyle"/>
              <w:rPr>
                <w:rFonts w:ascii="Verdana" w:eastAsia="Verdana" w:hAnsi="Verdana" w:cs="Verdana"/>
                <w:b/>
                <w:color w:val="000000"/>
                <w:sz w:val="2"/>
                <w:lang w:val="en-GB"/>
              </w:rPr>
            </w:pPr>
            <w:r w:rsidRPr="00514B3B">
              <w:rPr>
                <w:rFonts w:ascii="Verdana" w:eastAsia="Verdana" w:hAnsi="Verdana" w:cs="Verdana"/>
                <w:b/>
                <w:color w:val="000000"/>
                <w:sz w:val="2"/>
                <w:lang w:val="en-GB"/>
              </w:rPr>
              <w:t xml:space="preserve"> </w:t>
            </w:r>
          </w:p>
        </w:tc>
      </w:tr>
      <w:tr w:rsidR="0053376B" w:rsidRPr="00514B3B" w14:paraId="4E417080" w14:textId="77777777" w:rsidTr="001A532F">
        <w:trPr>
          <w:trHeight w:val="193"/>
          <w:jc w:val="center"/>
        </w:trPr>
        <w:tc>
          <w:tcPr>
            <w:tcW w:w="1971" w:type="dxa"/>
            <w:shd w:val="clear" w:color="auto" w:fill="auto"/>
            <w:tcMar>
              <w:top w:w="20" w:type="dxa"/>
              <w:left w:w="20" w:type="dxa"/>
              <w:bottom w:w="20" w:type="dxa"/>
              <w:right w:w="20" w:type="dxa"/>
            </w:tcMar>
            <w:vAlign w:val="bottom"/>
          </w:tcPr>
          <w:p w14:paraId="521258F0" w14:textId="77777777" w:rsidR="00F227D9" w:rsidRPr="00514B3B" w:rsidRDefault="00F227D9" w:rsidP="00DC495E">
            <w:pPr>
              <w:pStyle w:val="T1TableStyle"/>
              <w:jc w:val="center"/>
              <w:rPr>
                <w:rFonts w:ascii="Verdana" w:eastAsia="Verdana" w:hAnsi="Verdana" w:cs="Verdana"/>
                <w:b/>
                <w:color w:val="000000"/>
                <w:sz w:val="16"/>
                <w:lang w:val="en-GB"/>
              </w:rPr>
            </w:pPr>
            <w:r w:rsidRPr="00514B3B">
              <w:rPr>
                <w:rFonts w:ascii="Verdana" w:eastAsia="Verdana" w:hAnsi="Verdana" w:cs="Verdana"/>
                <w:b/>
                <w:color w:val="000000"/>
                <w:sz w:val="16"/>
                <w:lang w:val="en-GB"/>
              </w:rPr>
              <w:t>31 March 20</w:t>
            </w:r>
            <w:r w:rsidR="00DC495E" w:rsidRPr="00514B3B">
              <w:rPr>
                <w:rFonts w:ascii="Verdana" w:eastAsia="Verdana" w:hAnsi="Verdana" w:cs="Verdana"/>
                <w:b/>
                <w:color w:val="000000"/>
                <w:sz w:val="16"/>
                <w:lang w:val="en-GB"/>
              </w:rPr>
              <w:t>20</w:t>
            </w:r>
          </w:p>
        </w:tc>
        <w:tc>
          <w:tcPr>
            <w:tcW w:w="265" w:type="dxa"/>
            <w:shd w:val="clear" w:color="auto" w:fill="auto"/>
            <w:tcMar>
              <w:top w:w="20" w:type="dxa"/>
              <w:left w:w="20" w:type="dxa"/>
              <w:bottom w:w="20" w:type="dxa"/>
              <w:right w:w="20" w:type="dxa"/>
            </w:tcMar>
            <w:vAlign w:val="bottom"/>
          </w:tcPr>
          <w:p w14:paraId="24EAE26E" w14:textId="77777777" w:rsidR="00F227D9" w:rsidRPr="00514B3B" w:rsidRDefault="00F227D9">
            <w:pPr>
              <w:pStyle w:val="T1TableStyle"/>
              <w:jc w:val="center"/>
              <w:rPr>
                <w:rFonts w:ascii="Verdana" w:eastAsia="Verdana" w:hAnsi="Verdana" w:cs="Verdana"/>
                <w:b/>
                <w:color w:val="000000"/>
                <w:sz w:val="2"/>
                <w:lang w:val="en-GB"/>
              </w:rPr>
            </w:pPr>
            <w:r w:rsidRPr="00514B3B">
              <w:rPr>
                <w:rFonts w:ascii="Verdana" w:eastAsia="Verdana" w:hAnsi="Verdana" w:cs="Verdana"/>
                <w:b/>
                <w:color w:val="000000"/>
                <w:sz w:val="2"/>
                <w:lang w:val="en-GB"/>
              </w:rPr>
              <w:t xml:space="preserve"> </w:t>
            </w:r>
          </w:p>
        </w:tc>
        <w:tc>
          <w:tcPr>
            <w:tcW w:w="4762" w:type="dxa"/>
            <w:shd w:val="clear" w:color="auto" w:fill="auto"/>
            <w:tcMar>
              <w:top w:w="20" w:type="dxa"/>
              <w:left w:w="20" w:type="dxa"/>
              <w:bottom w:w="20" w:type="dxa"/>
              <w:right w:w="20" w:type="dxa"/>
            </w:tcMar>
            <w:vAlign w:val="bottom"/>
          </w:tcPr>
          <w:p w14:paraId="61FD575F" w14:textId="77777777" w:rsidR="00F227D9" w:rsidRPr="00514B3B" w:rsidRDefault="00F227D9">
            <w:pPr>
              <w:pStyle w:val="T1TableStyle"/>
              <w:jc w:val="center"/>
              <w:rPr>
                <w:rFonts w:ascii="Verdana" w:eastAsia="Verdana" w:hAnsi="Verdana" w:cs="Verdana"/>
                <w:b/>
                <w:color w:val="000000"/>
                <w:sz w:val="2"/>
                <w:lang w:val="en-GB"/>
              </w:rPr>
            </w:pPr>
            <w:r w:rsidRPr="00514B3B">
              <w:rPr>
                <w:rFonts w:ascii="Verdana" w:eastAsia="Verdana" w:hAnsi="Verdana" w:cs="Verdana"/>
                <w:b/>
                <w:color w:val="000000"/>
                <w:sz w:val="2"/>
                <w:lang w:val="en-GB"/>
              </w:rPr>
              <w:t xml:space="preserve"> </w:t>
            </w:r>
          </w:p>
        </w:tc>
        <w:tc>
          <w:tcPr>
            <w:tcW w:w="1975" w:type="dxa"/>
            <w:shd w:val="clear" w:color="auto" w:fill="auto"/>
            <w:tcMar>
              <w:top w:w="20" w:type="dxa"/>
              <w:left w:w="20" w:type="dxa"/>
              <w:bottom w:w="20" w:type="dxa"/>
              <w:right w:w="20" w:type="dxa"/>
            </w:tcMar>
            <w:vAlign w:val="bottom"/>
          </w:tcPr>
          <w:p w14:paraId="4F0DC74E" w14:textId="77777777" w:rsidR="00F227D9" w:rsidRPr="00514B3B" w:rsidRDefault="00F227D9" w:rsidP="00DC495E">
            <w:pPr>
              <w:pStyle w:val="T1TableStyle"/>
              <w:jc w:val="center"/>
              <w:rPr>
                <w:rFonts w:ascii="Verdana" w:eastAsia="Verdana" w:hAnsi="Verdana" w:cs="Verdana"/>
                <w:b/>
                <w:color w:val="000000"/>
                <w:sz w:val="16"/>
                <w:lang w:val="en-GB"/>
              </w:rPr>
            </w:pPr>
            <w:r w:rsidRPr="00514B3B">
              <w:rPr>
                <w:rFonts w:ascii="Verdana" w:eastAsia="Verdana" w:hAnsi="Verdana" w:cs="Verdana"/>
                <w:b/>
                <w:color w:val="000000"/>
                <w:sz w:val="16"/>
                <w:lang w:val="en-GB"/>
              </w:rPr>
              <w:t>31 March 202</w:t>
            </w:r>
            <w:r w:rsidR="00DC495E" w:rsidRPr="00514B3B">
              <w:rPr>
                <w:rFonts w:ascii="Verdana" w:eastAsia="Verdana" w:hAnsi="Verdana" w:cs="Verdana"/>
                <w:b/>
                <w:color w:val="000000"/>
                <w:sz w:val="16"/>
                <w:lang w:val="en-GB"/>
              </w:rPr>
              <w:t>1</w:t>
            </w:r>
          </w:p>
          <w:p w14:paraId="5EA3D579" w14:textId="77777777" w:rsidR="00DC495E" w:rsidRPr="00514B3B" w:rsidRDefault="00DC495E" w:rsidP="00DC495E">
            <w:pPr>
              <w:pStyle w:val="T1TableStyle"/>
              <w:jc w:val="center"/>
              <w:rPr>
                <w:rFonts w:ascii="Verdana" w:eastAsia="Verdana" w:hAnsi="Verdana" w:cs="Verdana"/>
                <w:b/>
                <w:color w:val="000000"/>
                <w:sz w:val="16"/>
                <w:lang w:val="en-GB"/>
              </w:rPr>
            </w:pPr>
          </w:p>
        </w:tc>
      </w:tr>
      <w:tr w:rsidR="0053376B" w:rsidRPr="00514B3B" w14:paraId="0FBB6A43" w14:textId="77777777" w:rsidTr="001A532F">
        <w:trPr>
          <w:trHeight w:val="193"/>
          <w:jc w:val="center"/>
        </w:trPr>
        <w:tc>
          <w:tcPr>
            <w:tcW w:w="1971" w:type="dxa"/>
            <w:tcBorders>
              <w:bottom w:val="single" w:sz="4" w:space="0" w:color="auto"/>
            </w:tcBorders>
            <w:shd w:val="clear" w:color="auto" w:fill="auto"/>
            <w:tcMar>
              <w:top w:w="20" w:type="dxa"/>
              <w:left w:w="20" w:type="dxa"/>
              <w:bottom w:w="20" w:type="dxa"/>
              <w:right w:w="20" w:type="dxa"/>
            </w:tcMar>
          </w:tcPr>
          <w:p w14:paraId="3F85CDC5" w14:textId="77777777" w:rsidR="00F227D9" w:rsidRPr="00514B3B" w:rsidRDefault="00F227D9">
            <w:pPr>
              <w:pStyle w:val="T1TableStyle"/>
              <w:jc w:val="right"/>
              <w:rPr>
                <w:rFonts w:ascii="Verdana" w:eastAsia="Verdana" w:hAnsi="Verdana" w:cs="Verdana"/>
                <w:b/>
                <w:color w:val="000000"/>
                <w:sz w:val="16"/>
                <w:lang w:val="en-GB"/>
              </w:rPr>
            </w:pPr>
            <w:r w:rsidRPr="00514B3B">
              <w:rPr>
                <w:rFonts w:ascii="Verdana" w:eastAsia="Verdana" w:hAnsi="Verdana" w:cs="Verdana"/>
                <w:b/>
                <w:color w:val="000000"/>
                <w:sz w:val="16"/>
                <w:lang w:val="en-GB"/>
              </w:rPr>
              <w:t>£000</w:t>
            </w:r>
          </w:p>
        </w:tc>
        <w:tc>
          <w:tcPr>
            <w:tcW w:w="265" w:type="dxa"/>
            <w:tcBorders>
              <w:bottom w:val="single" w:sz="4" w:space="0" w:color="auto"/>
            </w:tcBorders>
            <w:shd w:val="clear" w:color="auto" w:fill="auto"/>
            <w:tcMar>
              <w:top w:w="20" w:type="dxa"/>
              <w:left w:w="20" w:type="dxa"/>
              <w:bottom w:w="20" w:type="dxa"/>
              <w:right w:w="20" w:type="dxa"/>
            </w:tcMar>
          </w:tcPr>
          <w:p w14:paraId="0B33CE4B" w14:textId="77777777" w:rsidR="00F227D9" w:rsidRPr="00514B3B" w:rsidRDefault="00F227D9">
            <w:pPr>
              <w:pStyle w:val="T1TableStyle"/>
              <w:jc w:val="right"/>
              <w:rPr>
                <w:rFonts w:ascii="Verdana" w:eastAsia="Verdana" w:hAnsi="Verdana" w:cs="Verdana"/>
                <w:b/>
                <w:color w:val="000000"/>
                <w:sz w:val="2"/>
                <w:lang w:val="en-GB"/>
              </w:rPr>
            </w:pPr>
            <w:r w:rsidRPr="00514B3B">
              <w:rPr>
                <w:rFonts w:ascii="Verdana" w:eastAsia="Verdana" w:hAnsi="Verdana" w:cs="Verdana"/>
                <w:b/>
                <w:color w:val="000000"/>
                <w:sz w:val="2"/>
                <w:lang w:val="en-GB"/>
              </w:rPr>
              <w:t xml:space="preserve"> </w:t>
            </w:r>
          </w:p>
        </w:tc>
        <w:tc>
          <w:tcPr>
            <w:tcW w:w="4762" w:type="dxa"/>
            <w:tcBorders>
              <w:bottom w:val="single" w:sz="4" w:space="0" w:color="auto"/>
            </w:tcBorders>
            <w:shd w:val="clear" w:color="auto" w:fill="auto"/>
            <w:tcMar>
              <w:top w:w="20" w:type="dxa"/>
              <w:left w:w="20" w:type="dxa"/>
              <w:bottom w:w="20" w:type="dxa"/>
              <w:right w:w="20" w:type="dxa"/>
            </w:tcMar>
          </w:tcPr>
          <w:p w14:paraId="5D7DD0E9" w14:textId="77777777" w:rsidR="00F227D9" w:rsidRPr="00514B3B" w:rsidRDefault="00F227D9">
            <w:pPr>
              <w:pStyle w:val="T1TableStyle"/>
              <w:jc w:val="right"/>
              <w:rPr>
                <w:rFonts w:ascii="Verdana" w:eastAsia="Verdana" w:hAnsi="Verdana" w:cs="Verdana"/>
                <w:b/>
                <w:color w:val="000000"/>
                <w:sz w:val="2"/>
                <w:lang w:val="en-GB"/>
              </w:rPr>
            </w:pPr>
            <w:r w:rsidRPr="00514B3B">
              <w:rPr>
                <w:rFonts w:ascii="Verdana" w:eastAsia="Verdana" w:hAnsi="Verdana" w:cs="Verdana"/>
                <w:b/>
                <w:color w:val="000000"/>
                <w:sz w:val="2"/>
                <w:lang w:val="en-GB"/>
              </w:rPr>
              <w:t xml:space="preserve"> </w:t>
            </w:r>
          </w:p>
        </w:tc>
        <w:tc>
          <w:tcPr>
            <w:tcW w:w="1975" w:type="dxa"/>
            <w:tcBorders>
              <w:bottom w:val="single" w:sz="4" w:space="0" w:color="auto"/>
            </w:tcBorders>
            <w:shd w:val="clear" w:color="auto" w:fill="auto"/>
            <w:tcMar>
              <w:top w:w="20" w:type="dxa"/>
              <w:left w:w="20" w:type="dxa"/>
              <w:bottom w:w="20" w:type="dxa"/>
              <w:right w:w="20" w:type="dxa"/>
            </w:tcMar>
          </w:tcPr>
          <w:p w14:paraId="3EC4674A" w14:textId="77777777" w:rsidR="00F227D9" w:rsidRPr="00514B3B" w:rsidRDefault="00F227D9">
            <w:pPr>
              <w:pStyle w:val="T1TableStyle"/>
              <w:jc w:val="right"/>
              <w:rPr>
                <w:rFonts w:ascii="Verdana" w:eastAsia="Verdana" w:hAnsi="Verdana" w:cs="Verdana"/>
                <w:b/>
                <w:color w:val="000000"/>
                <w:sz w:val="16"/>
                <w:lang w:val="en-GB"/>
              </w:rPr>
            </w:pPr>
            <w:r w:rsidRPr="00514B3B">
              <w:rPr>
                <w:rFonts w:ascii="Verdana" w:eastAsia="Verdana" w:hAnsi="Verdana" w:cs="Verdana"/>
                <w:b/>
                <w:color w:val="000000"/>
                <w:sz w:val="16"/>
                <w:lang w:val="en-GB"/>
              </w:rPr>
              <w:t>£000</w:t>
            </w:r>
          </w:p>
        </w:tc>
      </w:tr>
      <w:tr w:rsidR="001A532F" w:rsidRPr="00514B3B" w14:paraId="487BEB47" w14:textId="77777777" w:rsidTr="00B11A10">
        <w:trPr>
          <w:trHeight w:val="193"/>
          <w:jc w:val="center"/>
        </w:trPr>
        <w:tc>
          <w:tcPr>
            <w:tcW w:w="1971" w:type="dxa"/>
            <w:tcBorders>
              <w:top w:val="single" w:sz="4" w:space="0" w:color="auto"/>
            </w:tcBorders>
            <w:shd w:val="clear" w:color="auto" w:fill="auto"/>
            <w:tcMar>
              <w:top w:w="20" w:type="dxa"/>
              <w:left w:w="20" w:type="dxa"/>
              <w:bottom w:w="20" w:type="dxa"/>
              <w:right w:w="20" w:type="dxa"/>
            </w:tcMar>
          </w:tcPr>
          <w:p w14:paraId="23E840CB" w14:textId="77777777" w:rsidR="001A532F" w:rsidRPr="00514B3B" w:rsidRDefault="001A532F" w:rsidP="001A532F">
            <w:pPr>
              <w:pStyle w:val="T1TableStyle"/>
              <w:jc w:val="right"/>
              <w:rPr>
                <w:rFonts w:ascii="Verdana" w:eastAsia="Verdana" w:hAnsi="Verdana" w:cs="Verdana"/>
                <w:color w:val="000000"/>
                <w:sz w:val="16"/>
                <w:lang w:val="en-GB"/>
              </w:rPr>
            </w:pPr>
            <w:r w:rsidRPr="00514B3B">
              <w:rPr>
                <w:rFonts w:ascii="Verdana" w:eastAsia="Verdana" w:hAnsi="Verdana" w:cs="Verdana"/>
                <w:color w:val="000000"/>
                <w:sz w:val="16"/>
                <w:lang w:val="en-GB"/>
              </w:rPr>
              <w:t>2,156,930</w:t>
            </w:r>
          </w:p>
        </w:tc>
        <w:tc>
          <w:tcPr>
            <w:tcW w:w="265" w:type="dxa"/>
            <w:tcBorders>
              <w:top w:val="single" w:sz="4" w:space="0" w:color="auto"/>
            </w:tcBorders>
            <w:shd w:val="clear" w:color="auto" w:fill="auto"/>
            <w:tcMar>
              <w:top w:w="20" w:type="dxa"/>
              <w:left w:w="20" w:type="dxa"/>
              <w:bottom w:w="20" w:type="dxa"/>
              <w:right w:w="20" w:type="dxa"/>
            </w:tcMar>
          </w:tcPr>
          <w:p w14:paraId="200A64EB" w14:textId="77777777" w:rsidR="001A532F" w:rsidRPr="00514B3B" w:rsidRDefault="001A532F" w:rsidP="001A532F">
            <w:pPr>
              <w:pStyle w:val="T1TableStyle"/>
              <w:jc w:val="center"/>
              <w:rPr>
                <w:rFonts w:ascii="Verdana" w:eastAsia="Verdana" w:hAnsi="Verdana" w:cs="Verdana"/>
                <w:color w:val="000000"/>
                <w:sz w:val="2"/>
                <w:lang w:val="en-GB"/>
              </w:rPr>
            </w:pPr>
            <w:r w:rsidRPr="00514B3B">
              <w:rPr>
                <w:rFonts w:ascii="Verdana" w:eastAsia="Verdana" w:hAnsi="Verdana" w:cs="Verdana"/>
                <w:color w:val="000000"/>
                <w:sz w:val="2"/>
                <w:lang w:val="en-GB"/>
              </w:rPr>
              <w:t xml:space="preserve"> </w:t>
            </w:r>
          </w:p>
        </w:tc>
        <w:tc>
          <w:tcPr>
            <w:tcW w:w="4762" w:type="dxa"/>
            <w:tcBorders>
              <w:top w:val="single" w:sz="4" w:space="0" w:color="auto"/>
            </w:tcBorders>
            <w:shd w:val="clear" w:color="auto" w:fill="auto"/>
            <w:tcMar>
              <w:top w:w="20" w:type="dxa"/>
              <w:left w:w="20" w:type="dxa"/>
              <w:bottom w:w="20" w:type="dxa"/>
              <w:right w:w="20" w:type="dxa"/>
            </w:tcMar>
          </w:tcPr>
          <w:p w14:paraId="49CE558D" w14:textId="77777777" w:rsidR="001A532F" w:rsidRPr="00514B3B" w:rsidRDefault="001A532F" w:rsidP="001A532F">
            <w:pPr>
              <w:pStyle w:val="T1TableStyle"/>
              <w:rPr>
                <w:rFonts w:ascii="Verdana" w:eastAsia="Verdana" w:hAnsi="Verdana" w:cs="Verdana"/>
                <w:color w:val="000000"/>
                <w:sz w:val="16"/>
                <w:lang w:val="en-GB"/>
              </w:rPr>
            </w:pPr>
            <w:r w:rsidRPr="00514B3B">
              <w:rPr>
                <w:rFonts w:ascii="Verdana" w:eastAsia="Verdana" w:hAnsi="Verdana" w:cs="Verdana"/>
                <w:color w:val="000000"/>
                <w:sz w:val="16"/>
                <w:lang w:val="en-GB"/>
              </w:rPr>
              <w:t xml:space="preserve">Balance 1 April </w:t>
            </w:r>
          </w:p>
        </w:tc>
        <w:tc>
          <w:tcPr>
            <w:tcW w:w="1975" w:type="dxa"/>
            <w:tcBorders>
              <w:top w:val="single" w:sz="4" w:space="0" w:color="auto"/>
            </w:tcBorders>
            <w:shd w:val="clear" w:color="auto" w:fill="auto"/>
            <w:tcMar>
              <w:top w:w="20" w:type="dxa"/>
              <w:left w:w="20" w:type="dxa"/>
              <w:bottom w:w="20" w:type="dxa"/>
              <w:right w:w="20" w:type="dxa"/>
            </w:tcMar>
          </w:tcPr>
          <w:p w14:paraId="33686F20" w14:textId="25410D56" w:rsidR="004453B1" w:rsidRPr="00514B3B" w:rsidRDefault="004453B1" w:rsidP="00B11A10">
            <w:pPr>
              <w:pStyle w:val="T1TableStyle"/>
              <w:jc w:val="right"/>
              <w:rPr>
                <w:rFonts w:ascii="Verdana" w:eastAsia="Verdana" w:hAnsi="Verdana" w:cs="Verdana"/>
                <w:color w:val="000000"/>
                <w:sz w:val="16"/>
                <w:lang w:val="en-GB"/>
              </w:rPr>
            </w:pPr>
            <w:r w:rsidRPr="00514B3B">
              <w:rPr>
                <w:rFonts w:ascii="Verdana" w:eastAsia="Verdana" w:hAnsi="Verdana" w:cs="Verdana"/>
                <w:color w:val="000000"/>
                <w:sz w:val="16"/>
                <w:lang w:val="en-GB"/>
              </w:rPr>
              <w:t>2,026,555</w:t>
            </w:r>
          </w:p>
        </w:tc>
      </w:tr>
      <w:tr w:rsidR="001A532F" w:rsidRPr="00514B3B" w14:paraId="542C5FA3" w14:textId="77777777" w:rsidTr="00B11A10">
        <w:trPr>
          <w:trHeight w:val="193"/>
          <w:jc w:val="center"/>
        </w:trPr>
        <w:tc>
          <w:tcPr>
            <w:tcW w:w="1971" w:type="dxa"/>
            <w:shd w:val="clear" w:color="auto" w:fill="auto"/>
            <w:tcMar>
              <w:top w:w="20" w:type="dxa"/>
              <w:left w:w="20" w:type="dxa"/>
              <w:bottom w:w="20" w:type="dxa"/>
              <w:right w:w="20" w:type="dxa"/>
            </w:tcMar>
          </w:tcPr>
          <w:p w14:paraId="54FDD5AA" w14:textId="77777777" w:rsidR="001A532F" w:rsidRPr="00514B3B" w:rsidRDefault="001A532F" w:rsidP="001A532F">
            <w:pPr>
              <w:pStyle w:val="T1TableStyle"/>
              <w:jc w:val="right"/>
              <w:rPr>
                <w:rFonts w:ascii="Verdana" w:eastAsia="Verdana" w:hAnsi="Verdana" w:cs="Verdana"/>
                <w:color w:val="000000"/>
                <w:sz w:val="16"/>
                <w:lang w:val="en-GB"/>
              </w:rPr>
            </w:pPr>
            <w:r w:rsidRPr="00514B3B">
              <w:rPr>
                <w:rFonts w:ascii="Verdana" w:eastAsia="Verdana" w:hAnsi="Verdana" w:cs="Verdana"/>
                <w:color w:val="000000"/>
                <w:sz w:val="16"/>
                <w:lang w:val="en-GB"/>
              </w:rPr>
              <w:t>(1,414)</w:t>
            </w:r>
          </w:p>
        </w:tc>
        <w:tc>
          <w:tcPr>
            <w:tcW w:w="265" w:type="dxa"/>
            <w:shd w:val="clear" w:color="auto" w:fill="auto"/>
            <w:tcMar>
              <w:top w:w="20" w:type="dxa"/>
              <w:left w:w="20" w:type="dxa"/>
              <w:bottom w:w="20" w:type="dxa"/>
              <w:right w:w="20" w:type="dxa"/>
            </w:tcMar>
          </w:tcPr>
          <w:p w14:paraId="28FAB08D" w14:textId="77777777" w:rsidR="001A532F" w:rsidRPr="00514B3B" w:rsidRDefault="001A532F" w:rsidP="001A532F">
            <w:pPr>
              <w:pStyle w:val="T1TableStyle"/>
              <w:jc w:val="center"/>
              <w:rPr>
                <w:rFonts w:ascii="Verdana" w:eastAsia="Verdana" w:hAnsi="Verdana" w:cs="Verdana"/>
                <w:color w:val="000000"/>
                <w:sz w:val="2"/>
                <w:lang w:val="en-GB"/>
              </w:rPr>
            </w:pPr>
          </w:p>
        </w:tc>
        <w:tc>
          <w:tcPr>
            <w:tcW w:w="4762" w:type="dxa"/>
            <w:shd w:val="clear" w:color="auto" w:fill="auto"/>
            <w:tcMar>
              <w:top w:w="20" w:type="dxa"/>
              <w:left w:w="20" w:type="dxa"/>
              <w:bottom w:w="20" w:type="dxa"/>
              <w:right w:w="20" w:type="dxa"/>
            </w:tcMar>
          </w:tcPr>
          <w:p w14:paraId="3453EA3D" w14:textId="77777777" w:rsidR="001A532F" w:rsidRPr="00514B3B" w:rsidRDefault="001A532F" w:rsidP="001A532F">
            <w:pPr>
              <w:pStyle w:val="T1TableStyle"/>
              <w:rPr>
                <w:rFonts w:ascii="Verdana" w:eastAsia="Verdana" w:hAnsi="Verdana" w:cs="Verdana"/>
                <w:color w:val="000000"/>
                <w:sz w:val="16"/>
                <w:lang w:val="en-GB"/>
              </w:rPr>
            </w:pPr>
            <w:r w:rsidRPr="00514B3B">
              <w:rPr>
                <w:rFonts w:ascii="Verdana" w:eastAsia="Verdana" w:hAnsi="Verdana" w:cs="Verdana"/>
                <w:color w:val="000000"/>
                <w:sz w:val="16"/>
                <w:lang w:val="en-GB"/>
              </w:rPr>
              <w:t>Transfer to PCC Pension Reserve</w:t>
            </w:r>
          </w:p>
        </w:tc>
        <w:tc>
          <w:tcPr>
            <w:tcW w:w="1975" w:type="dxa"/>
            <w:shd w:val="clear" w:color="auto" w:fill="auto"/>
            <w:tcMar>
              <w:top w:w="20" w:type="dxa"/>
              <w:left w:w="20" w:type="dxa"/>
              <w:bottom w:w="20" w:type="dxa"/>
              <w:right w:w="20" w:type="dxa"/>
            </w:tcMar>
          </w:tcPr>
          <w:p w14:paraId="124DF7E9" w14:textId="4BA958EF" w:rsidR="001A532F" w:rsidRPr="00514B3B" w:rsidRDefault="00B11A10" w:rsidP="001A532F">
            <w:pPr>
              <w:pStyle w:val="T1TableStyle"/>
              <w:jc w:val="right"/>
              <w:rPr>
                <w:rFonts w:ascii="Verdana" w:eastAsia="Verdana" w:hAnsi="Verdana" w:cs="Verdana"/>
                <w:color w:val="000000"/>
                <w:sz w:val="16"/>
                <w:lang w:val="en-GB"/>
              </w:rPr>
            </w:pPr>
            <w:r w:rsidRPr="00514B3B">
              <w:rPr>
                <w:rFonts w:ascii="Verdana" w:eastAsia="Verdana" w:hAnsi="Verdana" w:cs="Verdana"/>
                <w:color w:val="000000"/>
                <w:sz w:val="16"/>
                <w:lang w:val="en-GB"/>
              </w:rPr>
              <w:t>0</w:t>
            </w:r>
          </w:p>
        </w:tc>
      </w:tr>
      <w:tr w:rsidR="001A532F" w:rsidRPr="00514B3B" w14:paraId="68AFF790" w14:textId="77777777" w:rsidTr="00B11A10">
        <w:trPr>
          <w:trHeight w:val="270"/>
          <w:jc w:val="center"/>
        </w:trPr>
        <w:tc>
          <w:tcPr>
            <w:tcW w:w="1971" w:type="dxa"/>
            <w:shd w:val="clear" w:color="auto" w:fill="auto"/>
            <w:tcMar>
              <w:top w:w="20" w:type="dxa"/>
              <w:left w:w="20" w:type="dxa"/>
              <w:bottom w:w="20" w:type="dxa"/>
              <w:right w:w="20" w:type="dxa"/>
            </w:tcMar>
          </w:tcPr>
          <w:p w14:paraId="455DE0AF" w14:textId="77777777" w:rsidR="001A532F" w:rsidRPr="00514B3B" w:rsidRDefault="001A532F" w:rsidP="001A532F">
            <w:pPr>
              <w:pStyle w:val="T1TableStyle"/>
              <w:jc w:val="right"/>
              <w:rPr>
                <w:rFonts w:ascii="Verdana" w:eastAsia="Verdana" w:hAnsi="Verdana" w:cs="Verdana"/>
                <w:color w:val="000000"/>
                <w:sz w:val="16"/>
                <w:lang w:val="en-GB"/>
              </w:rPr>
            </w:pPr>
            <w:r w:rsidRPr="00514B3B">
              <w:rPr>
                <w:rFonts w:ascii="Verdana" w:eastAsia="Verdana" w:hAnsi="Verdana" w:cs="Verdana"/>
                <w:color w:val="000000"/>
                <w:sz w:val="16"/>
                <w:lang w:val="en-GB"/>
              </w:rPr>
              <w:t>(191,847)</w:t>
            </w:r>
          </w:p>
        </w:tc>
        <w:tc>
          <w:tcPr>
            <w:tcW w:w="265" w:type="dxa"/>
            <w:shd w:val="clear" w:color="auto" w:fill="auto"/>
            <w:tcMar>
              <w:top w:w="20" w:type="dxa"/>
              <w:left w:w="20" w:type="dxa"/>
              <w:bottom w:w="20" w:type="dxa"/>
              <w:right w:w="20" w:type="dxa"/>
            </w:tcMar>
          </w:tcPr>
          <w:p w14:paraId="3D8165B4" w14:textId="77777777" w:rsidR="001A532F" w:rsidRPr="00514B3B" w:rsidRDefault="001A532F" w:rsidP="001A532F">
            <w:pPr>
              <w:pStyle w:val="T1TableStyle"/>
              <w:jc w:val="center"/>
              <w:rPr>
                <w:rFonts w:ascii="Verdana" w:eastAsia="Verdana" w:hAnsi="Verdana" w:cs="Verdana"/>
                <w:color w:val="000000"/>
                <w:sz w:val="2"/>
                <w:lang w:val="en-GB"/>
              </w:rPr>
            </w:pPr>
            <w:r w:rsidRPr="00514B3B">
              <w:rPr>
                <w:rFonts w:ascii="Verdana" w:eastAsia="Verdana" w:hAnsi="Verdana" w:cs="Verdana"/>
                <w:color w:val="000000"/>
                <w:sz w:val="2"/>
                <w:lang w:val="en-GB"/>
              </w:rPr>
              <w:t xml:space="preserve"> </w:t>
            </w:r>
          </w:p>
        </w:tc>
        <w:tc>
          <w:tcPr>
            <w:tcW w:w="4762" w:type="dxa"/>
            <w:shd w:val="clear" w:color="auto" w:fill="auto"/>
            <w:tcMar>
              <w:top w:w="20" w:type="dxa"/>
              <w:left w:w="20" w:type="dxa"/>
              <w:bottom w:w="20" w:type="dxa"/>
              <w:right w:w="20" w:type="dxa"/>
            </w:tcMar>
          </w:tcPr>
          <w:p w14:paraId="282772D9" w14:textId="77777777" w:rsidR="001A532F" w:rsidRPr="00514B3B" w:rsidRDefault="001A532F" w:rsidP="001A532F">
            <w:pPr>
              <w:pStyle w:val="T1TableStyle"/>
              <w:rPr>
                <w:rFonts w:ascii="Verdana" w:eastAsia="Verdana" w:hAnsi="Verdana" w:cs="Verdana"/>
                <w:color w:val="000000"/>
                <w:sz w:val="16"/>
                <w:lang w:val="en-GB"/>
              </w:rPr>
            </w:pPr>
            <w:r w:rsidRPr="00514B3B">
              <w:rPr>
                <w:rFonts w:ascii="Verdana" w:eastAsia="Verdana" w:hAnsi="Verdana" w:cs="Verdana"/>
                <w:color w:val="000000"/>
                <w:sz w:val="16"/>
                <w:lang w:val="en-GB"/>
              </w:rPr>
              <w:t>Re-measurements of the net defined benefit (liability)/asset</w:t>
            </w:r>
          </w:p>
        </w:tc>
        <w:tc>
          <w:tcPr>
            <w:tcW w:w="1975" w:type="dxa"/>
            <w:shd w:val="clear" w:color="auto" w:fill="auto"/>
            <w:tcMar>
              <w:top w:w="20" w:type="dxa"/>
              <w:left w:w="20" w:type="dxa"/>
              <w:bottom w:w="20" w:type="dxa"/>
              <w:right w:w="20" w:type="dxa"/>
            </w:tcMar>
          </w:tcPr>
          <w:p w14:paraId="0C6DBB1D" w14:textId="09BEC5B7" w:rsidR="001A532F" w:rsidRPr="00514B3B" w:rsidRDefault="00713E05" w:rsidP="001A532F">
            <w:pPr>
              <w:pStyle w:val="T1TableStyle"/>
              <w:jc w:val="right"/>
              <w:rPr>
                <w:rFonts w:ascii="Verdana" w:eastAsia="Verdana" w:hAnsi="Verdana" w:cs="Verdana"/>
                <w:color w:val="000000"/>
                <w:sz w:val="16"/>
                <w:lang w:val="en-GB"/>
              </w:rPr>
            </w:pPr>
            <w:r w:rsidRPr="00514B3B">
              <w:rPr>
                <w:rFonts w:ascii="Verdana" w:eastAsia="Verdana" w:hAnsi="Verdana" w:cs="Verdana"/>
                <w:color w:val="000000"/>
                <w:sz w:val="16"/>
                <w:lang w:val="en-GB"/>
              </w:rPr>
              <w:t>79,860</w:t>
            </w:r>
          </w:p>
        </w:tc>
      </w:tr>
      <w:tr w:rsidR="001A532F" w:rsidRPr="00514B3B" w14:paraId="614D44D3" w14:textId="77777777" w:rsidTr="001A532F">
        <w:trPr>
          <w:trHeight w:val="812"/>
          <w:jc w:val="center"/>
        </w:trPr>
        <w:tc>
          <w:tcPr>
            <w:tcW w:w="1971" w:type="dxa"/>
            <w:shd w:val="clear" w:color="auto" w:fill="auto"/>
            <w:tcMar>
              <w:top w:w="20" w:type="dxa"/>
              <w:left w:w="20" w:type="dxa"/>
              <w:bottom w:w="20" w:type="dxa"/>
              <w:right w:w="20" w:type="dxa"/>
            </w:tcMar>
          </w:tcPr>
          <w:p w14:paraId="41B939B6" w14:textId="77777777" w:rsidR="001A532F" w:rsidRPr="00514B3B" w:rsidRDefault="001A532F" w:rsidP="001A532F">
            <w:pPr>
              <w:pStyle w:val="T1TableStyle"/>
              <w:jc w:val="right"/>
              <w:rPr>
                <w:rFonts w:ascii="Verdana" w:eastAsia="Verdana" w:hAnsi="Verdana" w:cs="Verdana"/>
                <w:color w:val="000000"/>
                <w:sz w:val="16"/>
                <w:lang w:val="en-GB"/>
              </w:rPr>
            </w:pPr>
            <w:r w:rsidRPr="00514B3B">
              <w:rPr>
                <w:rFonts w:ascii="Verdana" w:eastAsia="Verdana" w:hAnsi="Verdana" w:cs="Verdana"/>
                <w:color w:val="000000"/>
                <w:sz w:val="16"/>
                <w:lang w:val="en-GB"/>
              </w:rPr>
              <w:t>113,180</w:t>
            </w:r>
          </w:p>
        </w:tc>
        <w:tc>
          <w:tcPr>
            <w:tcW w:w="265" w:type="dxa"/>
            <w:shd w:val="clear" w:color="auto" w:fill="auto"/>
            <w:tcMar>
              <w:top w:w="20" w:type="dxa"/>
              <w:left w:w="20" w:type="dxa"/>
              <w:bottom w:w="20" w:type="dxa"/>
              <w:right w:w="20" w:type="dxa"/>
            </w:tcMar>
          </w:tcPr>
          <w:p w14:paraId="79E7D241" w14:textId="77777777" w:rsidR="001A532F" w:rsidRPr="00514B3B" w:rsidRDefault="001A532F" w:rsidP="001A532F">
            <w:pPr>
              <w:pStyle w:val="T1TableStyle"/>
              <w:jc w:val="center"/>
              <w:rPr>
                <w:rFonts w:ascii="Verdana" w:eastAsia="Verdana" w:hAnsi="Verdana" w:cs="Verdana"/>
                <w:color w:val="000000"/>
                <w:sz w:val="2"/>
                <w:lang w:val="en-GB"/>
              </w:rPr>
            </w:pPr>
            <w:r w:rsidRPr="00514B3B">
              <w:rPr>
                <w:rFonts w:ascii="Verdana" w:eastAsia="Verdana" w:hAnsi="Verdana" w:cs="Verdana"/>
                <w:color w:val="000000"/>
                <w:sz w:val="2"/>
                <w:lang w:val="en-GB"/>
              </w:rPr>
              <w:t xml:space="preserve"> </w:t>
            </w:r>
          </w:p>
        </w:tc>
        <w:tc>
          <w:tcPr>
            <w:tcW w:w="4762" w:type="dxa"/>
            <w:shd w:val="clear" w:color="auto" w:fill="auto"/>
            <w:tcMar>
              <w:top w:w="20" w:type="dxa"/>
              <w:left w:w="20" w:type="dxa"/>
              <w:bottom w:w="20" w:type="dxa"/>
              <w:right w:w="20" w:type="dxa"/>
            </w:tcMar>
          </w:tcPr>
          <w:p w14:paraId="4D7A1155" w14:textId="77777777" w:rsidR="001A532F" w:rsidRPr="00514B3B" w:rsidRDefault="001A532F" w:rsidP="001A532F">
            <w:pPr>
              <w:pStyle w:val="T1TableStyle"/>
              <w:rPr>
                <w:rFonts w:ascii="Verdana" w:eastAsia="Verdana" w:hAnsi="Verdana" w:cs="Verdana"/>
                <w:color w:val="000000"/>
                <w:sz w:val="16"/>
                <w:lang w:val="en-GB"/>
              </w:rPr>
            </w:pPr>
            <w:r w:rsidRPr="00514B3B">
              <w:rPr>
                <w:rFonts w:ascii="Verdana" w:eastAsia="Verdana" w:hAnsi="Verdana" w:cs="Verdana"/>
                <w:color w:val="000000"/>
                <w:sz w:val="16"/>
                <w:lang w:val="en-GB"/>
              </w:rPr>
              <w:t xml:space="preserve">Reversal of items relating to retirement benefits debited or credited to the Surplus or Deficit on the Provision of Services in the Comprehensive Income and Expenditure Statement </w:t>
            </w:r>
          </w:p>
        </w:tc>
        <w:tc>
          <w:tcPr>
            <w:tcW w:w="1975" w:type="dxa"/>
            <w:shd w:val="clear" w:color="auto" w:fill="auto"/>
            <w:tcMar>
              <w:top w:w="20" w:type="dxa"/>
              <w:left w:w="20" w:type="dxa"/>
              <w:bottom w:w="20" w:type="dxa"/>
              <w:right w:w="20" w:type="dxa"/>
            </w:tcMar>
          </w:tcPr>
          <w:p w14:paraId="5EF7BE52" w14:textId="76B3B706" w:rsidR="001A532F" w:rsidRPr="00514B3B" w:rsidRDefault="00713E05" w:rsidP="001A532F">
            <w:pPr>
              <w:pStyle w:val="T1TableStyle"/>
              <w:jc w:val="right"/>
              <w:rPr>
                <w:rFonts w:ascii="Verdana" w:eastAsia="Verdana" w:hAnsi="Verdana" w:cs="Verdana"/>
                <w:color w:val="000000"/>
                <w:sz w:val="16"/>
                <w:lang w:val="en-GB"/>
              </w:rPr>
            </w:pPr>
            <w:r w:rsidRPr="00514B3B">
              <w:rPr>
                <w:rFonts w:ascii="Verdana" w:eastAsia="Verdana" w:hAnsi="Verdana" w:cs="Verdana"/>
                <w:color w:val="000000"/>
                <w:sz w:val="16"/>
                <w:lang w:val="en-GB"/>
              </w:rPr>
              <w:t>116,933</w:t>
            </w:r>
          </w:p>
        </w:tc>
      </w:tr>
      <w:tr w:rsidR="001A532F" w:rsidRPr="00514B3B" w14:paraId="71CC9A17" w14:textId="77777777" w:rsidTr="001A532F">
        <w:trPr>
          <w:trHeight w:val="405"/>
          <w:jc w:val="center"/>
        </w:trPr>
        <w:tc>
          <w:tcPr>
            <w:tcW w:w="1971" w:type="dxa"/>
            <w:shd w:val="clear" w:color="auto" w:fill="auto"/>
            <w:tcMar>
              <w:top w:w="20" w:type="dxa"/>
              <w:left w:w="20" w:type="dxa"/>
              <w:bottom w:w="20" w:type="dxa"/>
              <w:right w:w="20" w:type="dxa"/>
            </w:tcMar>
          </w:tcPr>
          <w:p w14:paraId="6C564836" w14:textId="77777777" w:rsidR="001A532F" w:rsidRPr="00514B3B" w:rsidRDefault="001A532F" w:rsidP="001A532F">
            <w:pPr>
              <w:pStyle w:val="T1TableStyle"/>
              <w:jc w:val="right"/>
              <w:rPr>
                <w:rFonts w:ascii="Verdana" w:eastAsia="Verdana" w:hAnsi="Verdana" w:cs="Verdana"/>
                <w:color w:val="000000"/>
                <w:sz w:val="16"/>
                <w:lang w:val="en-GB"/>
              </w:rPr>
            </w:pPr>
            <w:r w:rsidRPr="00514B3B">
              <w:rPr>
                <w:rFonts w:ascii="Verdana" w:eastAsia="Verdana" w:hAnsi="Verdana" w:cs="Verdana"/>
                <w:color w:val="000000"/>
                <w:sz w:val="16"/>
                <w:lang w:val="en-GB"/>
              </w:rPr>
              <w:t>(50,294)</w:t>
            </w:r>
          </w:p>
        </w:tc>
        <w:tc>
          <w:tcPr>
            <w:tcW w:w="265" w:type="dxa"/>
            <w:shd w:val="clear" w:color="auto" w:fill="auto"/>
            <w:tcMar>
              <w:top w:w="20" w:type="dxa"/>
              <w:left w:w="20" w:type="dxa"/>
              <w:bottom w:w="20" w:type="dxa"/>
              <w:right w:w="20" w:type="dxa"/>
            </w:tcMar>
          </w:tcPr>
          <w:p w14:paraId="451D3F98" w14:textId="77777777" w:rsidR="001A532F" w:rsidRPr="00514B3B" w:rsidRDefault="001A532F" w:rsidP="001A532F">
            <w:pPr>
              <w:pStyle w:val="T1TableStyle"/>
              <w:jc w:val="center"/>
              <w:rPr>
                <w:rFonts w:ascii="Verdana" w:eastAsia="Verdana" w:hAnsi="Verdana" w:cs="Verdana"/>
                <w:color w:val="000000"/>
                <w:sz w:val="2"/>
                <w:lang w:val="en-GB"/>
              </w:rPr>
            </w:pPr>
            <w:r w:rsidRPr="00514B3B">
              <w:rPr>
                <w:rFonts w:ascii="Verdana" w:eastAsia="Verdana" w:hAnsi="Verdana" w:cs="Verdana"/>
                <w:color w:val="000000"/>
                <w:sz w:val="2"/>
                <w:lang w:val="en-GB"/>
              </w:rPr>
              <w:t xml:space="preserve"> </w:t>
            </w:r>
          </w:p>
        </w:tc>
        <w:tc>
          <w:tcPr>
            <w:tcW w:w="4762" w:type="dxa"/>
            <w:shd w:val="clear" w:color="auto" w:fill="auto"/>
            <w:tcMar>
              <w:top w:w="20" w:type="dxa"/>
              <w:left w:w="20" w:type="dxa"/>
              <w:bottom w:w="20" w:type="dxa"/>
              <w:right w:w="20" w:type="dxa"/>
            </w:tcMar>
          </w:tcPr>
          <w:p w14:paraId="0E1D8D5A" w14:textId="77777777" w:rsidR="001A532F" w:rsidRPr="00514B3B" w:rsidRDefault="001A532F" w:rsidP="001A532F">
            <w:pPr>
              <w:pStyle w:val="T1TableStyle"/>
              <w:rPr>
                <w:rFonts w:ascii="Verdana" w:eastAsia="Verdana" w:hAnsi="Verdana" w:cs="Verdana"/>
                <w:color w:val="000000"/>
                <w:sz w:val="16"/>
                <w:lang w:val="en-GB"/>
              </w:rPr>
            </w:pPr>
            <w:r w:rsidRPr="00514B3B">
              <w:rPr>
                <w:rFonts w:ascii="Verdana" w:eastAsia="Verdana" w:hAnsi="Verdana" w:cs="Verdana"/>
                <w:color w:val="000000"/>
                <w:sz w:val="16"/>
                <w:lang w:val="en-GB"/>
              </w:rPr>
              <w:t>Employer's pensions contributions and direct payments to pensioners payable in the year</w:t>
            </w:r>
          </w:p>
        </w:tc>
        <w:tc>
          <w:tcPr>
            <w:tcW w:w="1975" w:type="dxa"/>
            <w:shd w:val="clear" w:color="auto" w:fill="auto"/>
            <w:tcMar>
              <w:top w:w="20" w:type="dxa"/>
              <w:left w:w="20" w:type="dxa"/>
              <w:bottom w:w="20" w:type="dxa"/>
              <w:right w:w="20" w:type="dxa"/>
            </w:tcMar>
          </w:tcPr>
          <w:p w14:paraId="1EC47516" w14:textId="67814E33" w:rsidR="001A532F" w:rsidRPr="00514B3B" w:rsidRDefault="00713E05" w:rsidP="001A532F">
            <w:pPr>
              <w:pStyle w:val="T1TableStyle"/>
              <w:jc w:val="right"/>
              <w:rPr>
                <w:rFonts w:ascii="Verdana" w:eastAsia="Verdana" w:hAnsi="Verdana" w:cs="Verdana"/>
                <w:color w:val="000000"/>
                <w:sz w:val="16"/>
                <w:lang w:val="en-GB"/>
              </w:rPr>
            </w:pPr>
            <w:r w:rsidRPr="00514B3B">
              <w:rPr>
                <w:rFonts w:ascii="Verdana" w:eastAsia="Verdana" w:hAnsi="Verdana" w:cs="Verdana"/>
                <w:color w:val="000000"/>
                <w:sz w:val="16"/>
                <w:lang w:val="en-GB"/>
              </w:rPr>
              <w:t>(49,302)</w:t>
            </w:r>
          </w:p>
        </w:tc>
      </w:tr>
      <w:tr w:rsidR="001A532F" w:rsidRPr="00DC1077" w14:paraId="68346619" w14:textId="77777777" w:rsidTr="001A532F">
        <w:trPr>
          <w:trHeight w:val="202"/>
          <w:jc w:val="center"/>
        </w:trPr>
        <w:tc>
          <w:tcPr>
            <w:tcW w:w="1971" w:type="dxa"/>
            <w:tcBorders>
              <w:top w:val="single" w:sz="2" w:space="0" w:color="000000"/>
              <w:bottom w:val="single" w:sz="12" w:space="0" w:color="000000"/>
            </w:tcBorders>
            <w:shd w:val="clear" w:color="auto" w:fill="auto"/>
            <w:tcMar>
              <w:top w:w="20" w:type="dxa"/>
              <w:left w:w="20" w:type="dxa"/>
              <w:bottom w:w="20" w:type="dxa"/>
              <w:right w:w="20" w:type="dxa"/>
            </w:tcMar>
          </w:tcPr>
          <w:p w14:paraId="51406109" w14:textId="77777777" w:rsidR="001A532F" w:rsidRPr="00514B3B" w:rsidRDefault="001A532F" w:rsidP="001A532F">
            <w:pPr>
              <w:pStyle w:val="T1TableStyle"/>
              <w:jc w:val="right"/>
              <w:rPr>
                <w:rFonts w:ascii="Verdana" w:eastAsia="Verdana" w:hAnsi="Verdana" w:cs="Verdana"/>
                <w:b/>
                <w:color w:val="000000"/>
                <w:sz w:val="16"/>
                <w:lang w:val="en-GB"/>
              </w:rPr>
            </w:pPr>
            <w:r w:rsidRPr="00514B3B">
              <w:rPr>
                <w:rFonts w:ascii="Verdana" w:eastAsia="Verdana" w:hAnsi="Verdana" w:cs="Verdana"/>
                <w:b/>
                <w:color w:val="000000"/>
                <w:sz w:val="16"/>
                <w:lang w:val="en-GB"/>
              </w:rPr>
              <w:t>2,026,555</w:t>
            </w:r>
          </w:p>
        </w:tc>
        <w:tc>
          <w:tcPr>
            <w:tcW w:w="265" w:type="dxa"/>
            <w:tcBorders>
              <w:top w:val="single" w:sz="2" w:space="0" w:color="000000"/>
              <w:bottom w:val="single" w:sz="12" w:space="0" w:color="000000"/>
            </w:tcBorders>
            <w:shd w:val="clear" w:color="auto" w:fill="auto"/>
            <w:tcMar>
              <w:top w:w="20" w:type="dxa"/>
              <w:left w:w="20" w:type="dxa"/>
              <w:bottom w:w="20" w:type="dxa"/>
              <w:right w:w="20" w:type="dxa"/>
            </w:tcMar>
          </w:tcPr>
          <w:p w14:paraId="2DD779B3" w14:textId="77777777" w:rsidR="001A532F" w:rsidRPr="00514B3B" w:rsidRDefault="001A532F" w:rsidP="001A532F">
            <w:pPr>
              <w:pStyle w:val="T1TableStyle"/>
              <w:jc w:val="center"/>
              <w:rPr>
                <w:rFonts w:ascii="Verdana" w:eastAsia="Verdana" w:hAnsi="Verdana" w:cs="Verdana"/>
                <w:b/>
                <w:color w:val="000000"/>
                <w:sz w:val="2"/>
                <w:lang w:val="en-GB"/>
              </w:rPr>
            </w:pPr>
            <w:r w:rsidRPr="00514B3B">
              <w:rPr>
                <w:rFonts w:ascii="Verdana" w:eastAsia="Verdana" w:hAnsi="Verdana" w:cs="Verdana"/>
                <w:b/>
                <w:color w:val="000000"/>
                <w:sz w:val="2"/>
                <w:lang w:val="en-GB"/>
              </w:rPr>
              <w:t xml:space="preserve"> </w:t>
            </w:r>
          </w:p>
        </w:tc>
        <w:tc>
          <w:tcPr>
            <w:tcW w:w="4762" w:type="dxa"/>
            <w:tcBorders>
              <w:top w:val="single" w:sz="2" w:space="0" w:color="000000"/>
              <w:bottom w:val="single" w:sz="12" w:space="0" w:color="000000"/>
            </w:tcBorders>
            <w:shd w:val="clear" w:color="auto" w:fill="auto"/>
            <w:tcMar>
              <w:top w:w="20" w:type="dxa"/>
              <w:left w:w="20" w:type="dxa"/>
              <w:bottom w:w="20" w:type="dxa"/>
              <w:right w:w="20" w:type="dxa"/>
            </w:tcMar>
          </w:tcPr>
          <w:p w14:paraId="3E64A34A" w14:textId="77777777" w:rsidR="001A532F" w:rsidRPr="00514B3B" w:rsidRDefault="001A532F" w:rsidP="001A532F">
            <w:pPr>
              <w:pStyle w:val="T1TableStyle"/>
              <w:rPr>
                <w:rFonts w:ascii="Verdana" w:eastAsia="Verdana" w:hAnsi="Verdana" w:cs="Verdana"/>
                <w:b/>
                <w:color w:val="000000"/>
                <w:sz w:val="16"/>
                <w:lang w:val="en-GB"/>
              </w:rPr>
            </w:pPr>
            <w:r w:rsidRPr="00514B3B">
              <w:rPr>
                <w:rFonts w:ascii="Verdana" w:eastAsia="Verdana" w:hAnsi="Verdana" w:cs="Verdana"/>
                <w:b/>
                <w:color w:val="000000"/>
                <w:sz w:val="16"/>
                <w:lang w:val="en-GB"/>
              </w:rPr>
              <w:t xml:space="preserve">Balance 31 March </w:t>
            </w:r>
          </w:p>
        </w:tc>
        <w:tc>
          <w:tcPr>
            <w:tcW w:w="1975" w:type="dxa"/>
            <w:tcBorders>
              <w:top w:val="single" w:sz="2" w:space="0" w:color="000000"/>
              <w:bottom w:val="single" w:sz="12" w:space="0" w:color="000000"/>
            </w:tcBorders>
            <w:shd w:val="clear" w:color="auto" w:fill="auto"/>
            <w:tcMar>
              <w:top w:w="20" w:type="dxa"/>
              <w:left w:w="20" w:type="dxa"/>
              <w:bottom w:w="20" w:type="dxa"/>
              <w:right w:w="20" w:type="dxa"/>
            </w:tcMar>
          </w:tcPr>
          <w:p w14:paraId="35D930DD" w14:textId="66A1DF74" w:rsidR="001A532F" w:rsidRPr="00514B3B" w:rsidRDefault="00713E05" w:rsidP="001A532F">
            <w:pPr>
              <w:pStyle w:val="T1TableStyle"/>
              <w:jc w:val="right"/>
              <w:rPr>
                <w:rFonts w:ascii="Verdana" w:eastAsia="Verdana" w:hAnsi="Verdana" w:cs="Verdana"/>
                <w:b/>
                <w:color w:val="000000"/>
                <w:sz w:val="16"/>
                <w:lang w:val="en-GB"/>
              </w:rPr>
            </w:pPr>
            <w:r w:rsidRPr="00514B3B">
              <w:rPr>
                <w:rFonts w:ascii="Verdana" w:eastAsia="Verdana" w:hAnsi="Verdana" w:cs="Verdana"/>
                <w:b/>
                <w:color w:val="000000"/>
                <w:sz w:val="16"/>
                <w:lang w:val="en-GB"/>
              </w:rPr>
              <w:t>2,174,046</w:t>
            </w:r>
          </w:p>
        </w:tc>
      </w:tr>
    </w:tbl>
    <w:p w14:paraId="3D3DC8CA" w14:textId="77777777" w:rsidR="00F227D9" w:rsidRPr="00B93478" w:rsidRDefault="00F227D9">
      <w:pPr>
        <w:pStyle w:val="T1TableStyle"/>
        <w:rPr>
          <w:rFonts w:ascii="Verdana" w:eastAsia="Verdana" w:hAnsi="Verdana" w:cs="Verdana"/>
          <w:sz w:val="22"/>
          <w:lang w:val="en-GB"/>
        </w:rPr>
      </w:pPr>
    </w:p>
    <w:p w14:paraId="064CC2F4" w14:textId="77777777" w:rsidR="00645BB6" w:rsidRPr="00B93478" w:rsidRDefault="00645BB6" w:rsidP="00645BB6">
      <w:pPr>
        <w:pStyle w:val="Normal0"/>
        <w:spacing w:after="160"/>
        <w:jc w:val="both"/>
        <w:rPr>
          <w:rFonts w:ascii="Verdana" w:eastAsia="Verdana" w:hAnsi="Verdana" w:cs="Verdana"/>
          <w:sz w:val="22"/>
          <w:szCs w:val="22"/>
          <w:lang w:val="en-GB"/>
        </w:rPr>
      </w:pPr>
      <w:r w:rsidRPr="00B93478">
        <w:rPr>
          <w:rFonts w:ascii="Verdana" w:eastAsia="Verdana" w:hAnsi="Verdana" w:cs="Verdana"/>
          <w:sz w:val="22"/>
          <w:szCs w:val="22"/>
          <w:lang w:val="en-GB"/>
        </w:rPr>
        <w:t>The Pensions Reserve reflects the timing adjustments arising from the different arrangements for accounting for post-employment benefits and for funding benefits in accordance with statutory provisions [Statutory Instrument No. 2010/454].  Post-employment benefits are accounted for in the Comprehensive Income and Expenditure Statement as the benefits are earned by employees accruing years of service, updating the liabilities recognised in line with inflation assumptions, changing assumptions and investment returns on any resources set aside to meet the costs.  However, statutory arrangements require benefits earned, to be financed as the employer makes contribution to pension funds, or eventual payment of any pensions for which it is directly responsible.  The debit balance on the Pensions Reserve therefore shows a substantial shortfall in the benefits earned by past and current employees and the resources set aside to meet them.  The statutory arrangement will ensure that funding will have been set aside by the time the benefits come to be paid.</w:t>
      </w:r>
    </w:p>
    <w:tbl>
      <w:tblPr>
        <w:tblW w:w="0" w:type="auto"/>
        <w:jc w:val="center"/>
        <w:tblLayout w:type="fixed"/>
        <w:tblLook w:val="04A0" w:firstRow="1" w:lastRow="0" w:firstColumn="1" w:lastColumn="0" w:noHBand="0" w:noVBand="1"/>
      </w:tblPr>
      <w:tblGrid>
        <w:gridCol w:w="142"/>
        <w:gridCol w:w="1415"/>
        <w:gridCol w:w="359"/>
        <w:gridCol w:w="6467"/>
        <w:gridCol w:w="1398"/>
        <w:gridCol w:w="1283"/>
      </w:tblGrid>
      <w:tr w:rsidR="0053376B" w:rsidRPr="00D715B5" w14:paraId="0AFAEF34" w14:textId="77777777" w:rsidTr="00514B3B">
        <w:trPr>
          <w:trHeight w:val="112"/>
          <w:jc w:val="center"/>
        </w:trPr>
        <w:tc>
          <w:tcPr>
            <w:tcW w:w="11064" w:type="dxa"/>
            <w:gridSpan w:val="6"/>
            <w:shd w:val="clear" w:color="auto" w:fill="auto"/>
            <w:tcMar>
              <w:top w:w="20" w:type="dxa"/>
              <w:left w:w="20" w:type="dxa"/>
              <w:bottom w:w="20" w:type="dxa"/>
              <w:right w:w="20" w:type="dxa"/>
            </w:tcMar>
            <w:vAlign w:val="bottom"/>
          </w:tcPr>
          <w:p w14:paraId="154ECC29" w14:textId="77777777" w:rsidR="00F227D9" w:rsidRPr="00D715B5" w:rsidRDefault="00F227D9">
            <w:pPr>
              <w:pStyle w:val="T1TableStyle"/>
              <w:rPr>
                <w:rFonts w:ascii="Verdana" w:eastAsia="Verdana" w:hAnsi="Verdana" w:cs="Verdana"/>
                <w:b/>
                <w:color w:val="000000"/>
                <w:lang w:val="en-GB"/>
              </w:rPr>
            </w:pPr>
            <w:r w:rsidRPr="00D715B5">
              <w:rPr>
                <w:rFonts w:ascii="Verdana" w:eastAsia="Verdana" w:hAnsi="Verdana" w:cs="Verdana"/>
                <w:b/>
                <w:color w:val="000000"/>
                <w:lang w:val="en-GB"/>
              </w:rPr>
              <w:t>Accumulated Absences Account</w:t>
            </w:r>
          </w:p>
        </w:tc>
      </w:tr>
      <w:tr w:rsidR="0053376B" w:rsidRPr="00D715B5" w14:paraId="0727EC6A" w14:textId="77777777" w:rsidTr="00514B3B">
        <w:trPr>
          <w:trHeight w:hRule="exact" w:val="112"/>
          <w:jc w:val="center"/>
        </w:trPr>
        <w:tc>
          <w:tcPr>
            <w:tcW w:w="1557" w:type="dxa"/>
            <w:gridSpan w:val="2"/>
            <w:shd w:val="clear" w:color="auto" w:fill="auto"/>
            <w:tcMar>
              <w:top w:w="20" w:type="dxa"/>
              <w:left w:w="20" w:type="dxa"/>
              <w:bottom w:w="20" w:type="dxa"/>
              <w:right w:w="20" w:type="dxa"/>
            </w:tcMar>
            <w:vAlign w:val="bottom"/>
          </w:tcPr>
          <w:p w14:paraId="57B75B1B" w14:textId="77777777" w:rsidR="00F227D9" w:rsidRPr="00D715B5" w:rsidRDefault="00F227D9">
            <w:pPr>
              <w:pStyle w:val="T1TableStyle"/>
              <w:rPr>
                <w:rFonts w:ascii="Verdana" w:eastAsia="Verdana" w:hAnsi="Verdana" w:cs="Verdana"/>
                <w:b/>
                <w:color w:val="000000"/>
                <w:sz w:val="2"/>
                <w:lang w:val="en-GB"/>
              </w:rPr>
            </w:pPr>
            <w:r w:rsidRPr="00D715B5">
              <w:rPr>
                <w:rFonts w:ascii="Verdana" w:eastAsia="Verdana" w:hAnsi="Verdana" w:cs="Verdana"/>
                <w:b/>
                <w:color w:val="000000"/>
                <w:sz w:val="2"/>
                <w:lang w:val="en-GB"/>
              </w:rPr>
              <w:t xml:space="preserve"> </w:t>
            </w:r>
          </w:p>
        </w:tc>
        <w:tc>
          <w:tcPr>
            <w:tcW w:w="359" w:type="dxa"/>
            <w:shd w:val="clear" w:color="auto" w:fill="auto"/>
            <w:tcMar>
              <w:top w:w="20" w:type="dxa"/>
              <w:left w:w="20" w:type="dxa"/>
              <w:bottom w:w="20" w:type="dxa"/>
              <w:right w:w="20" w:type="dxa"/>
            </w:tcMar>
            <w:vAlign w:val="bottom"/>
          </w:tcPr>
          <w:p w14:paraId="302F0402" w14:textId="77777777" w:rsidR="00F227D9" w:rsidRPr="00D715B5" w:rsidRDefault="00F227D9">
            <w:pPr>
              <w:pStyle w:val="T1TableStyle"/>
              <w:rPr>
                <w:rFonts w:ascii="Verdana" w:eastAsia="Verdana" w:hAnsi="Verdana" w:cs="Verdana"/>
                <w:b/>
                <w:color w:val="000000"/>
                <w:sz w:val="2"/>
                <w:lang w:val="en-GB"/>
              </w:rPr>
            </w:pPr>
            <w:r w:rsidRPr="00D715B5">
              <w:rPr>
                <w:rFonts w:ascii="Verdana" w:eastAsia="Verdana" w:hAnsi="Verdana" w:cs="Verdana"/>
                <w:b/>
                <w:color w:val="000000"/>
                <w:sz w:val="2"/>
                <w:lang w:val="en-GB"/>
              </w:rPr>
              <w:t xml:space="preserve"> </w:t>
            </w:r>
          </w:p>
        </w:tc>
        <w:tc>
          <w:tcPr>
            <w:tcW w:w="6467" w:type="dxa"/>
            <w:shd w:val="clear" w:color="auto" w:fill="auto"/>
            <w:tcMar>
              <w:top w:w="20" w:type="dxa"/>
              <w:left w:w="20" w:type="dxa"/>
              <w:bottom w:w="20" w:type="dxa"/>
              <w:right w:w="20" w:type="dxa"/>
            </w:tcMar>
            <w:vAlign w:val="bottom"/>
          </w:tcPr>
          <w:p w14:paraId="16B99B78" w14:textId="77777777" w:rsidR="00F227D9" w:rsidRPr="00D715B5" w:rsidRDefault="00F227D9">
            <w:pPr>
              <w:pStyle w:val="T1TableStyle"/>
              <w:rPr>
                <w:rFonts w:ascii="Verdana" w:eastAsia="Verdana" w:hAnsi="Verdana" w:cs="Verdana"/>
                <w:b/>
                <w:color w:val="000000"/>
                <w:sz w:val="2"/>
                <w:lang w:val="en-GB"/>
              </w:rPr>
            </w:pPr>
            <w:r w:rsidRPr="00D715B5">
              <w:rPr>
                <w:rFonts w:ascii="Verdana" w:eastAsia="Verdana" w:hAnsi="Verdana" w:cs="Verdana"/>
                <w:b/>
                <w:color w:val="000000"/>
                <w:sz w:val="2"/>
                <w:lang w:val="en-GB"/>
              </w:rPr>
              <w:t xml:space="preserve"> </w:t>
            </w:r>
          </w:p>
        </w:tc>
        <w:tc>
          <w:tcPr>
            <w:tcW w:w="2681" w:type="dxa"/>
            <w:gridSpan w:val="2"/>
            <w:shd w:val="clear" w:color="auto" w:fill="auto"/>
            <w:tcMar>
              <w:top w:w="20" w:type="dxa"/>
              <w:left w:w="20" w:type="dxa"/>
              <w:bottom w:w="20" w:type="dxa"/>
              <w:right w:w="20" w:type="dxa"/>
            </w:tcMar>
            <w:vAlign w:val="bottom"/>
          </w:tcPr>
          <w:p w14:paraId="698DFCCB" w14:textId="77777777" w:rsidR="00F227D9" w:rsidRPr="00D715B5" w:rsidRDefault="00F227D9">
            <w:pPr>
              <w:pStyle w:val="T1TableStyle"/>
              <w:rPr>
                <w:rFonts w:ascii="Verdana" w:eastAsia="Verdana" w:hAnsi="Verdana" w:cs="Verdana"/>
                <w:b/>
                <w:color w:val="000000"/>
                <w:sz w:val="2"/>
                <w:lang w:val="en-GB"/>
              </w:rPr>
            </w:pPr>
            <w:r w:rsidRPr="00D715B5">
              <w:rPr>
                <w:rFonts w:ascii="Verdana" w:eastAsia="Verdana" w:hAnsi="Verdana" w:cs="Verdana"/>
                <w:b/>
                <w:color w:val="000000"/>
                <w:sz w:val="2"/>
                <w:lang w:val="en-GB"/>
              </w:rPr>
              <w:t xml:space="preserve"> </w:t>
            </w:r>
          </w:p>
        </w:tc>
      </w:tr>
      <w:tr w:rsidR="0053376B" w:rsidRPr="00D715B5" w14:paraId="0418B575" w14:textId="77777777" w:rsidTr="00514B3B">
        <w:trPr>
          <w:gridBefore w:val="1"/>
          <w:gridAfter w:val="1"/>
          <w:wBefore w:w="142" w:type="dxa"/>
          <w:wAfter w:w="1283" w:type="dxa"/>
          <w:trHeight w:val="112"/>
          <w:jc w:val="center"/>
        </w:trPr>
        <w:tc>
          <w:tcPr>
            <w:tcW w:w="1415" w:type="dxa"/>
            <w:shd w:val="clear" w:color="auto" w:fill="auto"/>
            <w:tcMar>
              <w:top w:w="20" w:type="dxa"/>
              <w:left w:w="20" w:type="dxa"/>
              <w:bottom w:w="20" w:type="dxa"/>
              <w:right w:w="20" w:type="dxa"/>
            </w:tcMar>
            <w:vAlign w:val="bottom"/>
          </w:tcPr>
          <w:p w14:paraId="21A54ADE" w14:textId="77777777" w:rsidR="00F227D9" w:rsidRPr="00D715B5" w:rsidRDefault="00F227D9" w:rsidP="004453B1">
            <w:pPr>
              <w:pStyle w:val="T1TableStyle"/>
              <w:jc w:val="center"/>
              <w:rPr>
                <w:rFonts w:ascii="Verdana" w:eastAsia="Verdana" w:hAnsi="Verdana" w:cs="Verdana"/>
                <w:b/>
                <w:color w:val="000000"/>
                <w:sz w:val="16"/>
                <w:lang w:val="en-GB"/>
              </w:rPr>
            </w:pPr>
            <w:r w:rsidRPr="00D715B5">
              <w:rPr>
                <w:rFonts w:ascii="Verdana" w:eastAsia="Verdana" w:hAnsi="Verdana" w:cs="Verdana"/>
                <w:b/>
                <w:color w:val="000000"/>
                <w:sz w:val="16"/>
                <w:lang w:val="en-GB"/>
              </w:rPr>
              <w:t>31 March 20</w:t>
            </w:r>
            <w:r w:rsidR="004453B1" w:rsidRPr="00D715B5">
              <w:rPr>
                <w:rFonts w:ascii="Verdana" w:eastAsia="Verdana" w:hAnsi="Verdana" w:cs="Verdana"/>
                <w:b/>
                <w:color w:val="000000"/>
                <w:sz w:val="16"/>
                <w:lang w:val="en-GB"/>
              </w:rPr>
              <w:t>20</w:t>
            </w:r>
          </w:p>
        </w:tc>
        <w:tc>
          <w:tcPr>
            <w:tcW w:w="359" w:type="dxa"/>
            <w:shd w:val="clear" w:color="auto" w:fill="auto"/>
            <w:tcMar>
              <w:top w:w="20" w:type="dxa"/>
              <w:left w:w="20" w:type="dxa"/>
              <w:bottom w:w="20" w:type="dxa"/>
              <w:right w:w="20" w:type="dxa"/>
            </w:tcMar>
            <w:vAlign w:val="bottom"/>
          </w:tcPr>
          <w:p w14:paraId="5D35EE81" w14:textId="77777777" w:rsidR="00F227D9" w:rsidRPr="00D715B5" w:rsidRDefault="00F227D9">
            <w:pPr>
              <w:pStyle w:val="T1TableStyle"/>
              <w:jc w:val="center"/>
              <w:rPr>
                <w:rFonts w:ascii="Verdana" w:eastAsia="Verdana" w:hAnsi="Verdana" w:cs="Verdana"/>
                <w:b/>
                <w:color w:val="000000"/>
                <w:sz w:val="2"/>
                <w:lang w:val="en-GB"/>
              </w:rPr>
            </w:pPr>
            <w:r w:rsidRPr="00D715B5">
              <w:rPr>
                <w:rFonts w:ascii="Verdana" w:eastAsia="Verdana" w:hAnsi="Verdana" w:cs="Verdana"/>
                <w:b/>
                <w:color w:val="000000"/>
                <w:sz w:val="2"/>
                <w:lang w:val="en-GB"/>
              </w:rPr>
              <w:t xml:space="preserve"> </w:t>
            </w:r>
          </w:p>
        </w:tc>
        <w:tc>
          <w:tcPr>
            <w:tcW w:w="6467" w:type="dxa"/>
            <w:shd w:val="clear" w:color="auto" w:fill="auto"/>
            <w:tcMar>
              <w:top w:w="20" w:type="dxa"/>
              <w:left w:w="20" w:type="dxa"/>
              <w:bottom w:w="20" w:type="dxa"/>
              <w:right w:w="20" w:type="dxa"/>
            </w:tcMar>
            <w:vAlign w:val="bottom"/>
          </w:tcPr>
          <w:p w14:paraId="790BAC1E" w14:textId="77777777" w:rsidR="00F227D9" w:rsidRPr="00D715B5" w:rsidRDefault="00F227D9">
            <w:pPr>
              <w:pStyle w:val="T1TableStyle"/>
              <w:jc w:val="center"/>
              <w:rPr>
                <w:rFonts w:ascii="Verdana" w:eastAsia="Verdana" w:hAnsi="Verdana" w:cs="Verdana"/>
                <w:b/>
                <w:color w:val="000000"/>
                <w:sz w:val="2"/>
                <w:lang w:val="en-GB"/>
              </w:rPr>
            </w:pPr>
            <w:r w:rsidRPr="00D715B5">
              <w:rPr>
                <w:rFonts w:ascii="Verdana" w:eastAsia="Verdana" w:hAnsi="Verdana" w:cs="Verdana"/>
                <w:b/>
                <w:color w:val="000000"/>
                <w:sz w:val="2"/>
                <w:lang w:val="en-GB"/>
              </w:rPr>
              <w:t xml:space="preserve"> </w:t>
            </w:r>
          </w:p>
        </w:tc>
        <w:tc>
          <w:tcPr>
            <w:tcW w:w="1398" w:type="dxa"/>
            <w:shd w:val="clear" w:color="auto" w:fill="auto"/>
            <w:tcMar>
              <w:top w:w="20" w:type="dxa"/>
              <w:left w:w="20" w:type="dxa"/>
              <w:bottom w:w="20" w:type="dxa"/>
              <w:right w:w="20" w:type="dxa"/>
            </w:tcMar>
            <w:vAlign w:val="bottom"/>
          </w:tcPr>
          <w:p w14:paraId="4FD6F242" w14:textId="77777777" w:rsidR="00F227D9" w:rsidRPr="00D715B5" w:rsidRDefault="00F227D9" w:rsidP="004453B1">
            <w:pPr>
              <w:pStyle w:val="T1TableStyle"/>
              <w:jc w:val="center"/>
              <w:rPr>
                <w:rFonts w:ascii="Verdana" w:eastAsia="Verdana" w:hAnsi="Verdana" w:cs="Verdana"/>
                <w:b/>
                <w:color w:val="000000"/>
                <w:sz w:val="16"/>
                <w:lang w:val="en-GB"/>
              </w:rPr>
            </w:pPr>
            <w:r w:rsidRPr="00D715B5">
              <w:rPr>
                <w:rFonts w:ascii="Verdana" w:eastAsia="Verdana" w:hAnsi="Verdana" w:cs="Verdana"/>
                <w:b/>
                <w:color w:val="000000"/>
                <w:sz w:val="16"/>
                <w:lang w:val="en-GB"/>
              </w:rPr>
              <w:t>31 March 202</w:t>
            </w:r>
            <w:r w:rsidR="004453B1" w:rsidRPr="00D715B5">
              <w:rPr>
                <w:rFonts w:ascii="Verdana" w:eastAsia="Verdana" w:hAnsi="Verdana" w:cs="Verdana"/>
                <w:b/>
                <w:color w:val="000000"/>
                <w:sz w:val="16"/>
                <w:lang w:val="en-GB"/>
              </w:rPr>
              <w:t>1</w:t>
            </w:r>
          </w:p>
        </w:tc>
      </w:tr>
      <w:tr w:rsidR="0053376B" w:rsidRPr="00D715B5" w14:paraId="5D341E34" w14:textId="77777777" w:rsidTr="0073748E">
        <w:trPr>
          <w:gridBefore w:val="1"/>
          <w:gridAfter w:val="1"/>
          <w:wBefore w:w="142" w:type="dxa"/>
          <w:wAfter w:w="1283" w:type="dxa"/>
          <w:trHeight w:val="112"/>
          <w:jc w:val="center"/>
        </w:trPr>
        <w:tc>
          <w:tcPr>
            <w:tcW w:w="1415" w:type="dxa"/>
            <w:tcBorders>
              <w:bottom w:val="single" w:sz="2" w:space="0" w:color="000000"/>
            </w:tcBorders>
            <w:shd w:val="clear" w:color="auto" w:fill="auto"/>
            <w:tcMar>
              <w:top w:w="20" w:type="dxa"/>
              <w:left w:w="20" w:type="dxa"/>
              <w:bottom w:w="20" w:type="dxa"/>
              <w:right w:w="20" w:type="dxa"/>
            </w:tcMar>
          </w:tcPr>
          <w:p w14:paraId="42F5F70F" w14:textId="77777777" w:rsidR="00F227D9" w:rsidRPr="00D715B5" w:rsidRDefault="00F227D9">
            <w:pPr>
              <w:pStyle w:val="T1TableStyle"/>
              <w:jc w:val="right"/>
              <w:rPr>
                <w:rFonts w:ascii="Verdana" w:eastAsia="Verdana" w:hAnsi="Verdana" w:cs="Verdana"/>
                <w:b/>
                <w:color w:val="000000"/>
                <w:sz w:val="16"/>
                <w:lang w:val="en-GB"/>
              </w:rPr>
            </w:pPr>
            <w:r w:rsidRPr="00D715B5">
              <w:rPr>
                <w:rFonts w:ascii="Verdana" w:eastAsia="Verdana" w:hAnsi="Verdana" w:cs="Verdana"/>
                <w:b/>
                <w:color w:val="000000"/>
                <w:sz w:val="16"/>
                <w:lang w:val="en-GB"/>
              </w:rPr>
              <w:t>£000</w:t>
            </w:r>
          </w:p>
        </w:tc>
        <w:tc>
          <w:tcPr>
            <w:tcW w:w="359" w:type="dxa"/>
            <w:tcBorders>
              <w:bottom w:val="single" w:sz="2" w:space="0" w:color="000000"/>
            </w:tcBorders>
            <w:shd w:val="clear" w:color="auto" w:fill="auto"/>
            <w:tcMar>
              <w:top w:w="20" w:type="dxa"/>
              <w:left w:w="20" w:type="dxa"/>
              <w:bottom w:w="20" w:type="dxa"/>
              <w:right w:w="20" w:type="dxa"/>
            </w:tcMar>
          </w:tcPr>
          <w:p w14:paraId="7113E512" w14:textId="77777777" w:rsidR="00F227D9" w:rsidRPr="00D715B5" w:rsidRDefault="00F227D9">
            <w:pPr>
              <w:pStyle w:val="T1TableStyle"/>
              <w:jc w:val="right"/>
              <w:rPr>
                <w:rFonts w:ascii="Verdana" w:eastAsia="Verdana" w:hAnsi="Verdana" w:cs="Verdana"/>
                <w:b/>
                <w:color w:val="000000"/>
                <w:sz w:val="2"/>
                <w:lang w:val="en-GB"/>
              </w:rPr>
            </w:pPr>
            <w:r w:rsidRPr="00D715B5">
              <w:rPr>
                <w:rFonts w:ascii="Verdana" w:eastAsia="Verdana" w:hAnsi="Verdana" w:cs="Verdana"/>
                <w:b/>
                <w:color w:val="000000"/>
                <w:sz w:val="2"/>
                <w:lang w:val="en-GB"/>
              </w:rPr>
              <w:t xml:space="preserve"> </w:t>
            </w:r>
          </w:p>
        </w:tc>
        <w:tc>
          <w:tcPr>
            <w:tcW w:w="6467" w:type="dxa"/>
            <w:tcBorders>
              <w:bottom w:val="single" w:sz="2" w:space="0" w:color="000000"/>
            </w:tcBorders>
            <w:shd w:val="clear" w:color="auto" w:fill="auto"/>
            <w:tcMar>
              <w:top w:w="20" w:type="dxa"/>
              <w:left w:w="20" w:type="dxa"/>
              <w:bottom w:w="20" w:type="dxa"/>
              <w:right w:w="20" w:type="dxa"/>
            </w:tcMar>
          </w:tcPr>
          <w:p w14:paraId="2347CF96" w14:textId="77777777" w:rsidR="00F227D9" w:rsidRPr="00D715B5" w:rsidRDefault="00F227D9">
            <w:pPr>
              <w:pStyle w:val="T1TableStyle"/>
              <w:jc w:val="right"/>
              <w:rPr>
                <w:rFonts w:ascii="Verdana" w:eastAsia="Verdana" w:hAnsi="Verdana" w:cs="Verdana"/>
                <w:b/>
                <w:color w:val="000000"/>
                <w:sz w:val="2"/>
                <w:lang w:val="en-GB"/>
              </w:rPr>
            </w:pPr>
            <w:r w:rsidRPr="00D715B5">
              <w:rPr>
                <w:rFonts w:ascii="Verdana" w:eastAsia="Verdana" w:hAnsi="Verdana" w:cs="Verdana"/>
                <w:b/>
                <w:color w:val="000000"/>
                <w:sz w:val="2"/>
                <w:lang w:val="en-GB"/>
              </w:rPr>
              <w:t xml:space="preserve"> </w:t>
            </w:r>
          </w:p>
        </w:tc>
        <w:tc>
          <w:tcPr>
            <w:tcW w:w="1398" w:type="dxa"/>
            <w:tcBorders>
              <w:bottom w:val="single" w:sz="2" w:space="0" w:color="000000"/>
            </w:tcBorders>
            <w:shd w:val="clear" w:color="auto" w:fill="auto"/>
            <w:tcMar>
              <w:top w:w="20" w:type="dxa"/>
              <w:left w:w="20" w:type="dxa"/>
              <w:bottom w:w="20" w:type="dxa"/>
              <w:right w:w="20" w:type="dxa"/>
            </w:tcMar>
          </w:tcPr>
          <w:p w14:paraId="14F384A3" w14:textId="77777777" w:rsidR="00F227D9" w:rsidRPr="00D715B5" w:rsidRDefault="00F227D9">
            <w:pPr>
              <w:pStyle w:val="T1TableStyle"/>
              <w:jc w:val="right"/>
              <w:rPr>
                <w:rFonts w:ascii="Verdana" w:eastAsia="Verdana" w:hAnsi="Verdana" w:cs="Verdana"/>
                <w:b/>
                <w:color w:val="000000"/>
                <w:sz w:val="16"/>
                <w:lang w:val="en-GB"/>
              </w:rPr>
            </w:pPr>
            <w:r w:rsidRPr="00D715B5">
              <w:rPr>
                <w:rFonts w:ascii="Verdana" w:eastAsia="Verdana" w:hAnsi="Verdana" w:cs="Verdana"/>
                <w:b/>
                <w:color w:val="000000"/>
                <w:sz w:val="16"/>
                <w:lang w:val="en-GB"/>
              </w:rPr>
              <w:t>£000</w:t>
            </w:r>
          </w:p>
        </w:tc>
      </w:tr>
      <w:tr w:rsidR="00346AD0" w:rsidRPr="00D715B5" w14:paraId="51CE49FC" w14:textId="77777777" w:rsidTr="0073748E">
        <w:trPr>
          <w:gridBefore w:val="1"/>
          <w:gridAfter w:val="1"/>
          <w:wBefore w:w="142" w:type="dxa"/>
          <w:wAfter w:w="1283" w:type="dxa"/>
          <w:trHeight w:val="112"/>
          <w:jc w:val="center"/>
        </w:trPr>
        <w:tc>
          <w:tcPr>
            <w:tcW w:w="1415" w:type="dxa"/>
            <w:tcBorders>
              <w:top w:val="single" w:sz="2" w:space="0" w:color="000000"/>
              <w:bottom w:val="single" w:sz="4" w:space="0" w:color="auto"/>
            </w:tcBorders>
            <w:shd w:val="clear" w:color="auto" w:fill="auto"/>
            <w:tcMar>
              <w:top w:w="20" w:type="dxa"/>
              <w:left w:w="20" w:type="dxa"/>
              <w:bottom w:w="20" w:type="dxa"/>
              <w:right w:w="20" w:type="dxa"/>
            </w:tcMar>
          </w:tcPr>
          <w:p w14:paraId="3377AB8D" w14:textId="77777777" w:rsidR="00346AD0" w:rsidRPr="0073748E" w:rsidRDefault="00346AD0" w:rsidP="00346AD0">
            <w:pPr>
              <w:pStyle w:val="T1TableStyle"/>
              <w:jc w:val="right"/>
              <w:rPr>
                <w:rFonts w:ascii="Verdana" w:eastAsia="Verdana" w:hAnsi="Verdana" w:cs="Verdana"/>
                <w:b/>
                <w:color w:val="000000"/>
                <w:sz w:val="16"/>
                <w:lang w:val="en-GB"/>
              </w:rPr>
            </w:pPr>
            <w:r w:rsidRPr="0073748E">
              <w:rPr>
                <w:rFonts w:ascii="Verdana" w:eastAsia="Verdana" w:hAnsi="Verdana" w:cs="Verdana"/>
                <w:b/>
                <w:color w:val="000000"/>
                <w:sz w:val="16"/>
                <w:lang w:val="en-GB"/>
              </w:rPr>
              <w:t>908</w:t>
            </w:r>
          </w:p>
        </w:tc>
        <w:tc>
          <w:tcPr>
            <w:tcW w:w="359" w:type="dxa"/>
            <w:tcBorders>
              <w:top w:val="single" w:sz="2" w:space="0" w:color="000000"/>
              <w:bottom w:val="single" w:sz="4" w:space="0" w:color="auto"/>
            </w:tcBorders>
            <w:shd w:val="clear" w:color="auto" w:fill="auto"/>
            <w:tcMar>
              <w:top w:w="20" w:type="dxa"/>
              <w:left w:w="20" w:type="dxa"/>
              <w:bottom w:w="20" w:type="dxa"/>
              <w:right w:w="20" w:type="dxa"/>
            </w:tcMar>
          </w:tcPr>
          <w:p w14:paraId="10FD00F7" w14:textId="77777777" w:rsidR="00346AD0" w:rsidRPr="0073748E" w:rsidRDefault="00346AD0" w:rsidP="00346AD0">
            <w:pPr>
              <w:pStyle w:val="T1TableStyle"/>
              <w:jc w:val="center"/>
              <w:rPr>
                <w:rFonts w:ascii="Verdana" w:eastAsia="Verdana" w:hAnsi="Verdana" w:cs="Verdana"/>
                <w:b/>
                <w:color w:val="000000"/>
                <w:sz w:val="2"/>
                <w:lang w:val="en-GB"/>
              </w:rPr>
            </w:pPr>
            <w:r w:rsidRPr="0073748E">
              <w:rPr>
                <w:rFonts w:ascii="Verdana" w:eastAsia="Verdana" w:hAnsi="Verdana" w:cs="Verdana"/>
                <w:b/>
                <w:color w:val="000000"/>
                <w:sz w:val="2"/>
                <w:lang w:val="en-GB"/>
              </w:rPr>
              <w:t xml:space="preserve"> </w:t>
            </w:r>
          </w:p>
        </w:tc>
        <w:tc>
          <w:tcPr>
            <w:tcW w:w="6467" w:type="dxa"/>
            <w:tcBorders>
              <w:top w:val="single" w:sz="2" w:space="0" w:color="000000"/>
              <w:bottom w:val="single" w:sz="4" w:space="0" w:color="auto"/>
            </w:tcBorders>
            <w:shd w:val="clear" w:color="auto" w:fill="auto"/>
            <w:tcMar>
              <w:top w:w="20" w:type="dxa"/>
              <w:left w:w="20" w:type="dxa"/>
              <w:bottom w:w="20" w:type="dxa"/>
              <w:right w:w="20" w:type="dxa"/>
            </w:tcMar>
          </w:tcPr>
          <w:p w14:paraId="551AB4CF" w14:textId="77777777" w:rsidR="00346AD0" w:rsidRPr="00C53179" w:rsidRDefault="00346AD0" w:rsidP="00346AD0">
            <w:pPr>
              <w:pStyle w:val="T1TableStyle"/>
              <w:rPr>
                <w:rFonts w:ascii="Verdana" w:eastAsia="Verdana" w:hAnsi="Verdana" w:cs="Verdana"/>
                <w:b/>
                <w:color w:val="000000"/>
                <w:sz w:val="16"/>
                <w:lang w:val="en-GB"/>
              </w:rPr>
            </w:pPr>
            <w:r w:rsidRPr="00C53179">
              <w:rPr>
                <w:rFonts w:ascii="Verdana" w:eastAsia="Verdana" w:hAnsi="Verdana" w:cs="Verdana"/>
                <w:b/>
                <w:color w:val="000000"/>
                <w:sz w:val="16"/>
                <w:lang w:val="en-GB"/>
              </w:rPr>
              <w:t xml:space="preserve">Balance 1 April </w:t>
            </w:r>
          </w:p>
        </w:tc>
        <w:tc>
          <w:tcPr>
            <w:tcW w:w="1398" w:type="dxa"/>
            <w:tcBorders>
              <w:top w:val="single" w:sz="2" w:space="0" w:color="000000"/>
              <w:bottom w:val="single" w:sz="4" w:space="0" w:color="auto"/>
            </w:tcBorders>
            <w:shd w:val="clear" w:color="auto" w:fill="auto"/>
            <w:tcMar>
              <w:top w:w="20" w:type="dxa"/>
              <w:left w:w="20" w:type="dxa"/>
              <w:bottom w:w="20" w:type="dxa"/>
              <w:right w:w="20" w:type="dxa"/>
            </w:tcMar>
          </w:tcPr>
          <w:p w14:paraId="7C974210" w14:textId="77777777" w:rsidR="00346AD0" w:rsidRPr="0073748E" w:rsidRDefault="00346AD0" w:rsidP="00346AD0">
            <w:pPr>
              <w:pStyle w:val="T1TableStyle"/>
              <w:jc w:val="right"/>
              <w:rPr>
                <w:rFonts w:ascii="Verdana" w:eastAsia="Verdana" w:hAnsi="Verdana" w:cs="Verdana"/>
                <w:b/>
                <w:color w:val="000000"/>
                <w:sz w:val="16"/>
                <w:lang w:val="en-GB"/>
              </w:rPr>
            </w:pPr>
            <w:r w:rsidRPr="0073748E">
              <w:rPr>
                <w:rFonts w:ascii="Verdana" w:eastAsia="Verdana" w:hAnsi="Verdana" w:cs="Verdana"/>
                <w:b/>
                <w:color w:val="000000"/>
                <w:sz w:val="16"/>
                <w:lang w:val="en-GB"/>
              </w:rPr>
              <w:t>1,053</w:t>
            </w:r>
          </w:p>
        </w:tc>
      </w:tr>
      <w:tr w:rsidR="00346AD0" w:rsidRPr="00D715B5" w14:paraId="4FD8A974" w14:textId="77777777" w:rsidTr="0073748E">
        <w:trPr>
          <w:gridBefore w:val="1"/>
          <w:gridAfter w:val="1"/>
          <w:wBefore w:w="142" w:type="dxa"/>
          <w:wAfter w:w="1283" w:type="dxa"/>
          <w:trHeight w:val="237"/>
          <w:jc w:val="center"/>
        </w:trPr>
        <w:tc>
          <w:tcPr>
            <w:tcW w:w="1415" w:type="dxa"/>
            <w:tcBorders>
              <w:top w:val="single" w:sz="4" w:space="0" w:color="auto"/>
            </w:tcBorders>
            <w:shd w:val="clear" w:color="auto" w:fill="auto"/>
            <w:tcMar>
              <w:top w:w="20" w:type="dxa"/>
              <w:left w:w="20" w:type="dxa"/>
              <w:bottom w:w="20" w:type="dxa"/>
              <w:right w:w="20" w:type="dxa"/>
            </w:tcMar>
          </w:tcPr>
          <w:p w14:paraId="71F93138" w14:textId="77777777" w:rsidR="00346AD0" w:rsidRPr="00D715B5" w:rsidRDefault="00346AD0" w:rsidP="00346AD0">
            <w:pPr>
              <w:pStyle w:val="T1TableStyle"/>
              <w:jc w:val="right"/>
              <w:rPr>
                <w:rFonts w:ascii="Verdana" w:eastAsia="Verdana" w:hAnsi="Verdana" w:cs="Verdana"/>
                <w:color w:val="000000"/>
                <w:sz w:val="16"/>
                <w:lang w:val="en-GB"/>
              </w:rPr>
            </w:pPr>
            <w:r w:rsidRPr="00D715B5">
              <w:rPr>
                <w:rFonts w:ascii="Verdana" w:eastAsia="Verdana" w:hAnsi="Verdana" w:cs="Verdana"/>
                <w:color w:val="000000"/>
                <w:sz w:val="16"/>
                <w:lang w:val="en-GB"/>
              </w:rPr>
              <w:t>(908)</w:t>
            </w:r>
          </w:p>
        </w:tc>
        <w:tc>
          <w:tcPr>
            <w:tcW w:w="359" w:type="dxa"/>
            <w:tcBorders>
              <w:top w:val="single" w:sz="4" w:space="0" w:color="auto"/>
            </w:tcBorders>
            <w:shd w:val="clear" w:color="auto" w:fill="auto"/>
            <w:tcMar>
              <w:top w:w="20" w:type="dxa"/>
              <w:left w:w="20" w:type="dxa"/>
              <w:bottom w:w="20" w:type="dxa"/>
              <w:right w:w="20" w:type="dxa"/>
            </w:tcMar>
          </w:tcPr>
          <w:p w14:paraId="7FE22807" w14:textId="77777777" w:rsidR="00346AD0" w:rsidRPr="00D715B5" w:rsidRDefault="00346AD0" w:rsidP="00346AD0">
            <w:pPr>
              <w:pStyle w:val="T1TableStyle"/>
              <w:jc w:val="center"/>
              <w:rPr>
                <w:rFonts w:ascii="Verdana" w:eastAsia="Verdana" w:hAnsi="Verdana" w:cs="Verdana"/>
                <w:color w:val="000000"/>
                <w:sz w:val="2"/>
                <w:lang w:val="en-GB"/>
              </w:rPr>
            </w:pPr>
            <w:r w:rsidRPr="00D715B5">
              <w:rPr>
                <w:rFonts w:ascii="Verdana" w:eastAsia="Verdana" w:hAnsi="Verdana" w:cs="Verdana"/>
                <w:color w:val="000000"/>
                <w:sz w:val="2"/>
                <w:lang w:val="en-GB"/>
              </w:rPr>
              <w:t xml:space="preserve"> </w:t>
            </w:r>
          </w:p>
        </w:tc>
        <w:tc>
          <w:tcPr>
            <w:tcW w:w="6467" w:type="dxa"/>
            <w:tcBorders>
              <w:top w:val="single" w:sz="4" w:space="0" w:color="auto"/>
            </w:tcBorders>
            <w:shd w:val="clear" w:color="auto" w:fill="auto"/>
            <w:tcMar>
              <w:top w:w="20" w:type="dxa"/>
              <w:left w:w="20" w:type="dxa"/>
              <w:bottom w:w="20" w:type="dxa"/>
              <w:right w:w="20" w:type="dxa"/>
            </w:tcMar>
          </w:tcPr>
          <w:p w14:paraId="222689F5" w14:textId="77777777" w:rsidR="00346AD0" w:rsidRPr="00D715B5" w:rsidRDefault="00346AD0" w:rsidP="00346AD0">
            <w:pPr>
              <w:pStyle w:val="T1TableStyle"/>
              <w:rPr>
                <w:rFonts w:ascii="Verdana" w:eastAsia="Verdana" w:hAnsi="Verdana" w:cs="Verdana"/>
                <w:color w:val="000000"/>
                <w:sz w:val="16"/>
                <w:lang w:val="en-GB"/>
              </w:rPr>
            </w:pPr>
            <w:r w:rsidRPr="00D715B5">
              <w:rPr>
                <w:rFonts w:ascii="Verdana" w:eastAsia="Verdana" w:hAnsi="Verdana" w:cs="Verdana"/>
                <w:color w:val="000000"/>
                <w:sz w:val="16"/>
                <w:lang w:val="en-GB"/>
              </w:rPr>
              <w:t>Settlement or cancellation of accrual made at the end of the preceding year</w:t>
            </w:r>
          </w:p>
        </w:tc>
        <w:tc>
          <w:tcPr>
            <w:tcW w:w="1398" w:type="dxa"/>
            <w:tcBorders>
              <w:top w:val="single" w:sz="4" w:space="0" w:color="auto"/>
            </w:tcBorders>
            <w:shd w:val="clear" w:color="auto" w:fill="auto"/>
            <w:tcMar>
              <w:top w:w="20" w:type="dxa"/>
              <w:left w:w="20" w:type="dxa"/>
              <w:bottom w:w="20" w:type="dxa"/>
              <w:right w:w="20" w:type="dxa"/>
            </w:tcMar>
          </w:tcPr>
          <w:p w14:paraId="3B8747C2" w14:textId="77777777" w:rsidR="00346AD0" w:rsidRPr="00D715B5" w:rsidRDefault="00D715B5" w:rsidP="00346AD0">
            <w:pPr>
              <w:pStyle w:val="T1TableStyle"/>
              <w:jc w:val="right"/>
              <w:rPr>
                <w:rFonts w:ascii="Verdana" w:eastAsia="Verdana" w:hAnsi="Verdana" w:cs="Verdana"/>
                <w:color w:val="000000"/>
                <w:sz w:val="16"/>
                <w:lang w:val="en-GB"/>
              </w:rPr>
            </w:pPr>
            <w:r w:rsidRPr="00D715B5">
              <w:rPr>
                <w:rFonts w:ascii="Verdana" w:eastAsia="Verdana" w:hAnsi="Verdana" w:cs="Verdana"/>
                <w:color w:val="000000"/>
                <w:sz w:val="16"/>
                <w:lang w:val="en-GB"/>
              </w:rPr>
              <w:t>(1,053)</w:t>
            </w:r>
          </w:p>
        </w:tc>
      </w:tr>
      <w:tr w:rsidR="00346AD0" w:rsidRPr="00D715B5" w14:paraId="47C4CD4D" w14:textId="77777777" w:rsidTr="00514B3B">
        <w:trPr>
          <w:gridBefore w:val="1"/>
          <w:gridAfter w:val="1"/>
          <w:wBefore w:w="142" w:type="dxa"/>
          <w:wAfter w:w="1283" w:type="dxa"/>
          <w:trHeight w:val="158"/>
          <w:jc w:val="center"/>
        </w:trPr>
        <w:tc>
          <w:tcPr>
            <w:tcW w:w="1415" w:type="dxa"/>
            <w:shd w:val="clear" w:color="auto" w:fill="auto"/>
            <w:tcMar>
              <w:top w:w="20" w:type="dxa"/>
              <w:left w:w="20" w:type="dxa"/>
              <w:bottom w:w="20" w:type="dxa"/>
              <w:right w:w="20" w:type="dxa"/>
            </w:tcMar>
          </w:tcPr>
          <w:p w14:paraId="45E9A806" w14:textId="77777777" w:rsidR="00346AD0" w:rsidRPr="00D715B5" w:rsidRDefault="00346AD0" w:rsidP="00346AD0">
            <w:pPr>
              <w:pStyle w:val="T1TableStyle"/>
              <w:jc w:val="right"/>
              <w:rPr>
                <w:rFonts w:ascii="Verdana" w:eastAsia="Verdana" w:hAnsi="Verdana" w:cs="Verdana"/>
                <w:color w:val="000000"/>
                <w:sz w:val="16"/>
                <w:lang w:val="en-GB"/>
              </w:rPr>
            </w:pPr>
            <w:r w:rsidRPr="00D715B5">
              <w:rPr>
                <w:rFonts w:ascii="Verdana" w:eastAsia="Verdana" w:hAnsi="Verdana" w:cs="Verdana"/>
                <w:color w:val="000000"/>
                <w:sz w:val="16"/>
                <w:lang w:val="en-GB"/>
              </w:rPr>
              <w:t>1,053</w:t>
            </w:r>
          </w:p>
        </w:tc>
        <w:tc>
          <w:tcPr>
            <w:tcW w:w="359" w:type="dxa"/>
            <w:shd w:val="clear" w:color="auto" w:fill="auto"/>
            <w:tcMar>
              <w:top w:w="20" w:type="dxa"/>
              <w:left w:w="20" w:type="dxa"/>
              <w:bottom w:w="20" w:type="dxa"/>
              <w:right w:w="20" w:type="dxa"/>
            </w:tcMar>
          </w:tcPr>
          <w:p w14:paraId="2FDFC2B3" w14:textId="77777777" w:rsidR="00346AD0" w:rsidRPr="00D715B5" w:rsidRDefault="00346AD0" w:rsidP="00346AD0">
            <w:pPr>
              <w:pStyle w:val="T1TableStyle"/>
              <w:jc w:val="center"/>
              <w:rPr>
                <w:rFonts w:ascii="Verdana" w:eastAsia="Verdana" w:hAnsi="Verdana" w:cs="Verdana"/>
                <w:color w:val="000000"/>
                <w:sz w:val="2"/>
                <w:lang w:val="en-GB"/>
              </w:rPr>
            </w:pPr>
            <w:r w:rsidRPr="00D715B5">
              <w:rPr>
                <w:rFonts w:ascii="Verdana" w:eastAsia="Verdana" w:hAnsi="Verdana" w:cs="Verdana"/>
                <w:color w:val="000000"/>
                <w:sz w:val="2"/>
                <w:lang w:val="en-GB"/>
              </w:rPr>
              <w:t xml:space="preserve"> </w:t>
            </w:r>
          </w:p>
        </w:tc>
        <w:tc>
          <w:tcPr>
            <w:tcW w:w="6467" w:type="dxa"/>
            <w:shd w:val="clear" w:color="auto" w:fill="auto"/>
            <w:tcMar>
              <w:top w:w="20" w:type="dxa"/>
              <w:left w:w="20" w:type="dxa"/>
              <w:bottom w:w="20" w:type="dxa"/>
              <w:right w:w="20" w:type="dxa"/>
            </w:tcMar>
          </w:tcPr>
          <w:p w14:paraId="363D22AC" w14:textId="77777777" w:rsidR="00346AD0" w:rsidRPr="00D715B5" w:rsidRDefault="00346AD0" w:rsidP="00346AD0">
            <w:pPr>
              <w:pStyle w:val="T1TableStyle"/>
              <w:rPr>
                <w:rFonts w:ascii="Verdana" w:eastAsia="Verdana" w:hAnsi="Verdana" w:cs="Verdana"/>
                <w:color w:val="000000"/>
                <w:sz w:val="16"/>
                <w:lang w:val="en-GB"/>
              </w:rPr>
            </w:pPr>
            <w:r w:rsidRPr="00D715B5">
              <w:rPr>
                <w:rFonts w:ascii="Verdana" w:eastAsia="Verdana" w:hAnsi="Verdana" w:cs="Verdana"/>
                <w:color w:val="000000"/>
                <w:sz w:val="16"/>
                <w:lang w:val="en-GB"/>
              </w:rPr>
              <w:t>Amounts accrued at the end of the current year</w:t>
            </w:r>
          </w:p>
        </w:tc>
        <w:tc>
          <w:tcPr>
            <w:tcW w:w="1398" w:type="dxa"/>
            <w:shd w:val="clear" w:color="auto" w:fill="auto"/>
            <w:tcMar>
              <w:top w:w="20" w:type="dxa"/>
              <w:left w:w="20" w:type="dxa"/>
              <w:bottom w:w="20" w:type="dxa"/>
              <w:right w:w="20" w:type="dxa"/>
            </w:tcMar>
          </w:tcPr>
          <w:p w14:paraId="6267EB90" w14:textId="77777777" w:rsidR="00346AD0" w:rsidRPr="00D715B5" w:rsidRDefault="00D715B5" w:rsidP="00346AD0">
            <w:pPr>
              <w:pStyle w:val="T1TableStyle"/>
              <w:jc w:val="right"/>
              <w:rPr>
                <w:rFonts w:ascii="Verdana" w:eastAsia="Verdana" w:hAnsi="Verdana" w:cs="Verdana"/>
                <w:color w:val="000000"/>
                <w:sz w:val="16"/>
                <w:lang w:val="en-GB"/>
              </w:rPr>
            </w:pPr>
            <w:r w:rsidRPr="00D715B5">
              <w:rPr>
                <w:rFonts w:ascii="Verdana" w:eastAsia="Verdana" w:hAnsi="Verdana" w:cs="Verdana"/>
                <w:color w:val="000000"/>
                <w:sz w:val="16"/>
                <w:lang w:val="en-GB"/>
              </w:rPr>
              <w:t>1,951</w:t>
            </w:r>
          </w:p>
        </w:tc>
      </w:tr>
      <w:tr w:rsidR="00346AD0" w:rsidRPr="00D715B5" w14:paraId="342A213C" w14:textId="77777777" w:rsidTr="00514B3B">
        <w:trPr>
          <w:gridBefore w:val="1"/>
          <w:gridAfter w:val="1"/>
          <w:wBefore w:w="142" w:type="dxa"/>
          <w:wAfter w:w="1283" w:type="dxa"/>
          <w:trHeight w:val="635"/>
          <w:jc w:val="center"/>
        </w:trPr>
        <w:tc>
          <w:tcPr>
            <w:tcW w:w="1415" w:type="dxa"/>
            <w:tcBorders>
              <w:top w:val="single" w:sz="2" w:space="0" w:color="000000"/>
              <w:bottom w:val="single" w:sz="2" w:space="0" w:color="000000"/>
            </w:tcBorders>
            <w:shd w:val="clear" w:color="auto" w:fill="auto"/>
            <w:tcMar>
              <w:top w:w="20" w:type="dxa"/>
              <w:left w:w="20" w:type="dxa"/>
              <w:bottom w:w="20" w:type="dxa"/>
              <w:right w:w="20" w:type="dxa"/>
            </w:tcMar>
          </w:tcPr>
          <w:p w14:paraId="6404E294" w14:textId="77777777" w:rsidR="00346AD0" w:rsidRPr="00D715B5" w:rsidRDefault="00346AD0" w:rsidP="00346AD0">
            <w:pPr>
              <w:pStyle w:val="T1TableStyle"/>
              <w:jc w:val="right"/>
              <w:rPr>
                <w:rFonts w:ascii="Verdana" w:eastAsia="Verdana" w:hAnsi="Verdana" w:cs="Verdana"/>
                <w:color w:val="000000"/>
                <w:sz w:val="16"/>
                <w:lang w:val="en-GB"/>
              </w:rPr>
            </w:pPr>
            <w:r w:rsidRPr="00D715B5">
              <w:rPr>
                <w:rFonts w:ascii="Verdana" w:eastAsia="Verdana" w:hAnsi="Verdana" w:cs="Verdana"/>
                <w:color w:val="000000"/>
                <w:sz w:val="16"/>
                <w:lang w:val="en-GB"/>
              </w:rPr>
              <w:t>145</w:t>
            </w:r>
          </w:p>
          <w:p w14:paraId="2A753F47" w14:textId="77777777" w:rsidR="00346AD0" w:rsidRPr="00D715B5" w:rsidRDefault="00346AD0" w:rsidP="00346AD0">
            <w:pPr>
              <w:pStyle w:val="T1TableStyle"/>
              <w:jc w:val="center"/>
              <w:rPr>
                <w:rFonts w:ascii="Verdana" w:eastAsia="Verdana" w:hAnsi="Verdana" w:cs="Verdana"/>
                <w:color w:val="000000"/>
                <w:sz w:val="16"/>
                <w:lang w:val="en-GB"/>
              </w:rPr>
            </w:pPr>
          </w:p>
        </w:tc>
        <w:tc>
          <w:tcPr>
            <w:tcW w:w="359" w:type="dxa"/>
            <w:tcBorders>
              <w:top w:val="single" w:sz="2" w:space="0" w:color="000000"/>
              <w:bottom w:val="single" w:sz="2" w:space="0" w:color="000000"/>
            </w:tcBorders>
            <w:shd w:val="clear" w:color="auto" w:fill="auto"/>
            <w:tcMar>
              <w:top w:w="20" w:type="dxa"/>
              <w:left w:w="20" w:type="dxa"/>
              <w:bottom w:w="20" w:type="dxa"/>
              <w:right w:w="20" w:type="dxa"/>
            </w:tcMar>
          </w:tcPr>
          <w:p w14:paraId="6F0955C4" w14:textId="77777777" w:rsidR="00346AD0" w:rsidRPr="00D715B5" w:rsidRDefault="00346AD0" w:rsidP="00346AD0">
            <w:pPr>
              <w:pStyle w:val="T1TableStyle"/>
              <w:jc w:val="center"/>
              <w:rPr>
                <w:rFonts w:ascii="Verdana" w:eastAsia="Verdana" w:hAnsi="Verdana" w:cs="Verdana"/>
                <w:color w:val="000000"/>
                <w:sz w:val="2"/>
                <w:lang w:val="en-GB"/>
              </w:rPr>
            </w:pPr>
            <w:r w:rsidRPr="00D715B5">
              <w:rPr>
                <w:rFonts w:ascii="Verdana" w:eastAsia="Verdana" w:hAnsi="Verdana" w:cs="Verdana"/>
                <w:color w:val="000000"/>
                <w:sz w:val="2"/>
                <w:lang w:val="en-GB"/>
              </w:rPr>
              <w:t xml:space="preserve"> </w:t>
            </w:r>
          </w:p>
        </w:tc>
        <w:tc>
          <w:tcPr>
            <w:tcW w:w="6467" w:type="dxa"/>
            <w:tcBorders>
              <w:top w:val="single" w:sz="2" w:space="0" w:color="000000"/>
              <w:bottom w:val="single" w:sz="2" w:space="0" w:color="000000"/>
            </w:tcBorders>
            <w:shd w:val="clear" w:color="auto" w:fill="auto"/>
            <w:tcMar>
              <w:top w:w="20" w:type="dxa"/>
              <w:left w:w="20" w:type="dxa"/>
              <w:bottom w:w="20" w:type="dxa"/>
              <w:right w:w="20" w:type="dxa"/>
            </w:tcMar>
          </w:tcPr>
          <w:p w14:paraId="542C2B46" w14:textId="77777777" w:rsidR="00346AD0" w:rsidRPr="00D715B5" w:rsidRDefault="00346AD0" w:rsidP="00346AD0">
            <w:pPr>
              <w:pStyle w:val="T1TableStyle"/>
              <w:rPr>
                <w:rFonts w:ascii="Verdana" w:eastAsia="Verdana" w:hAnsi="Verdana" w:cs="Verdana"/>
                <w:color w:val="000000"/>
                <w:sz w:val="16"/>
                <w:lang w:val="en-GB"/>
              </w:rPr>
            </w:pPr>
            <w:r w:rsidRPr="00D715B5">
              <w:rPr>
                <w:rFonts w:ascii="Verdana" w:eastAsia="Verdana" w:hAnsi="Verdana" w:cs="Verdana"/>
                <w:color w:val="000000"/>
                <w:sz w:val="16"/>
                <w:lang w:val="en-GB"/>
              </w:rPr>
              <w:t>Amount by which officer remuneration charged to the Comprehensive Income and Expenditure Statement on an accruals basis is different from remuneration chargeable in year in accordance with statutory requirements</w:t>
            </w:r>
          </w:p>
        </w:tc>
        <w:tc>
          <w:tcPr>
            <w:tcW w:w="1398" w:type="dxa"/>
            <w:tcBorders>
              <w:top w:val="single" w:sz="2" w:space="0" w:color="000000"/>
              <w:bottom w:val="single" w:sz="2" w:space="0" w:color="000000"/>
            </w:tcBorders>
            <w:shd w:val="clear" w:color="auto" w:fill="auto"/>
            <w:tcMar>
              <w:top w:w="20" w:type="dxa"/>
              <w:left w:w="20" w:type="dxa"/>
              <w:bottom w:w="20" w:type="dxa"/>
              <w:right w:w="20" w:type="dxa"/>
            </w:tcMar>
          </w:tcPr>
          <w:p w14:paraId="3D850C00" w14:textId="77777777" w:rsidR="00346AD0" w:rsidRPr="00D715B5" w:rsidRDefault="00D715B5" w:rsidP="00D715B5">
            <w:pPr>
              <w:pStyle w:val="T1TableStyle"/>
              <w:jc w:val="right"/>
              <w:rPr>
                <w:rFonts w:ascii="Verdana" w:eastAsia="Verdana" w:hAnsi="Verdana" w:cs="Verdana"/>
                <w:color w:val="000000"/>
                <w:sz w:val="16"/>
                <w:lang w:val="en-GB"/>
              </w:rPr>
            </w:pPr>
            <w:r w:rsidRPr="00D715B5">
              <w:rPr>
                <w:rFonts w:ascii="Verdana" w:eastAsia="Verdana" w:hAnsi="Verdana" w:cs="Verdana"/>
                <w:color w:val="000000"/>
                <w:sz w:val="16"/>
                <w:lang w:val="en-GB"/>
              </w:rPr>
              <w:t>898</w:t>
            </w:r>
          </w:p>
        </w:tc>
      </w:tr>
      <w:tr w:rsidR="00346AD0" w:rsidRPr="00D715B5" w14:paraId="1141D1C8" w14:textId="77777777" w:rsidTr="00514B3B">
        <w:trPr>
          <w:gridBefore w:val="1"/>
          <w:gridAfter w:val="1"/>
          <w:wBefore w:w="142" w:type="dxa"/>
          <w:wAfter w:w="1283" w:type="dxa"/>
          <w:trHeight w:val="118"/>
          <w:jc w:val="center"/>
        </w:trPr>
        <w:tc>
          <w:tcPr>
            <w:tcW w:w="1415" w:type="dxa"/>
            <w:tcBorders>
              <w:top w:val="single" w:sz="2" w:space="0" w:color="000000"/>
              <w:bottom w:val="single" w:sz="12" w:space="0" w:color="000000"/>
            </w:tcBorders>
            <w:shd w:val="clear" w:color="auto" w:fill="auto"/>
            <w:tcMar>
              <w:top w:w="20" w:type="dxa"/>
              <w:left w:w="20" w:type="dxa"/>
              <w:bottom w:w="20" w:type="dxa"/>
              <w:right w:w="20" w:type="dxa"/>
            </w:tcMar>
          </w:tcPr>
          <w:p w14:paraId="4F49CE57" w14:textId="77777777" w:rsidR="00346AD0" w:rsidRPr="00D715B5" w:rsidRDefault="00346AD0" w:rsidP="00346AD0">
            <w:pPr>
              <w:pStyle w:val="T1TableStyle"/>
              <w:jc w:val="right"/>
              <w:rPr>
                <w:rFonts w:ascii="Verdana" w:eastAsia="Verdana" w:hAnsi="Verdana" w:cs="Verdana"/>
                <w:b/>
                <w:color w:val="000000"/>
                <w:sz w:val="16"/>
                <w:lang w:val="en-GB"/>
              </w:rPr>
            </w:pPr>
            <w:r w:rsidRPr="00D715B5">
              <w:rPr>
                <w:rFonts w:ascii="Verdana" w:eastAsia="Verdana" w:hAnsi="Verdana" w:cs="Verdana"/>
                <w:b/>
                <w:color w:val="000000"/>
                <w:sz w:val="16"/>
                <w:lang w:val="en-GB"/>
              </w:rPr>
              <w:t>1,053</w:t>
            </w:r>
          </w:p>
        </w:tc>
        <w:tc>
          <w:tcPr>
            <w:tcW w:w="359" w:type="dxa"/>
            <w:tcBorders>
              <w:top w:val="single" w:sz="2" w:space="0" w:color="000000"/>
              <w:bottom w:val="single" w:sz="12" w:space="0" w:color="000000"/>
            </w:tcBorders>
            <w:shd w:val="clear" w:color="auto" w:fill="auto"/>
            <w:tcMar>
              <w:top w:w="20" w:type="dxa"/>
              <w:left w:w="20" w:type="dxa"/>
              <w:bottom w:w="20" w:type="dxa"/>
              <w:right w:w="20" w:type="dxa"/>
            </w:tcMar>
          </w:tcPr>
          <w:p w14:paraId="5D7DCDC0" w14:textId="77777777" w:rsidR="00346AD0" w:rsidRPr="00D715B5" w:rsidRDefault="00346AD0" w:rsidP="00346AD0">
            <w:pPr>
              <w:pStyle w:val="T1TableStyle"/>
              <w:jc w:val="center"/>
              <w:rPr>
                <w:rFonts w:ascii="Verdana" w:eastAsia="Verdana" w:hAnsi="Verdana" w:cs="Verdana"/>
                <w:b/>
                <w:color w:val="000000"/>
                <w:sz w:val="2"/>
                <w:lang w:val="en-GB"/>
              </w:rPr>
            </w:pPr>
            <w:r w:rsidRPr="00D715B5">
              <w:rPr>
                <w:rFonts w:ascii="Verdana" w:eastAsia="Verdana" w:hAnsi="Verdana" w:cs="Verdana"/>
                <w:b/>
                <w:color w:val="000000"/>
                <w:sz w:val="2"/>
                <w:lang w:val="en-GB"/>
              </w:rPr>
              <w:t xml:space="preserve"> </w:t>
            </w:r>
          </w:p>
        </w:tc>
        <w:tc>
          <w:tcPr>
            <w:tcW w:w="6467" w:type="dxa"/>
            <w:tcBorders>
              <w:top w:val="single" w:sz="2" w:space="0" w:color="000000"/>
              <w:bottom w:val="single" w:sz="12" w:space="0" w:color="000000"/>
            </w:tcBorders>
            <w:shd w:val="clear" w:color="auto" w:fill="auto"/>
            <w:tcMar>
              <w:top w:w="20" w:type="dxa"/>
              <w:left w:w="20" w:type="dxa"/>
              <w:bottom w:w="20" w:type="dxa"/>
              <w:right w:w="20" w:type="dxa"/>
            </w:tcMar>
          </w:tcPr>
          <w:p w14:paraId="3E4B190A" w14:textId="77777777" w:rsidR="00346AD0" w:rsidRPr="00D715B5" w:rsidRDefault="00346AD0" w:rsidP="00346AD0">
            <w:pPr>
              <w:pStyle w:val="T1TableStyle"/>
              <w:rPr>
                <w:rFonts w:ascii="Verdana" w:eastAsia="Verdana" w:hAnsi="Verdana" w:cs="Verdana"/>
                <w:b/>
                <w:color w:val="000000"/>
                <w:sz w:val="16"/>
                <w:lang w:val="en-GB"/>
              </w:rPr>
            </w:pPr>
            <w:r w:rsidRPr="00D715B5">
              <w:rPr>
                <w:rFonts w:ascii="Verdana" w:eastAsia="Verdana" w:hAnsi="Verdana" w:cs="Verdana"/>
                <w:b/>
                <w:color w:val="000000"/>
                <w:sz w:val="16"/>
                <w:lang w:val="en-GB"/>
              </w:rPr>
              <w:t xml:space="preserve">Balance 31 March </w:t>
            </w:r>
          </w:p>
        </w:tc>
        <w:tc>
          <w:tcPr>
            <w:tcW w:w="1398" w:type="dxa"/>
            <w:tcBorders>
              <w:top w:val="single" w:sz="2" w:space="0" w:color="000000"/>
              <w:bottom w:val="single" w:sz="12" w:space="0" w:color="000000"/>
            </w:tcBorders>
            <w:shd w:val="clear" w:color="auto" w:fill="auto"/>
            <w:tcMar>
              <w:top w:w="20" w:type="dxa"/>
              <w:left w:w="20" w:type="dxa"/>
              <w:bottom w:w="20" w:type="dxa"/>
              <w:right w:w="20" w:type="dxa"/>
            </w:tcMar>
          </w:tcPr>
          <w:p w14:paraId="620C69C0" w14:textId="77777777" w:rsidR="00346AD0" w:rsidRPr="00D715B5" w:rsidRDefault="00D715B5" w:rsidP="00346AD0">
            <w:pPr>
              <w:pStyle w:val="T1TableStyle"/>
              <w:jc w:val="right"/>
              <w:rPr>
                <w:rFonts w:ascii="Verdana" w:eastAsia="Verdana" w:hAnsi="Verdana" w:cs="Verdana"/>
                <w:b/>
                <w:color w:val="000000"/>
                <w:sz w:val="16"/>
                <w:lang w:val="en-GB"/>
              </w:rPr>
            </w:pPr>
            <w:r w:rsidRPr="00D715B5">
              <w:rPr>
                <w:rFonts w:ascii="Verdana" w:eastAsia="Verdana" w:hAnsi="Verdana" w:cs="Verdana"/>
                <w:b/>
                <w:color w:val="000000"/>
                <w:sz w:val="16"/>
                <w:lang w:val="en-GB"/>
              </w:rPr>
              <w:t>1,951</w:t>
            </w:r>
          </w:p>
        </w:tc>
      </w:tr>
    </w:tbl>
    <w:p w14:paraId="25198FC5" w14:textId="77777777" w:rsidR="00F227D9" w:rsidRPr="00DC1077" w:rsidRDefault="00F227D9">
      <w:pPr>
        <w:pStyle w:val="T1TableStyle"/>
        <w:rPr>
          <w:rFonts w:ascii="Verdana" w:eastAsia="Verdana" w:hAnsi="Verdana" w:cs="Verdana"/>
          <w:sz w:val="22"/>
          <w:highlight w:val="yellow"/>
          <w:lang w:val="en-GB"/>
        </w:rPr>
      </w:pPr>
    </w:p>
    <w:p w14:paraId="60AD2F30" w14:textId="77777777" w:rsidR="00F227D9" w:rsidRPr="00D715B5" w:rsidRDefault="00F227D9" w:rsidP="00645BB6">
      <w:pPr>
        <w:pStyle w:val="Normal0"/>
        <w:spacing w:after="160"/>
        <w:jc w:val="both"/>
        <w:rPr>
          <w:rFonts w:ascii="Verdana" w:eastAsia="Verdana" w:hAnsi="Verdana" w:cs="Verdana"/>
          <w:sz w:val="22"/>
          <w:szCs w:val="22"/>
          <w:lang w:val="en-GB"/>
        </w:rPr>
      </w:pPr>
      <w:r w:rsidRPr="00D715B5">
        <w:rPr>
          <w:rFonts w:ascii="Verdana" w:eastAsia="Verdana" w:hAnsi="Verdana" w:cs="Verdana"/>
          <w:sz w:val="22"/>
          <w:szCs w:val="22"/>
          <w:lang w:val="en-GB"/>
        </w:rPr>
        <w:t xml:space="preserve">The Accumulated Absences Account </w:t>
      </w:r>
      <w:r w:rsidR="00645BB6" w:rsidRPr="00D715B5">
        <w:rPr>
          <w:rFonts w:ascii="Verdana" w:eastAsia="Verdana" w:hAnsi="Verdana" w:cs="Verdana"/>
          <w:sz w:val="22"/>
          <w:szCs w:val="22"/>
          <w:lang w:val="en-GB"/>
        </w:rPr>
        <w:t>reflects</w:t>
      </w:r>
      <w:r w:rsidRPr="00D715B5">
        <w:rPr>
          <w:rFonts w:ascii="Verdana" w:eastAsia="Verdana" w:hAnsi="Verdana" w:cs="Verdana"/>
          <w:sz w:val="22"/>
          <w:szCs w:val="22"/>
          <w:lang w:val="en-GB"/>
        </w:rPr>
        <w:t xml:space="preserve"> the differences that would otherwise arise on the General Fund Balance from accruing for compensated absences earned but not taken in the year, e.g. annual leave entitlement carried forward at 31 March 20</w:t>
      </w:r>
      <w:r w:rsidR="00D715B5" w:rsidRPr="00D715B5">
        <w:rPr>
          <w:rFonts w:ascii="Verdana" w:eastAsia="Verdana" w:hAnsi="Verdana" w:cs="Verdana"/>
          <w:sz w:val="22"/>
          <w:szCs w:val="22"/>
          <w:lang w:val="en-GB"/>
        </w:rPr>
        <w:t>21</w:t>
      </w:r>
      <w:r w:rsidRPr="00D715B5">
        <w:rPr>
          <w:rFonts w:ascii="Verdana" w:eastAsia="Verdana" w:hAnsi="Verdana" w:cs="Verdana"/>
          <w:sz w:val="22"/>
          <w:szCs w:val="22"/>
          <w:lang w:val="en-GB"/>
        </w:rPr>
        <w:t xml:space="preserve">. Statutory arrangements require that the impact on the General Fund Balance is </w:t>
      </w:r>
      <w:r w:rsidR="00645BB6" w:rsidRPr="00D715B5">
        <w:rPr>
          <w:rFonts w:ascii="Verdana" w:eastAsia="Verdana" w:hAnsi="Verdana" w:cs="Verdana"/>
          <w:sz w:val="22"/>
          <w:szCs w:val="22"/>
          <w:lang w:val="en-GB"/>
        </w:rPr>
        <w:t xml:space="preserve">offset by </w:t>
      </w:r>
      <w:r w:rsidRPr="00D715B5">
        <w:rPr>
          <w:rFonts w:ascii="Verdana" w:eastAsia="Verdana" w:hAnsi="Verdana" w:cs="Verdana"/>
          <w:sz w:val="22"/>
          <w:szCs w:val="22"/>
          <w:lang w:val="en-GB"/>
        </w:rPr>
        <w:t xml:space="preserve">transfers to </w:t>
      </w:r>
      <w:r w:rsidR="00645BB6" w:rsidRPr="00D715B5">
        <w:rPr>
          <w:rFonts w:ascii="Verdana" w:eastAsia="Verdana" w:hAnsi="Verdana" w:cs="Verdana"/>
          <w:sz w:val="22"/>
          <w:szCs w:val="22"/>
          <w:lang w:val="en-GB"/>
        </w:rPr>
        <w:t>mitigate the impact on Council Tax</w:t>
      </w:r>
      <w:r w:rsidRPr="00D715B5">
        <w:rPr>
          <w:rFonts w:ascii="Verdana" w:eastAsia="Verdana" w:hAnsi="Verdana" w:cs="Verdana"/>
          <w:sz w:val="22"/>
          <w:szCs w:val="22"/>
          <w:lang w:val="en-GB"/>
        </w:rPr>
        <w:t>.</w:t>
      </w:r>
    </w:p>
    <w:p w14:paraId="6EF82E3C" w14:textId="77777777" w:rsidR="00F227D9" w:rsidRPr="00BD5D66" w:rsidRDefault="00F227D9" w:rsidP="00F227D9">
      <w:pPr>
        <w:pStyle w:val="Heading1"/>
        <w:spacing w:after="240"/>
        <w:rPr>
          <w:lang w:val="pt-BR"/>
        </w:rPr>
      </w:pPr>
      <w:bookmarkStart w:id="17" w:name="_Toc77095568"/>
      <w:r w:rsidRPr="00BD5D66">
        <w:rPr>
          <w:lang w:val="pt-BR"/>
        </w:rPr>
        <w:t>Note 9 - Debtors</w:t>
      </w:r>
      <w:bookmarkEnd w:id="17"/>
      <w:r w:rsidRPr="00BD5D66">
        <w:rPr>
          <w:lang w:val="pt-BR"/>
        </w:rPr>
        <w:t xml:space="preserve"> </w:t>
      </w:r>
    </w:p>
    <w:p w14:paraId="42129FEB" w14:textId="77777777" w:rsidR="00F227D9" w:rsidRPr="00BD5D66" w:rsidRDefault="00F227D9">
      <w:pPr>
        <w:pStyle w:val="Normal0"/>
        <w:spacing w:after="160"/>
        <w:rPr>
          <w:rFonts w:ascii="Verdana" w:eastAsia="Verdana" w:hAnsi="Verdana" w:cs="Verdana"/>
          <w:sz w:val="22"/>
          <w:szCs w:val="22"/>
          <w:lang w:val="en-GB"/>
        </w:rPr>
      </w:pPr>
      <w:r w:rsidRPr="00BD5D66">
        <w:rPr>
          <w:rFonts w:ascii="Verdana" w:eastAsia="Verdana" w:hAnsi="Verdana" w:cs="Verdana"/>
          <w:sz w:val="22"/>
          <w:szCs w:val="22"/>
          <w:lang w:val="en-GB"/>
        </w:rPr>
        <w:t>Debts outstanding at 31 March 20</w:t>
      </w:r>
      <w:r w:rsidR="00443FC8" w:rsidRPr="00BD5D66">
        <w:rPr>
          <w:rFonts w:ascii="Verdana" w:eastAsia="Verdana" w:hAnsi="Verdana" w:cs="Verdana"/>
          <w:sz w:val="22"/>
          <w:szCs w:val="22"/>
          <w:lang w:val="en-GB"/>
        </w:rPr>
        <w:t>2</w:t>
      </w:r>
      <w:r w:rsidR="00A57D3D" w:rsidRPr="00BD5D66">
        <w:rPr>
          <w:rFonts w:ascii="Verdana" w:eastAsia="Verdana" w:hAnsi="Verdana" w:cs="Verdana"/>
          <w:sz w:val="22"/>
          <w:szCs w:val="22"/>
          <w:lang w:val="en-GB"/>
        </w:rPr>
        <w:t>1</w:t>
      </w:r>
      <w:r w:rsidRPr="00BD5D66">
        <w:rPr>
          <w:rFonts w:ascii="Verdana" w:eastAsia="Verdana" w:hAnsi="Verdana" w:cs="Verdana"/>
          <w:sz w:val="22"/>
          <w:szCs w:val="22"/>
          <w:lang w:val="en-GB"/>
        </w:rPr>
        <w:t xml:space="preserve"> are as follows:</w:t>
      </w:r>
    </w:p>
    <w:tbl>
      <w:tblPr>
        <w:tblW w:w="0" w:type="auto"/>
        <w:jc w:val="center"/>
        <w:tblLayout w:type="fixed"/>
        <w:tblLook w:val="04A0" w:firstRow="1" w:lastRow="0" w:firstColumn="1" w:lastColumn="0" w:noHBand="0" w:noVBand="1"/>
      </w:tblPr>
      <w:tblGrid>
        <w:gridCol w:w="1545"/>
        <w:gridCol w:w="180"/>
        <w:gridCol w:w="2730"/>
        <w:gridCol w:w="1545"/>
      </w:tblGrid>
      <w:tr w:rsidR="0053376B" w:rsidRPr="00BD5D66" w14:paraId="586F6572" w14:textId="77777777" w:rsidTr="007D3C35">
        <w:trPr>
          <w:trHeight w:val="300"/>
          <w:jc w:val="center"/>
        </w:trPr>
        <w:tc>
          <w:tcPr>
            <w:tcW w:w="1545" w:type="dxa"/>
            <w:shd w:val="clear" w:color="auto" w:fill="auto"/>
            <w:tcMar>
              <w:top w:w="20" w:type="dxa"/>
              <w:left w:w="20" w:type="dxa"/>
              <w:bottom w:w="20" w:type="dxa"/>
              <w:right w:w="20" w:type="dxa"/>
            </w:tcMar>
            <w:vAlign w:val="bottom"/>
          </w:tcPr>
          <w:p w14:paraId="5F8DD868" w14:textId="77777777" w:rsidR="00F227D9" w:rsidRPr="00BD5D66" w:rsidRDefault="00F227D9" w:rsidP="00A57D3D">
            <w:pPr>
              <w:pStyle w:val="T1TableStyle"/>
              <w:jc w:val="center"/>
              <w:rPr>
                <w:rFonts w:ascii="Verdana" w:eastAsia="Verdana" w:hAnsi="Verdana" w:cs="Verdana"/>
                <w:b/>
                <w:color w:val="000000"/>
                <w:sz w:val="16"/>
                <w:lang w:val="en-GB"/>
              </w:rPr>
            </w:pPr>
            <w:r w:rsidRPr="00BD5D66">
              <w:rPr>
                <w:rFonts w:ascii="Verdana" w:eastAsia="Verdana" w:hAnsi="Verdana" w:cs="Verdana"/>
                <w:b/>
                <w:color w:val="000000"/>
                <w:sz w:val="16"/>
                <w:lang w:val="en-GB"/>
              </w:rPr>
              <w:t>31 March 20</w:t>
            </w:r>
            <w:r w:rsidR="00A57D3D" w:rsidRPr="00BD5D66">
              <w:rPr>
                <w:rFonts w:ascii="Verdana" w:eastAsia="Verdana" w:hAnsi="Verdana" w:cs="Verdana"/>
                <w:b/>
                <w:color w:val="000000"/>
                <w:sz w:val="16"/>
                <w:lang w:val="en-GB"/>
              </w:rPr>
              <w:t>20</w:t>
            </w:r>
          </w:p>
        </w:tc>
        <w:tc>
          <w:tcPr>
            <w:tcW w:w="180" w:type="dxa"/>
            <w:shd w:val="clear" w:color="auto" w:fill="auto"/>
            <w:tcMar>
              <w:top w:w="20" w:type="dxa"/>
              <w:left w:w="20" w:type="dxa"/>
              <w:bottom w:w="20" w:type="dxa"/>
              <w:right w:w="20" w:type="dxa"/>
            </w:tcMar>
            <w:vAlign w:val="bottom"/>
          </w:tcPr>
          <w:p w14:paraId="5FB3E60C" w14:textId="77777777" w:rsidR="00F227D9" w:rsidRPr="00BD5D66" w:rsidRDefault="00F227D9">
            <w:pPr>
              <w:pStyle w:val="T1TableStyle"/>
              <w:jc w:val="center"/>
              <w:rPr>
                <w:rFonts w:ascii="Verdana" w:eastAsia="Verdana" w:hAnsi="Verdana" w:cs="Verdana"/>
                <w:b/>
                <w:color w:val="000000"/>
                <w:sz w:val="2"/>
                <w:lang w:val="en-GB"/>
              </w:rPr>
            </w:pPr>
            <w:r w:rsidRPr="00BD5D66">
              <w:rPr>
                <w:rFonts w:ascii="Verdana" w:eastAsia="Verdana" w:hAnsi="Verdana" w:cs="Verdana"/>
                <w:b/>
                <w:color w:val="000000"/>
                <w:sz w:val="2"/>
                <w:lang w:val="en-GB"/>
              </w:rPr>
              <w:t xml:space="preserve"> </w:t>
            </w:r>
          </w:p>
        </w:tc>
        <w:tc>
          <w:tcPr>
            <w:tcW w:w="2730" w:type="dxa"/>
            <w:shd w:val="clear" w:color="auto" w:fill="auto"/>
            <w:tcMar>
              <w:top w:w="20" w:type="dxa"/>
              <w:left w:w="20" w:type="dxa"/>
              <w:bottom w:w="20" w:type="dxa"/>
              <w:right w:w="20" w:type="dxa"/>
            </w:tcMar>
            <w:vAlign w:val="bottom"/>
          </w:tcPr>
          <w:p w14:paraId="138D3327" w14:textId="77777777" w:rsidR="00F227D9" w:rsidRPr="00BD5D66" w:rsidRDefault="00F227D9">
            <w:pPr>
              <w:pStyle w:val="T1TableStyle"/>
              <w:jc w:val="center"/>
              <w:rPr>
                <w:rFonts w:ascii="Verdana" w:eastAsia="Verdana" w:hAnsi="Verdana" w:cs="Verdana"/>
                <w:b/>
                <w:color w:val="000000"/>
                <w:sz w:val="2"/>
                <w:lang w:val="en-GB"/>
              </w:rPr>
            </w:pPr>
            <w:r w:rsidRPr="00BD5D66">
              <w:rPr>
                <w:rFonts w:ascii="Verdana" w:eastAsia="Verdana" w:hAnsi="Verdana" w:cs="Verdana"/>
                <w:b/>
                <w:color w:val="000000"/>
                <w:sz w:val="2"/>
                <w:lang w:val="en-GB"/>
              </w:rPr>
              <w:t xml:space="preserve"> </w:t>
            </w:r>
          </w:p>
        </w:tc>
        <w:tc>
          <w:tcPr>
            <w:tcW w:w="1545" w:type="dxa"/>
            <w:shd w:val="clear" w:color="auto" w:fill="auto"/>
            <w:tcMar>
              <w:top w:w="20" w:type="dxa"/>
              <w:left w:w="20" w:type="dxa"/>
              <w:bottom w:w="20" w:type="dxa"/>
              <w:right w:w="20" w:type="dxa"/>
            </w:tcMar>
            <w:vAlign w:val="bottom"/>
          </w:tcPr>
          <w:p w14:paraId="2AF01C03" w14:textId="77777777" w:rsidR="00F227D9" w:rsidRPr="00BD5D66" w:rsidRDefault="00F227D9" w:rsidP="00A57D3D">
            <w:pPr>
              <w:pStyle w:val="T1TableStyle"/>
              <w:jc w:val="center"/>
              <w:rPr>
                <w:rFonts w:ascii="Verdana" w:eastAsia="Verdana" w:hAnsi="Verdana" w:cs="Verdana"/>
                <w:b/>
                <w:color w:val="000000"/>
                <w:sz w:val="16"/>
                <w:lang w:val="en-GB"/>
              </w:rPr>
            </w:pPr>
            <w:r w:rsidRPr="00BD5D66">
              <w:rPr>
                <w:rFonts w:ascii="Verdana" w:eastAsia="Verdana" w:hAnsi="Verdana" w:cs="Verdana"/>
                <w:b/>
                <w:color w:val="000000"/>
                <w:sz w:val="16"/>
                <w:lang w:val="en-GB"/>
              </w:rPr>
              <w:t>31 March 202</w:t>
            </w:r>
            <w:r w:rsidR="00A57D3D" w:rsidRPr="00BD5D66">
              <w:rPr>
                <w:rFonts w:ascii="Verdana" w:eastAsia="Verdana" w:hAnsi="Verdana" w:cs="Verdana"/>
                <w:b/>
                <w:color w:val="000000"/>
                <w:sz w:val="16"/>
                <w:lang w:val="en-GB"/>
              </w:rPr>
              <w:t>1</w:t>
            </w:r>
          </w:p>
        </w:tc>
      </w:tr>
      <w:tr w:rsidR="0053376B" w:rsidRPr="00BD5D66" w14:paraId="3145BDAB" w14:textId="77777777" w:rsidTr="007D3C35">
        <w:trPr>
          <w:trHeight w:val="300"/>
          <w:jc w:val="center"/>
        </w:trPr>
        <w:tc>
          <w:tcPr>
            <w:tcW w:w="1545" w:type="dxa"/>
            <w:tcBorders>
              <w:bottom w:val="single" w:sz="2" w:space="0" w:color="000000"/>
            </w:tcBorders>
            <w:shd w:val="clear" w:color="auto" w:fill="auto"/>
            <w:tcMar>
              <w:top w:w="20" w:type="dxa"/>
              <w:left w:w="20" w:type="dxa"/>
              <w:bottom w:w="20" w:type="dxa"/>
              <w:right w:w="20" w:type="dxa"/>
            </w:tcMar>
          </w:tcPr>
          <w:p w14:paraId="4493B5C2" w14:textId="77777777" w:rsidR="00F227D9" w:rsidRPr="00BD5D66" w:rsidRDefault="00F227D9">
            <w:pPr>
              <w:pStyle w:val="T1TableStyle"/>
              <w:jc w:val="right"/>
              <w:rPr>
                <w:rFonts w:ascii="Verdana" w:eastAsia="Verdana" w:hAnsi="Verdana" w:cs="Verdana"/>
                <w:b/>
                <w:color w:val="000000"/>
                <w:sz w:val="16"/>
                <w:lang w:val="en-GB"/>
              </w:rPr>
            </w:pPr>
            <w:r w:rsidRPr="00BD5D66">
              <w:rPr>
                <w:rFonts w:ascii="Verdana" w:eastAsia="Verdana" w:hAnsi="Verdana" w:cs="Verdana"/>
                <w:b/>
                <w:color w:val="000000"/>
                <w:sz w:val="16"/>
                <w:lang w:val="en-GB"/>
              </w:rPr>
              <w:t>£000</w:t>
            </w:r>
          </w:p>
        </w:tc>
        <w:tc>
          <w:tcPr>
            <w:tcW w:w="180" w:type="dxa"/>
            <w:tcBorders>
              <w:bottom w:val="single" w:sz="2" w:space="0" w:color="000000"/>
            </w:tcBorders>
            <w:shd w:val="clear" w:color="auto" w:fill="auto"/>
            <w:tcMar>
              <w:top w:w="20" w:type="dxa"/>
              <w:left w:w="20" w:type="dxa"/>
              <w:bottom w:w="20" w:type="dxa"/>
              <w:right w:w="20" w:type="dxa"/>
            </w:tcMar>
          </w:tcPr>
          <w:p w14:paraId="71B0AA2A" w14:textId="77777777" w:rsidR="00F227D9" w:rsidRPr="00BD5D66" w:rsidRDefault="00F227D9">
            <w:pPr>
              <w:pStyle w:val="T1TableStyle"/>
              <w:jc w:val="right"/>
              <w:rPr>
                <w:rFonts w:ascii="Verdana" w:eastAsia="Verdana" w:hAnsi="Verdana" w:cs="Verdana"/>
                <w:b/>
                <w:color w:val="000000"/>
                <w:sz w:val="2"/>
                <w:lang w:val="en-GB"/>
              </w:rPr>
            </w:pPr>
            <w:r w:rsidRPr="00BD5D66">
              <w:rPr>
                <w:rFonts w:ascii="Verdana" w:eastAsia="Verdana" w:hAnsi="Verdana" w:cs="Verdana"/>
                <w:b/>
                <w:color w:val="000000"/>
                <w:sz w:val="2"/>
                <w:lang w:val="en-GB"/>
              </w:rPr>
              <w:t xml:space="preserve"> </w:t>
            </w:r>
          </w:p>
        </w:tc>
        <w:tc>
          <w:tcPr>
            <w:tcW w:w="2730" w:type="dxa"/>
            <w:tcBorders>
              <w:bottom w:val="single" w:sz="2" w:space="0" w:color="000000"/>
            </w:tcBorders>
            <w:shd w:val="clear" w:color="auto" w:fill="auto"/>
            <w:tcMar>
              <w:top w:w="20" w:type="dxa"/>
              <w:left w:w="20" w:type="dxa"/>
              <w:bottom w:w="20" w:type="dxa"/>
              <w:right w:w="20" w:type="dxa"/>
            </w:tcMar>
          </w:tcPr>
          <w:p w14:paraId="217D1388" w14:textId="77777777" w:rsidR="00F227D9" w:rsidRPr="00BD5D66" w:rsidRDefault="00F227D9">
            <w:pPr>
              <w:pStyle w:val="T1TableStyle"/>
              <w:jc w:val="right"/>
              <w:rPr>
                <w:rFonts w:ascii="Verdana" w:eastAsia="Verdana" w:hAnsi="Verdana" w:cs="Verdana"/>
                <w:b/>
                <w:color w:val="000000"/>
                <w:sz w:val="2"/>
                <w:lang w:val="en-GB"/>
              </w:rPr>
            </w:pPr>
            <w:r w:rsidRPr="00BD5D66">
              <w:rPr>
                <w:rFonts w:ascii="Verdana" w:eastAsia="Verdana" w:hAnsi="Verdana" w:cs="Verdana"/>
                <w:b/>
                <w:color w:val="000000"/>
                <w:sz w:val="2"/>
                <w:lang w:val="en-GB"/>
              </w:rPr>
              <w:t xml:space="preserve"> </w:t>
            </w:r>
          </w:p>
        </w:tc>
        <w:tc>
          <w:tcPr>
            <w:tcW w:w="1545" w:type="dxa"/>
            <w:tcBorders>
              <w:bottom w:val="single" w:sz="2" w:space="0" w:color="000000"/>
            </w:tcBorders>
            <w:shd w:val="clear" w:color="auto" w:fill="auto"/>
            <w:tcMar>
              <w:top w:w="20" w:type="dxa"/>
              <w:left w:w="20" w:type="dxa"/>
              <w:bottom w:w="20" w:type="dxa"/>
              <w:right w:w="20" w:type="dxa"/>
            </w:tcMar>
          </w:tcPr>
          <w:p w14:paraId="56630F10" w14:textId="77777777" w:rsidR="00F227D9" w:rsidRPr="00BD5D66" w:rsidRDefault="00F227D9">
            <w:pPr>
              <w:pStyle w:val="T1TableStyle"/>
              <w:jc w:val="right"/>
              <w:rPr>
                <w:rFonts w:ascii="Verdana" w:eastAsia="Verdana" w:hAnsi="Verdana" w:cs="Verdana"/>
                <w:b/>
                <w:color w:val="000000"/>
                <w:sz w:val="16"/>
                <w:lang w:val="en-GB"/>
              </w:rPr>
            </w:pPr>
            <w:r w:rsidRPr="00BD5D66">
              <w:rPr>
                <w:rFonts w:ascii="Verdana" w:eastAsia="Verdana" w:hAnsi="Verdana" w:cs="Verdana"/>
                <w:b/>
                <w:color w:val="000000"/>
                <w:sz w:val="16"/>
                <w:lang w:val="en-GB"/>
              </w:rPr>
              <w:t>£000</w:t>
            </w:r>
          </w:p>
        </w:tc>
      </w:tr>
      <w:tr w:rsidR="0053376B" w:rsidRPr="00BD5D66" w14:paraId="114F68DC" w14:textId="77777777" w:rsidTr="007D3C35">
        <w:trPr>
          <w:trHeight w:val="300"/>
          <w:jc w:val="center"/>
        </w:trPr>
        <w:tc>
          <w:tcPr>
            <w:tcW w:w="1545" w:type="dxa"/>
            <w:shd w:val="clear" w:color="auto" w:fill="auto"/>
            <w:tcMar>
              <w:top w:w="20" w:type="dxa"/>
              <w:left w:w="20" w:type="dxa"/>
              <w:bottom w:w="20" w:type="dxa"/>
              <w:right w:w="20" w:type="dxa"/>
            </w:tcMar>
          </w:tcPr>
          <w:p w14:paraId="5B8A0F54" w14:textId="77777777" w:rsidR="00F227D9" w:rsidRPr="00BD5D66" w:rsidRDefault="00F227D9">
            <w:pPr>
              <w:pStyle w:val="T1TableStyle"/>
              <w:jc w:val="right"/>
              <w:rPr>
                <w:rFonts w:ascii="Verdana" w:eastAsia="Verdana" w:hAnsi="Verdana" w:cs="Verdana"/>
                <w:color w:val="000000"/>
                <w:sz w:val="16"/>
                <w:lang w:val="en-GB"/>
              </w:rPr>
            </w:pPr>
            <w:r w:rsidRPr="00BD5D66">
              <w:rPr>
                <w:rFonts w:ascii="Verdana" w:eastAsia="Verdana" w:hAnsi="Verdana" w:cs="Verdana"/>
                <w:color w:val="000000"/>
                <w:sz w:val="16"/>
                <w:lang w:val="en-GB"/>
              </w:rPr>
              <w:t>110</w:t>
            </w:r>
          </w:p>
        </w:tc>
        <w:tc>
          <w:tcPr>
            <w:tcW w:w="180" w:type="dxa"/>
            <w:shd w:val="clear" w:color="auto" w:fill="auto"/>
            <w:tcMar>
              <w:top w:w="20" w:type="dxa"/>
              <w:left w:w="20" w:type="dxa"/>
              <w:bottom w:w="20" w:type="dxa"/>
              <w:right w:w="20" w:type="dxa"/>
            </w:tcMar>
          </w:tcPr>
          <w:p w14:paraId="5A7AEAEC" w14:textId="77777777" w:rsidR="00F227D9" w:rsidRPr="00BD5D66" w:rsidRDefault="00F227D9">
            <w:pPr>
              <w:pStyle w:val="T1TableStyle"/>
              <w:jc w:val="center"/>
              <w:rPr>
                <w:rFonts w:ascii="Verdana" w:eastAsia="Verdana" w:hAnsi="Verdana" w:cs="Verdana"/>
                <w:color w:val="000000"/>
                <w:sz w:val="2"/>
                <w:lang w:val="en-GB"/>
              </w:rPr>
            </w:pPr>
            <w:r w:rsidRPr="00BD5D66">
              <w:rPr>
                <w:rFonts w:ascii="Verdana" w:eastAsia="Verdana" w:hAnsi="Verdana" w:cs="Verdana"/>
                <w:color w:val="000000"/>
                <w:sz w:val="2"/>
                <w:lang w:val="en-GB"/>
              </w:rPr>
              <w:t xml:space="preserve"> </w:t>
            </w:r>
          </w:p>
        </w:tc>
        <w:tc>
          <w:tcPr>
            <w:tcW w:w="2730" w:type="dxa"/>
            <w:shd w:val="clear" w:color="auto" w:fill="auto"/>
            <w:tcMar>
              <w:top w:w="20" w:type="dxa"/>
              <w:left w:w="20" w:type="dxa"/>
              <w:bottom w:w="20" w:type="dxa"/>
              <w:right w:w="20" w:type="dxa"/>
            </w:tcMar>
          </w:tcPr>
          <w:p w14:paraId="38933EAB" w14:textId="77777777" w:rsidR="00F227D9" w:rsidRPr="00BD5D66" w:rsidRDefault="00F227D9">
            <w:pPr>
              <w:pStyle w:val="T1TableStyle"/>
              <w:rPr>
                <w:rFonts w:ascii="Verdana" w:eastAsia="Verdana" w:hAnsi="Verdana" w:cs="Verdana"/>
                <w:color w:val="000000"/>
                <w:sz w:val="16"/>
                <w:lang w:val="en-GB"/>
              </w:rPr>
            </w:pPr>
            <w:r w:rsidRPr="00BD5D66">
              <w:rPr>
                <w:rFonts w:ascii="Verdana" w:eastAsia="Verdana" w:hAnsi="Verdana" w:cs="Verdana"/>
                <w:color w:val="000000"/>
                <w:sz w:val="16"/>
                <w:lang w:val="en-GB"/>
              </w:rPr>
              <w:t>Other Receivable Amounts</w:t>
            </w:r>
          </w:p>
        </w:tc>
        <w:tc>
          <w:tcPr>
            <w:tcW w:w="1545" w:type="dxa"/>
            <w:shd w:val="clear" w:color="auto" w:fill="auto"/>
            <w:tcMar>
              <w:top w:w="20" w:type="dxa"/>
              <w:left w:w="20" w:type="dxa"/>
              <w:bottom w:w="20" w:type="dxa"/>
              <w:right w:w="20" w:type="dxa"/>
            </w:tcMar>
          </w:tcPr>
          <w:p w14:paraId="03D80549" w14:textId="77777777" w:rsidR="00F227D9" w:rsidRPr="00BD5D66" w:rsidRDefault="00BD5D66">
            <w:pPr>
              <w:pStyle w:val="T1TableStyle"/>
              <w:jc w:val="right"/>
              <w:rPr>
                <w:rFonts w:ascii="Verdana" w:eastAsia="Verdana" w:hAnsi="Verdana" w:cs="Verdana"/>
                <w:color w:val="000000"/>
                <w:sz w:val="16"/>
                <w:lang w:val="en-GB"/>
              </w:rPr>
            </w:pPr>
            <w:r w:rsidRPr="00BD5D66">
              <w:rPr>
                <w:rFonts w:ascii="Verdana" w:eastAsia="Verdana" w:hAnsi="Verdana" w:cs="Verdana"/>
                <w:color w:val="000000"/>
                <w:sz w:val="16"/>
                <w:lang w:val="en-GB"/>
              </w:rPr>
              <w:t>110</w:t>
            </w:r>
          </w:p>
        </w:tc>
      </w:tr>
      <w:tr w:rsidR="0053376B" w:rsidRPr="00BD5D66" w14:paraId="3172323D" w14:textId="77777777" w:rsidTr="007D3C35">
        <w:trPr>
          <w:trHeight w:val="315"/>
          <w:jc w:val="center"/>
        </w:trPr>
        <w:tc>
          <w:tcPr>
            <w:tcW w:w="1545" w:type="dxa"/>
            <w:tcBorders>
              <w:top w:val="single" w:sz="2" w:space="0" w:color="000000"/>
              <w:bottom w:val="single" w:sz="12" w:space="0" w:color="000000"/>
            </w:tcBorders>
            <w:shd w:val="clear" w:color="auto" w:fill="auto"/>
            <w:tcMar>
              <w:top w:w="20" w:type="dxa"/>
              <w:left w:w="20" w:type="dxa"/>
              <w:bottom w:w="20" w:type="dxa"/>
              <w:right w:w="20" w:type="dxa"/>
            </w:tcMar>
          </w:tcPr>
          <w:p w14:paraId="2E768143" w14:textId="77777777" w:rsidR="00F227D9" w:rsidRPr="00BD5D66" w:rsidRDefault="00F227D9">
            <w:pPr>
              <w:pStyle w:val="T1TableStyle"/>
              <w:jc w:val="right"/>
              <w:rPr>
                <w:rFonts w:ascii="Verdana" w:eastAsia="Verdana" w:hAnsi="Verdana" w:cs="Verdana"/>
                <w:b/>
                <w:color w:val="000000"/>
                <w:sz w:val="16"/>
                <w:lang w:val="en-GB"/>
              </w:rPr>
            </w:pPr>
            <w:r w:rsidRPr="00BD5D66">
              <w:rPr>
                <w:rFonts w:ascii="Verdana" w:eastAsia="Verdana" w:hAnsi="Verdana" w:cs="Verdana"/>
                <w:b/>
                <w:color w:val="000000"/>
                <w:sz w:val="16"/>
                <w:lang w:val="en-GB"/>
              </w:rPr>
              <w:t>110</w:t>
            </w:r>
          </w:p>
        </w:tc>
        <w:tc>
          <w:tcPr>
            <w:tcW w:w="180" w:type="dxa"/>
            <w:tcBorders>
              <w:top w:val="single" w:sz="2" w:space="0" w:color="000000"/>
              <w:bottom w:val="single" w:sz="12" w:space="0" w:color="000000"/>
            </w:tcBorders>
            <w:shd w:val="clear" w:color="auto" w:fill="auto"/>
            <w:tcMar>
              <w:top w:w="20" w:type="dxa"/>
              <w:left w:w="20" w:type="dxa"/>
              <w:bottom w:w="20" w:type="dxa"/>
              <w:right w:w="20" w:type="dxa"/>
            </w:tcMar>
          </w:tcPr>
          <w:p w14:paraId="1349A9CE" w14:textId="77777777" w:rsidR="00F227D9" w:rsidRPr="00BD5D66" w:rsidRDefault="00F227D9">
            <w:pPr>
              <w:pStyle w:val="T1TableStyle"/>
              <w:jc w:val="center"/>
              <w:rPr>
                <w:rFonts w:ascii="Verdana" w:eastAsia="Verdana" w:hAnsi="Verdana" w:cs="Verdana"/>
                <w:b/>
                <w:color w:val="000000"/>
                <w:sz w:val="2"/>
                <w:lang w:val="en-GB"/>
              </w:rPr>
            </w:pPr>
            <w:r w:rsidRPr="00BD5D66">
              <w:rPr>
                <w:rFonts w:ascii="Verdana" w:eastAsia="Verdana" w:hAnsi="Verdana" w:cs="Verdana"/>
                <w:b/>
                <w:color w:val="000000"/>
                <w:sz w:val="2"/>
                <w:lang w:val="en-GB"/>
              </w:rPr>
              <w:t xml:space="preserve"> </w:t>
            </w:r>
          </w:p>
        </w:tc>
        <w:tc>
          <w:tcPr>
            <w:tcW w:w="2730" w:type="dxa"/>
            <w:tcBorders>
              <w:top w:val="single" w:sz="2" w:space="0" w:color="000000"/>
              <w:bottom w:val="single" w:sz="12" w:space="0" w:color="000000"/>
            </w:tcBorders>
            <w:shd w:val="clear" w:color="auto" w:fill="auto"/>
            <w:tcMar>
              <w:top w:w="20" w:type="dxa"/>
              <w:left w:w="20" w:type="dxa"/>
              <w:bottom w:w="20" w:type="dxa"/>
              <w:right w:w="20" w:type="dxa"/>
            </w:tcMar>
          </w:tcPr>
          <w:p w14:paraId="0C03FBBC" w14:textId="77777777" w:rsidR="00F227D9" w:rsidRPr="00BD5D66" w:rsidRDefault="00F227D9">
            <w:pPr>
              <w:pStyle w:val="T1TableStyle"/>
              <w:rPr>
                <w:rFonts w:ascii="Verdana" w:eastAsia="Verdana" w:hAnsi="Verdana" w:cs="Verdana"/>
                <w:b/>
                <w:color w:val="000000"/>
                <w:sz w:val="16"/>
                <w:lang w:val="en-GB"/>
              </w:rPr>
            </w:pPr>
            <w:r w:rsidRPr="00BD5D66">
              <w:rPr>
                <w:rFonts w:ascii="Verdana" w:eastAsia="Verdana" w:hAnsi="Verdana" w:cs="Verdana"/>
                <w:b/>
                <w:color w:val="000000"/>
                <w:sz w:val="16"/>
                <w:lang w:val="en-GB"/>
              </w:rPr>
              <w:t>Total</w:t>
            </w:r>
          </w:p>
        </w:tc>
        <w:tc>
          <w:tcPr>
            <w:tcW w:w="1545" w:type="dxa"/>
            <w:tcBorders>
              <w:top w:val="single" w:sz="2" w:space="0" w:color="000000"/>
              <w:bottom w:val="single" w:sz="12" w:space="0" w:color="000000"/>
            </w:tcBorders>
            <w:shd w:val="clear" w:color="auto" w:fill="auto"/>
            <w:tcMar>
              <w:top w:w="20" w:type="dxa"/>
              <w:left w:w="20" w:type="dxa"/>
              <w:bottom w:w="20" w:type="dxa"/>
              <w:right w:w="20" w:type="dxa"/>
            </w:tcMar>
          </w:tcPr>
          <w:p w14:paraId="0FDD221B" w14:textId="77777777" w:rsidR="00F227D9" w:rsidRPr="00BD5D66" w:rsidRDefault="00BD5D66">
            <w:pPr>
              <w:pStyle w:val="T1TableStyle"/>
              <w:jc w:val="right"/>
              <w:rPr>
                <w:rFonts w:ascii="Verdana" w:eastAsia="Verdana" w:hAnsi="Verdana" w:cs="Verdana"/>
                <w:b/>
                <w:color w:val="000000"/>
                <w:sz w:val="16"/>
                <w:lang w:val="en-GB"/>
              </w:rPr>
            </w:pPr>
            <w:r w:rsidRPr="00BD5D66">
              <w:rPr>
                <w:rFonts w:ascii="Verdana" w:eastAsia="Verdana" w:hAnsi="Verdana" w:cs="Verdana"/>
                <w:b/>
                <w:color w:val="000000"/>
                <w:sz w:val="16"/>
                <w:lang w:val="en-GB"/>
              </w:rPr>
              <w:t>110</w:t>
            </w:r>
          </w:p>
        </w:tc>
      </w:tr>
    </w:tbl>
    <w:p w14:paraId="04FE0C21" w14:textId="77777777" w:rsidR="00F227D9" w:rsidRPr="00BD5D66" w:rsidRDefault="00F227D9">
      <w:pPr>
        <w:pStyle w:val="T1TableStyle"/>
        <w:rPr>
          <w:rFonts w:ascii="Verdana" w:eastAsia="Verdana" w:hAnsi="Verdana" w:cs="Verdana"/>
          <w:sz w:val="22"/>
          <w:lang w:val="en-GB"/>
        </w:rPr>
      </w:pPr>
    </w:p>
    <w:p w14:paraId="212409C9" w14:textId="77777777" w:rsidR="00F227D9" w:rsidRPr="00BD5D66" w:rsidRDefault="00F227D9">
      <w:pPr>
        <w:pStyle w:val="Normal0"/>
        <w:spacing w:after="160"/>
        <w:rPr>
          <w:rFonts w:ascii="Verdana" w:eastAsia="Verdana" w:hAnsi="Verdana" w:cs="Verdana"/>
          <w:sz w:val="22"/>
          <w:szCs w:val="22"/>
          <w:lang w:val="en-GB"/>
        </w:rPr>
      </w:pPr>
      <w:r w:rsidRPr="00BD5D66">
        <w:rPr>
          <w:rFonts w:ascii="Verdana" w:eastAsia="Verdana" w:hAnsi="Verdana" w:cs="Verdana"/>
          <w:sz w:val="22"/>
          <w:szCs w:val="22"/>
          <w:lang w:val="en-GB"/>
        </w:rPr>
        <w:t>This debtor relates to the restructuring provision, representing PCC funding to match provision.</w:t>
      </w:r>
    </w:p>
    <w:p w14:paraId="7E98158B" w14:textId="77777777" w:rsidR="00F227D9" w:rsidRPr="00A96FCD" w:rsidRDefault="00F227D9" w:rsidP="00F227D9">
      <w:pPr>
        <w:pStyle w:val="Heading1"/>
        <w:spacing w:after="240"/>
        <w:rPr>
          <w:lang w:val="pt-BR"/>
        </w:rPr>
      </w:pPr>
      <w:bookmarkStart w:id="18" w:name="_Toc77095569"/>
      <w:r w:rsidRPr="00A96FCD">
        <w:rPr>
          <w:lang w:val="pt-BR"/>
        </w:rPr>
        <w:t>Note 10 - Creditors</w:t>
      </w:r>
      <w:bookmarkEnd w:id="18"/>
      <w:r w:rsidRPr="00A96FCD">
        <w:rPr>
          <w:lang w:val="pt-BR"/>
        </w:rPr>
        <w:t xml:space="preserve"> </w:t>
      </w:r>
    </w:p>
    <w:p w14:paraId="2B7F782C" w14:textId="77777777" w:rsidR="00F227D9" w:rsidRPr="00A96FCD" w:rsidRDefault="00F227D9">
      <w:pPr>
        <w:pStyle w:val="Normal0"/>
        <w:spacing w:after="160"/>
        <w:rPr>
          <w:rFonts w:ascii="Verdana" w:eastAsia="Verdana" w:hAnsi="Verdana" w:cs="Verdana"/>
          <w:sz w:val="22"/>
          <w:szCs w:val="22"/>
          <w:lang w:val="en-GB"/>
        </w:rPr>
      </w:pPr>
      <w:r w:rsidRPr="00A96FCD">
        <w:rPr>
          <w:rFonts w:ascii="Verdana" w:eastAsia="Verdana" w:hAnsi="Verdana" w:cs="Verdana"/>
          <w:sz w:val="22"/>
          <w:szCs w:val="22"/>
          <w:lang w:val="en-GB"/>
        </w:rPr>
        <w:t>Payments due at 31 March 20</w:t>
      </w:r>
      <w:r w:rsidR="00443FC8" w:rsidRPr="00A96FCD">
        <w:rPr>
          <w:rFonts w:ascii="Verdana" w:eastAsia="Verdana" w:hAnsi="Verdana" w:cs="Verdana"/>
          <w:sz w:val="22"/>
          <w:szCs w:val="22"/>
          <w:lang w:val="en-GB"/>
        </w:rPr>
        <w:t>2</w:t>
      </w:r>
      <w:r w:rsidR="00A57D3D" w:rsidRPr="00A96FCD">
        <w:rPr>
          <w:rFonts w:ascii="Verdana" w:eastAsia="Verdana" w:hAnsi="Verdana" w:cs="Verdana"/>
          <w:sz w:val="22"/>
          <w:szCs w:val="22"/>
          <w:lang w:val="en-GB"/>
        </w:rPr>
        <w:t>1</w:t>
      </w:r>
      <w:r w:rsidRPr="00A96FCD">
        <w:rPr>
          <w:rFonts w:ascii="Verdana" w:eastAsia="Verdana" w:hAnsi="Verdana" w:cs="Verdana"/>
          <w:sz w:val="22"/>
          <w:szCs w:val="22"/>
          <w:lang w:val="en-GB"/>
        </w:rPr>
        <w:t xml:space="preserve"> are as follows:</w:t>
      </w:r>
    </w:p>
    <w:tbl>
      <w:tblPr>
        <w:tblW w:w="0" w:type="auto"/>
        <w:jc w:val="center"/>
        <w:tblLayout w:type="fixed"/>
        <w:tblLook w:val="04A0" w:firstRow="1" w:lastRow="0" w:firstColumn="1" w:lastColumn="0" w:noHBand="0" w:noVBand="1"/>
      </w:tblPr>
      <w:tblGrid>
        <w:gridCol w:w="1665"/>
        <w:gridCol w:w="180"/>
        <w:gridCol w:w="2955"/>
        <w:gridCol w:w="1665"/>
      </w:tblGrid>
      <w:tr w:rsidR="0053376B" w:rsidRPr="00A96FCD" w14:paraId="04A3FFA3" w14:textId="77777777" w:rsidTr="007D3C35">
        <w:trPr>
          <w:trHeight w:val="300"/>
          <w:jc w:val="center"/>
        </w:trPr>
        <w:tc>
          <w:tcPr>
            <w:tcW w:w="1665" w:type="dxa"/>
            <w:shd w:val="clear" w:color="auto" w:fill="auto"/>
            <w:tcMar>
              <w:top w:w="20" w:type="dxa"/>
              <w:left w:w="20" w:type="dxa"/>
              <w:bottom w:w="20" w:type="dxa"/>
              <w:right w:w="20" w:type="dxa"/>
            </w:tcMar>
            <w:vAlign w:val="bottom"/>
          </w:tcPr>
          <w:p w14:paraId="5432016E" w14:textId="77777777" w:rsidR="00F227D9" w:rsidRPr="00A96FCD" w:rsidRDefault="00F227D9" w:rsidP="00A57D3D">
            <w:pPr>
              <w:pStyle w:val="T1TableStyle"/>
              <w:jc w:val="center"/>
              <w:rPr>
                <w:rFonts w:ascii="Verdana" w:eastAsia="Verdana" w:hAnsi="Verdana" w:cs="Verdana"/>
                <w:b/>
                <w:color w:val="000000"/>
                <w:sz w:val="16"/>
                <w:lang w:val="en-GB"/>
              </w:rPr>
            </w:pPr>
            <w:r w:rsidRPr="00A96FCD">
              <w:rPr>
                <w:rFonts w:ascii="Verdana" w:eastAsia="Verdana" w:hAnsi="Verdana" w:cs="Verdana"/>
                <w:b/>
                <w:color w:val="000000"/>
                <w:sz w:val="16"/>
                <w:lang w:val="en-GB"/>
              </w:rPr>
              <w:t>31 March 20</w:t>
            </w:r>
            <w:r w:rsidR="00A57D3D" w:rsidRPr="00A96FCD">
              <w:rPr>
                <w:rFonts w:ascii="Verdana" w:eastAsia="Verdana" w:hAnsi="Verdana" w:cs="Verdana"/>
                <w:b/>
                <w:color w:val="000000"/>
                <w:sz w:val="16"/>
                <w:lang w:val="en-GB"/>
              </w:rPr>
              <w:t>20</w:t>
            </w:r>
          </w:p>
        </w:tc>
        <w:tc>
          <w:tcPr>
            <w:tcW w:w="180" w:type="dxa"/>
            <w:shd w:val="clear" w:color="auto" w:fill="auto"/>
            <w:tcMar>
              <w:top w:w="20" w:type="dxa"/>
              <w:left w:w="20" w:type="dxa"/>
              <w:bottom w:w="20" w:type="dxa"/>
              <w:right w:w="20" w:type="dxa"/>
            </w:tcMar>
            <w:vAlign w:val="bottom"/>
          </w:tcPr>
          <w:p w14:paraId="1D6DC3D0" w14:textId="77777777" w:rsidR="00F227D9" w:rsidRPr="00A96FCD" w:rsidRDefault="00F227D9">
            <w:pPr>
              <w:pStyle w:val="T1TableStyle"/>
              <w:jc w:val="center"/>
              <w:rPr>
                <w:rFonts w:ascii="Verdana" w:eastAsia="Verdana" w:hAnsi="Verdana" w:cs="Verdana"/>
                <w:b/>
                <w:color w:val="000000"/>
                <w:sz w:val="2"/>
                <w:lang w:val="en-GB"/>
              </w:rPr>
            </w:pPr>
            <w:r w:rsidRPr="00A96FCD">
              <w:rPr>
                <w:rFonts w:ascii="Verdana" w:eastAsia="Verdana" w:hAnsi="Verdana" w:cs="Verdana"/>
                <w:b/>
                <w:color w:val="000000"/>
                <w:sz w:val="2"/>
                <w:lang w:val="en-GB"/>
              </w:rPr>
              <w:t xml:space="preserve"> </w:t>
            </w:r>
          </w:p>
        </w:tc>
        <w:tc>
          <w:tcPr>
            <w:tcW w:w="2955" w:type="dxa"/>
            <w:shd w:val="clear" w:color="auto" w:fill="auto"/>
            <w:tcMar>
              <w:top w:w="20" w:type="dxa"/>
              <w:left w:w="20" w:type="dxa"/>
              <w:bottom w:w="20" w:type="dxa"/>
              <w:right w:w="20" w:type="dxa"/>
            </w:tcMar>
            <w:vAlign w:val="bottom"/>
          </w:tcPr>
          <w:p w14:paraId="16FDB6CA" w14:textId="77777777" w:rsidR="00F227D9" w:rsidRPr="00A96FCD" w:rsidRDefault="00F227D9">
            <w:pPr>
              <w:pStyle w:val="T1TableStyle"/>
              <w:jc w:val="center"/>
              <w:rPr>
                <w:rFonts w:ascii="Calibri" w:eastAsia="Calibri" w:hAnsi="Calibri" w:cs="Calibri"/>
                <w:color w:val="000000"/>
                <w:sz w:val="2"/>
                <w:lang w:val="en-GB"/>
              </w:rPr>
            </w:pPr>
            <w:r w:rsidRPr="00A96FCD">
              <w:rPr>
                <w:rFonts w:ascii="Calibri" w:eastAsia="Calibri" w:hAnsi="Calibri" w:cs="Calibri"/>
                <w:color w:val="000000"/>
                <w:sz w:val="2"/>
                <w:lang w:val="en-GB"/>
              </w:rPr>
              <w:t xml:space="preserve"> </w:t>
            </w:r>
          </w:p>
        </w:tc>
        <w:tc>
          <w:tcPr>
            <w:tcW w:w="1665" w:type="dxa"/>
            <w:shd w:val="clear" w:color="auto" w:fill="auto"/>
            <w:tcMar>
              <w:top w:w="20" w:type="dxa"/>
              <w:left w:w="20" w:type="dxa"/>
              <w:bottom w:w="20" w:type="dxa"/>
              <w:right w:w="20" w:type="dxa"/>
            </w:tcMar>
            <w:vAlign w:val="bottom"/>
          </w:tcPr>
          <w:p w14:paraId="1E5A2E04" w14:textId="77777777" w:rsidR="00F227D9" w:rsidRPr="00A96FCD" w:rsidRDefault="00F227D9" w:rsidP="00A57D3D">
            <w:pPr>
              <w:pStyle w:val="T1TableStyle"/>
              <w:jc w:val="center"/>
              <w:rPr>
                <w:rFonts w:ascii="Verdana" w:eastAsia="Verdana" w:hAnsi="Verdana" w:cs="Verdana"/>
                <w:b/>
                <w:color w:val="000000"/>
                <w:sz w:val="16"/>
                <w:lang w:val="en-GB"/>
              </w:rPr>
            </w:pPr>
            <w:r w:rsidRPr="00A96FCD">
              <w:rPr>
                <w:rFonts w:ascii="Verdana" w:eastAsia="Verdana" w:hAnsi="Verdana" w:cs="Verdana"/>
                <w:b/>
                <w:color w:val="000000"/>
                <w:sz w:val="16"/>
                <w:lang w:val="en-GB"/>
              </w:rPr>
              <w:t>31 March 202</w:t>
            </w:r>
            <w:r w:rsidR="00A57D3D" w:rsidRPr="00A96FCD">
              <w:rPr>
                <w:rFonts w:ascii="Verdana" w:eastAsia="Verdana" w:hAnsi="Verdana" w:cs="Verdana"/>
                <w:b/>
                <w:color w:val="000000"/>
                <w:sz w:val="16"/>
                <w:lang w:val="en-GB"/>
              </w:rPr>
              <w:t>1</w:t>
            </w:r>
          </w:p>
        </w:tc>
      </w:tr>
      <w:tr w:rsidR="0053376B" w:rsidRPr="00A96FCD" w14:paraId="1589F376" w14:textId="77777777" w:rsidTr="007D3C35">
        <w:trPr>
          <w:trHeight w:val="300"/>
          <w:jc w:val="center"/>
        </w:trPr>
        <w:tc>
          <w:tcPr>
            <w:tcW w:w="1665" w:type="dxa"/>
            <w:tcBorders>
              <w:bottom w:val="single" w:sz="2" w:space="0" w:color="000000"/>
            </w:tcBorders>
            <w:shd w:val="clear" w:color="auto" w:fill="auto"/>
            <w:tcMar>
              <w:top w:w="20" w:type="dxa"/>
              <w:left w:w="20" w:type="dxa"/>
              <w:bottom w:w="20" w:type="dxa"/>
              <w:right w:w="20" w:type="dxa"/>
            </w:tcMar>
          </w:tcPr>
          <w:p w14:paraId="2292BBD3" w14:textId="77777777" w:rsidR="00F227D9" w:rsidRPr="00A96FCD" w:rsidRDefault="00F227D9">
            <w:pPr>
              <w:pStyle w:val="T1TableStyle"/>
              <w:jc w:val="right"/>
              <w:rPr>
                <w:rFonts w:ascii="Verdana" w:eastAsia="Verdana" w:hAnsi="Verdana" w:cs="Verdana"/>
                <w:b/>
                <w:color w:val="000000"/>
                <w:sz w:val="16"/>
                <w:lang w:val="en-GB"/>
              </w:rPr>
            </w:pPr>
            <w:r w:rsidRPr="00A96FCD">
              <w:rPr>
                <w:rFonts w:ascii="Verdana" w:eastAsia="Verdana" w:hAnsi="Verdana" w:cs="Verdana"/>
                <w:b/>
                <w:color w:val="000000"/>
                <w:sz w:val="16"/>
                <w:lang w:val="en-GB"/>
              </w:rPr>
              <w:t>£000</w:t>
            </w:r>
          </w:p>
        </w:tc>
        <w:tc>
          <w:tcPr>
            <w:tcW w:w="180" w:type="dxa"/>
            <w:tcBorders>
              <w:bottom w:val="single" w:sz="2" w:space="0" w:color="000000"/>
            </w:tcBorders>
            <w:shd w:val="clear" w:color="auto" w:fill="auto"/>
            <w:tcMar>
              <w:top w:w="20" w:type="dxa"/>
              <w:left w:w="20" w:type="dxa"/>
              <w:bottom w:w="20" w:type="dxa"/>
              <w:right w:w="20" w:type="dxa"/>
            </w:tcMar>
          </w:tcPr>
          <w:p w14:paraId="723C5C8D" w14:textId="77777777" w:rsidR="00F227D9" w:rsidRPr="00A96FCD" w:rsidRDefault="00F227D9">
            <w:pPr>
              <w:pStyle w:val="T1TableStyle"/>
              <w:jc w:val="right"/>
              <w:rPr>
                <w:rFonts w:ascii="Verdana" w:eastAsia="Verdana" w:hAnsi="Verdana" w:cs="Verdana"/>
                <w:b/>
                <w:color w:val="000000"/>
                <w:sz w:val="2"/>
                <w:lang w:val="en-GB"/>
              </w:rPr>
            </w:pPr>
            <w:r w:rsidRPr="00A96FCD">
              <w:rPr>
                <w:rFonts w:ascii="Verdana" w:eastAsia="Verdana" w:hAnsi="Verdana" w:cs="Verdana"/>
                <w:b/>
                <w:color w:val="000000"/>
                <w:sz w:val="2"/>
                <w:lang w:val="en-GB"/>
              </w:rPr>
              <w:t xml:space="preserve"> </w:t>
            </w:r>
          </w:p>
        </w:tc>
        <w:tc>
          <w:tcPr>
            <w:tcW w:w="2955" w:type="dxa"/>
            <w:tcBorders>
              <w:bottom w:val="single" w:sz="2" w:space="0" w:color="000000"/>
            </w:tcBorders>
            <w:shd w:val="clear" w:color="auto" w:fill="auto"/>
            <w:tcMar>
              <w:top w:w="20" w:type="dxa"/>
              <w:left w:w="20" w:type="dxa"/>
              <w:bottom w:w="20" w:type="dxa"/>
              <w:right w:w="20" w:type="dxa"/>
            </w:tcMar>
          </w:tcPr>
          <w:p w14:paraId="10B77154" w14:textId="77777777" w:rsidR="00F227D9" w:rsidRPr="00A96FCD" w:rsidRDefault="00F227D9">
            <w:pPr>
              <w:pStyle w:val="T1TableStyle"/>
              <w:jc w:val="right"/>
              <w:rPr>
                <w:rFonts w:ascii="Verdana" w:eastAsia="Verdana" w:hAnsi="Verdana" w:cs="Verdana"/>
                <w:b/>
                <w:color w:val="000000"/>
                <w:sz w:val="2"/>
                <w:lang w:val="en-GB"/>
              </w:rPr>
            </w:pPr>
            <w:r w:rsidRPr="00A96FCD">
              <w:rPr>
                <w:rFonts w:ascii="Verdana" w:eastAsia="Verdana" w:hAnsi="Verdana" w:cs="Verdana"/>
                <w:b/>
                <w:color w:val="000000"/>
                <w:sz w:val="2"/>
                <w:lang w:val="en-GB"/>
              </w:rPr>
              <w:t xml:space="preserve"> </w:t>
            </w:r>
          </w:p>
        </w:tc>
        <w:tc>
          <w:tcPr>
            <w:tcW w:w="1665" w:type="dxa"/>
            <w:tcBorders>
              <w:bottom w:val="single" w:sz="2" w:space="0" w:color="000000"/>
            </w:tcBorders>
            <w:shd w:val="clear" w:color="auto" w:fill="auto"/>
            <w:tcMar>
              <w:top w:w="20" w:type="dxa"/>
              <w:left w:w="20" w:type="dxa"/>
              <w:bottom w:w="20" w:type="dxa"/>
              <w:right w:w="20" w:type="dxa"/>
            </w:tcMar>
          </w:tcPr>
          <w:p w14:paraId="688370C4" w14:textId="77777777" w:rsidR="00F227D9" w:rsidRPr="00A96FCD" w:rsidRDefault="00F227D9">
            <w:pPr>
              <w:pStyle w:val="T1TableStyle"/>
              <w:jc w:val="right"/>
              <w:rPr>
                <w:rFonts w:ascii="Verdana" w:eastAsia="Verdana" w:hAnsi="Verdana" w:cs="Verdana"/>
                <w:b/>
                <w:color w:val="000000"/>
                <w:sz w:val="16"/>
                <w:lang w:val="en-GB"/>
              </w:rPr>
            </w:pPr>
            <w:r w:rsidRPr="00A96FCD">
              <w:rPr>
                <w:rFonts w:ascii="Verdana" w:eastAsia="Verdana" w:hAnsi="Verdana" w:cs="Verdana"/>
                <w:b/>
                <w:color w:val="000000"/>
                <w:sz w:val="16"/>
                <w:lang w:val="en-GB"/>
              </w:rPr>
              <w:t>£000</w:t>
            </w:r>
          </w:p>
        </w:tc>
      </w:tr>
      <w:tr w:rsidR="00A57D3D" w:rsidRPr="00A96FCD" w14:paraId="152D1C30" w14:textId="77777777" w:rsidTr="007D3C35">
        <w:trPr>
          <w:trHeight w:val="300"/>
          <w:jc w:val="center"/>
        </w:trPr>
        <w:tc>
          <w:tcPr>
            <w:tcW w:w="1665" w:type="dxa"/>
            <w:shd w:val="clear" w:color="auto" w:fill="auto"/>
            <w:tcMar>
              <w:top w:w="20" w:type="dxa"/>
              <w:left w:w="20" w:type="dxa"/>
              <w:bottom w:w="20" w:type="dxa"/>
              <w:right w:w="20" w:type="dxa"/>
            </w:tcMar>
          </w:tcPr>
          <w:p w14:paraId="684DAAB1" w14:textId="77777777" w:rsidR="00A57D3D" w:rsidRPr="00A96FCD" w:rsidRDefault="00A57D3D" w:rsidP="00A57D3D">
            <w:pPr>
              <w:pStyle w:val="T1TableStyle"/>
              <w:jc w:val="right"/>
              <w:rPr>
                <w:rFonts w:ascii="Verdana" w:eastAsia="Verdana" w:hAnsi="Verdana" w:cs="Verdana"/>
                <w:color w:val="000000"/>
                <w:sz w:val="16"/>
                <w:lang w:val="en-GB"/>
              </w:rPr>
            </w:pPr>
            <w:r w:rsidRPr="00A96FCD">
              <w:rPr>
                <w:rFonts w:ascii="Verdana" w:eastAsia="Verdana" w:hAnsi="Verdana" w:cs="Verdana"/>
                <w:color w:val="000000"/>
                <w:sz w:val="16"/>
                <w:lang w:val="en-GB"/>
              </w:rPr>
              <w:t>(1,053)</w:t>
            </w:r>
          </w:p>
        </w:tc>
        <w:tc>
          <w:tcPr>
            <w:tcW w:w="180" w:type="dxa"/>
            <w:shd w:val="clear" w:color="auto" w:fill="auto"/>
            <w:tcMar>
              <w:top w:w="20" w:type="dxa"/>
              <w:left w:w="20" w:type="dxa"/>
              <w:bottom w:w="20" w:type="dxa"/>
              <w:right w:w="20" w:type="dxa"/>
            </w:tcMar>
          </w:tcPr>
          <w:p w14:paraId="069A2451" w14:textId="77777777" w:rsidR="00A57D3D" w:rsidRPr="00A96FCD" w:rsidRDefault="00A57D3D" w:rsidP="00A57D3D">
            <w:pPr>
              <w:pStyle w:val="T1TableStyle"/>
              <w:jc w:val="center"/>
              <w:rPr>
                <w:rFonts w:ascii="Verdana" w:eastAsia="Verdana" w:hAnsi="Verdana" w:cs="Verdana"/>
                <w:color w:val="000000"/>
                <w:sz w:val="2"/>
                <w:lang w:val="en-GB"/>
              </w:rPr>
            </w:pPr>
            <w:r w:rsidRPr="00A96FCD">
              <w:rPr>
                <w:rFonts w:ascii="Verdana" w:eastAsia="Verdana" w:hAnsi="Verdana" w:cs="Verdana"/>
                <w:color w:val="000000"/>
                <w:sz w:val="2"/>
                <w:lang w:val="en-GB"/>
              </w:rPr>
              <w:t xml:space="preserve"> </w:t>
            </w:r>
          </w:p>
        </w:tc>
        <w:tc>
          <w:tcPr>
            <w:tcW w:w="2955" w:type="dxa"/>
            <w:shd w:val="clear" w:color="auto" w:fill="auto"/>
            <w:tcMar>
              <w:top w:w="20" w:type="dxa"/>
              <w:left w:w="20" w:type="dxa"/>
              <w:bottom w:w="20" w:type="dxa"/>
              <w:right w:w="20" w:type="dxa"/>
            </w:tcMar>
          </w:tcPr>
          <w:p w14:paraId="626FECFF" w14:textId="77777777" w:rsidR="00A57D3D" w:rsidRPr="00A96FCD" w:rsidRDefault="00A57D3D" w:rsidP="00A57D3D">
            <w:pPr>
              <w:pStyle w:val="T1TableStyle"/>
              <w:rPr>
                <w:rFonts w:ascii="Verdana" w:eastAsia="Verdana" w:hAnsi="Verdana" w:cs="Verdana"/>
                <w:color w:val="000000"/>
                <w:sz w:val="16"/>
                <w:lang w:val="en-GB"/>
              </w:rPr>
            </w:pPr>
            <w:r w:rsidRPr="00A96FCD">
              <w:rPr>
                <w:rFonts w:ascii="Verdana" w:eastAsia="Verdana" w:hAnsi="Verdana" w:cs="Verdana"/>
                <w:color w:val="000000"/>
                <w:sz w:val="16"/>
                <w:lang w:val="en-GB"/>
              </w:rPr>
              <w:t>Other payables</w:t>
            </w:r>
          </w:p>
        </w:tc>
        <w:tc>
          <w:tcPr>
            <w:tcW w:w="1665" w:type="dxa"/>
            <w:shd w:val="clear" w:color="auto" w:fill="auto"/>
            <w:tcMar>
              <w:top w:w="20" w:type="dxa"/>
              <w:left w:w="20" w:type="dxa"/>
              <w:bottom w:w="20" w:type="dxa"/>
              <w:right w:w="20" w:type="dxa"/>
            </w:tcMar>
          </w:tcPr>
          <w:p w14:paraId="7AE3EDF7" w14:textId="77777777" w:rsidR="00A57D3D" w:rsidRPr="00A96FCD" w:rsidRDefault="00A96FCD" w:rsidP="00A57D3D">
            <w:pPr>
              <w:pStyle w:val="T1TableStyle"/>
              <w:jc w:val="right"/>
              <w:rPr>
                <w:rFonts w:ascii="Verdana" w:eastAsia="Verdana" w:hAnsi="Verdana" w:cs="Verdana"/>
                <w:color w:val="000000"/>
                <w:sz w:val="16"/>
                <w:lang w:val="en-GB"/>
              </w:rPr>
            </w:pPr>
            <w:r w:rsidRPr="00A96FCD">
              <w:rPr>
                <w:rFonts w:ascii="Verdana" w:eastAsia="Verdana" w:hAnsi="Verdana" w:cs="Verdana"/>
                <w:color w:val="000000"/>
                <w:sz w:val="16"/>
                <w:lang w:val="en-GB"/>
              </w:rPr>
              <w:t>(1,951)</w:t>
            </w:r>
          </w:p>
        </w:tc>
      </w:tr>
      <w:tr w:rsidR="00A57D3D" w:rsidRPr="00A96FCD" w14:paraId="25737C93" w14:textId="77777777" w:rsidTr="007D3C35">
        <w:trPr>
          <w:trHeight w:val="315"/>
          <w:jc w:val="center"/>
        </w:trPr>
        <w:tc>
          <w:tcPr>
            <w:tcW w:w="1665" w:type="dxa"/>
            <w:tcBorders>
              <w:top w:val="single" w:sz="2" w:space="0" w:color="000000"/>
              <w:bottom w:val="single" w:sz="12" w:space="0" w:color="000000"/>
            </w:tcBorders>
            <w:shd w:val="clear" w:color="auto" w:fill="auto"/>
            <w:tcMar>
              <w:top w:w="20" w:type="dxa"/>
              <w:left w:w="20" w:type="dxa"/>
              <w:bottom w:w="20" w:type="dxa"/>
              <w:right w:w="20" w:type="dxa"/>
            </w:tcMar>
          </w:tcPr>
          <w:p w14:paraId="7E9F0FDC" w14:textId="77777777" w:rsidR="00A57D3D" w:rsidRPr="00A96FCD" w:rsidRDefault="00A57D3D" w:rsidP="00A57D3D">
            <w:pPr>
              <w:pStyle w:val="T1TableStyle"/>
              <w:jc w:val="right"/>
              <w:rPr>
                <w:rFonts w:ascii="Verdana" w:eastAsia="Verdana" w:hAnsi="Verdana" w:cs="Verdana"/>
                <w:b/>
                <w:color w:val="000000"/>
                <w:sz w:val="16"/>
                <w:lang w:val="en-GB"/>
              </w:rPr>
            </w:pPr>
            <w:r w:rsidRPr="00A96FCD">
              <w:rPr>
                <w:rFonts w:ascii="Verdana" w:eastAsia="Verdana" w:hAnsi="Verdana" w:cs="Verdana"/>
                <w:b/>
                <w:color w:val="000000"/>
                <w:sz w:val="16"/>
                <w:lang w:val="en-GB"/>
              </w:rPr>
              <w:t>(1,053)</w:t>
            </w:r>
          </w:p>
        </w:tc>
        <w:tc>
          <w:tcPr>
            <w:tcW w:w="180" w:type="dxa"/>
            <w:tcBorders>
              <w:top w:val="single" w:sz="2" w:space="0" w:color="000000"/>
              <w:bottom w:val="single" w:sz="12" w:space="0" w:color="000000"/>
            </w:tcBorders>
            <w:shd w:val="clear" w:color="auto" w:fill="auto"/>
            <w:tcMar>
              <w:top w:w="20" w:type="dxa"/>
              <w:left w:w="20" w:type="dxa"/>
              <w:bottom w:w="20" w:type="dxa"/>
              <w:right w:w="20" w:type="dxa"/>
            </w:tcMar>
          </w:tcPr>
          <w:p w14:paraId="3730747E" w14:textId="77777777" w:rsidR="00A57D3D" w:rsidRPr="00A96FCD" w:rsidRDefault="00A57D3D" w:rsidP="00A57D3D">
            <w:pPr>
              <w:pStyle w:val="T1TableStyle"/>
              <w:jc w:val="center"/>
              <w:rPr>
                <w:rFonts w:ascii="Verdana" w:eastAsia="Verdana" w:hAnsi="Verdana" w:cs="Verdana"/>
                <w:b/>
                <w:color w:val="000000"/>
                <w:sz w:val="2"/>
                <w:lang w:val="en-GB"/>
              </w:rPr>
            </w:pPr>
            <w:r w:rsidRPr="00A96FCD">
              <w:rPr>
                <w:rFonts w:ascii="Verdana" w:eastAsia="Verdana" w:hAnsi="Verdana" w:cs="Verdana"/>
                <w:b/>
                <w:color w:val="000000"/>
                <w:sz w:val="2"/>
                <w:lang w:val="en-GB"/>
              </w:rPr>
              <w:t xml:space="preserve"> </w:t>
            </w:r>
          </w:p>
        </w:tc>
        <w:tc>
          <w:tcPr>
            <w:tcW w:w="2955" w:type="dxa"/>
            <w:tcBorders>
              <w:top w:val="single" w:sz="2" w:space="0" w:color="000000"/>
              <w:bottom w:val="single" w:sz="12" w:space="0" w:color="000000"/>
            </w:tcBorders>
            <w:shd w:val="clear" w:color="auto" w:fill="auto"/>
            <w:tcMar>
              <w:top w:w="20" w:type="dxa"/>
              <w:left w:w="20" w:type="dxa"/>
              <w:bottom w:w="20" w:type="dxa"/>
              <w:right w:w="20" w:type="dxa"/>
            </w:tcMar>
          </w:tcPr>
          <w:p w14:paraId="58F1CC21" w14:textId="77777777" w:rsidR="00A57D3D" w:rsidRPr="00A96FCD" w:rsidRDefault="00A57D3D" w:rsidP="00A57D3D">
            <w:pPr>
              <w:pStyle w:val="T1TableStyle"/>
              <w:rPr>
                <w:rFonts w:ascii="Verdana" w:eastAsia="Verdana" w:hAnsi="Verdana" w:cs="Verdana"/>
                <w:b/>
                <w:color w:val="000000"/>
                <w:sz w:val="16"/>
                <w:lang w:val="en-GB"/>
              </w:rPr>
            </w:pPr>
            <w:r w:rsidRPr="00A96FCD">
              <w:rPr>
                <w:rFonts w:ascii="Verdana" w:eastAsia="Verdana" w:hAnsi="Verdana" w:cs="Verdana"/>
                <w:b/>
                <w:color w:val="000000"/>
                <w:sz w:val="16"/>
                <w:lang w:val="en-GB"/>
              </w:rPr>
              <w:t>Total Creditors</w:t>
            </w:r>
          </w:p>
        </w:tc>
        <w:tc>
          <w:tcPr>
            <w:tcW w:w="1665" w:type="dxa"/>
            <w:tcBorders>
              <w:top w:val="single" w:sz="2" w:space="0" w:color="000000"/>
              <w:bottom w:val="single" w:sz="12" w:space="0" w:color="000000"/>
            </w:tcBorders>
            <w:shd w:val="clear" w:color="auto" w:fill="auto"/>
            <w:tcMar>
              <w:top w:w="20" w:type="dxa"/>
              <w:left w:w="20" w:type="dxa"/>
              <w:bottom w:w="20" w:type="dxa"/>
              <w:right w:w="20" w:type="dxa"/>
            </w:tcMar>
          </w:tcPr>
          <w:p w14:paraId="4F30FD55" w14:textId="77777777" w:rsidR="00A57D3D" w:rsidRPr="00A96FCD" w:rsidRDefault="00A96FCD" w:rsidP="00A57D3D">
            <w:pPr>
              <w:pStyle w:val="T1TableStyle"/>
              <w:jc w:val="right"/>
              <w:rPr>
                <w:rFonts w:ascii="Verdana" w:eastAsia="Verdana" w:hAnsi="Verdana" w:cs="Verdana"/>
                <w:b/>
                <w:color w:val="000000"/>
                <w:sz w:val="16"/>
                <w:lang w:val="en-GB"/>
              </w:rPr>
            </w:pPr>
            <w:r w:rsidRPr="00A96FCD">
              <w:rPr>
                <w:rFonts w:ascii="Verdana" w:eastAsia="Verdana" w:hAnsi="Verdana" w:cs="Verdana"/>
                <w:b/>
                <w:color w:val="000000"/>
                <w:sz w:val="16"/>
                <w:lang w:val="en-GB"/>
              </w:rPr>
              <w:t>(1,951)</w:t>
            </w:r>
          </w:p>
        </w:tc>
      </w:tr>
    </w:tbl>
    <w:p w14:paraId="5A7ECCF2" w14:textId="77777777" w:rsidR="00F227D9" w:rsidRPr="00A96FCD" w:rsidRDefault="00F227D9">
      <w:pPr>
        <w:pStyle w:val="T1TableStyle"/>
        <w:rPr>
          <w:rFonts w:ascii="Verdana" w:eastAsia="Verdana" w:hAnsi="Verdana" w:cs="Verdana"/>
          <w:sz w:val="22"/>
          <w:lang w:val="en-GB"/>
        </w:rPr>
      </w:pPr>
    </w:p>
    <w:p w14:paraId="4D894CEF" w14:textId="77777777" w:rsidR="00F227D9" w:rsidRPr="00A96FCD" w:rsidRDefault="00F227D9">
      <w:pPr>
        <w:pStyle w:val="Normal0"/>
        <w:spacing w:after="160"/>
        <w:rPr>
          <w:rFonts w:ascii="Verdana" w:eastAsia="Verdana" w:hAnsi="Verdana" w:cs="Verdana"/>
          <w:sz w:val="22"/>
          <w:szCs w:val="22"/>
          <w:lang w:val="en-GB"/>
        </w:rPr>
      </w:pPr>
      <w:r w:rsidRPr="00A96FCD">
        <w:rPr>
          <w:rFonts w:ascii="Verdana" w:eastAsia="Verdana" w:hAnsi="Verdana" w:cs="Verdana"/>
          <w:sz w:val="22"/>
          <w:szCs w:val="22"/>
          <w:lang w:val="en-GB"/>
        </w:rPr>
        <w:t>This creditor relates to the Accumulated Absences Reserve.</w:t>
      </w:r>
    </w:p>
    <w:p w14:paraId="275951AE" w14:textId="77777777" w:rsidR="00F227D9" w:rsidRPr="00DC1077" w:rsidRDefault="00F227D9">
      <w:pPr>
        <w:pStyle w:val="Normal0"/>
        <w:spacing w:after="160"/>
        <w:rPr>
          <w:rFonts w:ascii="Verdana" w:hAnsi="Verdana"/>
          <w:sz w:val="22"/>
          <w:szCs w:val="22"/>
          <w:highlight w:val="yellow"/>
          <w:lang w:val="en-GB"/>
        </w:rPr>
      </w:pPr>
    </w:p>
    <w:p w14:paraId="289F466C" w14:textId="77777777" w:rsidR="00F227D9" w:rsidRPr="00436BA4" w:rsidRDefault="00F227D9" w:rsidP="00F227D9">
      <w:pPr>
        <w:pStyle w:val="Heading1"/>
        <w:spacing w:line="259" w:lineRule="auto"/>
        <w:rPr>
          <w:lang w:val="pt-BR"/>
        </w:rPr>
      </w:pPr>
      <w:bookmarkStart w:id="19" w:name="_Toc77095570"/>
      <w:r w:rsidRPr="00436BA4">
        <w:rPr>
          <w:lang w:val="pt-BR"/>
        </w:rPr>
        <w:t>Note 11 - Provisions</w:t>
      </w:r>
      <w:bookmarkEnd w:id="19"/>
    </w:p>
    <w:p w14:paraId="015D5848" w14:textId="77777777" w:rsidR="00F227D9" w:rsidRPr="00436BA4" w:rsidRDefault="00F227D9" w:rsidP="00F227D9">
      <w:pPr>
        <w:pStyle w:val="Normal0"/>
        <w:spacing w:after="160" w:line="259" w:lineRule="auto"/>
        <w:rPr>
          <w:rFonts w:ascii="Verdana" w:hAnsi="Verdana"/>
          <w:sz w:val="22"/>
          <w:szCs w:val="22"/>
          <w:lang w:val="pt-BR"/>
        </w:rPr>
      </w:pPr>
    </w:p>
    <w:p w14:paraId="75107AB9" w14:textId="77777777" w:rsidR="00F227D9" w:rsidRDefault="00F227D9" w:rsidP="00F227D9">
      <w:pPr>
        <w:pStyle w:val="Normal0"/>
        <w:spacing w:line="240" w:lineRule="auto"/>
        <w:rPr>
          <w:rFonts w:ascii="Verdana" w:eastAsia="Calibri" w:hAnsi="Verdana" w:cs="Arial"/>
          <w:sz w:val="22"/>
          <w:szCs w:val="22"/>
          <w:lang w:val="pt-BR"/>
        </w:rPr>
      </w:pPr>
      <w:r w:rsidRPr="00436BA4">
        <w:rPr>
          <w:rFonts w:ascii="Verdana" w:eastAsia="Calibri" w:hAnsi="Verdana" w:cs="Arial"/>
          <w:sz w:val="22"/>
          <w:szCs w:val="22"/>
          <w:lang w:val="pt-BR"/>
        </w:rPr>
        <w:t>Provisions held at 31 March 20</w:t>
      </w:r>
      <w:r w:rsidR="00436BA4" w:rsidRPr="00436BA4">
        <w:rPr>
          <w:rFonts w:ascii="Verdana" w:eastAsia="Calibri" w:hAnsi="Verdana" w:cs="Arial"/>
          <w:sz w:val="22"/>
          <w:szCs w:val="22"/>
          <w:lang w:val="pt-BR"/>
        </w:rPr>
        <w:t>21</w:t>
      </w:r>
      <w:r w:rsidRPr="00436BA4">
        <w:rPr>
          <w:rFonts w:ascii="Verdana" w:eastAsia="Calibri" w:hAnsi="Verdana" w:cs="Arial"/>
          <w:sz w:val="22"/>
          <w:szCs w:val="22"/>
          <w:lang w:val="pt-BR"/>
        </w:rPr>
        <w:t xml:space="preserve"> are as follows: </w:t>
      </w:r>
    </w:p>
    <w:p w14:paraId="144110BC" w14:textId="77777777" w:rsidR="005F0609" w:rsidRPr="00436BA4" w:rsidRDefault="005F0609" w:rsidP="00F227D9">
      <w:pPr>
        <w:pStyle w:val="Normal0"/>
        <w:spacing w:line="240" w:lineRule="auto"/>
        <w:rPr>
          <w:rFonts w:ascii="Verdana" w:hAnsi="Verdana"/>
          <w:sz w:val="22"/>
          <w:szCs w:val="22"/>
          <w:lang w:val="pt-BR"/>
        </w:rPr>
      </w:pPr>
    </w:p>
    <w:tbl>
      <w:tblPr>
        <w:tblW w:w="0" w:type="auto"/>
        <w:jc w:val="center"/>
        <w:tblLayout w:type="fixed"/>
        <w:tblLook w:val="04A0" w:firstRow="1" w:lastRow="0" w:firstColumn="1" w:lastColumn="0" w:noHBand="0" w:noVBand="1"/>
      </w:tblPr>
      <w:tblGrid>
        <w:gridCol w:w="3498"/>
        <w:gridCol w:w="2661"/>
      </w:tblGrid>
      <w:tr w:rsidR="0053376B" w:rsidRPr="00436BA4" w14:paraId="206D6E36" w14:textId="77777777" w:rsidTr="008810EB">
        <w:trPr>
          <w:trHeight w:val="186"/>
          <w:jc w:val="center"/>
        </w:trPr>
        <w:tc>
          <w:tcPr>
            <w:tcW w:w="3498" w:type="dxa"/>
            <w:shd w:val="clear" w:color="auto" w:fill="auto"/>
            <w:tcMar>
              <w:top w:w="20" w:type="dxa"/>
              <w:left w:w="20" w:type="dxa"/>
              <w:bottom w:w="20" w:type="dxa"/>
              <w:right w:w="20" w:type="dxa"/>
            </w:tcMar>
            <w:vAlign w:val="bottom"/>
          </w:tcPr>
          <w:p w14:paraId="1F2BAF2D" w14:textId="77777777" w:rsidR="0053376B" w:rsidRPr="00436BA4" w:rsidRDefault="00F227D9" w:rsidP="00F227D9">
            <w:pPr>
              <w:pStyle w:val="T1TableStyle"/>
              <w:rPr>
                <w:rFonts w:ascii="Verdana" w:eastAsia="Verdana" w:hAnsi="Verdana" w:cs="Verdana"/>
                <w:b/>
                <w:color w:val="000000"/>
                <w:szCs w:val="22"/>
                <w:lang w:val="en-GB"/>
              </w:rPr>
            </w:pPr>
            <w:r w:rsidRPr="00436BA4">
              <w:rPr>
                <w:rFonts w:ascii="Verdana" w:eastAsia="Verdana" w:hAnsi="Verdana" w:cs="Verdana"/>
                <w:b/>
                <w:color w:val="000000"/>
                <w:szCs w:val="22"/>
                <w:lang w:val="en-GB"/>
              </w:rPr>
              <w:t>Current Provisions</w:t>
            </w:r>
          </w:p>
        </w:tc>
        <w:tc>
          <w:tcPr>
            <w:tcW w:w="2661" w:type="dxa"/>
            <w:shd w:val="clear" w:color="auto" w:fill="auto"/>
            <w:tcMar>
              <w:top w:w="20" w:type="dxa"/>
              <w:left w:w="20" w:type="dxa"/>
              <w:bottom w:w="20" w:type="dxa"/>
              <w:right w:w="20" w:type="dxa"/>
            </w:tcMar>
            <w:vAlign w:val="bottom"/>
          </w:tcPr>
          <w:p w14:paraId="69EC11A2" w14:textId="77777777" w:rsidR="0053376B" w:rsidRPr="00436BA4" w:rsidRDefault="00F227D9" w:rsidP="00F227D9">
            <w:pPr>
              <w:pStyle w:val="T1TableStyle"/>
              <w:jc w:val="center"/>
              <w:rPr>
                <w:rFonts w:ascii="Verdana" w:eastAsia="Verdana" w:hAnsi="Verdana" w:cs="Verdana"/>
                <w:color w:val="000000"/>
                <w:sz w:val="2"/>
                <w:szCs w:val="22"/>
                <w:lang w:val="en-GB"/>
              </w:rPr>
            </w:pPr>
            <w:r w:rsidRPr="00436BA4">
              <w:rPr>
                <w:rFonts w:ascii="Verdana" w:eastAsia="Verdana" w:hAnsi="Verdana" w:cs="Verdana"/>
                <w:color w:val="000000"/>
                <w:sz w:val="2"/>
                <w:szCs w:val="22"/>
                <w:lang w:val="en-GB"/>
              </w:rPr>
              <w:t xml:space="preserve"> </w:t>
            </w:r>
          </w:p>
        </w:tc>
      </w:tr>
      <w:tr w:rsidR="0053376B" w:rsidRPr="00436BA4" w14:paraId="4945000F" w14:textId="77777777" w:rsidTr="008810EB">
        <w:trPr>
          <w:trHeight w:hRule="exact" w:val="219"/>
          <w:jc w:val="center"/>
        </w:trPr>
        <w:tc>
          <w:tcPr>
            <w:tcW w:w="3498" w:type="dxa"/>
            <w:shd w:val="clear" w:color="auto" w:fill="auto"/>
            <w:tcMar>
              <w:top w:w="20" w:type="dxa"/>
              <w:left w:w="20" w:type="dxa"/>
              <w:bottom w:w="20" w:type="dxa"/>
              <w:right w:w="20" w:type="dxa"/>
            </w:tcMar>
            <w:vAlign w:val="bottom"/>
          </w:tcPr>
          <w:p w14:paraId="2129D8D9" w14:textId="77777777" w:rsidR="0053376B" w:rsidRPr="00436BA4" w:rsidRDefault="00F227D9" w:rsidP="00F227D9">
            <w:pPr>
              <w:pStyle w:val="T1TableStyle"/>
              <w:jc w:val="center"/>
              <w:rPr>
                <w:rFonts w:ascii="Verdana" w:eastAsia="Verdana" w:hAnsi="Verdana" w:cs="Verdana"/>
                <w:color w:val="000000"/>
                <w:sz w:val="2"/>
                <w:szCs w:val="22"/>
                <w:lang w:val="en-GB"/>
              </w:rPr>
            </w:pPr>
            <w:r w:rsidRPr="00436BA4">
              <w:rPr>
                <w:rFonts w:ascii="Verdana" w:eastAsia="Verdana" w:hAnsi="Verdana" w:cs="Verdana"/>
                <w:color w:val="000000"/>
                <w:sz w:val="2"/>
                <w:szCs w:val="22"/>
                <w:lang w:val="en-GB"/>
              </w:rPr>
              <w:t xml:space="preserve"> </w:t>
            </w:r>
          </w:p>
        </w:tc>
        <w:tc>
          <w:tcPr>
            <w:tcW w:w="2661" w:type="dxa"/>
            <w:shd w:val="clear" w:color="auto" w:fill="auto"/>
            <w:tcMar>
              <w:top w:w="20" w:type="dxa"/>
              <w:left w:w="20" w:type="dxa"/>
              <w:bottom w:w="20" w:type="dxa"/>
              <w:right w:w="20" w:type="dxa"/>
            </w:tcMar>
            <w:vAlign w:val="bottom"/>
          </w:tcPr>
          <w:p w14:paraId="5D70BE65" w14:textId="77777777" w:rsidR="0053376B" w:rsidRPr="00436BA4" w:rsidRDefault="00F227D9" w:rsidP="00F227D9">
            <w:pPr>
              <w:pStyle w:val="T1TableStyle"/>
              <w:jc w:val="center"/>
              <w:rPr>
                <w:rFonts w:ascii="Verdana" w:eastAsia="Verdana" w:hAnsi="Verdana" w:cs="Verdana"/>
                <w:color w:val="000000"/>
                <w:sz w:val="2"/>
                <w:szCs w:val="22"/>
                <w:lang w:val="en-GB"/>
              </w:rPr>
            </w:pPr>
            <w:r w:rsidRPr="00436BA4">
              <w:rPr>
                <w:rFonts w:ascii="Verdana" w:eastAsia="Verdana" w:hAnsi="Verdana" w:cs="Verdana"/>
                <w:color w:val="000000"/>
                <w:sz w:val="2"/>
                <w:szCs w:val="22"/>
                <w:lang w:val="en-GB"/>
              </w:rPr>
              <w:t xml:space="preserve"> </w:t>
            </w:r>
          </w:p>
        </w:tc>
      </w:tr>
      <w:tr w:rsidR="0053376B" w:rsidRPr="00436BA4" w14:paraId="37C23191" w14:textId="77777777" w:rsidTr="008810EB">
        <w:trPr>
          <w:trHeight w:val="372"/>
          <w:jc w:val="center"/>
        </w:trPr>
        <w:tc>
          <w:tcPr>
            <w:tcW w:w="3498" w:type="dxa"/>
            <w:shd w:val="clear" w:color="auto" w:fill="auto"/>
            <w:tcMar>
              <w:top w:w="20" w:type="dxa"/>
              <w:left w:w="20" w:type="dxa"/>
              <w:bottom w:w="20" w:type="dxa"/>
              <w:right w:w="20" w:type="dxa"/>
            </w:tcMar>
            <w:vAlign w:val="bottom"/>
          </w:tcPr>
          <w:p w14:paraId="77201158" w14:textId="77777777" w:rsidR="0053376B" w:rsidRPr="00436BA4" w:rsidRDefault="00436BA4" w:rsidP="00F227D9">
            <w:pPr>
              <w:pStyle w:val="T1TableStyle"/>
              <w:rPr>
                <w:rFonts w:ascii="Verdana" w:eastAsia="Verdana" w:hAnsi="Verdana" w:cs="Verdana"/>
                <w:b/>
                <w:color w:val="000000"/>
                <w:szCs w:val="22"/>
                <w:lang w:val="en-GB"/>
              </w:rPr>
            </w:pPr>
            <w:r w:rsidRPr="00436BA4">
              <w:rPr>
                <w:rFonts w:ascii="Verdana" w:eastAsia="Verdana" w:hAnsi="Verdana" w:cs="Verdana"/>
                <w:b/>
                <w:color w:val="000000"/>
                <w:szCs w:val="22"/>
                <w:lang w:val="en-GB"/>
              </w:rPr>
              <w:t>2020/21</w:t>
            </w:r>
          </w:p>
        </w:tc>
        <w:tc>
          <w:tcPr>
            <w:tcW w:w="2661" w:type="dxa"/>
            <w:shd w:val="clear" w:color="auto" w:fill="auto"/>
            <w:tcMar>
              <w:top w:w="20" w:type="dxa"/>
              <w:left w:w="20" w:type="dxa"/>
              <w:bottom w:w="20" w:type="dxa"/>
              <w:right w:w="20" w:type="dxa"/>
            </w:tcMar>
            <w:vAlign w:val="bottom"/>
          </w:tcPr>
          <w:p w14:paraId="24464B44" w14:textId="77777777" w:rsidR="0053376B" w:rsidRPr="00436BA4" w:rsidRDefault="00F227D9" w:rsidP="00F227D9">
            <w:pPr>
              <w:pStyle w:val="T1TableStyle"/>
              <w:jc w:val="center"/>
              <w:rPr>
                <w:rFonts w:ascii="Verdana" w:eastAsia="Verdana" w:hAnsi="Verdana" w:cs="Verdana"/>
                <w:b/>
                <w:color w:val="000000"/>
                <w:sz w:val="16"/>
                <w:szCs w:val="22"/>
                <w:lang w:val="en-GB"/>
              </w:rPr>
            </w:pPr>
            <w:r w:rsidRPr="00436BA4">
              <w:rPr>
                <w:rFonts w:ascii="Verdana" w:eastAsia="Verdana" w:hAnsi="Verdana" w:cs="Verdana"/>
                <w:b/>
                <w:color w:val="000000"/>
                <w:sz w:val="16"/>
                <w:szCs w:val="22"/>
                <w:lang w:val="en-GB"/>
              </w:rPr>
              <w:t>Restructuring Provision</w:t>
            </w:r>
          </w:p>
        </w:tc>
      </w:tr>
      <w:tr w:rsidR="0053376B" w:rsidRPr="00436BA4" w14:paraId="389A026E" w14:textId="77777777" w:rsidTr="008810EB">
        <w:trPr>
          <w:trHeight w:val="219"/>
          <w:jc w:val="center"/>
        </w:trPr>
        <w:tc>
          <w:tcPr>
            <w:tcW w:w="3498" w:type="dxa"/>
            <w:tcBorders>
              <w:bottom w:val="single" w:sz="2" w:space="0" w:color="000000"/>
            </w:tcBorders>
            <w:shd w:val="clear" w:color="auto" w:fill="auto"/>
            <w:tcMar>
              <w:top w:w="20" w:type="dxa"/>
              <w:left w:w="20" w:type="dxa"/>
              <w:bottom w:w="20" w:type="dxa"/>
              <w:right w:w="20" w:type="dxa"/>
            </w:tcMar>
          </w:tcPr>
          <w:p w14:paraId="2FF4548E" w14:textId="77777777" w:rsidR="0053376B" w:rsidRPr="00436BA4" w:rsidRDefault="00F227D9" w:rsidP="00F227D9">
            <w:pPr>
              <w:pStyle w:val="T1TableStyle"/>
              <w:jc w:val="center"/>
              <w:rPr>
                <w:rFonts w:ascii="Verdana" w:eastAsia="Verdana" w:hAnsi="Verdana" w:cs="Verdana"/>
                <w:color w:val="000000"/>
                <w:sz w:val="2"/>
                <w:szCs w:val="22"/>
                <w:lang w:val="en-GB"/>
              </w:rPr>
            </w:pPr>
            <w:r w:rsidRPr="00436BA4">
              <w:rPr>
                <w:rFonts w:ascii="Verdana" w:eastAsia="Verdana" w:hAnsi="Verdana" w:cs="Verdana"/>
                <w:color w:val="000000"/>
                <w:sz w:val="2"/>
                <w:szCs w:val="22"/>
                <w:lang w:val="en-GB"/>
              </w:rPr>
              <w:t xml:space="preserve"> </w:t>
            </w:r>
          </w:p>
        </w:tc>
        <w:tc>
          <w:tcPr>
            <w:tcW w:w="2661" w:type="dxa"/>
            <w:tcBorders>
              <w:bottom w:val="single" w:sz="2" w:space="0" w:color="000000"/>
            </w:tcBorders>
            <w:shd w:val="clear" w:color="auto" w:fill="auto"/>
            <w:tcMar>
              <w:top w:w="20" w:type="dxa"/>
              <w:left w:w="20" w:type="dxa"/>
              <w:bottom w:w="20" w:type="dxa"/>
              <w:right w:w="20" w:type="dxa"/>
            </w:tcMar>
            <w:vAlign w:val="bottom"/>
          </w:tcPr>
          <w:p w14:paraId="4B5C8CFF" w14:textId="77777777" w:rsidR="0053376B" w:rsidRPr="00436BA4" w:rsidRDefault="00F227D9" w:rsidP="00F227D9">
            <w:pPr>
              <w:pStyle w:val="T1TableStyle"/>
              <w:jc w:val="right"/>
              <w:rPr>
                <w:rFonts w:ascii="Verdana" w:eastAsia="Verdana" w:hAnsi="Verdana" w:cs="Verdana"/>
                <w:b/>
                <w:color w:val="000000"/>
                <w:sz w:val="16"/>
                <w:szCs w:val="22"/>
                <w:lang w:val="en-GB"/>
              </w:rPr>
            </w:pPr>
            <w:r w:rsidRPr="00436BA4">
              <w:rPr>
                <w:rFonts w:ascii="Verdana" w:eastAsia="Verdana" w:hAnsi="Verdana" w:cs="Verdana"/>
                <w:b/>
                <w:color w:val="000000"/>
                <w:sz w:val="16"/>
                <w:szCs w:val="22"/>
                <w:lang w:val="en-GB"/>
              </w:rPr>
              <w:t>£000</w:t>
            </w:r>
          </w:p>
        </w:tc>
      </w:tr>
      <w:tr w:rsidR="0053376B" w:rsidRPr="00436BA4" w14:paraId="18D3F565" w14:textId="77777777" w:rsidTr="008810EB">
        <w:trPr>
          <w:trHeight w:val="164"/>
          <w:jc w:val="center"/>
        </w:trPr>
        <w:tc>
          <w:tcPr>
            <w:tcW w:w="3498" w:type="dxa"/>
            <w:shd w:val="clear" w:color="auto" w:fill="auto"/>
            <w:tcMar>
              <w:top w:w="20" w:type="dxa"/>
              <w:left w:w="20" w:type="dxa"/>
              <w:bottom w:w="20" w:type="dxa"/>
              <w:right w:w="20" w:type="dxa"/>
            </w:tcMar>
          </w:tcPr>
          <w:p w14:paraId="075C101A" w14:textId="77777777" w:rsidR="0053376B" w:rsidRPr="00436BA4" w:rsidRDefault="00F227D9" w:rsidP="00F227D9">
            <w:pPr>
              <w:pStyle w:val="T1TableStyle"/>
              <w:rPr>
                <w:rFonts w:ascii="Verdana" w:eastAsia="Verdana" w:hAnsi="Verdana" w:cs="Verdana"/>
                <w:color w:val="000000"/>
                <w:sz w:val="16"/>
                <w:szCs w:val="22"/>
                <w:lang w:val="en-GB"/>
              </w:rPr>
            </w:pPr>
            <w:r w:rsidRPr="00436BA4">
              <w:rPr>
                <w:rFonts w:ascii="Verdana" w:eastAsia="Verdana" w:hAnsi="Verdana" w:cs="Verdana"/>
                <w:color w:val="000000"/>
                <w:sz w:val="16"/>
                <w:szCs w:val="22"/>
                <w:lang w:val="en-GB"/>
              </w:rPr>
              <w:t>Opening Balance</w:t>
            </w:r>
          </w:p>
        </w:tc>
        <w:tc>
          <w:tcPr>
            <w:tcW w:w="2661" w:type="dxa"/>
            <w:shd w:val="clear" w:color="auto" w:fill="auto"/>
            <w:tcMar>
              <w:top w:w="20" w:type="dxa"/>
              <w:left w:w="20" w:type="dxa"/>
              <w:bottom w:w="20" w:type="dxa"/>
              <w:right w:w="20" w:type="dxa"/>
            </w:tcMar>
          </w:tcPr>
          <w:p w14:paraId="71E27CA0" w14:textId="77777777" w:rsidR="0053376B" w:rsidRPr="00436BA4" w:rsidRDefault="00F227D9" w:rsidP="00F227D9">
            <w:pPr>
              <w:pStyle w:val="T1TableStyle"/>
              <w:jc w:val="right"/>
              <w:rPr>
                <w:rFonts w:ascii="Verdana" w:eastAsia="Verdana" w:hAnsi="Verdana" w:cs="Verdana"/>
                <w:color w:val="000000"/>
                <w:sz w:val="16"/>
                <w:szCs w:val="22"/>
                <w:lang w:val="en-GB"/>
              </w:rPr>
            </w:pPr>
            <w:r w:rsidRPr="00436BA4">
              <w:rPr>
                <w:rFonts w:ascii="Verdana" w:eastAsia="Verdana" w:hAnsi="Verdana" w:cs="Verdana"/>
                <w:color w:val="000000"/>
                <w:sz w:val="16"/>
                <w:szCs w:val="22"/>
                <w:lang w:val="en-GB"/>
              </w:rPr>
              <w:t>(110)</w:t>
            </w:r>
          </w:p>
        </w:tc>
      </w:tr>
      <w:tr w:rsidR="0053376B" w:rsidRPr="00436BA4" w14:paraId="2366974F" w14:textId="77777777" w:rsidTr="008810EB">
        <w:trPr>
          <w:trHeight w:val="460"/>
          <w:jc w:val="center"/>
        </w:trPr>
        <w:tc>
          <w:tcPr>
            <w:tcW w:w="3498" w:type="dxa"/>
            <w:shd w:val="clear" w:color="auto" w:fill="auto"/>
            <w:tcMar>
              <w:top w:w="20" w:type="dxa"/>
              <w:left w:w="20" w:type="dxa"/>
              <w:bottom w:w="20" w:type="dxa"/>
              <w:right w:w="20" w:type="dxa"/>
            </w:tcMar>
          </w:tcPr>
          <w:p w14:paraId="1679F37E" w14:textId="77777777" w:rsidR="0053376B" w:rsidRPr="00436BA4" w:rsidRDefault="00F227D9" w:rsidP="00F227D9">
            <w:pPr>
              <w:pStyle w:val="T1TableStyle"/>
              <w:rPr>
                <w:rFonts w:ascii="Verdana" w:eastAsia="Verdana" w:hAnsi="Verdana" w:cs="Verdana"/>
                <w:color w:val="000000"/>
                <w:sz w:val="16"/>
                <w:szCs w:val="22"/>
                <w:lang w:val="en-GB"/>
              </w:rPr>
            </w:pPr>
            <w:r w:rsidRPr="00436BA4">
              <w:rPr>
                <w:rFonts w:ascii="Verdana" w:eastAsia="Verdana" w:hAnsi="Verdana" w:cs="Verdana"/>
                <w:color w:val="000000"/>
                <w:sz w:val="16"/>
                <w:szCs w:val="22"/>
                <w:lang w:val="en-GB"/>
              </w:rPr>
              <w:t>Increase in provision during year</w:t>
            </w:r>
          </w:p>
        </w:tc>
        <w:tc>
          <w:tcPr>
            <w:tcW w:w="2661" w:type="dxa"/>
            <w:shd w:val="clear" w:color="auto" w:fill="auto"/>
            <w:tcMar>
              <w:top w:w="20" w:type="dxa"/>
              <w:left w:w="20" w:type="dxa"/>
              <w:bottom w:w="20" w:type="dxa"/>
              <w:right w:w="20" w:type="dxa"/>
            </w:tcMar>
          </w:tcPr>
          <w:p w14:paraId="5F7EED68" w14:textId="77777777" w:rsidR="0053376B" w:rsidRPr="00436BA4" w:rsidRDefault="00F227D9" w:rsidP="00F227D9">
            <w:pPr>
              <w:pStyle w:val="T1TableStyle"/>
              <w:jc w:val="right"/>
              <w:rPr>
                <w:rFonts w:ascii="Verdana" w:eastAsia="Verdana" w:hAnsi="Verdana" w:cs="Verdana"/>
                <w:color w:val="000000"/>
                <w:sz w:val="16"/>
                <w:szCs w:val="22"/>
                <w:lang w:val="en-GB"/>
              </w:rPr>
            </w:pPr>
            <w:r w:rsidRPr="00436BA4">
              <w:rPr>
                <w:rFonts w:ascii="Verdana" w:eastAsia="Verdana" w:hAnsi="Verdana" w:cs="Verdana"/>
                <w:color w:val="000000"/>
                <w:sz w:val="16"/>
                <w:szCs w:val="22"/>
                <w:lang w:val="en-GB"/>
              </w:rPr>
              <w:t>0</w:t>
            </w:r>
          </w:p>
        </w:tc>
      </w:tr>
      <w:tr w:rsidR="0053376B" w:rsidRPr="00436BA4" w14:paraId="37648673" w14:textId="77777777" w:rsidTr="008810EB">
        <w:trPr>
          <w:trHeight w:val="306"/>
          <w:jc w:val="center"/>
        </w:trPr>
        <w:tc>
          <w:tcPr>
            <w:tcW w:w="3498" w:type="dxa"/>
            <w:shd w:val="clear" w:color="auto" w:fill="auto"/>
            <w:tcMar>
              <w:top w:w="20" w:type="dxa"/>
              <w:left w:w="20" w:type="dxa"/>
              <w:bottom w:w="20" w:type="dxa"/>
              <w:right w:w="20" w:type="dxa"/>
            </w:tcMar>
          </w:tcPr>
          <w:p w14:paraId="31C77416" w14:textId="77777777" w:rsidR="0053376B" w:rsidRPr="00436BA4" w:rsidRDefault="00F227D9" w:rsidP="00F227D9">
            <w:pPr>
              <w:pStyle w:val="T1TableStyle"/>
              <w:rPr>
                <w:rFonts w:ascii="Verdana" w:eastAsia="Verdana" w:hAnsi="Verdana" w:cs="Verdana"/>
                <w:color w:val="000000"/>
                <w:sz w:val="16"/>
                <w:szCs w:val="22"/>
                <w:lang w:val="en-GB"/>
              </w:rPr>
            </w:pPr>
            <w:r w:rsidRPr="00436BA4">
              <w:rPr>
                <w:rFonts w:ascii="Verdana" w:eastAsia="Verdana" w:hAnsi="Verdana" w:cs="Verdana"/>
                <w:color w:val="000000"/>
                <w:sz w:val="16"/>
                <w:szCs w:val="22"/>
                <w:lang w:val="en-GB"/>
              </w:rPr>
              <w:t>Utilised during year</w:t>
            </w:r>
          </w:p>
        </w:tc>
        <w:tc>
          <w:tcPr>
            <w:tcW w:w="2661" w:type="dxa"/>
            <w:shd w:val="clear" w:color="auto" w:fill="auto"/>
            <w:tcMar>
              <w:top w:w="20" w:type="dxa"/>
              <w:left w:w="20" w:type="dxa"/>
              <w:bottom w:w="20" w:type="dxa"/>
              <w:right w:w="20" w:type="dxa"/>
            </w:tcMar>
          </w:tcPr>
          <w:p w14:paraId="4BBD4749" w14:textId="77777777" w:rsidR="0053376B" w:rsidRPr="00436BA4" w:rsidRDefault="00F227D9" w:rsidP="00F227D9">
            <w:pPr>
              <w:pStyle w:val="T1TableStyle"/>
              <w:jc w:val="right"/>
              <w:rPr>
                <w:rFonts w:ascii="Verdana" w:eastAsia="Verdana" w:hAnsi="Verdana" w:cs="Verdana"/>
                <w:color w:val="000000"/>
                <w:sz w:val="16"/>
                <w:szCs w:val="22"/>
                <w:lang w:val="en-GB"/>
              </w:rPr>
            </w:pPr>
            <w:r w:rsidRPr="00436BA4">
              <w:rPr>
                <w:rFonts w:ascii="Verdana" w:eastAsia="Verdana" w:hAnsi="Verdana" w:cs="Verdana"/>
                <w:color w:val="000000"/>
                <w:sz w:val="16"/>
                <w:szCs w:val="22"/>
                <w:lang w:val="en-GB"/>
              </w:rPr>
              <w:t>0</w:t>
            </w:r>
          </w:p>
        </w:tc>
      </w:tr>
      <w:tr w:rsidR="004D57BE" w:rsidRPr="00436BA4" w14:paraId="5A55AE0C" w14:textId="77777777" w:rsidTr="004D57BE">
        <w:trPr>
          <w:trHeight w:val="117"/>
          <w:jc w:val="center"/>
        </w:trPr>
        <w:tc>
          <w:tcPr>
            <w:tcW w:w="3498" w:type="dxa"/>
            <w:tcBorders>
              <w:top w:val="single" w:sz="2" w:space="0" w:color="000000"/>
              <w:bottom w:val="single" w:sz="12" w:space="0" w:color="000000"/>
            </w:tcBorders>
            <w:shd w:val="clear" w:color="auto" w:fill="auto"/>
            <w:tcMar>
              <w:top w:w="20" w:type="dxa"/>
              <w:left w:w="20" w:type="dxa"/>
              <w:bottom w:w="20" w:type="dxa"/>
              <w:right w:w="20" w:type="dxa"/>
            </w:tcMar>
            <w:vAlign w:val="bottom"/>
          </w:tcPr>
          <w:p w14:paraId="2686B5D5" w14:textId="77777777" w:rsidR="004D57BE" w:rsidRPr="00436BA4" w:rsidRDefault="004D57BE" w:rsidP="004D57BE">
            <w:pPr>
              <w:pStyle w:val="T1TableStyle"/>
              <w:rPr>
                <w:rFonts w:ascii="Verdana" w:eastAsia="Verdana" w:hAnsi="Verdana" w:cs="Verdana"/>
                <w:b/>
                <w:color w:val="000000"/>
                <w:sz w:val="16"/>
                <w:szCs w:val="22"/>
                <w:lang w:val="en-GB"/>
              </w:rPr>
            </w:pPr>
            <w:r w:rsidRPr="00436BA4">
              <w:rPr>
                <w:rFonts w:ascii="Verdana" w:eastAsia="Verdana" w:hAnsi="Verdana" w:cs="Verdana"/>
                <w:b/>
                <w:color w:val="000000"/>
                <w:sz w:val="16"/>
                <w:szCs w:val="22"/>
                <w:lang w:val="en-GB"/>
              </w:rPr>
              <w:t>Closing Balance</w:t>
            </w:r>
          </w:p>
        </w:tc>
        <w:tc>
          <w:tcPr>
            <w:tcW w:w="2661" w:type="dxa"/>
            <w:tcBorders>
              <w:top w:val="single" w:sz="2" w:space="0" w:color="000000"/>
              <w:bottom w:val="single" w:sz="12" w:space="0" w:color="000000"/>
            </w:tcBorders>
            <w:shd w:val="clear" w:color="auto" w:fill="auto"/>
            <w:tcMar>
              <w:top w:w="20" w:type="dxa"/>
              <w:left w:w="20" w:type="dxa"/>
              <w:bottom w:w="20" w:type="dxa"/>
              <w:right w:w="20" w:type="dxa"/>
            </w:tcMar>
            <w:vAlign w:val="bottom"/>
          </w:tcPr>
          <w:p w14:paraId="18FA6DDE" w14:textId="77777777" w:rsidR="004D57BE" w:rsidRPr="00436BA4" w:rsidRDefault="004D57BE" w:rsidP="004D57BE">
            <w:pPr>
              <w:pStyle w:val="T1TableStyle"/>
              <w:jc w:val="right"/>
              <w:rPr>
                <w:rFonts w:ascii="Verdana" w:eastAsia="Verdana" w:hAnsi="Verdana" w:cs="Verdana"/>
                <w:b/>
                <w:color w:val="000000"/>
                <w:sz w:val="16"/>
                <w:szCs w:val="22"/>
                <w:lang w:val="en-GB"/>
              </w:rPr>
            </w:pPr>
            <w:r w:rsidRPr="00436BA4">
              <w:rPr>
                <w:rFonts w:ascii="Verdana" w:eastAsia="Verdana" w:hAnsi="Verdana" w:cs="Verdana"/>
                <w:b/>
                <w:color w:val="000000"/>
                <w:sz w:val="16"/>
                <w:szCs w:val="22"/>
                <w:lang w:val="en-GB"/>
              </w:rPr>
              <w:t>(110)</w:t>
            </w:r>
          </w:p>
        </w:tc>
      </w:tr>
      <w:tr w:rsidR="004D57BE" w:rsidRPr="00436BA4" w14:paraId="4508B6AC" w14:textId="77777777" w:rsidTr="008810EB">
        <w:trPr>
          <w:trHeight w:val="372"/>
          <w:jc w:val="center"/>
        </w:trPr>
        <w:tc>
          <w:tcPr>
            <w:tcW w:w="3498" w:type="dxa"/>
            <w:shd w:val="clear" w:color="auto" w:fill="auto"/>
            <w:tcMar>
              <w:top w:w="20" w:type="dxa"/>
              <w:left w:w="20" w:type="dxa"/>
              <w:bottom w:w="20" w:type="dxa"/>
              <w:right w:w="20" w:type="dxa"/>
            </w:tcMar>
            <w:vAlign w:val="bottom"/>
          </w:tcPr>
          <w:p w14:paraId="7A3F1967" w14:textId="77777777" w:rsidR="00514B3B" w:rsidRDefault="00514B3B" w:rsidP="004D57BE">
            <w:pPr>
              <w:pStyle w:val="T1TableStyle"/>
              <w:rPr>
                <w:rFonts w:ascii="Verdana" w:eastAsia="Verdana" w:hAnsi="Verdana" w:cs="Verdana"/>
                <w:b/>
                <w:color w:val="000000"/>
                <w:szCs w:val="22"/>
                <w:lang w:val="en-GB"/>
              </w:rPr>
            </w:pPr>
          </w:p>
          <w:p w14:paraId="3675D086" w14:textId="77777777" w:rsidR="004D57BE" w:rsidRPr="00436BA4" w:rsidRDefault="004D57BE" w:rsidP="004D57BE">
            <w:pPr>
              <w:pStyle w:val="T1TableStyle"/>
              <w:rPr>
                <w:rFonts w:ascii="Verdana" w:eastAsia="Verdana" w:hAnsi="Verdana" w:cs="Verdana"/>
                <w:b/>
                <w:color w:val="000000"/>
                <w:szCs w:val="22"/>
                <w:lang w:val="en-GB"/>
              </w:rPr>
            </w:pPr>
            <w:r w:rsidRPr="00436BA4">
              <w:rPr>
                <w:rFonts w:ascii="Verdana" w:eastAsia="Verdana" w:hAnsi="Verdana" w:cs="Verdana"/>
                <w:b/>
                <w:color w:val="000000"/>
                <w:szCs w:val="22"/>
                <w:lang w:val="en-GB"/>
              </w:rPr>
              <w:t>2019/20</w:t>
            </w:r>
          </w:p>
        </w:tc>
        <w:tc>
          <w:tcPr>
            <w:tcW w:w="2661" w:type="dxa"/>
            <w:shd w:val="clear" w:color="auto" w:fill="auto"/>
            <w:tcMar>
              <w:top w:w="20" w:type="dxa"/>
              <w:left w:w="20" w:type="dxa"/>
              <w:bottom w:w="20" w:type="dxa"/>
              <w:right w:w="20" w:type="dxa"/>
            </w:tcMar>
            <w:vAlign w:val="bottom"/>
          </w:tcPr>
          <w:p w14:paraId="60CD74DA" w14:textId="77777777" w:rsidR="004D57BE" w:rsidRPr="00436BA4" w:rsidRDefault="004D57BE" w:rsidP="004D57BE">
            <w:pPr>
              <w:pStyle w:val="T1TableStyle"/>
              <w:jc w:val="center"/>
              <w:rPr>
                <w:rFonts w:ascii="Verdana" w:eastAsia="Verdana" w:hAnsi="Verdana" w:cs="Verdana"/>
                <w:b/>
                <w:color w:val="000000"/>
                <w:sz w:val="16"/>
                <w:szCs w:val="22"/>
                <w:lang w:val="en-GB"/>
              </w:rPr>
            </w:pPr>
            <w:r w:rsidRPr="00436BA4">
              <w:rPr>
                <w:rFonts w:ascii="Verdana" w:eastAsia="Verdana" w:hAnsi="Verdana" w:cs="Verdana"/>
                <w:b/>
                <w:color w:val="000000"/>
                <w:sz w:val="16"/>
                <w:szCs w:val="22"/>
                <w:lang w:val="en-GB"/>
              </w:rPr>
              <w:t>Restructuring Provision</w:t>
            </w:r>
          </w:p>
        </w:tc>
      </w:tr>
      <w:tr w:rsidR="004D57BE" w:rsidRPr="00436BA4" w14:paraId="0A1395C2" w14:textId="77777777" w:rsidTr="008810EB">
        <w:trPr>
          <w:trHeight w:val="219"/>
          <w:jc w:val="center"/>
        </w:trPr>
        <w:tc>
          <w:tcPr>
            <w:tcW w:w="3498" w:type="dxa"/>
            <w:tcBorders>
              <w:bottom w:val="single" w:sz="2" w:space="0" w:color="000000"/>
            </w:tcBorders>
            <w:shd w:val="clear" w:color="auto" w:fill="auto"/>
            <w:tcMar>
              <w:top w:w="20" w:type="dxa"/>
              <w:left w:w="20" w:type="dxa"/>
              <w:bottom w:w="20" w:type="dxa"/>
              <w:right w:w="20" w:type="dxa"/>
            </w:tcMar>
          </w:tcPr>
          <w:p w14:paraId="7A54B867" w14:textId="77777777" w:rsidR="004D57BE" w:rsidRPr="00436BA4" w:rsidRDefault="004D57BE" w:rsidP="004D57BE">
            <w:pPr>
              <w:pStyle w:val="T1TableStyle"/>
              <w:jc w:val="center"/>
              <w:rPr>
                <w:rFonts w:ascii="Verdana" w:eastAsia="Verdana" w:hAnsi="Verdana" w:cs="Verdana"/>
                <w:color w:val="000000"/>
                <w:sz w:val="2"/>
                <w:szCs w:val="22"/>
                <w:lang w:val="en-GB"/>
              </w:rPr>
            </w:pPr>
            <w:r w:rsidRPr="00436BA4">
              <w:rPr>
                <w:rFonts w:ascii="Verdana" w:eastAsia="Verdana" w:hAnsi="Verdana" w:cs="Verdana"/>
                <w:color w:val="000000"/>
                <w:sz w:val="2"/>
                <w:szCs w:val="22"/>
                <w:lang w:val="en-GB"/>
              </w:rPr>
              <w:t xml:space="preserve"> </w:t>
            </w:r>
          </w:p>
        </w:tc>
        <w:tc>
          <w:tcPr>
            <w:tcW w:w="2661" w:type="dxa"/>
            <w:tcBorders>
              <w:bottom w:val="single" w:sz="2" w:space="0" w:color="000000"/>
            </w:tcBorders>
            <w:shd w:val="clear" w:color="auto" w:fill="auto"/>
            <w:tcMar>
              <w:top w:w="20" w:type="dxa"/>
              <w:left w:w="20" w:type="dxa"/>
              <w:bottom w:w="20" w:type="dxa"/>
              <w:right w:w="20" w:type="dxa"/>
            </w:tcMar>
            <w:vAlign w:val="bottom"/>
          </w:tcPr>
          <w:p w14:paraId="1F33320B" w14:textId="77777777" w:rsidR="004D57BE" w:rsidRPr="00436BA4" w:rsidRDefault="004D57BE" w:rsidP="004D57BE">
            <w:pPr>
              <w:pStyle w:val="T1TableStyle"/>
              <w:jc w:val="right"/>
              <w:rPr>
                <w:rFonts w:ascii="Verdana" w:eastAsia="Verdana" w:hAnsi="Verdana" w:cs="Verdana"/>
                <w:b/>
                <w:color w:val="000000"/>
                <w:sz w:val="16"/>
                <w:szCs w:val="22"/>
                <w:lang w:val="en-GB"/>
              </w:rPr>
            </w:pPr>
            <w:r w:rsidRPr="00436BA4">
              <w:rPr>
                <w:rFonts w:ascii="Verdana" w:eastAsia="Verdana" w:hAnsi="Verdana" w:cs="Verdana"/>
                <w:b/>
                <w:color w:val="000000"/>
                <w:sz w:val="16"/>
                <w:szCs w:val="22"/>
                <w:lang w:val="en-GB"/>
              </w:rPr>
              <w:t>£000</w:t>
            </w:r>
          </w:p>
        </w:tc>
      </w:tr>
      <w:tr w:rsidR="004D57BE" w:rsidRPr="00436BA4" w14:paraId="74BCC66F" w14:textId="77777777" w:rsidTr="008810EB">
        <w:trPr>
          <w:trHeight w:val="164"/>
          <w:jc w:val="center"/>
        </w:trPr>
        <w:tc>
          <w:tcPr>
            <w:tcW w:w="3498" w:type="dxa"/>
            <w:shd w:val="clear" w:color="auto" w:fill="auto"/>
            <w:tcMar>
              <w:top w:w="20" w:type="dxa"/>
              <w:left w:w="20" w:type="dxa"/>
              <w:bottom w:w="20" w:type="dxa"/>
              <w:right w:w="20" w:type="dxa"/>
            </w:tcMar>
          </w:tcPr>
          <w:p w14:paraId="2C64EB13" w14:textId="77777777" w:rsidR="004D57BE" w:rsidRPr="00436BA4" w:rsidRDefault="004D57BE" w:rsidP="004D57BE">
            <w:pPr>
              <w:pStyle w:val="T1TableStyle"/>
              <w:rPr>
                <w:rFonts w:ascii="Verdana" w:eastAsia="Verdana" w:hAnsi="Verdana" w:cs="Verdana"/>
                <w:color w:val="000000"/>
                <w:sz w:val="16"/>
                <w:szCs w:val="22"/>
                <w:lang w:val="en-GB"/>
              </w:rPr>
            </w:pPr>
            <w:r w:rsidRPr="00436BA4">
              <w:rPr>
                <w:rFonts w:ascii="Verdana" w:eastAsia="Verdana" w:hAnsi="Verdana" w:cs="Verdana"/>
                <w:color w:val="000000"/>
                <w:sz w:val="16"/>
                <w:szCs w:val="22"/>
                <w:lang w:val="en-GB"/>
              </w:rPr>
              <w:t>Opening Balance</w:t>
            </w:r>
          </w:p>
        </w:tc>
        <w:tc>
          <w:tcPr>
            <w:tcW w:w="2661" w:type="dxa"/>
            <w:shd w:val="clear" w:color="auto" w:fill="auto"/>
            <w:tcMar>
              <w:top w:w="20" w:type="dxa"/>
              <w:left w:w="20" w:type="dxa"/>
              <w:bottom w:w="20" w:type="dxa"/>
              <w:right w:w="20" w:type="dxa"/>
            </w:tcMar>
          </w:tcPr>
          <w:p w14:paraId="369B0933" w14:textId="77777777" w:rsidR="004D57BE" w:rsidRPr="00436BA4" w:rsidRDefault="004D57BE" w:rsidP="004D57BE">
            <w:pPr>
              <w:pStyle w:val="T1TableStyle"/>
              <w:jc w:val="right"/>
              <w:rPr>
                <w:rFonts w:ascii="Verdana" w:eastAsia="Verdana" w:hAnsi="Verdana" w:cs="Verdana"/>
                <w:color w:val="000000"/>
                <w:sz w:val="16"/>
                <w:szCs w:val="22"/>
                <w:lang w:val="en-GB"/>
              </w:rPr>
            </w:pPr>
            <w:r w:rsidRPr="00436BA4">
              <w:rPr>
                <w:rFonts w:ascii="Verdana" w:eastAsia="Verdana" w:hAnsi="Verdana" w:cs="Verdana"/>
                <w:color w:val="000000"/>
                <w:sz w:val="16"/>
                <w:szCs w:val="22"/>
                <w:lang w:val="en-GB"/>
              </w:rPr>
              <w:t>(110)</w:t>
            </w:r>
          </w:p>
        </w:tc>
      </w:tr>
      <w:tr w:rsidR="004D57BE" w:rsidRPr="00436BA4" w14:paraId="0C3434A0" w14:textId="77777777" w:rsidTr="008810EB">
        <w:trPr>
          <w:trHeight w:val="460"/>
          <w:jc w:val="center"/>
        </w:trPr>
        <w:tc>
          <w:tcPr>
            <w:tcW w:w="3498" w:type="dxa"/>
            <w:shd w:val="clear" w:color="auto" w:fill="auto"/>
            <w:tcMar>
              <w:top w:w="20" w:type="dxa"/>
              <w:left w:w="20" w:type="dxa"/>
              <w:bottom w:w="20" w:type="dxa"/>
              <w:right w:w="20" w:type="dxa"/>
            </w:tcMar>
          </w:tcPr>
          <w:p w14:paraId="09159986" w14:textId="77777777" w:rsidR="004D57BE" w:rsidRPr="00436BA4" w:rsidRDefault="004D57BE" w:rsidP="004D57BE">
            <w:pPr>
              <w:pStyle w:val="T1TableStyle"/>
              <w:rPr>
                <w:rFonts w:ascii="Verdana" w:eastAsia="Verdana" w:hAnsi="Verdana" w:cs="Verdana"/>
                <w:color w:val="000000"/>
                <w:sz w:val="16"/>
                <w:szCs w:val="22"/>
                <w:lang w:val="en-GB"/>
              </w:rPr>
            </w:pPr>
            <w:r w:rsidRPr="00436BA4">
              <w:rPr>
                <w:rFonts w:ascii="Verdana" w:eastAsia="Verdana" w:hAnsi="Verdana" w:cs="Verdana"/>
                <w:color w:val="000000"/>
                <w:sz w:val="16"/>
                <w:szCs w:val="22"/>
                <w:lang w:val="en-GB"/>
              </w:rPr>
              <w:t>Increase in provision during year</w:t>
            </w:r>
          </w:p>
        </w:tc>
        <w:tc>
          <w:tcPr>
            <w:tcW w:w="2661" w:type="dxa"/>
            <w:shd w:val="clear" w:color="auto" w:fill="auto"/>
            <w:tcMar>
              <w:top w:w="20" w:type="dxa"/>
              <w:left w:w="20" w:type="dxa"/>
              <w:bottom w:w="20" w:type="dxa"/>
              <w:right w:w="20" w:type="dxa"/>
            </w:tcMar>
          </w:tcPr>
          <w:p w14:paraId="1CAF4D46" w14:textId="77777777" w:rsidR="004D57BE" w:rsidRPr="00436BA4" w:rsidRDefault="004D57BE" w:rsidP="004D57BE">
            <w:pPr>
              <w:pStyle w:val="T1TableStyle"/>
              <w:jc w:val="right"/>
              <w:rPr>
                <w:rFonts w:ascii="Verdana" w:eastAsia="Verdana" w:hAnsi="Verdana" w:cs="Verdana"/>
                <w:color w:val="000000"/>
                <w:sz w:val="16"/>
                <w:szCs w:val="22"/>
                <w:lang w:val="en-GB"/>
              </w:rPr>
            </w:pPr>
            <w:r w:rsidRPr="00436BA4">
              <w:rPr>
                <w:rFonts w:ascii="Verdana" w:eastAsia="Verdana" w:hAnsi="Verdana" w:cs="Verdana"/>
                <w:color w:val="000000"/>
                <w:sz w:val="16"/>
                <w:szCs w:val="22"/>
                <w:lang w:val="en-GB"/>
              </w:rPr>
              <w:t>0</w:t>
            </w:r>
          </w:p>
        </w:tc>
      </w:tr>
      <w:tr w:rsidR="004D57BE" w:rsidRPr="00436BA4" w14:paraId="15C81A21" w14:textId="77777777" w:rsidTr="008810EB">
        <w:trPr>
          <w:trHeight w:val="306"/>
          <w:jc w:val="center"/>
        </w:trPr>
        <w:tc>
          <w:tcPr>
            <w:tcW w:w="3498" w:type="dxa"/>
            <w:shd w:val="clear" w:color="auto" w:fill="auto"/>
            <w:tcMar>
              <w:top w:w="20" w:type="dxa"/>
              <w:left w:w="20" w:type="dxa"/>
              <w:bottom w:w="20" w:type="dxa"/>
              <w:right w:w="20" w:type="dxa"/>
            </w:tcMar>
          </w:tcPr>
          <w:p w14:paraId="49D38876" w14:textId="77777777" w:rsidR="004D57BE" w:rsidRPr="00436BA4" w:rsidRDefault="004D57BE" w:rsidP="004D57BE">
            <w:pPr>
              <w:pStyle w:val="T1TableStyle"/>
              <w:rPr>
                <w:rFonts w:ascii="Verdana" w:eastAsia="Verdana" w:hAnsi="Verdana" w:cs="Verdana"/>
                <w:color w:val="000000"/>
                <w:sz w:val="16"/>
                <w:szCs w:val="22"/>
                <w:lang w:val="en-GB"/>
              </w:rPr>
            </w:pPr>
            <w:r w:rsidRPr="00436BA4">
              <w:rPr>
                <w:rFonts w:ascii="Verdana" w:eastAsia="Verdana" w:hAnsi="Verdana" w:cs="Verdana"/>
                <w:color w:val="000000"/>
                <w:sz w:val="16"/>
                <w:szCs w:val="22"/>
                <w:lang w:val="en-GB"/>
              </w:rPr>
              <w:t>Utilised during year</w:t>
            </w:r>
          </w:p>
        </w:tc>
        <w:tc>
          <w:tcPr>
            <w:tcW w:w="2661" w:type="dxa"/>
            <w:shd w:val="clear" w:color="auto" w:fill="auto"/>
            <w:tcMar>
              <w:top w:w="20" w:type="dxa"/>
              <w:left w:w="20" w:type="dxa"/>
              <w:bottom w:w="20" w:type="dxa"/>
              <w:right w:w="20" w:type="dxa"/>
            </w:tcMar>
          </w:tcPr>
          <w:p w14:paraId="5326E265" w14:textId="77777777" w:rsidR="004D57BE" w:rsidRPr="00436BA4" w:rsidRDefault="004D57BE" w:rsidP="004D57BE">
            <w:pPr>
              <w:pStyle w:val="T1TableStyle"/>
              <w:jc w:val="right"/>
              <w:rPr>
                <w:rFonts w:ascii="Verdana" w:eastAsia="Verdana" w:hAnsi="Verdana" w:cs="Verdana"/>
                <w:color w:val="000000"/>
                <w:sz w:val="16"/>
                <w:szCs w:val="22"/>
                <w:lang w:val="en-GB"/>
              </w:rPr>
            </w:pPr>
            <w:r w:rsidRPr="00436BA4">
              <w:rPr>
                <w:rFonts w:ascii="Verdana" w:eastAsia="Verdana" w:hAnsi="Verdana" w:cs="Verdana"/>
                <w:color w:val="000000"/>
                <w:sz w:val="16"/>
                <w:szCs w:val="22"/>
                <w:lang w:val="en-GB"/>
              </w:rPr>
              <w:t>0</w:t>
            </w:r>
          </w:p>
        </w:tc>
      </w:tr>
      <w:tr w:rsidR="004D57BE" w:rsidRPr="00DC1077" w14:paraId="2516F5FE" w14:textId="77777777" w:rsidTr="008810EB">
        <w:trPr>
          <w:trHeight w:val="230"/>
          <w:jc w:val="center"/>
        </w:trPr>
        <w:tc>
          <w:tcPr>
            <w:tcW w:w="3498" w:type="dxa"/>
            <w:tcBorders>
              <w:top w:val="single" w:sz="2" w:space="0" w:color="000000"/>
              <w:bottom w:val="single" w:sz="12" w:space="0" w:color="000000"/>
            </w:tcBorders>
            <w:shd w:val="clear" w:color="auto" w:fill="auto"/>
            <w:tcMar>
              <w:top w:w="20" w:type="dxa"/>
              <w:left w:w="20" w:type="dxa"/>
              <w:bottom w:w="20" w:type="dxa"/>
              <w:right w:w="20" w:type="dxa"/>
            </w:tcMar>
            <w:vAlign w:val="bottom"/>
          </w:tcPr>
          <w:p w14:paraId="389F2ADF" w14:textId="77777777" w:rsidR="004D57BE" w:rsidRPr="00436BA4" w:rsidRDefault="004D57BE" w:rsidP="004D57BE">
            <w:pPr>
              <w:pStyle w:val="T1TableStyle"/>
              <w:rPr>
                <w:rFonts w:ascii="Verdana" w:eastAsia="Verdana" w:hAnsi="Verdana" w:cs="Verdana"/>
                <w:b/>
                <w:color w:val="000000"/>
                <w:sz w:val="16"/>
                <w:szCs w:val="22"/>
                <w:lang w:val="en-GB"/>
              </w:rPr>
            </w:pPr>
            <w:r w:rsidRPr="00436BA4">
              <w:rPr>
                <w:rFonts w:ascii="Verdana" w:eastAsia="Verdana" w:hAnsi="Verdana" w:cs="Verdana"/>
                <w:b/>
                <w:color w:val="000000"/>
                <w:sz w:val="16"/>
                <w:szCs w:val="22"/>
                <w:lang w:val="en-GB"/>
              </w:rPr>
              <w:t>Closing Balance</w:t>
            </w:r>
          </w:p>
        </w:tc>
        <w:tc>
          <w:tcPr>
            <w:tcW w:w="2661" w:type="dxa"/>
            <w:tcBorders>
              <w:top w:val="single" w:sz="2" w:space="0" w:color="000000"/>
              <w:bottom w:val="single" w:sz="12" w:space="0" w:color="000000"/>
            </w:tcBorders>
            <w:shd w:val="clear" w:color="auto" w:fill="auto"/>
            <w:tcMar>
              <w:top w:w="20" w:type="dxa"/>
              <w:left w:w="20" w:type="dxa"/>
              <w:bottom w:w="20" w:type="dxa"/>
              <w:right w:w="20" w:type="dxa"/>
            </w:tcMar>
            <w:vAlign w:val="bottom"/>
          </w:tcPr>
          <w:p w14:paraId="4D3C8068" w14:textId="77777777" w:rsidR="004D57BE" w:rsidRPr="00436BA4" w:rsidRDefault="004D57BE" w:rsidP="004D57BE">
            <w:pPr>
              <w:pStyle w:val="T1TableStyle"/>
              <w:jc w:val="right"/>
              <w:rPr>
                <w:rFonts w:ascii="Verdana" w:eastAsia="Verdana" w:hAnsi="Verdana" w:cs="Verdana"/>
                <w:b/>
                <w:color w:val="000000"/>
                <w:sz w:val="16"/>
                <w:szCs w:val="22"/>
                <w:lang w:val="en-GB"/>
              </w:rPr>
            </w:pPr>
            <w:r w:rsidRPr="00436BA4">
              <w:rPr>
                <w:rFonts w:ascii="Verdana" w:eastAsia="Verdana" w:hAnsi="Verdana" w:cs="Verdana"/>
                <w:b/>
                <w:color w:val="000000"/>
                <w:sz w:val="16"/>
                <w:szCs w:val="22"/>
                <w:lang w:val="en-GB"/>
              </w:rPr>
              <w:t>(110)</w:t>
            </w:r>
          </w:p>
        </w:tc>
      </w:tr>
    </w:tbl>
    <w:p w14:paraId="7CE7CD70" w14:textId="77777777" w:rsidR="00F227D9" w:rsidRPr="00DC1077" w:rsidRDefault="00F227D9" w:rsidP="00F227D9">
      <w:pPr>
        <w:pStyle w:val="T1TableStyle"/>
        <w:rPr>
          <w:rFonts w:ascii="Verdana" w:hAnsi="Verdana"/>
          <w:sz w:val="22"/>
          <w:szCs w:val="22"/>
          <w:highlight w:val="yellow"/>
          <w:lang w:val="en-GB"/>
        </w:rPr>
      </w:pPr>
      <w:r w:rsidRPr="00DC1077">
        <w:rPr>
          <w:rFonts w:ascii="Verdana" w:eastAsia="Calibri" w:hAnsi="Verdana" w:cs="Arial"/>
          <w:sz w:val="22"/>
          <w:szCs w:val="22"/>
          <w:highlight w:val="yellow"/>
          <w:lang w:val="en-GB"/>
        </w:rPr>
        <w:t xml:space="preserve"> </w:t>
      </w:r>
    </w:p>
    <w:p w14:paraId="63C13C6B" w14:textId="77777777" w:rsidR="00F227D9" w:rsidRPr="005F0609" w:rsidRDefault="00F227D9" w:rsidP="008810EB">
      <w:pPr>
        <w:pStyle w:val="Normal0"/>
        <w:spacing w:line="240" w:lineRule="auto"/>
        <w:jc w:val="both"/>
        <w:rPr>
          <w:rFonts w:ascii="Verdana" w:hAnsi="Verdana"/>
          <w:sz w:val="22"/>
          <w:szCs w:val="22"/>
          <w:lang w:val="en-GB"/>
        </w:rPr>
      </w:pPr>
      <w:r w:rsidRPr="005F0609">
        <w:rPr>
          <w:rFonts w:ascii="Verdana" w:eastAsia="Calibri" w:hAnsi="Verdana" w:cs="Arial"/>
          <w:sz w:val="22"/>
          <w:szCs w:val="22"/>
          <w:lang w:val="en-GB"/>
        </w:rPr>
        <w:t>Restructuring Provision</w:t>
      </w:r>
    </w:p>
    <w:p w14:paraId="0737C318" w14:textId="77777777" w:rsidR="00F227D9" w:rsidRPr="005F0609" w:rsidRDefault="00F227D9" w:rsidP="008810EB">
      <w:pPr>
        <w:pStyle w:val="Normal0"/>
        <w:spacing w:line="240" w:lineRule="auto"/>
        <w:jc w:val="both"/>
        <w:rPr>
          <w:rFonts w:ascii="Verdana" w:hAnsi="Verdana"/>
          <w:sz w:val="22"/>
          <w:szCs w:val="22"/>
          <w:lang w:val="en-GB"/>
        </w:rPr>
      </w:pPr>
    </w:p>
    <w:p w14:paraId="01442A9E" w14:textId="77777777" w:rsidR="00F227D9" w:rsidRPr="005F0609" w:rsidRDefault="00F227D9" w:rsidP="008810EB">
      <w:pPr>
        <w:pStyle w:val="Normal0"/>
        <w:spacing w:line="240" w:lineRule="auto"/>
        <w:jc w:val="both"/>
        <w:rPr>
          <w:rFonts w:ascii="Verdana" w:hAnsi="Verdana"/>
          <w:sz w:val="22"/>
          <w:szCs w:val="22"/>
          <w:lang w:val="en-GB"/>
        </w:rPr>
      </w:pPr>
      <w:r w:rsidRPr="005F0609">
        <w:rPr>
          <w:rFonts w:ascii="Verdana" w:eastAsia="Calibri" w:hAnsi="Verdana" w:cs="Arial"/>
          <w:sz w:val="22"/>
          <w:szCs w:val="22"/>
          <w:lang w:val="en-GB"/>
        </w:rPr>
        <w:t>The restructuring provision has been created for restructuring costs in accordance with strategic change programmes that have formal plans or supporting business cases as at 31 March 20</w:t>
      </w:r>
      <w:r w:rsidR="005F0609" w:rsidRPr="005F0609">
        <w:rPr>
          <w:rFonts w:ascii="Verdana" w:eastAsia="Calibri" w:hAnsi="Verdana" w:cs="Arial"/>
          <w:sz w:val="22"/>
          <w:szCs w:val="22"/>
          <w:lang w:val="en-GB"/>
        </w:rPr>
        <w:t>21</w:t>
      </w:r>
      <w:r w:rsidRPr="005F0609">
        <w:rPr>
          <w:rFonts w:ascii="Verdana" w:eastAsia="Calibri" w:hAnsi="Verdana" w:cs="Arial"/>
          <w:sz w:val="22"/>
          <w:szCs w:val="22"/>
          <w:lang w:val="en-GB"/>
        </w:rPr>
        <w:t xml:space="preserve">. These change programmes are either in the process of being implemented or </w:t>
      </w:r>
      <w:r w:rsidR="008810EB" w:rsidRPr="005F0609">
        <w:rPr>
          <w:rFonts w:ascii="Verdana" w:eastAsia="Calibri" w:hAnsi="Verdana" w:cs="Arial"/>
          <w:sz w:val="22"/>
          <w:szCs w:val="22"/>
          <w:lang w:val="en-GB"/>
        </w:rPr>
        <w:t>are planned to</w:t>
      </w:r>
      <w:r w:rsidRPr="005F0609">
        <w:rPr>
          <w:rFonts w:ascii="Verdana" w:eastAsia="Calibri" w:hAnsi="Verdana" w:cs="Arial"/>
          <w:sz w:val="22"/>
          <w:szCs w:val="22"/>
          <w:lang w:val="en-GB"/>
        </w:rPr>
        <w:t xml:space="preserve"> be implemented during 20</w:t>
      </w:r>
      <w:r w:rsidR="005F0609" w:rsidRPr="005F0609">
        <w:rPr>
          <w:rFonts w:ascii="Verdana" w:eastAsia="Calibri" w:hAnsi="Verdana" w:cs="Arial"/>
          <w:sz w:val="22"/>
          <w:szCs w:val="22"/>
          <w:lang w:val="en-GB"/>
        </w:rPr>
        <w:t>21</w:t>
      </w:r>
      <w:r w:rsidRPr="005F0609">
        <w:rPr>
          <w:rFonts w:ascii="Verdana" w:eastAsia="Calibri" w:hAnsi="Verdana" w:cs="Arial"/>
          <w:sz w:val="22"/>
          <w:szCs w:val="22"/>
          <w:lang w:val="en-GB"/>
        </w:rPr>
        <w:t>/2</w:t>
      </w:r>
      <w:r w:rsidR="005F0609" w:rsidRPr="005F0609">
        <w:rPr>
          <w:rFonts w:ascii="Verdana" w:eastAsia="Calibri" w:hAnsi="Verdana" w:cs="Arial"/>
          <w:sz w:val="22"/>
          <w:szCs w:val="22"/>
          <w:lang w:val="en-GB"/>
        </w:rPr>
        <w:t>2</w:t>
      </w:r>
      <w:r w:rsidRPr="005F0609">
        <w:rPr>
          <w:rFonts w:ascii="Verdana" w:eastAsia="Calibri" w:hAnsi="Verdana" w:cs="Arial"/>
          <w:sz w:val="22"/>
          <w:szCs w:val="22"/>
          <w:lang w:val="en-GB"/>
        </w:rPr>
        <w:t>.</w:t>
      </w:r>
    </w:p>
    <w:p w14:paraId="2F239A09" w14:textId="77777777" w:rsidR="00F227D9" w:rsidRPr="00DC1077" w:rsidRDefault="00F227D9" w:rsidP="00F227D9">
      <w:pPr>
        <w:pStyle w:val="Normal0"/>
        <w:spacing w:line="240" w:lineRule="auto"/>
        <w:rPr>
          <w:rFonts w:ascii="Verdana" w:hAnsi="Verdana"/>
          <w:sz w:val="22"/>
          <w:szCs w:val="22"/>
          <w:highlight w:val="yellow"/>
          <w:lang w:val="en-GB"/>
        </w:rPr>
      </w:pPr>
      <w:r w:rsidRPr="00DC1077">
        <w:rPr>
          <w:rFonts w:ascii="Verdana" w:eastAsia="Calibri" w:hAnsi="Verdana" w:cs="Arial"/>
          <w:sz w:val="22"/>
          <w:szCs w:val="22"/>
          <w:highlight w:val="yellow"/>
          <w:lang w:val="en-GB"/>
        </w:rPr>
        <w:t xml:space="preserve">     </w:t>
      </w:r>
    </w:p>
    <w:p w14:paraId="03D90C50" w14:textId="77777777" w:rsidR="00F227D9" w:rsidRPr="006A6CB8" w:rsidRDefault="00F227D9" w:rsidP="00F227D9">
      <w:pPr>
        <w:pStyle w:val="Heading1"/>
      </w:pPr>
      <w:bookmarkStart w:id="20" w:name="_Toc77095571"/>
      <w:r w:rsidRPr="006A6CB8">
        <w:t>Note 12 - Joint Audit Committee</w:t>
      </w:r>
      <w:bookmarkEnd w:id="20"/>
    </w:p>
    <w:p w14:paraId="38BA0B27" w14:textId="77777777" w:rsidR="00F227D9" w:rsidRPr="006A6CB8" w:rsidRDefault="00F227D9" w:rsidP="00F227D9">
      <w:pPr>
        <w:pStyle w:val="Normal0"/>
        <w:jc w:val="both"/>
        <w:rPr>
          <w:rFonts w:ascii="Verdana" w:hAnsi="Verdana" w:cs="Arial"/>
        </w:rPr>
      </w:pPr>
    </w:p>
    <w:p w14:paraId="544AAE32" w14:textId="77777777" w:rsidR="00F227D9" w:rsidRPr="006A6CB8" w:rsidRDefault="00F227D9" w:rsidP="00F227D9">
      <w:pPr>
        <w:pStyle w:val="Normal0"/>
        <w:jc w:val="both"/>
        <w:rPr>
          <w:rFonts w:ascii="Verdana" w:hAnsi="Verdana" w:cs="Arial"/>
          <w:sz w:val="22"/>
          <w:szCs w:val="22"/>
        </w:rPr>
      </w:pPr>
      <w:r w:rsidRPr="006A6CB8">
        <w:rPr>
          <w:rFonts w:ascii="Verdana" w:eastAsia="Calibri" w:hAnsi="Verdana" w:cs="Arial"/>
          <w:sz w:val="22"/>
          <w:szCs w:val="22"/>
        </w:rPr>
        <w:t>Under the governance arrangements for policing, the Chief Constable and the PCC have a Joint Audit Committee to provide independent and effective assurance about the adequacy of financial management and reporting. The Committee help to raise the profile of internal control, risk management and financial reporting issues within Surrey Police and provide a forum for discussion with internal and external auditors.</w:t>
      </w:r>
    </w:p>
    <w:p w14:paraId="5009A036" w14:textId="77777777" w:rsidR="00F227D9" w:rsidRPr="006A6CB8" w:rsidRDefault="00F227D9" w:rsidP="00F227D9">
      <w:pPr>
        <w:pStyle w:val="Normal0"/>
        <w:jc w:val="both"/>
        <w:rPr>
          <w:rFonts w:ascii="Verdana" w:hAnsi="Verdana" w:cs="Arial"/>
          <w:sz w:val="22"/>
          <w:szCs w:val="22"/>
        </w:rPr>
      </w:pPr>
    </w:p>
    <w:p w14:paraId="1C540E9D" w14:textId="77777777" w:rsidR="00F227D9" w:rsidRPr="006A6CB8" w:rsidRDefault="00F227D9" w:rsidP="00F227D9">
      <w:pPr>
        <w:pStyle w:val="Normal0"/>
        <w:jc w:val="both"/>
        <w:rPr>
          <w:rFonts w:ascii="Verdana" w:hAnsi="Verdana" w:cs="Arial"/>
          <w:sz w:val="22"/>
          <w:szCs w:val="22"/>
        </w:rPr>
      </w:pPr>
      <w:r w:rsidRPr="006A6CB8">
        <w:rPr>
          <w:rFonts w:ascii="Verdana" w:eastAsia="Calibri" w:hAnsi="Verdana" w:cs="Arial"/>
          <w:sz w:val="22"/>
          <w:szCs w:val="22"/>
        </w:rPr>
        <w:t>Members’ Allowances for the Joint Audit Committee are:</w:t>
      </w:r>
    </w:p>
    <w:p w14:paraId="5FC14C17" w14:textId="77777777" w:rsidR="00F227D9" w:rsidRPr="006A6CB8" w:rsidRDefault="00F227D9" w:rsidP="00F227D9">
      <w:pPr>
        <w:pStyle w:val="Normal0"/>
        <w:jc w:val="both"/>
        <w:rPr>
          <w:rFonts w:ascii="Verdana" w:hAnsi="Verdana" w:cs="Arial"/>
          <w:sz w:val="22"/>
          <w:szCs w:val="22"/>
        </w:rPr>
      </w:pPr>
    </w:p>
    <w:p w14:paraId="1590EAE5" w14:textId="77777777" w:rsidR="00F227D9" w:rsidRPr="005958DC" w:rsidRDefault="00F227D9" w:rsidP="00F227D9">
      <w:pPr>
        <w:pStyle w:val="Normal0"/>
        <w:jc w:val="both"/>
        <w:rPr>
          <w:rFonts w:ascii="Verdana" w:hAnsi="Verdana" w:cs="Arial"/>
          <w:sz w:val="22"/>
          <w:szCs w:val="22"/>
        </w:rPr>
      </w:pPr>
      <w:r w:rsidRPr="005958DC">
        <w:rPr>
          <w:rFonts w:ascii="Verdana" w:eastAsia="Calibri" w:hAnsi="Verdana" w:cs="Arial"/>
          <w:sz w:val="22"/>
          <w:szCs w:val="22"/>
        </w:rPr>
        <w:t>Members’ Allowances</w:t>
      </w:r>
      <w:r w:rsidRPr="005958DC">
        <w:rPr>
          <w:rFonts w:ascii="Verdana" w:eastAsia="Calibri" w:hAnsi="Verdana" w:cs="Arial"/>
          <w:sz w:val="22"/>
          <w:szCs w:val="22"/>
        </w:rPr>
        <w:tab/>
      </w:r>
      <w:r w:rsidRPr="005958DC">
        <w:rPr>
          <w:rFonts w:ascii="Verdana" w:eastAsia="Calibri" w:hAnsi="Verdana" w:cs="Arial"/>
          <w:sz w:val="22"/>
          <w:szCs w:val="22"/>
        </w:rPr>
        <w:tab/>
        <w:t>£1,7</w:t>
      </w:r>
      <w:r w:rsidR="006A6CB8" w:rsidRPr="005958DC">
        <w:rPr>
          <w:rFonts w:ascii="Verdana" w:eastAsia="Calibri" w:hAnsi="Verdana" w:cs="Arial"/>
          <w:sz w:val="22"/>
          <w:szCs w:val="22"/>
        </w:rPr>
        <w:t>9</w:t>
      </w:r>
      <w:r w:rsidR="00443FC8" w:rsidRPr="005958DC">
        <w:rPr>
          <w:rFonts w:ascii="Verdana" w:eastAsia="Calibri" w:hAnsi="Verdana" w:cs="Arial"/>
          <w:sz w:val="22"/>
          <w:szCs w:val="22"/>
        </w:rPr>
        <w:t>8</w:t>
      </w:r>
      <w:r w:rsidRPr="005958DC">
        <w:rPr>
          <w:rFonts w:ascii="Verdana" w:eastAsia="Calibri" w:hAnsi="Verdana" w:cs="Arial"/>
          <w:sz w:val="22"/>
          <w:szCs w:val="22"/>
        </w:rPr>
        <w:t>.</w:t>
      </w:r>
      <w:r w:rsidR="006A6CB8" w:rsidRPr="005958DC">
        <w:rPr>
          <w:rFonts w:ascii="Verdana" w:eastAsia="Calibri" w:hAnsi="Verdana" w:cs="Arial"/>
          <w:sz w:val="22"/>
          <w:szCs w:val="22"/>
        </w:rPr>
        <w:t>53</w:t>
      </w:r>
      <w:r w:rsidRPr="005958DC">
        <w:rPr>
          <w:rFonts w:ascii="Verdana" w:eastAsia="Calibri" w:hAnsi="Verdana" w:cs="Arial"/>
          <w:sz w:val="22"/>
          <w:szCs w:val="22"/>
        </w:rPr>
        <w:t xml:space="preserve"> per annum</w:t>
      </w:r>
    </w:p>
    <w:p w14:paraId="7390132D" w14:textId="77777777" w:rsidR="00F227D9" w:rsidRPr="005958DC" w:rsidRDefault="00F227D9" w:rsidP="00F227D9">
      <w:pPr>
        <w:pStyle w:val="Normal0"/>
        <w:jc w:val="both"/>
        <w:rPr>
          <w:rFonts w:ascii="Verdana" w:hAnsi="Verdana" w:cs="Arial"/>
          <w:sz w:val="22"/>
          <w:szCs w:val="22"/>
        </w:rPr>
      </w:pPr>
    </w:p>
    <w:p w14:paraId="793CAA31" w14:textId="77777777" w:rsidR="00F227D9" w:rsidRPr="005958DC" w:rsidRDefault="00F227D9" w:rsidP="00F227D9">
      <w:pPr>
        <w:pStyle w:val="Normal0"/>
        <w:jc w:val="both"/>
        <w:rPr>
          <w:rFonts w:ascii="Verdana" w:hAnsi="Verdana" w:cs="Arial"/>
          <w:sz w:val="22"/>
          <w:szCs w:val="22"/>
        </w:rPr>
      </w:pPr>
      <w:r w:rsidRPr="005958DC">
        <w:rPr>
          <w:rFonts w:ascii="Verdana" w:eastAsia="Calibri" w:hAnsi="Verdana" w:cs="Arial"/>
          <w:sz w:val="22"/>
          <w:szCs w:val="22"/>
        </w:rPr>
        <w:t xml:space="preserve">Chair Allowance </w:t>
      </w:r>
      <w:r w:rsidRPr="005958DC">
        <w:rPr>
          <w:rFonts w:ascii="Verdana" w:eastAsia="Calibri" w:hAnsi="Verdana" w:cs="Arial"/>
          <w:sz w:val="22"/>
          <w:szCs w:val="22"/>
        </w:rPr>
        <w:tab/>
      </w:r>
      <w:r w:rsidRPr="005958DC">
        <w:rPr>
          <w:rFonts w:ascii="Verdana" w:eastAsia="Calibri" w:hAnsi="Verdana" w:cs="Arial"/>
          <w:sz w:val="22"/>
          <w:szCs w:val="22"/>
        </w:rPr>
        <w:tab/>
      </w:r>
      <w:r w:rsidRPr="005958DC">
        <w:rPr>
          <w:rFonts w:ascii="Verdana" w:eastAsia="Calibri" w:hAnsi="Verdana" w:cs="Arial"/>
          <w:sz w:val="22"/>
          <w:szCs w:val="22"/>
        </w:rPr>
        <w:tab/>
        <w:t>£2,500.00 per annum</w:t>
      </w:r>
    </w:p>
    <w:p w14:paraId="275A1BF4" w14:textId="77777777" w:rsidR="00F227D9" w:rsidRPr="005958DC" w:rsidRDefault="00F227D9">
      <w:pPr>
        <w:pStyle w:val="Normal0"/>
        <w:rPr>
          <w:rFonts w:ascii="Verdana" w:hAnsi="Verdana" w:cs="Times New Roman"/>
        </w:rPr>
      </w:pPr>
    </w:p>
    <w:p w14:paraId="46EF26BF" w14:textId="77777777" w:rsidR="00F227D9" w:rsidRPr="005958DC" w:rsidRDefault="00F227D9" w:rsidP="00F227D9">
      <w:pPr>
        <w:pStyle w:val="Heading1"/>
      </w:pPr>
      <w:bookmarkStart w:id="21" w:name="_Toc77095572"/>
      <w:r w:rsidRPr="005958DC">
        <w:t>Note 13 - Collaborations</w:t>
      </w:r>
      <w:bookmarkEnd w:id="21"/>
    </w:p>
    <w:p w14:paraId="5FAE55AF" w14:textId="77777777" w:rsidR="00F227D9" w:rsidRPr="005958DC" w:rsidRDefault="00F227D9" w:rsidP="00F227D9">
      <w:pPr>
        <w:pStyle w:val="Normal0"/>
        <w:jc w:val="both"/>
        <w:rPr>
          <w:rFonts w:ascii="Verdana" w:hAnsi="Verdana" w:cs="Times New Roman"/>
        </w:rPr>
      </w:pPr>
    </w:p>
    <w:p w14:paraId="3E1A14C8" w14:textId="77777777" w:rsidR="00F227D9" w:rsidRPr="00DF3F46" w:rsidRDefault="00F227D9" w:rsidP="00F227D9">
      <w:pPr>
        <w:pStyle w:val="Normal0"/>
        <w:jc w:val="both"/>
        <w:rPr>
          <w:rFonts w:ascii="Verdana" w:hAnsi="Verdana" w:cs="Times New Roman"/>
          <w:sz w:val="22"/>
          <w:szCs w:val="22"/>
        </w:rPr>
      </w:pPr>
      <w:r w:rsidRPr="005958DC">
        <w:rPr>
          <w:rFonts w:ascii="Verdana" w:eastAsia="Calibri" w:hAnsi="Verdana" w:cs="Times New Roman"/>
          <w:sz w:val="22"/>
          <w:szCs w:val="22"/>
        </w:rPr>
        <w:t>The Police and Crime Commissioner and the Chief Constable for Surrey continues to develop joint working arrangements with other agencies principally with other south east region</w:t>
      </w:r>
      <w:r w:rsidRPr="00DF3F46">
        <w:rPr>
          <w:rFonts w:ascii="Verdana" w:eastAsia="Calibri" w:hAnsi="Verdana" w:cs="Times New Roman"/>
          <w:sz w:val="22"/>
          <w:szCs w:val="22"/>
        </w:rPr>
        <w:t xml:space="preserve"> Police and Crime Commissioners and in particular the Sussex Police and Crime Commissioner and Chief Constable.</w:t>
      </w:r>
    </w:p>
    <w:p w14:paraId="099C2051" w14:textId="77777777" w:rsidR="00F227D9" w:rsidRPr="00DF3F46" w:rsidRDefault="00F227D9" w:rsidP="00F227D9">
      <w:pPr>
        <w:pStyle w:val="Normal0"/>
        <w:jc w:val="both"/>
        <w:rPr>
          <w:rFonts w:ascii="Verdana" w:hAnsi="Verdana" w:cs="Times New Roman"/>
          <w:sz w:val="22"/>
          <w:szCs w:val="22"/>
        </w:rPr>
      </w:pPr>
    </w:p>
    <w:p w14:paraId="459066DE" w14:textId="77777777" w:rsidR="00F227D9" w:rsidRPr="00DF3F46" w:rsidRDefault="00F227D9" w:rsidP="00F227D9">
      <w:pPr>
        <w:pStyle w:val="Normal0"/>
        <w:jc w:val="both"/>
        <w:rPr>
          <w:rFonts w:ascii="Verdana" w:hAnsi="Verdana" w:cs="Times New Roman"/>
          <w:sz w:val="22"/>
          <w:szCs w:val="22"/>
        </w:rPr>
      </w:pPr>
      <w:r w:rsidRPr="00DF3F46">
        <w:rPr>
          <w:rFonts w:ascii="Verdana" w:eastAsia="Calibri" w:hAnsi="Verdana" w:cs="Times New Roman"/>
          <w:sz w:val="22"/>
          <w:szCs w:val="22"/>
        </w:rPr>
        <w:t>The Police and Crime Commissioners and Chief Constables of Surrey and Sussex Police have entered into a legal arrangement (section 22A agreement) to provide a number of services jointly with other police forces.  Each of these services is managed by one of the forces and includes a mix of staff from both forces.  The net cost of each service agreed to be provided jointly under the Section 22A agreement, which cannot be directly attributable to each force, are shared on a formula basis of Surrey 45%; Sussex 55%.</w:t>
      </w:r>
    </w:p>
    <w:p w14:paraId="4FC72944" w14:textId="77777777" w:rsidR="00F227D9" w:rsidRPr="00DF3F46" w:rsidRDefault="00F227D9" w:rsidP="00F227D9">
      <w:pPr>
        <w:pStyle w:val="Normal0"/>
        <w:jc w:val="both"/>
        <w:rPr>
          <w:rFonts w:ascii="Verdana" w:hAnsi="Verdana" w:cs="Times New Roman"/>
          <w:sz w:val="22"/>
          <w:szCs w:val="22"/>
        </w:rPr>
      </w:pPr>
    </w:p>
    <w:p w14:paraId="2686EEA5" w14:textId="607A9A41" w:rsidR="00F227D9" w:rsidRPr="00F5442C" w:rsidRDefault="00DF3F46" w:rsidP="00F227D9">
      <w:pPr>
        <w:pStyle w:val="Normal0"/>
        <w:jc w:val="both"/>
        <w:rPr>
          <w:rFonts w:ascii="Verdana" w:hAnsi="Verdana" w:cs="Times New Roman"/>
          <w:sz w:val="22"/>
          <w:szCs w:val="22"/>
        </w:rPr>
      </w:pPr>
      <w:r w:rsidRPr="00DF3F46">
        <w:rPr>
          <w:rFonts w:ascii="Verdana" w:eastAsia="Calibri" w:hAnsi="Verdana" w:cs="Times New Roman"/>
          <w:sz w:val="22"/>
          <w:szCs w:val="22"/>
        </w:rPr>
        <w:t>In 2020</w:t>
      </w:r>
      <w:r w:rsidR="00F227D9" w:rsidRPr="00DF3F46">
        <w:rPr>
          <w:rFonts w:ascii="Verdana" w:eastAsia="Calibri" w:hAnsi="Verdana" w:cs="Times New Roman"/>
          <w:sz w:val="22"/>
          <w:szCs w:val="22"/>
        </w:rPr>
        <w:t xml:space="preserve"> the services provided jointly, included the Operations and Specialist Crime departments along with a number of support functions and </w:t>
      </w:r>
      <w:r w:rsidR="00F227D9" w:rsidRPr="00F5442C">
        <w:rPr>
          <w:rFonts w:ascii="Verdana" w:eastAsia="Calibri" w:hAnsi="Verdana" w:cs="Times New Roman"/>
          <w:sz w:val="22"/>
          <w:szCs w:val="22"/>
        </w:rPr>
        <w:t>projects.  The Police and Crime Commissioners and Chief Constables for Sussex, Surrey and Thames Valley Police deliver</w:t>
      </w:r>
      <w:r w:rsidR="00F5442C" w:rsidRPr="00F5442C">
        <w:rPr>
          <w:rFonts w:ascii="Verdana" w:eastAsia="Calibri" w:hAnsi="Verdana" w:cs="Times New Roman"/>
          <w:sz w:val="22"/>
          <w:szCs w:val="22"/>
        </w:rPr>
        <w:t xml:space="preserve">y of </w:t>
      </w:r>
      <w:r w:rsidR="00F227D9" w:rsidRPr="00F5442C">
        <w:rPr>
          <w:rFonts w:ascii="Verdana" w:eastAsia="Calibri" w:hAnsi="Verdana" w:cs="Times New Roman"/>
          <w:sz w:val="22"/>
          <w:szCs w:val="22"/>
        </w:rPr>
        <w:t>a joint project to procure and implement a new Enterprise Resource Planning system (ERP)</w:t>
      </w:r>
      <w:r w:rsidR="00F5442C" w:rsidRPr="00F5442C">
        <w:rPr>
          <w:rFonts w:ascii="Verdana" w:eastAsia="Calibri" w:hAnsi="Verdana" w:cs="Times New Roman"/>
          <w:sz w:val="22"/>
          <w:szCs w:val="22"/>
        </w:rPr>
        <w:t xml:space="preserve"> was brought to a close during the 2020/21 financial year</w:t>
      </w:r>
      <w:r w:rsidR="00F227D9" w:rsidRPr="00F5442C">
        <w:rPr>
          <w:rFonts w:ascii="Verdana" w:eastAsia="Calibri" w:hAnsi="Verdana" w:cs="Times New Roman"/>
          <w:sz w:val="22"/>
          <w:szCs w:val="22"/>
        </w:rPr>
        <w:t>.</w:t>
      </w:r>
    </w:p>
    <w:p w14:paraId="217DFAB9" w14:textId="77777777" w:rsidR="00F227D9" w:rsidRPr="00F5442C" w:rsidRDefault="00F227D9" w:rsidP="00F227D9">
      <w:pPr>
        <w:pStyle w:val="Normal0"/>
        <w:jc w:val="both"/>
        <w:rPr>
          <w:rFonts w:ascii="Verdana" w:hAnsi="Verdana" w:cs="Times New Roman"/>
          <w:sz w:val="22"/>
          <w:szCs w:val="22"/>
        </w:rPr>
      </w:pPr>
    </w:p>
    <w:p w14:paraId="77371403" w14:textId="77777777" w:rsidR="00F5442C" w:rsidRDefault="00F5442C" w:rsidP="00F5442C">
      <w:pPr>
        <w:pStyle w:val="Normal0"/>
        <w:jc w:val="both"/>
        <w:rPr>
          <w:rFonts w:ascii="Verdana" w:eastAsia="Calibri" w:hAnsi="Verdana" w:cs="Times New Roman"/>
          <w:sz w:val="22"/>
          <w:szCs w:val="22"/>
        </w:rPr>
      </w:pPr>
      <w:r w:rsidRPr="00BD5B5D">
        <w:rPr>
          <w:rFonts w:ascii="Verdana" w:eastAsia="Calibri" w:hAnsi="Verdana" w:cs="Times New Roman"/>
          <w:sz w:val="22"/>
          <w:szCs w:val="22"/>
        </w:rPr>
        <w:t>Each Force accounts for their share of total income and expenditure and assets in the Comprehensive Income and Expenditure Statement and Balance Sheet respectively.  The table below illustrates the Surrey share of the collaborated service costs.</w:t>
      </w:r>
    </w:p>
    <w:p w14:paraId="1707AF47" w14:textId="77777777" w:rsidR="00F5442C" w:rsidRPr="00BD5B5D" w:rsidRDefault="00F5442C" w:rsidP="00F5442C">
      <w:pPr>
        <w:pStyle w:val="Normal0"/>
        <w:jc w:val="both"/>
        <w:rPr>
          <w:rFonts w:ascii="Verdana" w:hAnsi="Verdana" w:cs="Times New Roman"/>
        </w:rPr>
      </w:pPr>
    </w:p>
    <w:tbl>
      <w:tblPr>
        <w:tblW w:w="9806" w:type="dxa"/>
        <w:jc w:val="center"/>
        <w:tblLook w:val="04A0" w:firstRow="1" w:lastRow="0" w:firstColumn="1" w:lastColumn="0" w:noHBand="0" w:noVBand="1"/>
      </w:tblPr>
      <w:tblGrid>
        <w:gridCol w:w="1966"/>
        <w:gridCol w:w="414"/>
        <w:gridCol w:w="5679"/>
        <w:gridCol w:w="1747"/>
      </w:tblGrid>
      <w:tr w:rsidR="00F5442C" w:rsidRPr="003E03CB" w14:paraId="3757C273" w14:textId="77777777" w:rsidTr="00F5442C">
        <w:trPr>
          <w:trHeight w:val="379"/>
          <w:jc w:val="center"/>
        </w:trPr>
        <w:tc>
          <w:tcPr>
            <w:tcW w:w="1966" w:type="dxa"/>
            <w:tcBorders>
              <w:top w:val="nil"/>
              <w:left w:val="nil"/>
              <w:bottom w:val="nil"/>
              <w:right w:val="nil"/>
            </w:tcBorders>
            <w:shd w:val="clear" w:color="auto" w:fill="auto"/>
            <w:vAlign w:val="center"/>
            <w:hideMark/>
          </w:tcPr>
          <w:p w14:paraId="1CDBF7C2" w14:textId="77777777" w:rsidR="00F5442C" w:rsidRPr="00F5442C" w:rsidRDefault="00F5442C" w:rsidP="00F5442C">
            <w:pPr>
              <w:jc w:val="center"/>
              <w:rPr>
                <w:rFonts w:ascii="Verdana" w:eastAsia="Times New Roman" w:hAnsi="Verdana" w:cs="Calibri"/>
                <w:b/>
                <w:color w:val="000000"/>
                <w:sz w:val="20"/>
                <w:szCs w:val="20"/>
                <w:lang w:val="en-GB" w:eastAsia="en-GB"/>
              </w:rPr>
            </w:pPr>
            <w:r w:rsidRPr="00F5442C">
              <w:rPr>
                <w:rFonts w:ascii="Verdana" w:eastAsia="Times New Roman" w:hAnsi="Verdana" w:cs="Calibri"/>
                <w:b/>
                <w:color w:val="000000"/>
                <w:sz w:val="20"/>
                <w:szCs w:val="20"/>
                <w:lang w:val="en-GB" w:eastAsia="en-GB"/>
              </w:rPr>
              <w:t>Surrey Share 2019/20</w:t>
            </w:r>
          </w:p>
        </w:tc>
        <w:tc>
          <w:tcPr>
            <w:tcW w:w="414" w:type="dxa"/>
            <w:tcBorders>
              <w:top w:val="nil"/>
              <w:left w:val="nil"/>
              <w:bottom w:val="nil"/>
              <w:right w:val="nil"/>
            </w:tcBorders>
            <w:shd w:val="clear" w:color="auto" w:fill="auto"/>
            <w:vAlign w:val="center"/>
            <w:hideMark/>
          </w:tcPr>
          <w:p w14:paraId="3DBC9376" w14:textId="77777777" w:rsidR="00F5442C" w:rsidRPr="00F5442C" w:rsidRDefault="00F5442C" w:rsidP="00F5442C">
            <w:pPr>
              <w:jc w:val="center"/>
              <w:rPr>
                <w:rFonts w:ascii="Verdana" w:eastAsia="Times New Roman" w:hAnsi="Verdana" w:cs="Calibri"/>
                <w:b/>
                <w:color w:val="000000"/>
                <w:sz w:val="20"/>
                <w:szCs w:val="20"/>
                <w:lang w:val="en-GB" w:eastAsia="en-GB"/>
              </w:rPr>
            </w:pPr>
          </w:p>
        </w:tc>
        <w:tc>
          <w:tcPr>
            <w:tcW w:w="5679" w:type="dxa"/>
            <w:vMerge w:val="restart"/>
            <w:tcBorders>
              <w:top w:val="nil"/>
              <w:left w:val="nil"/>
              <w:bottom w:val="single" w:sz="8" w:space="0" w:color="000000"/>
              <w:right w:val="nil"/>
            </w:tcBorders>
            <w:shd w:val="clear" w:color="auto" w:fill="auto"/>
            <w:noWrap/>
            <w:vAlign w:val="center"/>
            <w:hideMark/>
          </w:tcPr>
          <w:p w14:paraId="0671E25F" w14:textId="77777777" w:rsidR="00F5442C" w:rsidRPr="00F5442C" w:rsidRDefault="00F5442C" w:rsidP="00F5442C">
            <w:pPr>
              <w:jc w:val="center"/>
              <w:rPr>
                <w:rFonts w:ascii="Verdana" w:eastAsia="Times New Roman" w:hAnsi="Verdana" w:cs="Calibri"/>
                <w:b/>
                <w:color w:val="000000"/>
                <w:sz w:val="20"/>
                <w:szCs w:val="20"/>
                <w:lang w:val="en-GB" w:eastAsia="en-GB"/>
              </w:rPr>
            </w:pPr>
            <w:r w:rsidRPr="00F5442C">
              <w:rPr>
                <w:rFonts w:ascii="Verdana" w:eastAsia="Times New Roman" w:hAnsi="Verdana" w:cs="Calibri"/>
                <w:b/>
                <w:color w:val="000000"/>
                <w:sz w:val="20"/>
                <w:szCs w:val="20"/>
                <w:lang w:val="en-GB" w:eastAsia="en-GB"/>
              </w:rPr>
              <w:t>Collaboration Area</w:t>
            </w:r>
          </w:p>
        </w:tc>
        <w:tc>
          <w:tcPr>
            <w:tcW w:w="1747" w:type="dxa"/>
            <w:tcBorders>
              <w:top w:val="nil"/>
              <w:left w:val="nil"/>
              <w:bottom w:val="nil"/>
              <w:right w:val="nil"/>
            </w:tcBorders>
            <w:shd w:val="clear" w:color="auto" w:fill="auto"/>
            <w:vAlign w:val="center"/>
            <w:hideMark/>
          </w:tcPr>
          <w:p w14:paraId="5A061B72" w14:textId="77777777" w:rsidR="00F5442C" w:rsidRPr="00F5442C" w:rsidRDefault="00F5442C" w:rsidP="00F5442C">
            <w:pPr>
              <w:jc w:val="center"/>
              <w:rPr>
                <w:rFonts w:ascii="Verdana" w:eastAsia="Times New Roman" w:hAnsi="Verdana" w:cs="Calibri"/>
                <w:b/>
                <w:color w:val="000000"/>
                <w:sz w:val="20"/>
                <w:szCs w:val="20"/>
                <w:lang w:val="en-GB" w:eastAsia="en-GB"/>
              </w:rPr>
            </w:pPr>
            <w:r w:rsidRPr="00F5442C">
              <w:rPr>
                <w:rFonts w:ascii="Verdana" w:eastAsia="Times New Roman" w:hAnsi="Verdana" w:cs="Calibri"/>
                <w:b/>
                <w:color w:val="000000"/>
                <w:sz w:val="20"/>
                <w:szCs w:val="20"/>
                <w:lang w:val="en-GB" w:eastAsia="en-GB"/>
              </w:rPr>
              <w:t>Surrey Share 2020/21</w:t>
            </w:r>
          </w:p>
        </w:tc>
      </w:tr>
      <w:tr w:rsidR="00F5442C" w:rsidRPr="003E03CB" w14:paraId="30DB75F1" w14:textId="77777777" w:rsidTr="00F5442C">
        <w:trPr>
          <w:trHeight w:val="265"/>
          <w:jc w:val="center"/>
        </w:trPr>
        <w:tc>
          <w:tcPr>
            <w:tcW w:w="1966" w:type="dxa"/>
            <w:tcBorders>
              <w:top w:val="nil"/>
              <w:left w:val="nil"/>
              <w:bottom w:val="nil"/>
              <w:right w:val="nil"/>
            </w:tcBorders>
            <w:shd w:val="clear" w:color="auto" w:fill="auto"/>
            <w:noWrap/>
            <w:vAlign w:val="center"/>
            <w:hideMark/>
          </w:tcPr>
          <w:p w14:paraId="3CCB8E0B" w14:textId="77777777" w:rsidR="00F5442C" w:rsidRPr="00F5442C" w:rsidRDefault="00F5442C" w:rsidP="00F5442C">
            <w:pPr>
              <w:jc w:val="center"/>
              <w:rPr>
                <w:rFonts w:ascii="Verdana" w:eastAsia="Times New Roman" w:hAnsi="Verdana" w:cs="Calibri"/>
                <w:b/>
                <w:color w:val="000000"/>
                <w:sz w:val="20"/>
                <w:szCs w:val="20"/>
                <w:lang w:val="en-GB" w:eastAsia="en-GB"/>
              </w:rPr>
            </w:pPr>
            <w:r w:rsidRPr="00F5442C">
              <w:rPr>
                <w:rFonts w:ascii="Verdana" w:eastAsia="Times New Roman" w:hAnsi="Verdana" w:cs="Calibri"/>
                <w:b/>
                <w:color w:val="000000"/>
                <w:sz w:val="20"/>
                <w:szCs w:val="20"/>
                <w:lang w:val="en-GB" w:eastAsia="en-GB"/>
              </w:rPr>
              <w:t>£m</w:t>
            </w:r>
          </w:p>
        </w:tc>
        <w:tc>
          <w:tcPr>
            <w:tcW w:w="414" w:type="dxa"/>
            <w:tcBorders>
              <w:top w:val="nil"/>
              <w:left w:val="nil"/>
              <w:bottom w:val="nil"/>
              <w:right w:val="nil"/>
            </w:tcBorders>
            <w:shd w:val="clear" w:color="auto" w:fill="auto"/>
            <w:noWrap/>
            <w:vAlign w:val="center"/>
            <w:hideMark/>
          </w:tcPr>
          <w:p w14:paraId="681514C9" w14:textId="77777777" w:rsidR="00F5442C" w:rsidRPr="00F5442C" w:rsidRDefault="00F5442C" w:rsidP="00F5442C">
            <w:pPr>
              <w:jc w:val="center"/>
              <w:rPr>
                <w:rFonts w:ascii="Verdana" w:eastAsia="Times New Roman" w:hAnsi="Verdana" w:cs="Calibri"/>
                <w:b/>
                <w:color w:val="000000"/>
                <w:sz w:val="20"/>
                <w:szCs w:val="20"/>
                <w:lang w:val="en-GB" w:eastAsia="en-GB"/>
              </w:rPr>
            </w:pPr>
          </w:p>
        </w:tc>
        <w:tc>
          <w:tcPr>
            <w:tcW w:w="5679" w:type="dxa"/>
            <w:vMerge/>
            <w:tcBorders>
              <w:top w:val="nil"/>
              <w:left w:val="nil"/>
              <w:bottom w:val="single" w:sz="8" w:space="0" w:color="000000"/>
              <w:right w:val="nil"/>
            </w:tcBorders>
            <w:vAlign w:val="center"/>
            <w:hideMark/>
          </w:tcPr>
          <w:p w14:paraId="0BCB463A" w14:textId="77777777" w:rsidR="00F5442C" w:rsidRPr="00F5442C" w:rsidRDefault="00F5442C" w:rsidP="00F5442C">
            <w:pPr>
              <w:rPr>
                <w:rFonts w:ascii="Verdana" w:eastAsia="Times New Roman" w:hAnsi="Verdana" w:cs="Calibri"/>
                <w:b/>
                <w:color w:val="000000"/>
                <w:sz w:val="20"/>
                <w:szCs w:val="20"/>
                <w:lang w:val="en-GB" w:eastAsia="en-GB"/>
              </w:rPr>
            </w:pPr>
          </w:p>
        </w:tc>
        <w:tc>
          <w:tcPr>
            <w:tcW w:w="1747" w:type="dxa"/>
            <w:tcBorders>
              <w:top w:val="nil"/>
              <w:left w:val="nil"/>
              <w:bottom w:val="nil"/>
              <w:right w:val="nil"/>
            </w:tcBorders>
            <w:shd w:val="clear" w:color="auto" w:fill="auto"/>
            <w:noWrap/>
            <w:vAlign w:val="center"/>
            <w:hideMark/>
          </w:tcPr>
          <w:p w14:paraId="1051E56E" w14:textId="77777777" w:rsidR="00F5442C" w:rsidRPr="00F5442C" w:rsidRDefault="00F5442C" w:rsidP="00F5442C">
            <w:pPr>
              <w:jc w:val="center"/>
              <w:rPr>
                <w:rFonts w:ascii="Verdana" w:eastAsia="Times New Roman" w:hAnsi="Verdana" w:cs="Calibri"/>
                <w:b/>
                <w:color w:val="000000"/>
                <w:sz w:val="20"/>
                <w:szCs w:val="20"/>
                <w:lang w:val="en-GB" w:eastAsia="en-GB"/>
              </w:rPr>
            </w:pPr>
            <w:r w:rsidRPr="00F5442C">
              <w:rPr>
                <w:rFonts w:ascii="Verdana" w:eastAsia="Times New Roman" w:hAnsi="Verdana" w:cs="Calibri"/>
                <w:b/>
                <w:color w:val="000000"/>
                <w:sz w:val="20"/>
                <w:szCs w:val="20"/>
                <w:lang w:val="en-GB" w:eastAsia="en-GB"/>
              </w:rPr>
              <w:t>£m</w:t>
            </w:r>
          </w:p>
        </w:tc>
      </w:tr>
      <w:tr w:rsidR="00F5442C" w:rsidRPr="003E03CB" w14:paraId="5A0E5EB6" w14:textId="77777777" w:rsidTr="00F5442C">
        <w:trPr>
          <w:trHeight w:val="252"/>
          <w:jc w:val="center"/>
        </w:trPr>
        <w:tc>
          <w:tcPr>
            <w:tcW w:w="1966" w:type="dxa"/>
            <w:tcBorders>
              <w:top w:val="single" w:sz="8" w:space="0" w:color="auto"/>
              <w:left w:val="nil"/>
              <w:bottom w:val="nil"/>
              <w:right w:val="nil"/>
            </w:tcBorders>
            <w:shd w:val="clear" w:color="auto" w:fill="auto"/>
            <w:noWrap/>
            <w:vAlign w:val="center"/>
            <w:hideMark/>
          </w:tcPr>
          <w:p w14:paraId="6E48753E" w14:textId="77777777" w:rsidR="00F5442C" w:rsidRPr="00F5442C" w:rsidRDefault="00F5442C" w:rsidP="00F5442C">
            <w:pPr>
              <w:jc w:val="right"/>
              <w:rPr>
                <w:rFonts w:ascii="Verdana" w:eastAsia="Times New Roman" w:hAnsi="Verdana" w:cs="Calibri"/>
                <w:color w:val="000000"/>
                <w:sz w:val="20"/>
                <w:szCs w:val="20"/>
                <w:lang w:val="en-GB" w:eastAsia="en-GB"/>
              </w:rPr>
            </w:pPr>
            <w:r w:rsidRPr="00F5442C">
              <w:rPr>
                <w:rFonts w:ascii="Verdana" w:eastAsia="Times New Roman" w:hAnsi="Verdana" w:cs="Calibri"/>
                <w:color w:val="000000"/>
                <w:sz w:val="20"/>
                <w:szCs w:val="20"/>
                <w:lang w:val="en-GB" w:eastAsia="en-GB"/>
              </w:rPr>
              <w:t>0.6</w:t>
            </w:r>
          </w:p>
        </w:tc>
        <w:tc>
          <w:tcPr>
            <w:tcW w:w="414" w:type="dxa"/>
            <w:tcBorders>
              <w:top w:val="single" w:sz="8" w:space="0" w:color="auto"/>
              <w:left w:val="nil"/>
              <w:bottom w:val="nil"/>
              <w:right w:val="nil"/>
            </w:tcBorders>
            <w:shd w:val="clear" w:color="auto" w:fill="auto"/>
            <w:noWrap/>
            <w:vAlign w:val="center"/>
            <w:hideMark/>
          </w:tcPr>
          <w:p w14:paraId="6CC6AB6E" w14:textId="77777777" w:rsidR="00F5442C" w:rsidRPr="00F5442C" w:rsidRDefault="00F5442C" w:rsidP="00F5442C">
            <w:pPr>
              <w:jc w:val="right"/>
              <w:rPr>
                <w:rFonts w:ascii="Verdana" w:eastAsia="Times New Roman" w:hAnsi="Verdana" w:cs="Calibri"/>
                <w:color w:val="000000"/>
                <w:sz w:val="20"/>
                <w:szCs w:val="20"/>
                <w:lang w:val="en-GB" w:eastAsia="en-GB"/>
              </w:rPr>
            </w:pPr>
            <w:r w:rsidRPr="00F5442C">
              <w:rPr>
                <w:rFonts w:ascii="Verdana" w:eastAsia="Times New Roman" w:hAnsi="Verdana" w:cs="Calibri"/>
                <w:color w:val="000000"/>
                <w:sz w:val="20"/>
                <w:szCs w:val="20"/>
                <w:lang w:val="en-GB" w:eastAsia="en-GB"/>
              </w:rPr>
              <w:t> </w:t>
            </w:r>
          </w:p>
        </w:tc>
        <w:tc>
          <w:tcPr>
            <w:tcW w:w="5679" w:type="dxa"/>
            <w:tcBorders>
              <w:top w:val="nil"/>
              <w:left w:val="nil"/>
              <w:bottom w:val="nil"/>
              <w:right w:val="nil"/>
            </w:tcBorders>
            <w:shd w:val="clear" w:color="auto" w:fill="auto"/>
            <w:noWrap/>
            <w:vAlign w:val="center"/>
            <w:hideMark/>
          </w:tcPr>
          <w:p w14:paraId="1CAB87FC" w14:textId="77777777" w:rsidR="00F5442C" w:rsidRPr="00F5442C" w:rsidRDefault="00F5442C" w:rsidP="00F5442C">
            <w:pPr>
              <w:rPr>
                <w:rFonts w:ascii="Verdana" w:eastAsia="Times New Roman" w:hAnsi="Verdana" w:cs="Calibri"/>
                <w:color w:val="000000"/>
                <w:sz w:val="20"/>
                <w:szCs w:val="20"/>
                <w:lang w:val="en-GB" w:eastAsia="en-GB"/>
              </w:rPr>
            </w:pPr>
            <w:r w:rsidRPr="00F5442C">
              <w:rPr>
                <w:rFonts w:ascii="Verdana" w:eastAsia="Times New Roman" w:hAnsi="Verdana" w:cs="Calibri"/>
                <w:color w:val="000000"/>
                <w:sz w:val="20"/>
                <w:szCs w:val="20"/>
                <w:lang w:val="en-GB" w:eastAsia="en-GB"/>
              </w:rPr>
              <w:t>Change Delivery</w:t>
            </w:r>
          </w:p>
        </w:tc>
        <w:tc>
          <w:tcPr>
            <w:tcW w:w="1747" w:type="dxa"/>
            <w:tcBorders>
              <w:top w:val="single" w:sz="8" w:space="0" w:color="auto"/>
              <w:left w:val="nil"/>
              <w:bottom w:val="nil"/>
              <w:right w:val="nil"/>
            </w:tcBorders>
            <w:shd w:val="clear" w:color="auto" w:fill="auto"/>
            <w:noWrap/>
            <w:vAlign w:val="center"/>
            <w:hideMark/>
          </w:tcPr>
          <w:p w14:paraId="7B8C8D1C" w14:textId="77777777" w:rsidR="00F5442C" w:rsidRPr="00F5442C" w:rsidRDefault="00F5442C" w:rsidP="00F5442C">
            <w:pPr>
              <w:jc w:val="right"/>
              <w:rPr>
                <w:rFonts w:ascii="Verdana" w:eastAsia="Times New Roman" w:hAnsi="Verdana" w:cs="Calibri"/>
                <w:color w:val="000000"/>
                <w:sz w:val="20"/>
                <w:szCs w:val="20"/>
                <w:lang w:val="en-GB" w:eastAsia="en-GB"/>
              </w:rPr>
            </w:pPr>
            <w:r w:rsidRPr="00F5442C">
              <w:rPr>
                <w:rFonts w:ascii="Verdana" w:eastAsia="Times New Roman" w:hAnsi="Verdana" w:cs="Calibri"/>
                <w:color w:val="000000"/>
                <w:sz w:val="20"/>
                <w:szCs w:val="20"/>
                <w:lang w:val="en-GB" w:eastAsia="en-GB"/>
              </w:rPr>
              <w:t>0.7</w:t>
            </w:r>
          </w:p>
        </w:tc>
      </w:tr>
      <w:tr w:rsidR="00F5442C" w:rsidRPr="003E03CB" w14:paraId="4D1C3436" w14:textId="77777777" w:rsidTr="00F5442C">
        <w:trPr>
          <w:trHeight w:val="252"/>
          <w:jc w:val="center"/>
        </w:trPr>
        <w:tc>
          <w:tcPr>
            <w:tcW w:w="1966" w:type="dxa"/>
            <w:tcBorders>
              <w:top w:val="nil"/>
              <w:left w:val="nil"/>
              <w:bottom w:val="nil"/>
              <w:right w:val="nil"/>
            </w:tcBorders>
            <w:shd w:val="clear" w:color="auto" w:fill="auto"/>
            <w:noWrap/>
            <w:vAlign w:val="center"/>
            <w:hideMark/>
          </w:tcPr>
          <w:p w14:paraId="7454498D" w14:textId="77777777" w:rsidR="00F5442C" w:rsidRPr="00F5442C" w:rsidRDefault="00F5442C" w:rsidP="00F5442C">
            <w:pPr>
              <w:jc w:val="right"/>
              <w:rPr>
                <w:rFonts w:ascii="Verdana" w:eastAsia="Times New Roman" w:hAnsi="Verdana" w:cs="Calibri"/>
                <w:color w:val="000000"/>
                <w:sz w:val="20"/>
                <w:szCs w:val="20"/>
                <w:lang w:val="en-GB" w:eastAsia="en-GB"/>
              </w:rPr>
            </w:pPr>
            <w:r w:rsidRPr="00F5442C">
              <w:rPr>
                <w:rFonts w:ascii="Verdana" w:eastAsia="Times New Roman" w:hAnsi="Verdana" w:cs="Calibri"/>
                <w:color w:val="000000"/>
                <w:sz w:val="20"/>
                <w:szCs w:val="20"/>
                <w:lang w:val="en-GB" w:eastAsia="en-GB"/>
              </w:rPr>
              <w:t>0.4</w:t>
            </w:r>
          </w:p>
        </w:tc>
        <w:tc>
          <w:tcPr>
            <w:tcW w:w="414" w:type="dxa"/>
            <w:tcBorders>
              <w:top w:val="nil"/>
              <w:left w:val="nil"/>
              <w:bottom w:val="nil"/>
              <w:right w:val="nil"/>
            </w:tcBorders>
            <w:shd w:val="clear" w:color="auto" w:fill="auto"/>
            <w:noWrap/>
            <w:vAlign w:val="center"/>
            <w:hideMark/>
          </w:tcPr>
          <w:p w14:paraId="60969377" w14:textId="77777777" w:rsidR="00F5442C" w:rsidRPr="00F5442C" w:rsidRDefault="00F5442C" w:rsidP="00F5442C">
            <w:pPr>
              <w:jc w:val="right"/>
              <w:rPr>
                <w:rFonts w:ascii="Verdana" w:eastAsia="Times New Roman" w:hAnsi="Verdana" w:cs="Calibri"/>
                <w:color w:val="000000"/>
                <w:sz w:val="20"/>
                <w:szCs w:val="20"/>
                <w:lang w:val="en-GB" w:eastAsia="en-GB"/>
              </w:rPr>
            </w:pPr>
          </w:p>
        </w:tc>
        <w:tc>
          <w:tcPr>
            <w:tcW w:w="5679" w:type="dxa"/>
            <w:tcBorders>
              <w:top w:val="nil"/>
              <w:left w:val="nil"/>
              <w:bottom w:val="nil"/>
              <w:right w:val="nil"/>
            </w:tcBorders>
            <w:shd w:val="clear" w:color="auto" w:fill="auto"/>
            <w:noWrap/>
            <w:vAlign w:val="center"/>
            <w:hideMark/>
          </w:tcPr>
          <w:p w14:paraId="0BA43624" w14:textId="77777777" w:rsidR="00F5442C" w:rsidRPr="00F5442C" w:rsidRDefault="00F5442C" w:rsidP="00F5442C">
            <w:pPr>
              <w:rPr>
                <w:rFonts w:ascii="Verdana" w:eastAsia="Times New Roman" w:hAnsi="Verdana" w:cs="Calibri"/>
                <w:color w:val="000000"/>
                <w:sz w:val="20"/>
                <w:szCs w:val="20"/>
                <w:lang w:val="en-GB" w:eastAsia="en-GB"/>
              </w:rPr>
            </w:pPr>
            <w:r w:rsidRPr="00F5442C">
              <w:rPr>
                <w:rFonts w:ascii="Verdana" w:eastAsia="Times New Roman" w:hAnsi="Verdana" w:cs="Calibri"/>
                <w:color w:val="000000"/>
                <w:sz w:val="20"/>
                <w:szCs w:val="20"/>
                <w:lang w:val="en-GB" w:eastAsia="en-GB"/>
              </w:rPr>
              <w:t>Chief Officers</w:t>
            </w:r>
          </w:p>
        </w:tc>
        <w:tc>
          <w:tcPr>
            <w:tcW w:w="1747" w:type="dxa"/>
            <w:tcBorders>
              <w:top w:val="nil"/>
              <w:left w:val="nil"/>
              <w:bottom w:val="nil"/>
              <w:right w:val="nil"/>
            </w:tcBorders>
            <w:shd w:val="clear" w:color="auto" w:fill="auto"/>
            <w:noWrap/>
            <w:vAlign w:val="center"/>
            <w:hideMark/>
          </w:tcPr>
          <w:p w14:paraId="35BDCADC" w14:textId="77777777" w:rsidR="00F5442C" w:rsidRPr="00F5442C" w:rsidRDefault="00F5442C" w:rsidP="00F5442C">
            <w:pPr>
              <w:jc w:val="right"/>
              <w:rPr>
                <w:rFonts w:ascii="Verdana" w:eastAsia="Times New Roman" w:hAnsi="Verdana" w:cs="Calibri"/>
                <w:color w:val="000000"/>
                <w:sz w:val="20"/>
                <w:szCs w:val="20"/>
                <w:lang w:val="en-GB" w:eastAsia="en-GB"/>
              </w:rPr>
            </w:pPr>
            <w:r w:rsidRPr="00F5442C">
              <w:rPr>
                <w:rFonts w:ascii="Verdana" w:eastAsia="Times New Roman" w:hAnsi="Verdana" w:cs="Calibri"/>
                <w:color w:val="000000"/>
                <w:sz w:val="20"/>
                <w:szCs w:val="20"/>
                <w:lang w:val="en-GB" w:eastAsia="en-GB"/>
              </w:rPr>
              <w:t>0.5</w:t>
            </w:r>
          </w:p>
        </w:tc>
      </w:tr>
      <w:tr w:rsidR="00F5442C" w:rsidRPr="003E03CB" w14:paraId="5A6AA5F8" w14:textId="77777777" w:rsidTr="00F5442C">
        <w:trPr>
          <w:trHeight w:val="252"/>
          <w:jc w:val="center"/>
        </w:trPr>
        <w:tc>
          <w:tcPr>
            <w:tcW w:w="1966" w:type="dxa"/>
            <w:tcBorders>
              <w:top w:val="nil"/>
              <w:left w:val="nil"/>
              <w:bottom w:val="nil"/>
              <w:right w:val="nil"/>
            </w:tcBorders>
            <w:shd w:val="clear" w:color="auto" w:fill="auto"/>
            <w:noWrap/>
            <w:vAlign w:val="center"/>
            <w:hideMark/>
          </w:tcPr>
          <w:p w14:paraId="4E0BD0BC" w14:textId="77777777" w:rsidR="00F5442C" w:rsidRPr="00F5442C" w:rsidRDefault="00F5442C" w:rsidP="00F5442C">
            <w:pPr>
              <w:jc w:val="right"/>
              <w:rPr>
                <w:rFonts w:ascii="Verdana" w:eastAsia="Times New Roman" w:hAnsi="Verdana" w:cs="Calibri"/>
                <w:color w:val="000000"/>
                <w:sz w:val="20"/>
                <w:szCs w:val="20"/>
                <w:lang w:val="en-GB" w:eastAsia="en-GB"/>
              </w:rPr>
            </w:pPr>
            <w:r w:rsidRPr="00F5442C">
              <w:rPr>
                <w:rFonts w:ascii="Verdana" w:eastAsia="Times New Roman" w:hAnsi="Verdana" w:cs="Calibri"/>
                <w:color w:val="000000"/>
                <w:sz w:val="20"/>
                <w:szCs w:val="20"/>
                <w:lang w:val="en-GB" w:eastAsia="en-GB"/>
              </w:rPr>
              <w:t>1.8</w:t>
            </w:r>
          </w:p>
        </w:tc>
        <w:tc>
          <w:tcPr>
            <w:tcW w:w="414" w:type="dxa"/>
            <w:tcBorders>
              <w:top w:val="nil"/>
              <w:left w:val="nil"/>
              <w:bottom w:val="nil"/>
              <w:right w:val="nil"/>
            </w:tcBorders>
            <w:shd w:val="clear" w:color="auto" w:fill="auto"/>
            <w:noWrap/>
            <w:vAlign w:val="center"/>
            <w:hideMark/>
          </w:tcPr>
          <w:p w14:paraId="3653A353" w14:textId="77777777" w:rsidR="00F5442C" w:rsidRPr="00F5442C" w:rsidRDefault="00F5442C" w:rsidP="00F5442C">
            <w:pPr>
              <w:jc w:val="right"/>
              <w:rPr>
                <w:rFonts w:ascii="Verdana" w:eastAsia="Times New Roman" w:hAnsi="Verdana" w:cs="Calibri"/>
                <w:color w:val="000000"/>
                <w:sz w:val="20"/>
                <w:szCs w:val="20"/>
                <w:lang w:val="en-GB" w:eastAsia="en-GB"/>
              </w:rPr>
            </w:pPr>
          </w:p>
        </w:tc>
        <w:tc>
          <w:tcPr>
            <w:tcW w:w="5679" w:type="dxa"/>
            <w:tcBorders>
              <w:top w:val="nil"/>
              <w:left w:val="nil"/>
              <w:bottom w:val="nil"/>
              <w:right w:val="nil"/>
            </w:tcBorders>
            <w:shd w:val="clear" w:color="auto" w:fill="auto"/>
            <w:noWrap/>
            <w:vAlign w:val="center"/>
            <w:hideMark/>
          </w:tcPr>
          <w:p w14:paraId="41AD77A0" w14:textId="77777777" w:rsidR="00F5442C" w:rsidRPr="00F5442C" w:rsidRDefault="00F5442C" w:rsidP="00F5442C">
            <w:pPr>
              <w:rPr>
                <w:rFonts w:ascii="Verdana" w:eastAsia="Times New Roman" w:hAnsi="Verdana" w:cs="Calibri"/>
                <w:color w:val="000000"/>
                <w:sz w:val="20"/>
                <w:szCs w:val="20"/>
                <w:lang w:val="en-GB" w:eastAsia="en-GB"/>
              </w:rPr>
            </w:pPr>
            <w:r w:rsidRPr="00F5442C">
              <w:rPr>
                <w:rFonts w:ascii="Verdana" w:eastAsia="Times New Roman" w:hAnsi="Verdana" w:cs="Calibri"/>
                <w:color w:val="000000"/>
                <w:sz w:val="20"/>
                <w:szCs w:val="20"/>
                <w:lang w:val="en-GB" w:eastAsia="en-GB"/>
              </w:rPr>
              <w:t>Enterprise Resource Planning (ERP) Project</w:t>
            </w:r>
          </w:p>
        </w:tc>
        <w:tc>
          <w:tcPr>
            <w:tcW w:w="1747" w:type="dxa"/>
            <w:tcBorders>
              <w:top w:val="nil"/>
              <w:left w:val="nil"/>
              <w:bottom w:val="nil"/>
              <w:right w:val="nil"/>
            </w:tcBorders>
            <w:shd w:val="clear" w:color="auto" w:fill="auto"/>
            <w:noWrap/>
            <w:vAlign w:val="center"/>
            <w:hideMark/>
          </w:tcPr>
          <w:p w14:paraId="36D3121D" w14:textId="77777777" w:rsidR="00F5442C" w:rsidRPr="00F5442C" w:rsidRDefault="00F5442C" w:rsidP="00F5442C">
            <w:pPr>
              <w:jc w:val="right"/>
              <w:rPr>
                <w:rFonts w:ascii="Verdana" w:eastAsia="Times New Roman" w:hAnsi="Verdana" w:cs="Calibri"/>
                <w:color w:val="000000"/>
                <w:sz w:val="20"/>
                <w:szCs w:val="20"/>
                <w:lang w:val="en-GB" w:eastAsia="en-GB"/>
              </w:rPr>
            </w:pPr>
            <w:r w:rsidRPr="00F5442C">
              <w:rPr>
                <w:rFonts w:ascii="Verdana" w:eastAsia="Times New Roman" w:hAnsi="Verdana" w:cs="Calibri"/>
                <w:color w:val="000000"/>
                <w:sz w:val="20"/>
                <w:szCs w:val="20"/>
                <w:lang w:val="en-GB" w:eastAsia="en-GB"/>
              </w:rPr>
              <w:t>2.1</w:t>
            </w:r>
          </w:p>
        </w:tc>
      </w:tr>
      <w:tr w:rsidR="00F5442C" w:rsidRPr="003E03CB" w14:paraId="4E52B4DA" w14:textId="77777777" w:rsidTr="00F5442C">
        <w:trPr>
          <w:trHeight w:val="252"/>
          <w:jc w:val="center"/>
        </w:trPr>
        <w:tc>
          <w:tcPr>
            <w:tcW w:w="1966" w:type="dxa"/>
            <w:tcBorders>
              <w:top w:val="nil"/>
              <w:left w:val="nil"/>
              <w:bottom w:val="nil"/>
              <w:right w:val="nil"/>
            </w:tcBorders>
            <w:shd w:val="clear" w:color="auto" w:fill="auto"/>
            <w:noWrap/>
            <w:vAlign w:val="center"/>
            <w:hideMark/>
          </w:tcPr>
          <w:p w14:paraId="486E0737" w14:textId="77777777" w:rsidR="00F5442C" w:rsidRPr="00F5442C" w:rsidRDefault="00F5442C" w:rsidP="00F5442C">
            <w:pPr>
              <w:jc w:val="right"/>
              <w:rPr>
                <w:rFonts w:ascii="Verdana" w:eastAsia="Times New Roman" w:hAnsi="Verdana" w:cs="Calibri"/>
                <w:color w:val="000000"/>
                <w:sz w:val="20"/>
                <w:szCs w:val="20"/>
                <w:lang w:val="en-GB" w:eastAsia="en-GB"/>
              </w:rPr>
            </w:pPr>
            <w:r w:rsidRPr="00F5442C">
              <w:rPr>
                <w:rFonts w:ascii="Verdana" w:eastAsia="Times New Roman" w:hAnsi="Verdana" w:cs="Calibri"/>
                <w:color w:val="000000"/>
                <w:sz w:val="20"/>
                <w:szCs w:val="20"/>
                <w:lang w:val="en-GB" w:eastAsia="en-GB"/>
              </w:rPr>
              <w:t>1.0</w:t>
            </w:r>
          </w:p>
        </w:tc>
        <w:tc>
          <w:tcPr>
            <w:tcW w:w="414" w:type="dxa"/>
            <w:tcBorders>
              <w:top w:val="nil"/>
              <w:left w:val="nil"/>
              <w:bottom w:val="nil"/>
              <w:right w:val="nil"/>
            </w:tcBorders>
            <w:shd w:val="clear" w:color="auto" w:fill="auto"/>
            <w:noWrap/>
            <w:vAlign w:val="center"/>
            <w:hideMark/>
          </w:tcPr>
          <w:p w14:paraId="4017A6F1" w14:textId="77777777" w:rsidR="00F5442C" w:rsidRPr="00F5442C" w:rsidRDefault="00F5442C" w:rsidP="00F5442C">
            <w:pPr>
              <w:jc w:val="right"/>
              <w:rPr>
                <w:rFonts w:ascii="Verdana" w:eastAsia="Times New Roman" w:hAnsi="Verdana" w:cs="Calibri"/>
                <w:color w:val="000000"/>
                <w:sz w:val="20"/>
                <w:szCs w:val="20"/>
                <w:lang w:val="en-GB" w:eastAsia="en-GB"/>
              </w:rPr>
            </w:pPr>
          </w:p>
        </w:tc>
        <w:tc>
          <w:tcPr>
            <w:tcW w:w="5679" w:type="dxa"/>
            <w:tcBorders>
              <w:top w:val="nil"/>
              <w:left w:val="nil"/>
              <w:bottom w:val="nil"/>
              <w:right w:val="nil"/>
            </w:tcBorders>
            <w:shd w:val="clear" w:color="auto" w:fill="auto"/>
            <w:noWrap/>
            <w:vAlign w:val="center"/>
            <w:hideMark/>
          </w:tcPr>
          <w:p w14:paraId="666C3CD9" w14:textId="77777777" w:rsidR="00F5442C" w:rsidRPr="00F5442C" w:rsidRDefault="00F5442C" w:rsidP="00F5442C">
            <w:pPr>
              <w:rPr>
                <w:rFonts w:ascii="Verdana" w:eastAsia="Times New Roman" w:hAnsi="Verdana" w:cs="Calibri"/>
                <w:color w:val="000000"/>
                <w:sz w:val="20"/>
                <w:szCs w:val="20"/>
                <w:lang w:val="en-GB" w:eastAsia="en-GB"/>
              </w:rPr>
            </w:pPr>
            <w:r w:rsidRPr="00F5442C">
              <w:rPr>
                <w:rFonts w:ascii="Verdana" w:eastAsia="Times New Roman" w:hAnsi="Verdana" w:cs="Calibri"/>
                <w:color w:val="000000"/>
                <w:sz w:val="20"/>
                <w:szCs w:val="20"/>
                <w:lang w:val="en-GB" w:eastAsia="en-GB"/>
              </w:rPr>
              <w:t xml:space="preserve">Finance </w:t>
            </w:r>
          </w:p>
        </w:tc>
        <w:tc>
          <w:tcPr>
            <w:tcW w:w="1747" w:type="dxa"/>
            <w:tcBorders>
              <w:top w:val="nil"/>
              <w:left w:val="nil"/>
              <w:bottom w:val="nil"/>
              <w:right w:val="nil"/>
            </w:tcBorders>
            <w:shd w:val="clear" w:color="auto" w:fill="auto"/>
            <w:noWrap/>
            <w:vAlign w:val="center"/>
            <w:hideMark/>
          </w:tcPr>
          <w:p w14:paraId="61672DBE" w14:textId="77777777" w:rsidR="00F5442C" w:rsidRPr="00F5442C" w:rsidRDefault="00F5442C" w:rsidP="00F5442C">
            <w:pPr>
              <w:jc w:val="right"/>
              <w:rPr>
                <w:rFonts w:ascii="Verdana" w:eastAsia="Times New Roman" w:hAnsi="Verdana" w:cs="Calibri"/>
                <w:color w:val="000000"/>
                <w:sz w:val="20"/>
                <w:szCs w:val="20"/>
                <w:lang w:val="en-GB" w:eastAsia="en-GB"/>
              </w:rPr>
            </w:pPr>
            <w:r w:rsidRPr="00F5442C">
              <w:rPr>
                <w:rFonts w:ascii="Verdana" w:eastAsia="Times New Roman" w:hAnsi="Verdana" w:cs="Calibri"/>
                <w:color w:val="000000"/>
                <w:sz w:val="20"/>
                <w:szCs w:val="20"/>
                <w:lang w:val="en-GB" w:eastAsia="en-GB"/>
              </w:rPr>
              <w:t>1.0</w:t>
            </w:r>
          </w:p>
        </w:tc>
      </w:tr>
      <w:tr w:rsidR="00F5442C" w:rsidRPr="003E03CB" w14:paraId="7340B960" w14:textId="77777777" w:rsidTr="00F5442C">
        <w:trPr>
          <w:trHeight w:val="252"/>
          <w:jc w:val="center"/>
        </w:trPr>
        <w:tc>
          <w:tcPr>
            <w:tcW w:w="1966" w:type="dxa"/>
            <w:tcBorders>
              <w:top w:val="nil"/>
              <w:left w:val="nil"/>
              <w:bottom w:val="nil"/>
              <w:right w:val="nil"/>
            </w:tcBorders>
            <w:shd w:val="clear" w:color="auto" w:fill="auto"/>
            <w:noWrap/>
            <w:vAlign w:val="center"/>
            <w:hideMark/>
          </w:tcPr>
          <w:p w14:paraId="55F0FF70" w14:textId="77777777" w:rsidR="00F5442C" w:rsidRPr="00F5442C" w:rsidRDefault="00F5442C" w:rsidP="00F5442C">
            <w:pPr>
              <w:jc w:val="right"/>
              <w:rPr>
                <w:rFonts w:ascii="Verdana" w:eastAsia="Times New Roman" w:hAnsi="Verdana" w:cs="Calibri"/>
                <w:color w:val="000000"/>
                <w:sz w:val="20"/>
                <w:szCs w:val="20"/>
                <w:lang w:val="en-GB" w:eastAsia="en-GB"/>
              </w:rPr>
            </w:pPr>
            <w:r w:rsidRPr="00F5442C">
              <w:rPr>
                <w:rFonts w:ascii="Verdana" w:eastAsia="Times New Roman" w:hAnsi="Verdana" w:cs="Calibri"/>
                <w:color w:val="000000"/>
                <w:sz w:val="20"/>
                <w:szCs w:val="20"/>
                <w:lang w:val="en-GB" w:eastAsia="en-GB"/>
              </w:rPr>
              <w:t>0.2</w:t>
            </w:r>
          </w:p>
        </w:tc>
        <w:tc>
          <w:tcPr>
            <w:tcW w:w="414" w:type="dxa"/>
            <w:tcBorders>
              <w:top w:val="nil"/>
              <w:left w:val="nil"/>
              <w:bottom w:val="nil"/>
              <w:right w:val="nil"/>
            </w:tcBorders>
            <w:shd w:val="clear" w:color="auto" w:fill="auto"/>
            <w:noWrap/>
            <w:vAlign w:val="center"/>
            <w:hideMark/>
          </w:tcPr>
          <w:p w14:paraId="19844947" w14:textId="77777777" w:rsidR="00F5442C" w:rsidRPr="00F5442C" w:rsidRDefault="00F5442C" w:rsidP="00F5442C">
            <w:pPr>
              <w:jc w:val="right"/>
              <w:rPr>
                <w:rFonts w:ascii="Verdana" w:eastAsia="Times New Roman" w:hAnsi="Verdana" w:cs="Calibri"/>
                <w:color w:val="000000"/>
                <w:sz w:val="20"/>
                <w:szCs w:val="20"/>
                <w:lang w:val="en-GB" w:eastAsia="en-GB"/>
              </w:rPr>
            </w:pPr>
          </w:p>
        </w:tc>
        <w:tc>
          <w:tcPr>
            <w:tcW w:w="5679" w:type="dxa"/>
            <w:tcBorders>
              <w:top w:val="nil"/>
              <w:left w:val="nil"/>
              <w:bottom w:val="nil"/>
              <w:right w:val="nil"/>
            </w:tcBorders>
            <w:shd w:val="clear" w:color="auto" w:fill="auto"/>
            <w:noWrap/>
            <w:vAlign w:val="center"/>
            <w:hideMark/>
          </w:tcPr>
          <w:p w14:paraId="02FBD741" w14:textId="77777777" w:rsidR="00F5442C" w:rsidRPr="00F5442C" w:rsidRDefault="00F5442C" w:rsidP="00F5442C">
            <w:pPr>
              <w:rPr>
                <w:rFonts w:ascii="Verdana" w:eastAsia="Times New Roman" w:hAnsi="Verdana" w:cs="Calibri"/>
                <w:color w:val="000000"/>
                <w:sz w:val="20"/>
                <w:szCs w:val="20"/>
                <w:lang w:val="en-GB" w:eastAsia="en-GB"/>
              </w:rPr>
            </w:pPr>
            <w:r w:rsidRPr="00F5442C">
              <w:rPr>
                <w:rFonts w:ascii="Verdana" w:eastAsia="Times New Roman" w:hAnsi="Verdana" w:cs="Calibri"/>
                <w:color w:val="000000"/>
                <w:sz w:val="20"/>
                <w:szCs w:val="20"/>
                <w:lang w:val="en-GB" w:eastAsia="en-GB"/>
              </w:rPr>
              <w:t>Estates Projects</w:t>
            </w:r>
          </w:p>
        </w:tc>
        <w:tc>
          <w:tcPr>
            <w:tcW w:w="1747" w:type="dxa"/>
            <w:tcBorders>
              <w:top w:val="nil"/>
              <w:left w:val="nil"/>
              <w:bottom w:val="nil"/>
              <w:right w:val="nil"/>
            </w:tcBorders>
            <w:shd w:val="clear" w:color="auto" w:fill="auto"/>
            <w:noWrap/>
            <w:vAlign w:val="center"/>
            <w:hideMark/>
          </w:tcPr>
          <w:p w14:paraId="127D7D68" w14:textId="77777777" w:rsidR="00F5442C" w:rsidRPr="00F5442C" w:rsidRDefault="00F5442C" w:rsidP="00F5442C">
            <w:pPr>
              <w:jc w:val="right"/>
              <w:rPr>
                <w:rFonts w:ascii="Verdana" w:eastAsia="Times New Roman" w:hAnsi="Verdana" w:cs="Calibri"/>
                <w:color w:val="000000"/>
                <w:sz w:val="20"/>
                <w:szCs w:val="20"/>
                <w:lang w:val="en-GB" w:eastAsia="en-GB"/>
              </w:rPr>
            </w:pPr>
            <w:r w:rsidRPr="00F5442C">
              <w:rPr>
                <w:rFonts w:ascii="Verdana" w:eastAsia="Times New Roman" w:hAnsi="Verdana" w:cs="Calibri"/>
                <w:color w:val="000000"/>
                <w:sz w:val="20"/>
                <w:szCs w:val="20"/>
                <w:lang w:val="en-GB" w:eastAsia="en-GB"/>
              </w:rPr>
              <w:t>0.2</w:t>
            </w:r>
          </w:p>
        </w:tc>
      </w:tr>
      <w:tr w:rsidR="00F5442C" w:rsidRPr="003E03CB" w14:paraId="4EDA8E80" w14:textId="77777777" w:rsidTr="00F5442C">
        <w:trPr>
          <w:trHeight w:val="252"/>
          <w:jc w:val="center"/>
        </w:trPr>
        <w:tc>
          <w:tcPr>
            <w:tcW w:w="1966" w:type="dxa"/>
            <w:tcBorders>
              <w:top w:val="nil"/>
              <w:left w:val="nil"/>
              <w:bottom w:val="nil"/>
              <w:right w:val="nil"/>
            </w:tcBorders>
            <w:shd w:val="clear" w:color="auto" w:fill="auto"/>
            <w:noWrap/>
            <w:vAlign w:val="center"/>
            <w:hideMark/>
          </w:tcPr>
          <w:p w14:paraId="15148A5E" w14:textId="77777777" w:rsidR="00F5442C" w:rsidRPr="00F5442C" w:rsidRDefault="00F5442C" w:rsidP="00F5442C">
            <w:pPr>
              <w:jc w:val="right"/>
              <w:rPr>
                <w:rFonts w:ascii="Verdana" w:eastAsia="Times New Roman" w:hAnsi="Verdana" w:cs="Calibri"/>
                <w:color w:val="000000"/>
                <w:sz w:val="20"/>
                <w:szCs w:val="20"/>
                <w:lang w:val="en-GB" w:eastAsia="en-GB"/>
              </w:rPr>
            </w:pPr>
            <w:r w:rsidRPr="00F5442C">
              <w:rPr>
                <w:rFonts w:ascii="Verdana" w:eastAsia="Times New Roman" w:hAnsi="Verdana" w:cs="Calibri"/>
                <w:color w:val="000000"/>
                <w:sz w:val="20"/>
                <w:szCs w:val="20"/>
                <w:lang w:val="en-GB" w:eastAsia="en-GB"/>
              </w:rPr>
              <w:t>0.1</w:t>
            </w:r>
          </w:p>
        </w:tc>
        <w:tc>
          <w:tcPr>
            <w:tcW w:w="414" w:type="dxa"/>
            <w:tcBorders>
              <w:top w:val="nil"/>
              <w:left w:val="nil"/>
              <w:bottom w:val="nil"/>
              <w:right w:val="nil"/>
            </w:tcBorders>
            <w:shd w:val="clear" w:color="auto" w:fill="auto"/>
            <w:noWrap/>
            <w:vAlign w:val="center"/>
            <w:hideMark/>
          </w:tcPr>
          <w:p w14:paraId="500D009A" w14:textId="77777777" w:rsidR="00F5442C" w:rsidRPr="00F5442C" w:rsidRDefault="00F5442C" w:rsidP="00F5442C">
            <w:pPr>
              <w:jc w:val="right"/>
              <w:rPr>
                <w:rFonts w:ascii="Verdana" w:eastAsia="Times New Roman" w:hAnsi="Verdana" w:cs="Calibri"/>
                <w:color w:val="000000"/>
                <w:sz w:val="20"/>
                <w:szCs w:val="20"/>
                <w:lang w:val="en-GB" w:eastAsia="en-GB"/>
              </w:rPr>
            </w:pPr>
          </w:p>
        </w:tc>
        <w:tc>
          <w:tcPr>
            <w:tcW w:w="5679" w:type="dxa"/>
            <w:tcBorders>
              <w:top w:val="nil"/>
              <w:left w:val="nil"/>
              <w:bottom w:val="nil"/>
              <w:right w:val="nil"/>
            </w:tcBorders>
            <w:shd w:val="clear" w:color="auto" w:fill="auto"/>
            <w:noWrap/>
            <w:vAlign w:val="center"/>
            <w:hideMark/>
          </w:tcPr>
          <w:p w14:paraId="1DDD0697" w14:textId="77777777" w:rsidR="00F5442C" w:rsidRPr="00F5442C" w:rsidRDefault="00F5442C" w:rsidP="00F5442C">
            <w:pPr>
              <w:rPr>
                <w:rFonts w:ascii="Verdana" w:eastAsia="Times New Roman" w:hAnsi="Verdana" w:cs="Calibri"/>
                <w:color w:val="000000"/>
                <w:sz w:val="20"/>
                <w:szCs w:val="20"/>
                <w:lang w:val="en-GB" w:eastAsia="en-GB"/>
              </w:rPr>
            </w:pPr>
            <w:r w:rsidRPr="00F5442C">
              <w:rPr>
                <w:rFonts w:ascii="Verdana" w:eastAsia="Times New Roman" w:hAnsi="Verdana" w:cs="Calibri"/>
                <w:color w:val="000000"/>
                <w:sz w:val="20"/>
                <w:szCs w:val="20"/>
                <w:lang w:val="en-GB" w:eastAsia="en-GB"/>
              </w:rPr>
              <w:t>Insurance</w:t>
            </w:r>
          </w:p>
        </w:tc>
        <w:tc>
          <w:tcPr>
            <w:tcW w:w="1747" w:type="dxa"/>
            <w:tcBorders>
              <w:top w:val="nil"/>
              <w:left w:val="nil"/>
              <w:bottom w:val="nil"/>
              <w:right w:val="nil"/>
            </w:tcBorders>
            <w:shd w:val="clear" w:color="auto" w:fill="auto"/>
            <w:noWrap/>
            <w:vAlign w:val="center"/>
            <w:hideMark/>
          </w:tcPr>
          <w:p w14:paraId="43527EE2" w14:textId="77777777" w:rsidR="00F5442C" w:rsidRPr="00F5442C" w:rsidRDefault="00F5442C" w:rsidP="00F5442C">
            <w:pPr>
              <w:jc w:val="right"/>
              <w:rPr>
                <w:rFonts w:ascii="Verdana" w:eastAsia="Times New Roman" w:hAnsi="Verdana" w:cs="Calibri"/>
                <w:color w:val="000000"/>
                <w:sz w:val="20"/>
                <w:szCs w:val="20"/>
                <w:lang w:val="en-GB" w:eastAsia="en-GB"/>
              </w:rPr>
            </w:pPr>
            <w:r w:rsidRPr="00F5442C">
              <w:rPr>
                <w:rFonts w:ascii="Verdana" w:eastAsia="Times New Roman" w:hAnsi="Verdana" w:cs="Calibri"/>
                <w:color w:val="000000"/>
                <w:sz w:val="20"/>
                <w:szCs w:val="20"/>
                <w:lang w:val="en-GB" w:eastAsia="en-GB"/>
              </w:rPr>
              <w:t>0.1</w:t>
            </w:r>
          </w:p>
        </w:tc>
      </w:tr>
      <w:tr w:rsidR="00F5442C" w:rsidRPr="003E03CB" w14:paraId="1D382B50" w14:textId="77777777" w:rsidTr="00F5442C">
        <w:trPr>
          <w:trHeight w:val="252"/>
          <w:jc w:val="center"/>
        </w:trPr>
        <w:tc>
          <w:tcPr>
            <w:tcW w:w="1966" w:type="dxa"/>
            <w:tcBorders>
              <w:top w:val="nil"/>
              <w:left w:val="nil"/>
              <w:bottom w:val="nil"/>
              <w:right w:val="nil"/>
            </w:tcBorders>
            <w:shd w:val="clear" w:color="auto" w:fill="auto"/>
            <w:noWrap/>
            <w:vAlign w:val="center"/>
            <w:hideMark/>
          </w:tcPr>
          <w:p w14:paraId="31999BA5" w14:textId="77777777" w:rsidR="00F5442C" w:rsidRPr="00F5442C" w:rsidRDefault="00F5442C" w:rsidP="00F5442C">
            <w:pPr>
              <w:jc w:val="right"/>
              <w:rPr>
                <w:rFonts w:ascii="Verdana" w:eastAsia="Times New Roman" w:hAnsi="Verdana" w:cs="Calibri"/>
                <w:color w:val="000000"/>
                <w:sz w:val="20"/>
                <w:szCs w:val="20"/>
                <w:lang w:val="en-GB" w:eastAsia="en-GB"/>
              </w:rPr>
            </w:pPr>
            <w:r w:rsidRPr="00F5442C">
              <w:rPr>
                <w:rFonts w:ascii="Verdana" w:eastAsia="Times New Roman" w:hAnsi="Verdana" w:cs="Calibri"/>
                <w:color w:val="000000"/>
                <w:sz w:val="20"/>
                <w:szCs w:val="20"/>
                <w:lang w:val="en-GB" w:eastAsia="en-GB"/>
              </w:rPr>
              <w:t>4.9</w:t>
            </w:r>
          </w:p>
        </w:tc>
        <w:tc>
          <w:tcPr>
            <w:tcW w:w="414" w:type="dxa"/>
            <w:tcBorders>
              <w:top w:val="nil"/>
              <w:left w:val="nil"/>
              <w:bottom w:val="nil"/>
              <w:right w:val="nil"/>
            </w:tcBorders>
            <w:shd w:val="clear" w:color="auto" w:fill="auto"/>
            <w:noWrap/>
            <w:vAlign w:val="center"/>
            <w:hideMark/>
          </w:tcPr>
          <w:p w14:paraId="6CF4C5EE" w14:textId="77777777" w:rsidR="00F5442C" w:rsidRPr="00F5442C" w:rsidRDefault="00F5442C" w:rsidP="00F5442C">
            <w:pPr>
              <w:jc w:val="right"/>
              <w:rPr>
                <w:rFonts w:ascii="Verdana" w:eastAsia="Times New Roman" w:hAnsi="Verdana" w:cs="Calibri"/>
                <w:color w:val="000000"/>
                <w:sz w:val="20"/>
                <w:szCs w:val="20"/>
                <w:lang w:val="en-GB" w:eastAsia="en-GB"/>
              </w:rPr>
            </w:pPr>
          </w:p>
        </w:tc>
        <w:tc>
          <w:tcPr>
            <w:tcW w:w="5679" w:type="dxa"/>
            <w:tcBorders>
              <w:top w:val="nil"/>
              <w:left w:val="nil"/>
              <w:bottom w:val="nil"/>
              <w:right w:val="nil"/>
            </w:tcBorders>
            <w:shd w:val="clear" w:color="auto" w:fill="auto"/>
            <w:noWrap/>
            <w:vAlign w:val="center"/>
            <w:hideMark/>
          </w:tcPr>
          <w:p w14:paraId="055A361F" w14:textId="77777777" w:rsidR="00F5442C" w:rsidRPr="00F5442C" w:rsidRDefault="00F5442C" w:rsidP="00F5442C">
            <w:pPr>
              <w:rPr>
                <w:rFonts w:ascii="Verdana" w:eastAsia="Times New Roman" w:hAnsi="Verdana" w:cs="Calibri"/>
                <w:color w:val="000000"/>
                <w:sz w:val="20"/>
                <w:szCs w:val="20"/>
                <w:lang w:val="en-GB" w:eastAsia="en-GB"/>
              </w:rPr>
            </w:pPr>
            <w:r w:rsidRPr="00F5442C">
              <w:rPr>
                <w:rFonts w:ascii="Verdana" w:eastAsia="Times New Roman" w:hAnsi="Verdana" w:cs="Calibri"/>
                <w:color w:val="000000"/>
                <w:sz w:val="20"/>
                <w:szCs w:val="20"/>
                <w:lang w:val="en-GB" w:eastAsia="en-GB"/>
              </w:rPr>
              <w:t xml:space="preserve">IT </w:t>
            </w:r>
          </w:p>
        </w:tc>
        <w:tc>
          <w:tcPr>
            <w:tcW w:w="1747" w:type="dxa"/>
            <w:tcBorders>
              <w:top w:val="nil"/>
              <w:left w:val="nil"/>
              <w:bottom w:val="nil"/>
              <w:right w:val="nil"/>
            </w:tcBorders>
            <w:shd w:val="clear" w:color="auto" w:fill="auto"/>
            <w:noWrap/>
            <w:vAlign w:val="center"/>
            <w:hideMark/>
          </w:tcPr>
          <w:p w14:paraId="70DB0412" w14:textId="77777777" w:rsidR="00F5442C" w:rsidRPr="00F5442C" w:rsidRDefault="00F5442C" w:rsidP="00F5442C">
            <w:pPr>
              <w:jc w:val="right"/>
              <w:rPr>
                <w:rFonts w:ascii="Verdana" w:eastAsia="Times New Roman" w:hAnsi="Verdana" w:cs="Calibri"/>
                <w:color w:val="000000"/>
                <w:sz w:val="20"/>
                <w:szCs w:val="20"/>
                <w:lang w:val="en-GB" w:eastAsia="en-GB"/>
              </w:rPr>
            </w:pPr>
            <w:r w:rsidRPr="00F5442C">
              <w:rPr>
                <w:rFonts w:ascii="Verdana" w:eastAsia="Times New Roman" w:hAnsi="Verdana" w:cs="Calibri"/>
                <w:color w:val="000000"/>
                <w:sz w:val="20"/>
                <w:szCs w:val="20"/>
                <w:lang w:val="en-GB" w:eastAsia="en-GB"/>
              </w:rPr>
              <w:t>7.5</w:t>
            </w:r>
          </w:p>
        </w:tc>
      </w:tr>
      <w:tr w:rsidR="00F5442C" w:rsidRPr="003E03CB" w14:paraId="7A4D4C31" w14:textId="77777777" w:rsidTr="00F5442C">
        <w:trPr>
          <w:trHeight w:val="252"/>
          <w:jc w:val="center"/>
        </w:trPr>
        <w:tc>
          <w:tcPr>
            <w:tcW w:w="1966" w:type="dxa"/>
            <w:tcBorders>
              <w:top w:val="nil"/>
              <w:left w:val="nil"/>
              <w:bottom w:val="nil"/>
              <w:right w:val="nil"/>
            </w:tcBorders>
            <w:shd w:val="clear" w:color="auto" w:fill="auto"/>
            <w:noWrap/>
            <w:vAlign w:val="center"/>
            <w:hideMark/>
          </w:tcPr>
          <w:p w14:paraId="0EE270CF" w14:textId="77777777" w:rsidR="00F5442C" w:rsidRPr="00F5442C" w:rsidRDefault="00F5442C" w:rsidP="00F5442C">
            <w:pPr>
              <w:jc w:val="right"/>
              <w:rPr>
                <w:rFonts w:ascii="Verdana" w:eastAsia="Times New Roman" w:hAnsi="Verdana" w:cs="Calibri"/>
                <w:color w:val="000000"/>
                <w:sz w:val="20"/>
                <w:szCs w:val="20"/>
                <w:lang w:val="en-GB" w:eastAsia="en-GB"/>
              </w:rPr>
            </w:pPr>
            <w:r w:rsidRPr="00F5442C">
              <w:rPr>
                <w:rFonts w:ascii="Verdana" w:eastAsia="Times New Roman" w:hAnsi="Verdana" w:cs="Calibri"/>
                <w:color w:val="000000"/>
                <w:sz w:val="20"/>
                <w:szCs w:val="20"/>
                <w:lang w:val="en-GB" w:eastAsia="en-GB"/>
              </w:rPr>
              <w:t>1.3</w:t>
            </w:r>
          </w:p>
        </w:tc>
        <w:tc>
          <w:tcPr>
            <w:tcW w:w="414" w:type="dxa"/>
            <w:tcBorders>
              <w:top w:val="nil"/>
              <w:left w:val="nil"/>
              <w:bottom w:val="nil"/>
              <w:right w:val="nil"/>
            </w:tcBorders>
            <w:shd w:val="clear" w:color="auto" w:fill="auto"/>
            <w:noWrap/>
            <w:vAlign w:val="center"/>
            <w:hideMark/>
          </w:tcPr>
          <w:p w14:paraId="200E7963" w14:textId="77777777" w:rsidR="00F5442C" w:rsidRPr="00F5442C" w:rsidRDefault="00F5442C" w:rsidP="00F5442C">
            <w:pPr>
              <w:jc w:val="right"/>
              <w:rPr>
                <w:rFonts w:ascii="Verdana" w:eastAsia="Times New Roman" w:hAnsi="Verdana" w:cs="Calibri"/>
                <w:color w:val="000000"/>
                <w:sz w:val="20"/>
                <w:szCs w:val="20"/>
                <w:lang w:val="en-GB" w:eastAsia="en-GB"/>
              </w:rPr>
            </w:pPr>
          </w:p>
        </w:tc>
        <w:tc>
          <w:tcPr>
            <w:tcW w:w="5679" w:type="dxa"/>
            <w:tcBorders>
              <w:top w:val="nil"/>
              <w:left w:val="nil"/>
              <w:bottom w:val="nil"/>
              <w:right w:val="nil"/>
            </w:tcBorders>
            <w:shd w:val="clear" w:color="auto" w:fill="auto"/>
            <w:noWrap/>
            <w:vAlign w:val="center"/>
            <w:hideMark/>
          </w:tcPr>
          <w:p w14:paraId="665389AE" w14:textId="77777777" w:rsidR="00F5442C" w:rsidRPr="00F5442C" w:rsidRDefault="00F5442C" w:rsidP="00F5442C">
            <w:pPr>
              <w:rPr>
                <w:rFonts w:ascii="Verdana" w:eastAsia="Times New Roman" w:hAnsi="Verdana" w:cs="Calibri"/>
                <w:color w:val="000000"/>
                <w:sz w:val="20"/>
                <w:szCs w:val="20"/>
                <w:lang w:val="en-GB" w:eastAsia="en-GB"/>
              </w:rPr>
            </w:pPr>
            <w:r w:rsidRPr="00F5442C">
              <w:rPr>
                <w:rFonts w:ascii="Verdana" w:eastAsia="Times New Roman" w:hAnsi="Verdana" w:cs="Calibri"/>
                <w:color w:val="000000"/>
                <w:sz w:val="20"/>
                <w:szCs w:val="20"/>
                <w:lang w:val="en-GB" w:eastAsia="en-GB"/>
              </w:rPr>
              <w:t>IT Projects</w:t>
            </w:r>
          </w:p>
        </w:tc>
        <w:tc>
          <w:tcPr>
            <w:tcW w:w="1747" w:type="dxa"/>
            <w:tcBorders>
              <w:top w:val="nil"/>
              <w:left w:val="nil"/>
              <w:bottom w:val="nil"/>
              <w:right w:val="nil"/>
            </w:tcBorders>
            <w:shd w:val="clear" w:color="auto" w:fill="auto"/>
            <w:noWrap/>
            <w:vAlign w:val="center"/>
            <w:hideMark/>
          </w:tcPr>
          <w:p w14:paraId="2DD5B353" w14:textId="77777777" w:rsidR="00F5442C" w:rsidRPr="00F5442C" w:rsidRDefault="00F5442C" w:rsidP="00F5442C">
            <w:pPr>
              <w:jc w:val="right"/>
              <w:rPr>
                <w:rFonts w:ascii="Verdana" w:eastAsia="Times New Roman" w:hAnsi="Verdana" w:cs="Calibri"/>
                <w:color w:val="000000"/>
                <w:sz w:val="20"/>
                <w:szCs w:val="20"/>
                <w:lang w:val="en-GB" w:eastAsia="en-GB"/>
              </w:rPr>
            </w:pPr>
            <w:r w:rsidRPr="00F5442C">
              <w:rPr>
                <w:rFonts w:ascii="Verdana" w:eastAsia="Times New Roman" w:hAnsi="Verdana" w:cs="Calibri"/>
                <w:color w:val="000000"/>
                <w:sz w:val="20"/>
                <w:szCs w:val="20"/>
                <w:lang w:val="en-GB" w:eastAsia="en-GB"/>
              </w:rPr>
              <w:t>2.4</w:t>
            </w:r>
          </w:p>
        </w:tc>
      </w:tr>
      <w:tr w:rsidR="00F5442C" w:rsidRPr="003E03CB" w14:paraId="5988D6D8" w14:textId="77777777" w:rsidTr="00F5442C">
        <w:trPr>
          <w:trHeight w:val="252"/>
          <w:jc w:val="center"/>
        </w:trPr>
        <w:tc>
          <w:tcPr>
            <w:tcW w:w="1966" w:type="dxa"/>
            <w:tcBorders>
              <w:top w:val="nil"/>
              <w:left w:val="nil"/>
              <w:bottom w:val="nil"/>
              <w:right w:val="nil"/>
            </w:tcBorders>
            <w:shd w:val="clear" w:color="auto" w:fill="auto"/>
            <w:noWrap/>
            <w:vAlign w:val="center"/>
            <w:hideMark/>
          </w:tcPr>
          <w:p w14:paraId="0270FA3A" w14:textId="77777777" w:rsidR="00F5442C" w:rsidRPr="00F5442C" w:rsidRDefault="00F5442C" w:rsidP="00F5442C">
            <w:pPr>
              <w:jc w:val="right"/>
              <w:rPr>
                <w:rFonts w:ascii="Verdana" w:eastAsia="Times New Roman" w:hAnsi="Verdana" w:cs="Calibri"/>
                <w:color w:val="000000"/>
                <w:sz w:val="20"/>
                <w:szCs w:val="20"/>
                <w:lang w:val="en-GB" w:eastAsia="en-GB"/>
              </w:rPr>
            </w:pPr>
            <w:r w:rsidRPr="00F5442C">
              <w:rPr>
                <w:rFonts w:ascii="Verdana" w:eastAsia="Times New Roman" w:hAnsi="Verdana" w:cs="Calibri"/>
                <w:color w:val="000000"/>
                <w:sz w:val="20"/>
                <w:szCs w:val="20"/>
                <w:lang w:val="en-GB" w:eastAsia="en-GB"/>
              </w:rPr>
              <w:t>0.2</w:t>
            </w:r>
          </w:p>
        </w:tc>
        <w:tc>
          <w:tcPr>
            <w:tcW w:w="414" w:type="dxa"/>
            <w:tcBorders>
              <w:top w:val="nil"/>
              <w:left w:val="nil"/>
              <w:bottom w:val="nil"/>
              <w:right w:val="nil"/>
            </w:tcBorders>
            <w:shd w:val="clear" w:color="auto" w:fill="auto"/>
            <w:noWrap/>
            <w:vAlign w:val="center"/>
            <w:hideMark/>
          </w:tcPr>
          <w:p w14:paraId="433C3173" w14:textId="77777777" w:rsidR="00F5442C" w:rsidRPr="00F5442C" w:rsidRDefault="00F5442C" w:rsidP="00F5442C">
            <w:pPr>
              <w:jc w:val="right"/>
              <w:rPr>
                <w:rFonts w:ascii="Verdana" w:eastAsia="Times New Roman" w:hAnsi="Verdana" w:cs="Calibri"/>
                <w:color w:val="000000"/>
                <w:sz w:val="20"/>
                <w:szCs w:val="20"/>
                <w:lang w:val="en-GB" w:eastAsia="en-GB"/>
              </w:rPr>
            </w:pPr>
          </w:p>
        </w:tc>
        <w:tc>
          <w:tcPr>
            <w:tcW w:w="5679" w:type="dxa"/>
            <w:tcBorders>
              <w:top w:val="nil"/>
              <w:left w:val="nil"/>
              <w:bottom w:val="nil"/>
              <w:right w:val="nil"/>
            </w:tcBorders>
            <w:shd w:val="clear" w:color="auto" w:fill="auto"/>
            <w:noWrap/>
            <w:vAlign w:val="center"/>
            <w:hideMark/>
          </w:tcPr>
          <w:p w14:paraId="7741F353" w14:textId="77777777" w:rsidR="00F5442C" w:rsidRPr="00F5442C" w:rsidRDefault="00F5442C" w:rsidP="00F5442C">
            <w:pPr>
              <w:rPr>
                <w:rFonts w:ascii="Verdana" w:eastAsia="Times New Roman" w:hAnsi="Verdana" w:cs="Calibri"/>
                <w:color w:val="000000"/>
                <w:sz w:val="20"/>
                <w:szCs w:val="20"/>
                <w:lang w:val="en-GB" w:eastAsia="en-GB"/>
              </w:rPr>
            </w:pPr>
            <w:r w:rsidRPr="00F5442C">
              <w:rPr>
                <w:rFonts w:ascii="Verdana" w:eastAsia="Times New Roman" w:hAnsi="Verdana" w:cs="Calibri"/>
                <w:color w:val="000000"/>
                <w:sz w:val="20"/>
                <w:szCs w:val="20"/>
                <w:lang w:val="en-GB" w:eastAsia="en-GB"/>
              </w:rPr>
              <w:t>Procurement</w:t>
            </w:r>
          </w:p>
        </w:tc>
        <w:tc>
          <w:tcPr>
            <w:tcW w:w="1747" w:type="dxa"/>
            <w:tcBorders>
              <w:top w:val="nil"/>
              <w:left w:val="nil"/>
              <w:bottom w:val="nil"/>
              <w:right w:val="nil"/>
            </w:tcBorders>
            <w:shd w:val="clear" w:color="auto" w:fill="auto"/>
            <w:noWrap/>
            <w:vAlign w:val="center"/>
            <w:hideMark/>
          </w:tcPr>
          <w:p w14:paraId="3820B33C" w14:textId="77777777" w:rsidR="00F5442C" w:rsidRPr="00F5442C" w:rsidRDefault="00F5442C" w:rsidP="00F5442C">
            <w:pPr>
              <w:jc w:val="right"/>
              <w:rPr>
                <w:rFonts w:ascii="Verdana" w:eastAsia="Times New Roman" w:hAnsi="Verdana" w:cs="Calibri"/>
                <w:color w:val="000000"/>
                <w:sz w:val="20"/>
                <w:szCs w:val="20"/>
                <w:lang w:val="en-GB" w:eastAsia="en-GB"/>
              </w:rPr>
            </w:pPr>
            <w:r w:rsidRPr="00F5442C">
              <w:rPr>
                <w:rFonts w:ascii="Verdana" w:eastAsia="Times New Roman" w:hAnsi="Verdana" w:cs="Calibri"/>
                <w:color w:val="000000"/>
                <w:sz w:val="20"/>
                <w:szCs w:val="20"/>
                <w:lang w:val="en-GB" w:eastAsia="en-GB"/>
              </w:rPr>
              <w:t>0.3</w:t>
            </w:r>
          </w:p>
        </w:tc>
      </w:tr>
      <w:tr w:rsidR="00F5442C" w:rsidRPr="003E03CB" w14:paraId="7F170186" w14:textId="77777777" w:rsidTr="00F5442C">
        <w:trPr>
          <w:trHeight w:val="252"/>
          <w:jc w:val="center"/>
        </w:trPr>
        <w:tc>
          <w:tcPr>
            <w:tcW w:w="1966" w:type="dxa"/>
            <w:tcBorders>
              <w:top w:val="nil"/>
              <w:left w:val="nil"/>
              <w:bottom w:val="nil"/>
              <w:right w:val="nil"/>
            </w:tcBorders>
            <w:shd w:val="clear" w:color="auto" w:fill="auto"/>
            <w:noWrap/>
            <w:vAlign w:val="center"/>
            <w:hideMark/>
          </w:tcPr>
          <w:p w14:paraId="71A6F255" w14:textId="77777777" w:rsidR="00F5442C" w:rsidRPr="00F5442C" w:rsidRDefault="00F5442C" w:rsidP="00F5442C">
            <w:pPr>
              <w:jc w:val="right"/>
              <w:rPr>
                <w:rFonts w:ascii="Verdana" w:eastAsia="Times New Roman" w:hAnsi="Verdana" w:cs="Calibri"/>
                <w:color w:val="000000"/>
                <w:sz w:val="20"/>
                <w:szCs w:val="20"/>
                <w:lang w:val="en-GB" w:eastAsia="en-GB"/>
              </w:rPr>
            </w:pPr>
            <w:r w:rsidRPr="00F5442C">
              <w:rPr>
                <w:rFonts w:ascii="Verdana" w:eastAsia="Times New Roman" w:hAnsi="Verdana" w:cs="Calibri"/>
                <w:color w:val="000000"/>
                <w:sz w:val="20"/>
                <w:szCs w:val="20"/>
                <w:lang w:val="en-GB" w:eastAsia="en-GB"/>
              </w:rPr>
              <w:t>0.9</w:t>
            </w:r>
          </w:p>
        </w:tc>
        <w:tc>
          <w:tcPr>
            <w:tcW w:w="414" w:type="dxa"/>
            <w:tcBorders>
              <w:top w:val="nil"/>
              <w:left w:val="nil"/>
              <w:bottom w:val="nil"/>
              <w:right w:val="nil"/>
            </w:tcBorders>
            <w:shd w:val="clear" w:color="auto" w:fill="auto"/>
            <w:noWrap/>
            <w:vAlign w:val="center"/>
            <w:hideMark/>
          </w:tcPr>
          <w:p w14:paraId="2CABAD3A" w14:textId="77777777" w:rsidR="00F5442C" w:rsidRPr="00F5442C" w:rsidRDefault="00F5442C" w:rsidP="00F5442C">
            <w:pPr>
              <w:jc w:val="right"/>
              <w:rPr>
                <w:rFonts w:ascii="Verdana" w:eastAsia="Times New Roman" w:hAnsi="Verdana" w:cs="Calibri"/>
                <w:color w:val="000000"/>
                <w:sz w:val="20"/>
                <w:szCs w:val="20"/>
                <w:lang w:val="en-GB" w:eastAsia="en-GB"/>
              </w:rPr>
            </w:pPr>
          </w:p>
        </w:tc>
        <w:tc>
          <w:tcPr>
            <w:tcW w:w="5679" w:type="dxa"/>
            <w:tcBorders>
              <w:top w:val="nil"/>
              <w:left w:val="nil"/>
              <w:bottom w:val="nil"/>
              <w:right w:val="nil"/>
            </w:tcBorders>
            <w:shd w:val="clear" w:color="auto" w:fill="auto"/>
            <w:noWrap/>
            <w:vAlign w:val="center"/>
            <w:hideMark/>
          </w:tcPr>
          <w:p w14:paraId="512157C5" w14:textId="77777777" w:rsidR="00F5442C" w:rsidRPr="00F5442C" w:rsidRDefault="00F5442C" w:rsidP="00F5442C">
            <w:pPr>
              <w:rPr>
                <w:rFonts w:ascii="Verdana" w:eastAsia="Times New Roman" w:hAnsi="Verdana" w:cs="Calibri"/>
                <w:color w:val="000000"/>
                <w:sz w:val="20"/>
                <w:szCs w:val="20"/>
                <w:lang w:val="en-GB" w:eastAsia="en-GB"/>
              </w:rPr>
            </w:pPr>
            <w:r w:rsidRPr="00F5442C">
              <w:rPr>
                <w:rFonts w:ascii="Verdana" w:eastAsia="Times New Roman" w:hAnsi="Verdana" w:cs="Calibri"/>
                <w:color w:val="000000"/>
                <w:sz w:val="20"/>
                <w:szCs w:val="20"/>
                <w:lang w:val="en-GB" w:eastAsia="en-GB"/>
              </w:rPr>
              <w:t>Transport</w:t>
            </w:r>
          </w:p>
        </w:tc>
        <w:tc>
          <w:tcPr>
            <w:tcW w:w="1747" w:type="dxa"/>
            <w:tcBorders>
              <w:top w:val="nil"/>
              <w:left w:val="nil"/>
              <w:bottom w:val="nil"/>
              <w:right w:val="nil"/>
            </w:tcBorders>
            <w:shd w:val="clear" w:color="auto" w:fill="auto"/>
            <w:noWrap/>
            <w:vAlign w:val="center"/>
            <w:hideMark/>
          </w:tcPr>
          <w:p w14:paraId="07310845" w14:textId="77777777" w:rsidR="00F5442C" w:rsidRPr="00F5442C" w:rsidRDefault="00F5442C" w:rsidP="00F5442C">
            <w:pPr>
              <w:jc w:val="right"/>
              <w:rPr>
                <w:rFonts w:ascii="Verdana" w:eastAsia="Times New Roman" w:hAnsi="Verdana" w:cs="Calibri"/>
                <w:color w:val="000000"/>
                <w:sz w:val="20"/>
                <w:szCs w:val="20"/>
                <w:lang w:val="en-GB" w:eastAsia="en-GB"/>
              </w:rPr>
            </w:pPr>
            <w:r w:rsidRPr="00F5442C">
              <w:rPr>
                <w:rFonts w:ascii="Verdana" w:eastAsia="Times New Roman" w:hAnsi="Verdana" w:cs="Calibri"/>
                <w:color w:val="000000"/>
                <w:sz w:val="20"/>
                <w:szCs w:val="20"/>
                <w:lang w:val="en-GB" w:eastAsia="en-GB"/>
              </w:rPr>
              <w:t>1.3</w:t>
            </w:r>
          </w:p>
        </w:tc>
      </w:tr>
      <w:tr w:rsidR="00F5442C" w:rsidRPr="003E03CB" w14:paraId="1BAF7962" w14:textId="77777777" w:rsidTr="00F5442C">
        <w:trPr>
          <w:trHeight w:val="252"/>
          <w:jc w:val="center"/>
        </w:trPr>
        <w:tc>
          <w:tcPr>
            <w:tcW w:w="1966" w:type="dxa"/>
            <w:tcBorders>
              <w:top w:val="nil"/>
              <w:left w:val="nil"/>
              <w:bottom w:val="nil"/>
              <w:right w:val="nil"/>
            </w:tcBorders>
            <w:shd w:val="clear" w:color="auto" w:fill="auto"/>
            <w:noWrap/>
            <w:vAlign w:val="center"/>
            <w:hideMark/>
          </w:tcPr>
          <w:p w14:paraId="30A2764E" w14:textId="77777777" w:rsidR="00F5442C" w:rsidRPr="00F5442C" w:rsidRDefault="00F5442C" w:rsidP="00F5442C">
            <w:pPr>
              <w:jc w:val="right"/>
              <w:rPr>
                <w:rFonts w:ascii="Verdana" w:eastAsia="Times New Roman" w:hAnsi="Verdana" w:cs="Calibri"/>
                <w:color w:val="000000"/>
                <w:sz w:val="20"/>
                <w:szCs w:val="20"/>
                <w:lang w:val="en-GB" w:eastAsia="en-GB"/>
              </w:rPr>
            </w:pPr>
            <w:r w:rsidRPr="00F5442C">
              <w:rPr>
                <w:rFonts w:ascii="Verdana" w:eastAsia="Times New Roman" w:hAnsi="Verdana" w:cs="Calibri"/>
                <w:color w:val="000000"/>
                <w:sz w:val="20"/>
                <w:szCs w:val="20"/>
                <w:lang w:val="en-GB" w:eastAsia="en-GB"/>
              </w:rPr>
              <w:t>16.1</w:t>
            </w:r>
          </w:p>
        </w:tc>
        <w:tc>
          <w:tcPr>
            <w:tcW w:w="414" w:type="dxa"/>
            <w:tcBorders>
              <w:top w:val="nil"/>
              <w:left w:val="nil"/>
              <w:bottom w:val="nil"/>
              <w:right w:val="nil"/>
            </w:tcBorders>
            <w:shd w:val="clear" w:color="auto" w:fill="auto"/>
            <w:noWrap/>
            <w:vAlign w:val="center"/>
            <w:hideMark/>
          </w:tcPr>
          <w:p w14:paraId="63A1554B" w14:textId="77777777" w:rsidR="00F5442C" w:rsidRPr="00F5442C" w:rsidRDefault="00F5442C" w:rsidP="00F5442C">
            <w:pPr>
              <w:jc w:val="right"/>
              <w:rPr>
                <w:rFonts w:ascii="Verdana" w:eastAsia="Times New Roman" w:hAnsi="Verdana" w:cs="Calibri"/>
                <w:color w:val="000000"/>
                <w:sz w:val="20"/>
                <w:szCs w:val="20"/>
                <w:lang w:val="en-GB" w:eastAsia="en-GB"/>
              </w:rPr>
            </w:pPr>
          </w:p>
        </w:tc>
        <w:tc>
          <w:tcPr>
            <w:tcW w:w="5679" w:type="dxa"/>
            <w:tcBorders>
              <w:top w:val="nil"/>
              <w:left w:val="nil"/>
              <w:bottom w:val="nil"/>
              <w:right w:val="nil"/>
            </w:tcBorders>
            <w:shd w:val="clear" w:color="auto" w:fill="auto"/>
            <w:noWrap/>
            <w:vAlign w:val="center"/>
            <w:hideMark/>
          </w:tcPr>
          <w:p w14:paraId="3F51F89C" w14:textId="77777777" w:rsidR="00F5442C" w:rsidRPr="00F5442C" w:rsidRDefault="00F5442C" w:rsidP="00F5442C">
            <w:pPr>
              <w:rPr>
                <w:rFonts w:ascii="Verdana" w:eastAsia="Times New Roman" w:hAnsi="Verdana" w:cs="Calibri"/>
                <w:color w:val="000000"/>
                <w:sz w:val="20"/>
                <w:szCs w:val="20"/>
                <w:lang w:val="en-GB" w:eastAsia="en-GB"/>
              </w:rPr>
            </w:pPr>
            <w:r w:rsidRPr="00F5442C">
              <w:rPr>
                <w:rFonts w:ascii="Verdana" w:eastAsia="Times New Roman" w:hAnsi="Verdana" w:cs="Calibri"/>
                <w:color w:val="000000"/>
                <w:sz w:val="20"/>
                <w:szCs w:val="20"/>
                <w:lang w:val="en-GB" w:eastAsia="en-GB"/>
              </w:rPr>
              <w:t>Operations Department</w:t>
            </w:r>
          </w:p>
        </w:tc>
        <w:tc>
          <w:tcPr>
            <w:tcW w:w="1747" w:type="dxa"/>
            <w:tcBorders>
              <w:top w:val="nil"/>
              <w:left w:val="nil"/>
              <w:bottom w:val="nil"/>
              <w:right w:val="nil"/>
            </w:tcBorders>
            <w:shd w:val="clear" w:color="auto" w:fill="auto"/>
            <w:noWrap/>
            <w:vAlign w:val="center"/>
            <w:hideMark/>
          </w:tcPr>
          <w:p w14:paraId="46BB54C2" w14:textId="77777777" w:rsidR="00F5442C" w:rsidRPr="00F5442C" w:rsidRDefault="00F5442C" w:rsidP="00F5442C">
            <w:pPr>
              <w:jc w:val="right"/>
              <w:rPr>
                <w:rFonts w:ascii="Verdana" w:eastAsia="Times New Roman" w:hAnsi="Verdana" w:cs="Calibri"/>
                <w:color w:val="000000"/>
                <w:sz w:val="20"/>
                <w:szCs w:val="20"/>
                <w:lang w:val="en-GB" w:eastAsia="en-GB"/>
              </w:rPr>
            </w:pPr>
            <w:r w:rsidRPr="00F5442C">
              <w:rPr>
                <w:rFonts w:ascii="Verdana" w:eastAsia="Times New Roman" w:hAnsi="Verdana" w:cs="Calibri"/>
                <w:color w:val="000000"/>
                <w:sz w:val="20"/>
                <w:szCs w:val="20"/>
                <w:lang w:val="en-GB" w:eastAsia="en-GB"/>
              </w:rPr>
              <w:t>18.9</w:t>
            </w:r>
          </w:p>
        </w:tc>
      </w:tr>
      <w:tr w:rsidR="00F5442C" w:rsidRPr="003E03CB" w14:paraId="75A60BAB" w14:textId="77777777" w:rsidTr="00F5442C">
        <w:trPr>
          <w:trHeight w:val="252"/>
          <w:jc w:val="center"/>
        </w:trPr>
        <w:tc>
          <w:tcPr>
            <w:tcW w:w="1966" w:type="dxa"/>
            <w:tcBorders>
              <w:top w:val="nil"/>
              <w:left w:val="nil"/>
              <w:bottom w:val="nil"/>
              <w:right w:val="nil"/>
            </w:tcBorders>
            <w:shd w:val="clear" w:color="auto" w:fill="auto"/>
            <w:noWrap/>
            <w:vAlign w:val="center"/>
            <w:hideMark/>
          </w:tcPr>
          <w:p w14:paraId="35D07573" w14:textId="77777777" w:rsidR="00F5442C" w:rsidRPr="00F5442C" w:rsidRDefault="00F5442C" w:rsidP="00F5442C">
            <w:pPr>
              <w:jc w:val="right"/>
              <w:rPr>
                <w:rFonts w:ascii="Verdana" w:eastAsia="Times New Roman" w:hAnsi="Verdana" w:cs="Calibri"/>
                <w:color w:val="000000"/>
                <w:sz w:val="20"/>
                <w:szCs w:val="20"/>
                <w:lang w:val="en-GB" w:eastAsia="en-GB"/>
              </w:rPr>
            </w:pPr>
            <w:r w:rsidRPr="00F5442C">
              <w:rPr>
                <w:rFonts w:ascii="Verdana" w:eastAsia="Times New Roman" w:hAnsi="Verdana" w:cs="Calibri"/>
                <w:color w:val="000000"/>
                <w:sz w:val="20"/>
                <w:szCs w:val="20"/>
                <w:lang w:val="en-GB" w:eastAsia="en-GB"/>
              </w:rPr>
              <w:t>0.1</w:t>
            </w:r>
          </w:p>
        </w:tc>
        <w:tc>
          <w:tcPr>
            <w:tcW w:w="414" w:type="dxa"/>
            <w:tcBorders>
              <w:top w:val="nil"/>
              <w:left w:val="nil"/>
              <w:bottom w:val="nil"/>
              <w:right w:val="nil"/>
            </w:tcBorders>
            <w:shd w:val="clear" w:color="auto" w:fill="auto"/>
            <w:noWrap/>
            <w:vAlign w:val="center"/>
            <w:hideMark/>
          </w:tcPr>
          <w:p w14:paraId="1936963F" w14:textId="77777777" w:rsidR="00F5442C" w:rsidRPr="00F5442C" w:rsidRDefault="00F5442C" w:rsidP="00F5442C">
            <w:pPr>
              <w:jc w:val="right"/>
              <w:rPr>
                <w:rFonts w:ascii="Verdana" w:eastAsia="Times New Roman" w:hAnsi="Verdana" w:cs="Calibri"/>
                <w:color w:val="000000"/>
                <w:sz w:val="20"/>
                <w:szCs w:val="20"/>
                <w:lang w:val="en-GB" w:eastAsia="en-GB"/>
              </w:rPr>
            </w:pPr>
          </w:p>
        </w:tc>
        <w:tc>
          <w:tcPr>
            <w:tcW w:w="5679" w:type="dxa"/>
            <w:tcBorders>
              <w:top w:val="nil"/>
              <w:left w:val="nil"/>
              <w:bottom w:val="nil"/>
              <w:right w:val="nil"/>
            </w:tcBorders>
            <w:shd w:val="clear" w:color="auto" w:fill="auto"/>
            <w:noWrap/>
            <w:vAlign w:val="center"/>
            <w:hideMark/>
          </w:tcPr>
          <w:p w14:paraId="5E2E9DB7" w14:textId="77777777" w:rsidR="00F5442C" w:rsidRPr="00F5442C" w:rsidRDefault="00F5442C" w:rsidP="00F5442C">
            <w:pPr>
              <w:rPr>
                <w:rFonts w:ascii="Verdana" w:eastAsia="Times New Roman" w:hAnsi="Verdana" w:cs="Calibri"/>
                <w:color w:val="000000"/>
                <w:sz w:val="20"/>
                <w:szCs w:val="20"/>
                <w:lang w:val="en-GB" w:eastAsia="en-GB"/>
              </w:rPr>
            </w:pPr>
            <w:r w:rsidRPr="00F5442C">
              <w:rPr>
                <w:rFonts w:ascii="Verdana" w:eastAsia="Times New Roman" w:hAnsi="Verdana" w:cs="Calibri"/>
                <w:color w:val="000000"/>
                <w:sz w:val="20"/>
                <w:szCs w:val="20"/>
                <w:lang w:val="en-GB" w:eastAsia="en-GB"/>
              </w:rPr>
              <w:t>Operations Projects</w:t>
            </w:r>
          </w:p>
        </w:tc>
        <w:tc>
          <w:tcPr>
            <w:tcW w:w="1747" w:type="dxa"/>
            <w:tcBorders>
              <w:top w:val="nil"/>
              <w:left w:val="nil"/>
              <w:bottom w:val="nil"/>
              <w:right w:val="nil"/>
            </w:tcBorders>
            <w:shd w:val="clear" w:color="auto" w:fill="auto"/>
            <w:noWrap/>
            <w:vAlign w:val="center"/>
            <w:hideMark/>
          </w:tcPr>
          <w:p w14:paraId="3D65637A" w14:textId="77777777" w:rsidR="00F5442C" w:rsidRPr="00F5442C" w:rsidRDefault="00F5442C" w:rsidP="00F5442C">
            <w:pPr>
              <w:jc w:val="right"/>
              <w:rPr>
                <w:rFonts w:ascii="Verdana" w:eastAsia="Times New Roman" w:hAnsi="Verdana" w:cs="Calibri"/>
                <w:color w:val="000000"/>
                <w:sz w:val="20"/>
                <w:szCs w:val="20"/>
                <w:lang w:val="en-GB" w:eastAsia="en-GB"/>
              </w:rPr>
            </w:pPr>
            <w:r w:rsidRPr="00F5442C">
              <w:rPr>
                <w:rFonts w:ascii="Verdana" w:eastAsia="Times New Roman" w:hAnsi="Verdana" w:cs="Calibri"/>
                <w:color w:val="000000"/>
                <w:sz w:val="20"/>
                <w:szCs w:val="20"/>
                <w:lang w:val="en-GB" w:eastAsia="en-GB"/>
              </w:rPr>
              <w:t>0.4</w:t>
            </w:r>
          </w:p>
        </w:tc>
      </w:tr>
      <w:tr w:rsidR="00F5442C" w:rsidRPr="003E03CB" w14:paraId="52715B19" w14:textId="77777777" w:rsidTr="00F5442C">
        <w:trPr>
          <w:trHeight w:val="252"/>
          <w:jc w:val="center"/>
        </w:trPr>
        <w:tc>
          <w:tcPr>
            <w:tcW w:w="1966" w:type="dxa"/>
            <w:tcBorders>
              <w:top w:val="nil"/>
              <w:left w:val="nil"/>
              <w:bottom w:val="nil"/>
              <w:right w:val="nil"/>
            </w:tcBorders>
            <w:shd w:val="clear" w:color="auto" w:fill="auto"/>
            <w:noWrap/>
            <w:vAlign w:val="center"/>
            <w:hideMark/>
          </w:tcPr>
          <w:p w14:paraId="7E1AA2D7" w14:textId="77777777" w:rsidR="00F5442C" w:rsidRPr="00F5442C" w:rsidRDefault="00F5442C" w:rsidP="00F5442C">
            <w:pPr>
              <w:jc w:val="right"/>
              <w:rPr>
                <w:rFonts w:ascii="Verdana" w:eastAsia="Times New Roman" w:hAnsi="Verdana" w:cs="Calibri"/>
                <w:color w:val="000000"/>
                <w:sz w:val="20"/>
                <w:szCs w:val="20"/>
                <w:lang w:val="en-GB" w:eastAsia="en-GB"/>
              </w:rPr>
            </w:pPr>
            <w:r w:rsidRPr="00F5442C">
              <w:rPr>
                <w:rFonts w:ascii="Verdana" w:eastAsia="Times New Roman" w:hAnsi="Verdana" w:cs="Calibri"/>
                <w:color w:val="000000"/>
                <w:sz w:val="20"/>
                <w:szCs w:val="20"/>
                <w:lang w:val="en-GB" w:eastAsia="en-GB"/>
              </w:rPr>
              <w:t>0.1</w:t>
            </w:r>
          </w:p>
        </w:tc>
        <w:tc>
          <w:tcPr>
            <w:tcW w:w="414" w:type="dxa"/>
            <w:tcBorders>
              <w:top w:val="nil"/>
              <w:left w:val="nil"/>
              <w:bottom w:val="nil"/>
              <w:right w:val="nil"/>
            </w:tcBorders>
            <w:shd w:val="clear" w:color="auto" w:fill="auto"/>
            <w:noWrap/>
            <w:vAlign w:val="center"/>
            <w:hideMark/>
          </w:tcPr>
          <w:p w14:paraId="5EE61EE5" w14:textId="77777777" w:rsidR="00F5442C" w:rsidRPr="00F5442C" w:rsidRDefault="00F5442C" w:rsidP="00F5442C">
            <w:pPr>
              <w:jc w:val="right"/>
              <w:rPr>
                <w:rFonts w:ascii="Verdana" w:eastAsia="Times New Roman" w:hAnsi="Verdana" w:cs="Calibri"/>
                <w:color w:val="000000"/>
                <w:sz w:val="20"/>
                <w:szCs w:val="20"/>
                <w:lang w:val="en-GB" w:eastAsia="en-GB"/>
              </w:rPr>
            </w:pPr>
          </w:p>
        </w:tc>
        <w:tc>
          <w:tcPr>
            <w:tcW w:w="5679" w:type="dxa"/>
            <w:tcBorders>
              <w:top w:val="nil"/>
              <w:left w:val="nil"/>
              <w:bottom w:val="nil"/>
              <w:right w:val="nil"/>
            </w:tcBorders>
            <w:shd w:val="clear" w:color="auto" w:fill="auto"/>
            <w:noWrap/>
            <w:vAlign w:val="center"/>
            <w:hideMark/>
          </w:tcPr>
          <w:p w14:paraId="3D3C1CB8" w14:textId="77777777" w:rsidR="00F5442C" w:rsidRPr="00F5442C" w:rsidRDefault="00F5442C" w:rsidP="00F5442C">
            <w:pPr>
              <w:rPr>
                <w:rFonts w:ascii="Verdana" w:eastAsia="Times New Roman" w:hAnsi="Verdana" w:cs="Calibri"/>
                <w:color w:val="000000"/>
                <w:sz w:val="20"/>
                <w:szCs w:val="20"/>
                <w:lang w:val="en-GB" w:eastAsia="en-GB"/>
              </w:rPr>
            </w:pPr>
            <w:r w:rsidRPr="00F5442C">
              <w:rPr>
                <w:rFonts w:ascii="Verdana" w:eastAsia="Times New Roman" w:hAnsi="Verdana" w:cs="Calibri"/>
                <w:color w:val="000000"/>
                <w:sz w:val="20"/>
                <w:szCs w:val="20"/>
                <w:lang w:val="en-GB" w:eastAsia="en-GB"/>
              </w:rPr>
              <w:t>Health &amp; Safety</w:t>
            </w:r>
          </w:p>
        </w:tc>
        <w:tc>
          <w:tcPr>
            <w:tcW w:w="1747" w:type="dxa"/>
            <w:tcBorders>
              <w:top w:val="nil"/>
              <w:left w:val="nil"/>
              <w:bottom w:val="nil"/>
              <w:right w:val="nil"/>
            </w:tcBorders>
            <w:shd w:val="clear" w:color="auto" w:fill="auto"/>
            <w:noWrap/>
            <w:vAlign w:val="center"/>
            <w:hideMark/>
          </w:tcPr>
          <w:p w14:paraId="46269D67" w14:textId="77777777" w:rsidR="00F5442C" w:rsidRPr="00F5442C" w:rsidRDefault="00F5442C" w:rsidP="00F5442C">
            <w:pPr>
              <w:jc w:val="right"/>
              <w:rPr>
                <w:rFonts w:ascii="Verdana" w:eastAsia="Times New Roman" w:hAnsi="Verdana" w:cs="Calibri"/>
                <w:color w:val="000000"/>
                <w:sz w:val="20"/>
                <w:szCs w:val="20"/>
                <w:lang w:val="en-GB" w:eastAsia="en-GB"/>
              </w:rPr>
            </w:pPr>
            <w:r w:rsidRPr="00F5442C">
              <w:rPr>
                <w:rFonts w:ascii="Verdana" w:eastAsia="Times New Roman" w:hAnsi="Verdana" w:cs="Calibri"/>
                <w:color w:val="000000"/>
                <w:sz w:val="20"/>
                <w:szCs w:val="20"/>
                <w:lang w:val="en-GB" w:eastAsia="en-GB"/>
              </w:rPr>
              <w:t>0</w:t>
            </w:r>
          </w:p>
        </w:tc>
      </w:tr>
      <w:tr w:rsidR="00F5442C" w:rsidRPr="003E03CB" w14:paraId="72AC6B10" w14:textId="77777777" w:rsidTr="00F5442C">
        <w:trPr>
          <w:trHeight w:val="252"/>
          <w:jc w:val="center"/>
        </w:trPr>
        <w:tc>
          <w:tcPr>
            <w:tcW w:w="1966" w:type="dxa"/>
            <w:tcBorders>
              <w:top w:val="nil"/>
              <w:left w:val="nil"/>
              <w:bottom w:val="nil"/>
              <w:right w:val="nil"/>
            </w:tcBorders>
            <w:shd w:val="clear" w:color="auto" w:fill="auto"/>
            <w:noWrap/>
            <w:vAlign w:val="center"/>
            <w:hideMark/>
          </w:tcPr>
          <w:p w14:paraId="61C0B063" w14:textId="77777777" w:rsidR="00F5442C" w:rsidRPr="00F5442C" w:rsidRDefault="00F5442C" w:rsidP="00F5442C">
            <w:pPr>
              <w:jc w:val="right"/>
              <w:rPr>
                <w:rFonts w:ascii="Verdana" w:eastAsia="Times New Roman" w:hAnsi="Verdana" w:cs="Calibri"/>
                <w:color w:val="000000"/>
                <w:sz w:val="20"/>
                <w:szCs w:val="20"/>
                <w:lang w:val="en-GB" w:eastAsia="en-GB"/>
              </w:rPr>
            </w:pPr>
            <w:r w:rsidRPr="00F5442C">
              <w:rPr>
                <w:rFonts w:ascii="Verdana" w:eastAsia="Times New Roman" w:hAnsi="Verdana" w:cs="Calibri"/>
                <w:color w:val="000000"/>
                <w:sz w:val="20"/>
                <w:szCs w:val="20"/>
                <w:lang w:val="en-GB" w:eastAsia="en-GB"/>
              </w:rPr>
              <w:t>17.6</w:t>
            </w:r>
          </w:p>
        </w:tc>
        <w:tc>
          <w:tcPr>
            <w:tcW w:w="414" w:type="dxa"/>
            <w:tcBorders>
              <w:top w:val="nil"/>
              <w:left w:val="nil"/>
              <w:bottom w:val="nil"/>
              <w:right w:val="nil"/>
            </w:tcBorders>
            <w:shd w:val="clear" w:color="auto" w:fill="auto"/>
            <w:noWrap/>
            <w:vAlign w:val="center"/>
            <w:hideMark/>
          </w:tcPr>
          <w:p w14:paraId="383BABCB" w14:textId="77777777" w:rsidR="00F5442C" w:rsidRPr="00F5442C" w:rsidRDefault="00F5442C" w:rsidP="00F5442C">
            <w:pPr>
              <w:jc w:val="right"/>
              <w:rPr>
                <w:rFonts w:ascii="Verdana" w:eastAsia="Times New Roman" w:hAnsi="Verdana" w:cs="Calibri"/>
                <w:color w:val="000000"/>
                <w:sz w:val="20"/>
                <w:szCs w:val="20"/>
                <w:lang w:val="en-GB" w:eastAsia="en-GB"/>
              </w:rPr>
            </w:pPr>
          </w:p>
        </w:tc>
        <w:tc>
          <w:tcPr>
            <w:tcW w:w="5679" w:type="dxa"/>
            <w:tcBorders>
              <w:top w:val="nil"/>
              <w:left w:val="nil"/>
              <w:bottom w:val="nil"/>
              <w:right w:val="nil"/>
            </w:tcBorders>
            <w:shd w:val="clear" w:color="auto" w:fill="auto"/>
            <w:noWrap/>
            <w:vAlign w:val="center"/>
            <w:hideMark/>
          </w:tcPr>
          <w:p w14:paraId="643A5ED0" w14:textId="77777777" w:rsidR="00F5442C" w:rsidRPr="00F5442C" w:rsidRDefault="00F5442C" w:rsidP="00F5442C">
            <w:pPr>
              <w:rPr>
                <w:rFonts w:ascii="Verdana" w:eastAsia="Times New Roman" w:hAnsi="Verdana" w:cs="Calibri"/>
                <w:color w:val="000000"/>
                <w:sz w:val="20"/>
                <w:szCs w:val="20"/>
                <w:lang w:val="en-GB" w:eastAsia="en-GB"/>
              </w:rPr>
            </w:pPr>
            <w:r w:rsidRPr="00F5442C">
              <w:rPr>
                <w:rFonts w:ascii="Verdana" w:eastAsia="Times New Roman" w:hAnsi="Verdana" w:cs="Calibri"/>
                <w:color w:val="000000"/>
                <w:sz w:val="20"/>
                <w:szCs w:val="20"/>
                <w:lang w:val="en-GB" w:eastAsia="en-GB"/>
              </w:rPr>
              <w:t>Specialist Crime Department</w:t>
            </w:r>
          </w:p>
        </w:tc>
        <w:tc>
          <w:tcPr>
            <w:tcW w:w="1747" w:type="dxa"/>
            <w:tcBorders>
              <w:top w:val="nil"/>
              <w:left w:val="nil"/>
              <w:bottom w:val="nil"/>
              <w:right w:val="nil"/>
            </w:tcBorders>
            <w:shd w:val="clear" w:color="auto" w:fill="auto"/>
            <w:noWrap/>
            <w:vAlign w:val="center"/>
            <w:hideMark/>
          </w:tcPr>
          <w:p w14:paraId="2E544A20" w14:textId="77777777" w:rsidR="00F5442C" w:rsidRPr="00F5442C" w:rsidRDefault="00F5442C" w:rsidP="00F5442C">
            <w:pPr>
              <w:jc w:val="right"/>
              <w:rPr>
                <w:rFonts w:ascii="Verdana" w:eastAsia="Times New Roman" w:hAnsi="Verdana" w:cs="Calibri"/>
                <w:color w:val="000000"/>
                <w:sz w:val="20"/>
                <w:szCs w:val="20"/>
                <w:lang w:val="en-GB" w:eastAsia="en-GB"/>
              </w:rPr>
            </w:pPr>
            <w:r w:rsidRPr="00F5442C">
              <w:rPr>
                <w:rFonts w:ascii="Verdana" w:eastAsia="Times New Roman" w:hAnsi="Verdana" w:cs="Calibri"/>
                <w:color w:val="000000"/>
                <w:sz w:val="20"/>
                <w:szCs w:val="20"/>
                <w:lang w:val="en-GB" w:eastAsia="en-GB"/>
              </w:rPr>
              <w:t>18.6</w:t>
            </w:r>
          </w:p>
        </w:tc>
      </w:tr>
      <w:tr w:rsidR="00F5442C" w:rsidRPr="003E03CB" w14:paraId="585A04D5" w14:textId="77777777" w:rsidTr="00F5442C">
        <w:trPr>
          <w:trHeight w:val="252"/>
          <w:jc w:val="center"/>
        </w:trPr>
        <w:tc>
          <w:tcPr>
            <w:tcW w:w="1966" w:type="dxa"/>
            <w:tcBorders>
              <w:top w:val="nil"/>
              <w:left w:val="nil"/>
              <w:bottom w:val="nil"/>
              <w:right w:val="nil"/>
            </w:tcBorders>
            <w:shd w:val="clear" w:color="auto" w:fill="auto"/>
            <w:noWrap/>
            <w:vAlign w:val="center"/>
            <w:hideMark/>
          </w:tcPr>
          <w:p w14:paraId="5B9442EA" w14:textId="77777777" w:rsidR="00F5442C" w:rsidRPr="00F5442C" w:rsidRDefault="00F5442C" w:rsidP="00F5442C">
            <w:pPr>
              <w:jc w:val="right"/>
              <w:rPr>
                <w:rFonts w:ascii="Verdana" w:eastAsia="Times New Roman" w:hAnsi="Verdana" w:cs="Calibri"/>
                <w:color w:val="000000"/>
                <w:sz w:val="20"/>
                <w:szCs w:val="20"/>
                <w:lang w:val="en-GB" w:eastAsia="en-GB"/>
              </w:rPr>
            </w:pPr>
            <w:r w:rsidRPr="00F5442C">
              <w:rPr>
                <w:rFonts w:ascii="Verdana" w:eastAsia="Times New Roman" w:hAnsi="Verdana" w:cs="Calibri"/>
                <w:color w:val="000000"/>
                <w:sz w:val="20"/>
                <w:szCs w:val="20"/>
                <w:lang w:val="en-GB" w:eastAsia="en-GB"/>
              </w:rPr>
              <w:t>3.3</w:t>
            </w:r>
          </w:p>
        </w:tc>
        <w:tc>
          <w:tcPr>
            <w:tcW w:w="414" w:type="dxa"/>
            <w:tcBorders>
              <w:top w:val="nil"/>
              <w:left w:val="nil"/>
              <w:bottom w:val="nil"/>
              <w:right w:val="nil"/>
            </w:tcBorders>
            <w:shd w:val="clear" w:color="auto" w:fill="auto"/>
            <w:noWrap/>
            <w:vAlign w:val="center"/>
            <w:hideMark/>
          </w:tcPr>
          <w:p w14:paraId="61D7FFD2" w14:textId="77777777" w:rsidR="00F5442C" w:rsidRPr="00F5442C" w:rsidRDefault="00F5442C" w:rsidP="00F5442C">
            <w:pPr>
              <w:jc w:val="right"/>
              <w:rPr>
                <w:rFonts w:ascii="Verdana" w:eastAsia="Times New Roman" w:hAnsi="Verdana" w:cs="Calibri"/>
                <w:color w:val="000000"/>
                <w:sz w:val="20"/>
                <w:szCs w:val="20"/>
                <w:lang w:val="en-GB" w:eastAsia="en-GB"/>
              </w:rPr>
            </w:pPr>
          </w:p>
        </w:tc>
        <w:tc>
          <w:tcPr>
            <w:tcW w:w="5679" w:type="dxa"/>
            <w:tcBorders>
              <w:top w:val="nil"/>
              <w:left w:val="nil"/>
              <w:bottom w:val="nil"/>
              <w:right w:val="nil"/>
            </w:tcBorders>
            <w:shd w:val="clear" w:color="auto" w:fill="auto"/>
            <w:noWrap/>
            <w:vAlign w:val="center"/>
            <w:hideMark/>
          </w:tcPr>
          <w:p w14:paraId="367DFBF3" w14:textId="77777777" w:rsidR="00F5442C" w:rsidRPr="00F5442C" w:rsidRDefault="00F5442C" w:rsidP="00F5442C">
            <w:pPr>
              <w:rPr>
                <w:rFonts w:ascii="Verdana" w:eastAsia="Times New Roman" w:hAnsi="Verdana" w:cs="Calibri"/>
                <w:color w:val="000000"/>
                <w:sz w:val="20"/>
                <w:szCs w:val="20"/>
                <w:lang w:val="en-GB" w:eastAsia="en-GB"/>
              </w:rPr>
            </w:pPr>
            <w:r w:rsidRPr="00F5442C">
              <w:rPr>
                <w:rFonts w:ascii="Verdana" w:eastAsia="Times New Roman" w:hAnsi="Verdana" w:cs="Calibri"/>
                <w:color w:val="000000"/>
                <w:sz w:val="20"/>
                <w:szCs w:val="20"/>
                <w:lang w:val="en-GB" w:eastAsia="en-GB"/>
              </w:rPr>
              <w:t>People Services</w:t>
            </w:r>
          </w:p>
        </w:tc>
        <w:tc>
          <w:tcPr>
            <w:tcW w:w="1747" w:type="dxa"/>
            <w:tcBorders>
              <w:top w:val="nil"/>
              <w:left w:val="nil"/>
              <w:bottom w:val="nil"/>
              <w:right w:val="nil"/>
            </w:tcBorders>
            <w:shd w:val="clear" w:color="auto" w:fill="auto"/>
            <w:noWrap/>
            <w:vAlign w:val="center"/>
            <w:hideMark/>
          </w:tcPr>
          <w:p w14:paraId="1A3758E5" w14:textId="77777777" w:rsidR="00F5442C" w:rsidRPr="00F5442C" w:rsidRDefault="00F5442C" w:rsidP="00F5442C">
            <w:pPr>
              <w:jc w:val="right"/>
              <w:rPr>
                <w:rFonts w:ascii="Verdana" w:eastAsia="Times New Roman" w:hAnsi="Verdana" w:cs="Calibri"/>
                <w:color w:val="000000"/>
                <w:sz w:val="20"/>
                <w:szCs w:val="20"/>
                <w:lang w:val="en-GB" w:eastAsia="en-GB"/>
              </w:rPr>
            </w:pPr>
            <w:r w:rsidRPr="00F5442C">
              <w:rPr>
                <w:rFonts w:ascii="Verdana" w:eastAsia="Times New Roman" w:hAnsi="Verdana" w:cs="Calibri"/>
                <w:color w:val="000000"/>
                <w:sz w:val="20"/>
                <w:szCs w:val="20"/>
                <w:lang w:val="en-GB" w:eastAsia="en-GB"/>
              </w:rPr>
              <w:t>3.6</w:t>
            </w:r>
          </w:p>
        </w:tc>
      </w:tr>
      <w:tr w:rsidR="00F5442C" w:rsidRPr="003E03CB" w14:paraId="38FFCFFD" w14:textId="77777777" w:rsidTr="00F5442C">
        <w:trPr>
          <w:trHeight w:val="252"/>
          <w:jc w:val="center"/>
        </w:trPr>
        <w:tc>
          <w:tcPr>
            <w:tcW w:w="1966" w:type="dxa"/>
            <w:tcBorders>
              <w:top w:val="nil"/>
              <w:left w:val="nil"/>
              <w:bottom w:val="nil"/>
              <w:right w:val="nil"/>
            </w:tcBorders>
            <w:shd w:val="clear" w:color="auto" w:fill="auto"/>
            <w:noWrap/>
            <w:vAlign w:val="center"/>
            <w:hideMark/>
          </w:tcPr>
          <w:p w14:paraId="10784FB3" w14:textId="77777777" w:rsidR="00F5442C" w:rsidRPr="00F5442C" w:rsidRDefault="00F5442C" w:rsidP="00F5442C">
            <w:pPr>
              <w:jc w:val="right"/>
              <w:rPr>
                <w:rFonts w:ascii="Verdana" w:eastAsia="Times New Roman" w:hAnsi="Verdana" w:cs="Calibri"/>
                <w:color w:val="000000"/>
                <w:sz w:val="20"/>
                <w:szCs w:val="20"/>
                <w:lang w:val="en-GB" w:eastAsia="en-GB"/>
              </w:rPr>
            </w:pPr>
            <w:r w:rsidRPr="00F5442C">
              <w:rPr>
                <w:rFonts w:ascii="Verdana" w:eastAsia="Times New Roman" w:hAnsi="Verdana" w:cs="Calibri"/>
                <w:color w:val="000000"/>
                <w:sz w:val="20"/>
                <w:szCs w:val="20"/>
                <w:lang w:val="en-GB" w:eastAsia="en-GB"/>
              </w:rPr>
              <w:t>0.7</w:t>
            </w:r>
          </w:p>
        </w:tc>
        <w:tc>
          <w:tcPr>
            <w:tcW w:w="414" w:type="dxa"/>
            <w:tcBorders>
              <w:top w:val="nil"/>
              <w:left w:val="nil"/>
              <w:bottom w:val="nil"/>
              <w:right w:val="nil"/>
            </w:tcBorders>
            <w:shd w:val="clear" w:color="auto" w:fill="auto"/>
            <w:noWrap/>
            <w:vAlign w:val="center"/>
            <w:hideMark/>
          </w:tcPr>
          <w:p w14:paraId="72964437" w14:textId="77777777" w:rsidR="00F5442C" w:rsidRPr="00F5442C" w:rsidRDefault="00F5442C" w:rsidP="00F5442C">
            <w:pPr>
              <w:jc w:val="right"/>
              <w:rPr>
                <w:rFonts w:ascii="Verdana" w:eastAsia="Times New Roman" w:hAnsi="Verdana" w:cs="Calibri"/>
                <w:color w:val="000000"/>
                <w:sz w:val="20"/>
                <w:szCs w:val="20"/>
                <w:lang w:val="en-GB" w:eastAsia="en-GB"/>
              </w:rPr>
            </w:pPr>
          </w:p>
        </w:tc>
        <w:tc>
          <w:tcPr>
            <w:tcW w:w="5679" w:type="dxa"/>
            <w:tcBorders>
              <w:top w:val="nil"/>
              <w:left w:val="nil"/>
              <w:bottom w:val="nil"/>
              <w:right w:val="nil"/>
            </w:tcBorders>
            <w:shd w:val="clear" w:color="auto" w:fill="auto"/>
            <w:noWrap/>
            <w:vAlign w:val="center"/>
            <w:hideMark/>
          </w:tcPr>
          <w:p w14:paraId="09C3E90C" w14:textId="77777777" w:rsidR="00F5442C" w:rsidRPr="00F5442C" w:rsidRDefault="00F5442C" w:rsidP="00F5442C">
            <w:pPr>
              <w:rPr>
                <w:rFonts w:ascii="Verdana" w:eastAsia="Times New Roman" w:hAnsi="Verdana" w:cs="Calibri"/>
                <w:color w:val="000000"/>
                <w:sz w:val="20"/>
                <w:szCs w:val="20"/>
                <w:lang w:val="en-GB" w:eastAsia="en-GB"/>
              </w:rPr>
            </w:pPr>
            <w:r w:rsidRPr="00F5442C">
              <w:rPr>
                <w:rFonts w:ascii="Verdana" w:eastAsia="Times New Roman" w:hAnsi="Verdana" w:cs="Calibri"/>
                <w:color w:val="000000"/>
                <w:sz w:val="20"/>
                <w:szCs w:val="20"/>
                <w:lang w:val="en-GB" w:eastAsia="en-GB"/>
              </w:rPr>
              <w:t>Digital Enablement</w:t>
            </w:r>
          </w:p>
        </w:tc>
        <w:tc>
          <w:tcPr>
            <w:tcW w:w="1747" w:type="dxa"/>
            <w:tcBorders>
              <w:top w:val="nil"/>
              <w:left w:val="nil"/>
              <w:bottom w:val="nil"/>
              <w:right w:val="nil"/>
            </w:tcBorders>
            <w:shd w:val="clear" w:color="auto" w:fill="auto"/>
            <w:noWrap/>
            <w:vAlign w:val="center"/>
            <w:hideMark/>
          </w:tcPr>
          <w:p w14:paraId="3BD01699" w14:textId="77777777" w:rsidR="00F5442C" w:rsidRPr="00F5442C" w:rsidRDefault="00F5442C" w:rsidP="00F5442C">
            <w:pPr>
              <w:jc w:val="right"/>
              <w:rPr>
                <w:rFonts w:ascii="Verdana" w:eastAsia="Times New Roman" w:hAnsi="Verdana" w:cs="Calibri"/>
                <w:color w:val="000000"/>
                <w:sz w:val="20"/>
                <w:szCs w:val="20"/>
                <w:lang w:val="en-GB" w:eastAsia="en-GB"/>
              </w:rPr>
            </w:pPr>
            <w:r w:rsidRPr="00F5442C">
              <w:rPr>
                <w:rFonts w:ascii="Verdana" w:eastAsia="Times New Roman" w:hAnsi="Verdana" w:cs="Calibri"/>
                <w:color w:val="000000"/>
                <w:sz w:val="20"/>
                <w:szCs w:val="20"/>
                <w:lang w:val="en-GB" w:eastAsia="en-GB"/>
              </w:rPr>
              <w:t>0.9</w:t>
            </w:r>
          </w:p>
        </w:tc>
      </w:tr>
      <w:tr w:rsidR="00F5442C" w:rsidRPr="003E03CB" w14:paraId="72DBE3CB" w14:textId="77777777" w:rsidTr="00F5442C">
        <w:trPr>
          <w:trHeight w:val="252"/>
          <w:jc w:val="center"/>
        </w:trPr>
        <w:tc>
          <w:tcPr>
            <w:tcW w:w="1966" w:type="dxa"/>
            <w:tcBorders>
              <w:top w:val="nil"/>
              <w:left w:val="nil"/>
              <w:bottom w:val="nil"/>
              <w:right w:val="nil"/>
            </w:tcBorders>
            <w:shd w:val="clear" w:color="auto" w:fill="auto"/>
            <w:noWrap/>
            <w:vAlign w:val="center"/>
            <w:hideMark/>
          </w:tcPr>
          <w:p w14:paraId="48DADFAC" w14:textId="77777777" w:rsidR="00F5442C" w:rsidRPr="00F5442C" w:rsidRDefault="00F5442C" w:rsidP="00F5442C">
            <w:pPr>
              <w:jc w:val="right"/>
              <w:rPr>
                <w:rFonts w:ascii="Verdana" w:eastAsia="Times New Roman" w:hAnsi="Verdana" w:cs="Calibri"/>
                <w:color w:val="000000"/>
                <w:sz w:val="20"/>
                <w:szCs w:val="20"/>
                <w:lang w:val="en-GB" w:eastAsia="en-GB"/>
              </w:rPr>
            </w:pPr>
            <w:r w:rsidRPr="00F5442C">
              <w:rPr>
                <w:rFonts w:ascii="Verdana" w:eastAsia="Times New Roman" w:hAnsi="Verdana" w:cs="Calibri"/>
                <w:color w:val="000000"/>
                <w:sz w:val="20"/>
                <w:szCs w:val="20"/>
                <w:lang w:val="en-GB" w:eastAsia="en-GB"/>
              </w:rPr>
              <w:t>0.4</w:t>
            </w:r>
          </w:p>
        </w:tc>
        <w:tc>
          <w:tcPr>
            <w:tcW w:w="414" w:type="dxa"/>
            <w:tcBorders>
              <w:top w:val="nil"/>
              <w:left w:val="nil"/>
              <w:bottom w:val="nil"/>
              <w:right w:val="nil"/>
            </w:tcBorders>
            <w:shd w:val="clear" w:color="auto" w:fill="auto"/>
            <w:noWrap/>
            <w:vAlign w:val="center"/>
            <w:hideMark/>
          </w:tcPr>
          <w:p w14:paraId="0FC39D42" w14:textId="77777777" w:rsidR="00F5442C" w:rsidRPr="00F5442C" w:rsidRDefault="00F5442C" w:rsidP="00F5442C">
            <w:pPr>
              <w:jc w:val="right"/>
              <w:rPr>
                <w:rFonts w:ascii="Verdana" w:eastAsia="Times New Roman" w:hAnsi="Verdana" w:cs="Calibri"/>
                <w:color w:val="000000"/>
                <w:sz w:val="20"/>
                <w:szCs w:val="20"/>
                <w:lang w:val="en-GB" w:eastAsia="en-GB"/>
              </w:rPr>
            </w:pPr>
          </w:p>
        </w:tc>
        <w:tc>
          <w:tcPr>
            <w:tcW w:w="5679" w:type="dxa"/>
            <w:tcBorders>
              <w:top w:val="nil"/>
              <w:left w:val="nil"/>
              <w:bottom w:val="nil"/>
              <w:right w:val="nil"/>
            </w:tcBorders>
            <w:shd w:val="clear" w:color="auto" w:fill="auto"/>
            <w:noWrap/>
            <w:vAlign w:val="center"/>
            <w:hideMark/>
          </w:tcPr>
          <w:p w14:paraId="5E74A34C" w14:textId="77777777" w:rsidR="00F5442C" w:rsidRPr="00F5442C" w:rsidRDefault="00F5442C" w:rsidP="00F5442C">
            <w:pPr>
              <w:rPr>
                <w:rFonts w:ascii="Verdana" w:eastAsia="Times New Roman" w:hAnsi="Verdana" w:cs="Calibri"/>
                <w:color w:val="000000"/>
                <w:sz w:val="20"/>
                <w:szCs w:val="20"/>
                <w:lang w:val="en-GB" w:eastAsia="en-GB"/>
              </w:rPr>
            </w:pPr>
            <w:r w:rsidRPr="00F5442C">
              <w:rPr>
                <w:rFonts w:ascii="Verdana" w:eastAsia="Times New Roman" w:hAnsi="Verdana" w:cs="Calibri"/>
                <w:color w:val="000000"/>
                <w:sz w:val="20"/>
                <w:szCs w:val="20"/>
                <w:lang w:val="en-GB" w:eastAsia="en-GB"/>
              </w:rPr>
              <w:t>Vetting</w:t>
            </w:r>
          </w:p>
        </w:tc>
        <w:tc>
          <w:tcPr>
            <w:tcW w:w="1747" w:type="dxa"/>
            <w:tcBorders>
              <w:top w:val="nil"/>
              <w:left w:val="nil"/>
              <w:bottom w:val="nil"/>
              <w:right w:val="nil"/>
            </w:tcBorders>
            <w:shd w:val="clear" w:color="auto" w:fill="auto"/>
            <w:noWrap/>
            <w:vAlign w:val="center"/>
            <w:hideMark/>
          </w:tcPr>
          <w:p w14:paraId="3BA98EE6" w14:textId="77777777" w:rsidR="00F5442C" w:rsidRPr="00F5442C" w:rsidRDefault="00F5442C" w:rsidP="00F5442C">
            <w:pPr>
              <w:jc w:val="right"/>
              <w:rPr>
                <w:rFonts w:ascii="Verdana" w:eastAsia="Times New Roman" w:hAnsi="Verdana" w:cs="Calibri"/>
                <w:color w:val="000000"/>
                <w:sz w:val="20"/>
                <w:szCs w:val="20"/>
                <w:lang w:val="en-GB" w:eastAsia="en-GB"/>
              </w:rPr>
            </w:pPr>
            <w:r w:rsidRPr="00F5442C">
              <w:rPr>
                <w:rFonts w:ascii="Verdana" w:eastAsia="Times New Roman" w:hAnsi="Verdana" w:cs="Calibri"/>
                <w:color w:val="000000"/>
                <w:sz w:val="20"/>
                <w:szCs w:val="20"/>
                <w:lang w:val="en-GB" w:eastAsia="en-GB"/>
              </w:rPr>
              <w:t>0.3</w:t>
            </w:r>
          </w:p>
        </w:tc>
      </w:tr>
      <w:tr w:rsidR="00F5442C" w:rsidRPr="003E03CB" w14:paraId="7E37D84B" w14:textId="77777777" w:rsidTr="00F5442C">
        <w:trPr>
          <w:trHeight w:val="265"/>
          <w:jc w:val="center"/>
        </w:trPr>
        <w:tc>
          <w:tcPr>
            <w:tcW w:w="1966" w:type="dxa"/>
            <w:tcBorders>
              <w:top w:val="nil"/>
              <w:left w:val="nil"/>
              <w:bottom w:val="single" w:sz="8" w:space="0" w:color="auto"/>
              <w:right w:val="nil"/>
            </w:tcBorders>
            <w:shd w:val="clear" w:color="auto" w:fill="auto"/>
            <w:noWrap/>
            <w:vAlign w:val="center"/>
            <w:hideMark/>
          </w:tcPr>
          <w:p w14:paraId="78BEE591" w14:textId="77777777" w:rsidR="00F5442C" w:rsidRPr="00F5442C" w:rsidRDefault="00F5442C" w:rsidP="00F5442C">
            <w:pPr>
              <w:jc w:val="right"/>
              <w:rPr>
                <w:rFonts w:ascii="Verdana" w:eastAsia="Times New Roman" w:hAnsi="Verdana" w:cs="Calibri"/>
                <w:color w:val="000000"/>
                <w:sz w:val="20"/>
                <w:szCs w:val="20"/>
                <w:lang w:val="en-GB" w:eastAsia="en-GB"/>
              </w:rPr>
            </w:pPr>
            <w:r w:rsidRPr="00F5442C">
              <w:rPr>
                <w:rFonts w:ascii="Verdana" w:eastAsia="Times New Roman" w:hAnsi="Verdana" w:cs="Calibri"/>
                <w:color w:val="000000"/>
                <w:sz w:val="20"/>
                <w:szCs w:val="20"/>
                <w:lang w:val="en-GB" w:eastAsia="en-GB"/>
              </w:rPr>
              <w:t>0</w:t>
            </w:r>
          </w:p>
        </w:tc>
        <w:tc>
          <w:tcPr>
            <w:tcW w:w="414" w:type="dxa"/>
            <w:tcBorders>
              <w:top w:val="nil"/>
              <w:left w:val="nil"/>
              <w:bottom w:val="single" w:sz="8" w:space="0" w:color="auto"/>
              <w:right w:val="nil"/>
            </w:tcBorders>
            <w:shd w:val="clear" w:color="auto" w:fill="auto"/>
            <w:noWrap/>
            <w:vAlign w:val="center"/>
            <w:hideMark/>
          </w:tcPr>
          <w:p w14:paraId="4E79F192" w14:textId="77777777" w:rsidR="00F5442C" w:rsidRPr="00F5442C" w:rsidRDefault="00F5442C" w:rsidP="00F5442C">
            <w:pPr>
              <w:jc w:val="right"/>
              <w:rPr>
                <w:rFonts w:ascii="Verdana" w:eastAsia="Times New Roman" w:hAnsi="Verdana" w:cs="Calibri"/>
                <w:color w:val="000000"/>
                <w:sz w:val="20"/>
                <w:szCs w:val="20"/>
                <w:lang w:val="en-GB" w:eastAsia="en-GB"/>
              </w:rPr>
            </w:pPr>
            <w:r w:rsidRPr="00F5442C">
              <w:rPr>
                <w:rFonts w:ascii="Verdana" w:eastAsia="Times New Roman" w:hAnsi="Verdana" w:cs="Calibri"/>
                <w:color w:val="000000"/>
                <w:sz w:val="20"/>
                <w:szCs w:val="20"/>
                <w:lang w:val="en-GB" w:eastAsia="en-GB"/>
              </w:rPr>
              <w:t> </w:t>
            </w:r>
          </w:p>
        </w:tc>
        <w:tc>
          <w:tcPr>
            <w:tcW w:w="5679" w:type="dxa"/>
            <w:tcBorders>
              <w:top w:val="nil"/>
              <w:left w:val="nil"/>
              <w:bottom w:val="single" w:sz="8" w:space="0" w:color="auto"/>
              <w:right w:val="nil"/>
            </w:tcBorders>
            <w:shd w:val="clear" w:color="auto" w:fill="auto"/>
            <w:noWrap/>
            <w:vAlign w:val="center"/>
            <w:hideMark/>
          </w:tcPr>
          <w:p w14:paraId="37355EA8" w14:textId="77777777" w:rsidR="00F5442C" w:rsidRPr="00F5442C" w:rsidRDefault="00F5442C" w:rsidP="00F5442C">
            <w:pPr>
              <w:rPr>
                <w:rFonts w:ascii="Verdana" w:eastAsia="Times New Roman" w:hAnsi="Verdana" w:cs="Calibri"/>
                <w:color w:val="000000"/>
                <w:sz w:val="20"/>
                <w:szCs w:val="20"/>
                <w:lang w:val="en-GB" w:eastAsia="en-GB"/>
              </w:rPr>
            </w:pPr>
            <w:r w:rsidRPr="00F5442C">
              <w:rPr>
                <w:rFonts w:ascii="Verdana" w:eastAsia="Times New Roman" w:hAnsi="Verdana" w:cs="Calibri"/>
                <w:color w:val="000000"/>
                <w:sz w:val="20"/>
                <w:szCs w:val="20"/>
                <w:lang w:val="en-GB" w:eastAsia="en-GB"/>
              </w:rPr>
              <w:t>Corporate Development</w:t>
            </w:r>
          </w:p>
        </w:tc>
        <w:tc>
          <w:tcPr>
            <w:tcW w:w="1747" w:type="dxa"/>
            <w:tcBorders>
              <w:top w:val="nil"/>
              <w:left w:val="nil"/>
              <w:bottom w:val="single" w:sz="8" w:space="0" w:color="auto"/>
              <w:right w:val="nil"/>
            </w:tcBorders>
            <w:shd w:val="clear" w:color="auto" w:fill="auto"/>
            <w:noWrap/>
            <w:vAlign w:val="center"/>
            <w:hideMark/>
          </w:tcPr>
          <w:p w14:paraId="157D2D19" w14:textId="77777777" w:rsidR="00F5442C" w:rsidRPr="00F5442C" w:rsidRDefault="00F5442C" w:rsidP="00F5442C">
            <w:pPr>
              <w:jc w:val="right"/>
              <w:rPr>
                <w:rFonts w:ascii="Verdana" w:eastAsia="Times New Roman" w:hAnsi="Verdana" w:cs="Calibri"/>
                <w:color w:val="000000"/>
                <w:sz w:val="20"/>
                <w:szCs w:val="20"/>
                <w:lang w:val="en-GB" w:eastAsia="en-GB"/>
              </w:rPr>
            </w:pPr>
            <w:r w:rsidRPr="00F5442C">
              <w:rPr>
                <w:rFonts w:ascii="Verdana" w:eastAsia="Times New Roman" w:hAnsi="Verdana" w:cs="Calibri"/>
                <w:color w:val="000000"/>
                <w:sz w:val="20"/>
                <w:szCs w:val="20"/>
                <w:lang w:val="en-GB" w:eastAsia="en-GB"/>
              </w:rPr>
              <w:t>0.3</w:t>
            </w:r>
          </w:p>
        </w:tc>
      </w:tr>
      <w:tr w:rsidR="00F5442C" w:rsidRPr="003E03CB" w14:paraId="6E9ADA7C" w14:textId="77777777" w:rsidTr="00F5442C">
        <w:trPr>
          <w:trHeight w:val="265"/>
          <w:jc w:val="center"/>
        </w:trPr>
        <w:tc>
          <w:tcPr>
            <w:tcW w:w="1966" w:type="dxa"/>
            <w:tcBorders>
              <w:top w:val="nil"/>
              <w:left w:val="nil"/>
              <w:bottom w:val="single" w:sz="12" w:space="0" w:color="auto"/>
              <w:right w:val="nil"/>
            </w:tcBorders>
            <w:shd w:val="clear" w:color="auto" w:fill="auto"/>
            <w:noWrap/>
            <w:vAlign w:val="center"/>
            <w:hideMark/>
          </w:tcPr>
          <w:p w14:paraId="3F71A8A3" w14:textId="77777777" w:rsidR="00F5442C" w:rsidRPr="00F5442C" w:rsidRDefault="00F5442C" w:rsidP="00F5442C">
            <w:pPr>
              <w:jc w:val="right"/>
              <w:rPr>
                <w:rFonts w:ascii="Verdana" w:eastAsia="Times New Roman" w:hAnsi="Verdana" w:cs="Calibri"/>
                <w:b/>
                <w:color w:val="000000"/>
                <w:sz w:val="20"/>
                <w:szCs w:val="20"/>
                <w:lang w:val="en-GB" w:eastAsia="en-GB"/>
              </w:rPr>
            </w:pPr>
            <w:r w:rsidRPr="00F5442C">
              <w:rPr>
                <w:rFonts w:ascii="Verdana" w:eastAsia="Times New Roman" w:hAnsi="Verdana" w:cs="Calibri"/>
                <w:b/>
                <w:color w:val="000000"/>
                <w:sz w:val="20"/>
                <w:szCs w:val="20"/>
                <w:lang w:val="en-GB" w:eastAsia="en-GB"/>
              </w:rPr>
              <w:t>49.7</w:t>
            </w:r>
          </w:p>
        </w:tc>
        <w:tc>
          <w:tcPr>
            <w:tcW w:w="414" w:type="dxa"/>
            <w:tcBorders>
              <w:top w:val="nil"/>
              <w:left w:val="nil"/>
              <w:bottom w:val="single" w:sz="12" w:space="0" w:color="auto"/>
              <w:right w:val="nil"/>
            </w:tcBorders>
            <w:shd w:val="clear" w:color="auto" w:fill="auto"/>
            <w:noWrap/>
            <w:vAlign w:val="center"/>
            <w:hideMark/>
          </w:tcPr>
          <w:p w14:paraId="065F4491" w14:textId="77777777" w:rsidR="00F5442C" w:rsidRPr="00F5442C" w:rsidRDefault="00F5442C" w:rsidP="00F5442C">
            <w:pPr>
              <w:jc w:val="right"/>
              <w:rPr>
                <w:rFonts w:ascii="Verdana" w:eastAsia="Times New Roman" w:hAnsi="Verdana" w:cs="Calibri"/>
                <w:b/>
                <w:color w:val="000000"/>
                <w:sz w:val="20"/>
                <w:szCs w:val="20"/>
                <w:lang w:val="en-GB" w:eastAsia="en-GB"/>
              </w:rPr>
            </w:pPr>
            <w:r w:rsidRPr="00F5442C">
              <w:rPr>
                <w:rFonts w:ascii="Verdana" w:eastAsia="Times New Roman" w:hAnsi="Verdana" w:cs="Calibri"/>
                <w:b/>
                <w:color w:val="000000"/>
                <w:sz w:val="20"/>
                <w:szCs w:val="20"/>
                <w:lang w:val="en-GB" w:eastAsia="en-GB"/>
              </w:rPr>
              <w:t> </w:t>
            </w:r>
          </w:p>
        </w:tc>
        <w:tc>
          <w:tcPr>
            <w:tcW w:w="5679" w:type="dxa"/>
            <w:tcBorders>
              <w:top w:val="nil"/>
              <w:left w:val="nil"/>
              <w:bottom w:val="single" w:sz="12" w:space="0" w:color="auto"/>
              <w:right w:val="nil"/>
            </w:tcBorders>
            <w:shd w:val="clear" w:color="auto" w:fill="auto"/>
            <w:noWrap/>
            <w:vAlign w:val="center"/>
            <w:hideMark/>
          </w:tcPr>
          <w:p w14:paraId="0FD62FDE" w14:textId="77777777" w:rsidR="00F5442C" w:rsidRPr="00F5442C" w:rsidRDefault="00F5442C" w:rsidP="00F5442C">
            <w:pPr>
              <w:rPr>
                <w:rFonts w:ascii="Verdana" w:eastAsia="Times New Roman" w:hAnsi="Verdana" w:cs="Calibri"/>
                <w:b/>
                <w:color w:val="000000"/>
                <w:sz w:val="20"/>
                <w:szCs w:val="20"/>
                <w:lang w:val="en-GB" w:eastAsia="en-GB"/>
              </w:rPr>
            </w:pPr>
            <w:r w:rsidRPr="00F5442C">
              <w:rPr>
                <w:rFonts w:ascii="Verdana" w:eastAsia="Times New Roman" w:hAnsi="Verdana" w:cs="Calibri"/>
                <w:b/>
                <w:color w:val="000000"/>
                <w:sz w:val="20"/>
                <w:szCs w:val="20"/>
                <w:lang w:val="en-GB" w:eastAsia="en-GB"/>
              </w:rPr>
              <w:t>Total</w:t>
            </w:r>
          </w:p>
        </w:tc>
        <w:tc>
          <w:tcPr>
            <w:tcW w:w="1747" w:type="dxa"/>
            <w:tcBorders>
              <w:top w:val="nil"/>
              <w:left w:val="nil"/>
              <w:bottom w:val="single" w:sz="12" w:space="0" w:color="auto"/>
              <w:right w:val="nil"/>
            </w:tcBorders>
            <w:shd w:val="clear" w:color="auto" w:fill="auto"/>
            <w:noWrap/>
            <w:vAlign w:val="center"/>
            <w:hideMark/>
          </w:tcPr>
          <w:p w14:paraId="26F70C2D" w14:textId="77777777" w:rsidR="00F5442C" w:rsidRPr="00F5442C" w:rsidRDefault="00F5442C" w:rsidP="00F5442C">
            <w:pPr>
              <w:jc w:val="right"/>
              <w:rPr>
                <w:rFonts w:ascii="Verdana" w:eastAsia="Times New Roman" w:hAnsi="Verdana" w:cs="Calibri"/>
                <w:b/>
                <w:color w:val="000000"/>
                <w:sz w:val="20"/>
                <w:szCs w:val="20"/>
                <w:lang w:val="en-GB" w:eastAsia="en-GB"/>
              </w:rPr>
            </w:pPr>
            <w:r w:rsidRPr="00F5442C">
              <w:rPr>
                <w:rFonts w:ascii="Verdana" w:eastAsia="Times New Roman" w:hAnsi="Verdana" w:cs="Calibri"/>
                <w:b/>
                <w:color w:val="000000"/>
                <w:sz w:val="20"/>
                <w:szCs w:val="20"/>
                <w:lang w:val="en-GB" w:eastAsia="en-GB"/>
              </w:rPr>
              <w:t>59.1</w:t>
            </w:r>
          </w:p>
        </w:tc>
      </w:tr>
    </w:tbl>
    <w:p w14:paraId="39186067" w14:textId="77777777" w:rsidR="00F5442C" w:rsidRPr="00DF3F46" w:rsidRDefault="00F5442C" w:rsidP="00F227D9">
      <w:pPr>
        <w:pStyle w:val="Normal0"/>
        <w:jc w:val="both"/>
        <w:rPr>
          <w:rFonts w:ascii="Verdana" w:hAnsi="Verdana" w:cs="Times New Roman"/>
          <w:sz w:val="22"/>
          <w:szCs w:val="22"/>
        </w:rPr>
      </w:pPr>
    </w:p>
    <w:p w14:paraId="4DF1BEE2" w14:textId="77777777" w:rsidR="00F227D9" w:rsidRDefault="00F227D9" w:rsidP="00F227D9">
      <w:pPr>
        <w:pStyle w:val="Normal0"/>
        <w:jc w:val="both"/>
        <w:rPr>
          <w:rFonts w:ascii="Verdana" w:hAnsi="Verdana" w:cs="Times New Roman"/>
          <w:sz w:val="22"/>
          <w:szCs w:val="22"/>
          <w:highlight w:val="yellow"/>
        </w:rPr>
      </w:pPr>
    </w:p>
    <w:p w14:paraId="4E34B3C0" w14:textId="77777777" w:rsidR="00866AC5" w:rsidRDefault="00866AC5" w:rsidP="00F227D9">
      <w:pPr>
        <w:pStyle w:val="Normal0"/>
        <w:jc w:val="both"/>
        <w:rPr>
          <w:rFonts w:ascii="Verdana" w:hAnsi="Verdana" w:cs="Times New Roman"/>
          <w:sz w:val="22"/>
          <w:szCs w:val="22"/>
          <w:highlight w:val="yellow"/>
        </w:rPr>
      </w:pPr>
    </w:p>
    <w:p w14:paraId="56E0A9CF" w14:textId="77777777" w:rsidR="00866AC5" w:rsidRDefault="00866AC5" w:rsidP="00F227D9">
      <w:pPr>
        <w:pStyle w:val="Normal0"/>
        <w:jc w:val="both"/>
        <w:rPr>
          <w:rFonts w:ascii="Verdana" w:hAnsi="Verdana" w:cs="Times New Roman"/>
          <w:sz w:val="22"/>
          <w:szCs w:val="22"/>
          <w:highlight w:val="yellow"/>
        </w:rPr>
      </w:pPr>
    </w:p>
    <w:p w14:paraId="03DF5AF8" w14:textId="77777777" w:rsidR="00866AC5" w:rsidRDefault="00866AC5" w:rsidP="00F227D9">
      <w:pPr>
        <w:pStyle w:val="Normal0"/>
        <w:jc w:val="both"/>
        <w:rPr>
          <w:rFonts w:ascii="Verdana" w:hAnsi="Verdana" w:cs="Times New Roman"/>
          <w:sz w:val="22"/>
          <w:szCs w:val="22"/>
          <w:highlight w:val="yellow"/>
        </w:rPr>
      </w:pPr>
    </w:p>
    <w:p w14:paraId="2AB19DBC" w14:textId="77777777" w:rsidR="00866AC5" w:rsidRPr="00F5442C" w:rsidRDefault="00866AC5" w:rsidP="00F227D9">
      <w:pPr>
        <w:pStyle w:val="Normal0"/>
        <w:jc w:val="both"/>
        <w:rPr>
          <w:rFonts w:ascii="Verdana" w:hAnsi="Verdana" w:cs="Times New Roman"/>
          <w:sz w:val="22"/>
          <w:szCs w:val="22"/>
        </w:rPr>
      </w:pPr>
    </w:p>
    <w:p w14:paraId="78C6B23D" w14:textId="77777777" w:rsidR="00F227D9" w:rsidRPr="00F5442C" w:rsidRDefault="00F227D9">
      <w:pPr>
        <w:pStyle w:val="Normal0"/>
        <w:rPr>
          <w:rFonts w:cs="Times New Roman"/>
        </w:rPr>
        <w:sectPr w:rsidR="00F227D9" w:rsidRPr="00F5442C" w:rsidSect="00B54A0C">
          <w:type w:val="nextColumn"/>
          <w:pgSz w:w="16840" w:h="11900" w:orient="landscape"/>
          <w:pgMar w:top="709" w:right="720" w:bottom="567" w:left="720" w:header="708" w:footer="708" w:gutter="0"/>
          <w:cols w:space="708"/>
          <w:docGrid w:linePitch="360"/>
        </w:sectPr>
      </w:pPr>
    </w:p>
    <w:p w14:paraId="79B0CEF5" w14:textId="77777777" w:rsidR="00F227D9" w:rsidRPr="00F5442C" w:rsidRDefault="00F227D9" w:rsidP="00F227D9">
      <w:pPr>
        <w:pStyle w:val="Heading1"/>
        <w:spacing w:after="240" w:line="259" w:lineRule="auto"/>
        <w:rPr>
          <w:lang w:val="pt-BR"/>
        </w:rPr>
      </w:pPr>
      <w:bookmarkStart w:id="22" w:name="_Toc77095573"/>
      <w:r w:rsidRPr="00F5442C">
        <w:rPr>
          <w:lang w:val="pt-BR"/>
        </w:rPr>
        <w:t>Note 14 - Officers’ Remuneration</w:t>
      </w:r>
      <w:bookmarkEnd w:id="22"/>
      <w:r w:rsidRPr="00F5442C">
        <w:rPr>
          <w:lang w:val="pt-BR"/>
        </w:rPr>
        <w:t xml:space="preserve"> </w:t>
      </w:r>
    </w:p>
    <w:p w14:paraId="0F009680" w14:textId="77777777" w:rsidR="00335488" w:rsidRPr="00F5442C" w:rsidRDefault="00335488" w:rsidP="00335488">
      <w:pPr>
        <w:pStyle w:val="Normal00"/>
        <w:jc w:val="both"/>
        <w:rPr>
          <w:rFonts w:ascii="Verdana" w:hAnsi="Verdana" w:cs="Arial"/>
          <w:sz w:val="22"/>
          <w:szCs w:val="22"/>
          <w:lang w:val="en-GB"/>
        </w:rPr>
      </w:pPr>
      <w:r w:rsidRPr="00F5442C">
        <w:rPr>
          <w:rFonts w:ascii="Verdana" w:hAnsi="Verdana" w:cs="Arial"/>
          <w:sz w:val="22"/>
          <w:szCs w:val="22"/>
          <w:lang w:val="en-GB"/>
        </w:rPr>
        <w:t>The Accounts and Audit Regulations 2015 requires the disclosure of remuneration details for police officers and police staff whose gross remuneration exceeded £50,000.  In addition, remuneration details for senior employees, those earning a salary of over £150,000 and those in command of the Chief Constable of Surrey organisation are also required to be disclosed as ‘Remuneration Paid to Senior Employees’.</w:t>
      </w:r>
    </w:p>
    <w:p w14:paraId="249A6BF7" w14:textId="77777777" w:rsidR="00335488" w:rsidRPr="00F5442C" w:rsidRDefault="00335488" w:rsidP="00335488">
      <w:pPr>
        <w:pStyle w:val="Normal00"/>
        <w:ind w:left="500"/>
        <w:jc w:val="both"/>
        <w:rPr>
          <w:rFonts w:ascii="Verdana" w:hAnsi="Verdana" w:cs="Arial"/>
          <w:sz w:val="22"/>
          <w:szCs w:val="22"/>
          <w:lang w:val="en-GB"/>
        </w:rPr>
      </w:pPr>
    </w:p>
    <w:p w14:paraId="532CB6CD" w14:textId="77777777" w:rsidR="00335488" w:rsidRPr="00F5442C" w:rsidRDefault="00335488" w:rsidP="00335488">
      <w:pPr>
        <w:pStyle w:val="Normal00"/>
        <w:jc w:val="both"/>
        <w:rPr>
          <w:rFonts w:ascii="Verdana" w:hAnsi="Verdana" w:cs="Arial"/>
          <w:sz w:val="22"/>
          <w:szCs w:val="22"/>
          <w:lang w:val="en-GB"/>
        </w:rPr>
      </w:pPr>
      <w:r w:rsidRPr="00F5442C">
        <w:rPr>
          <w:rFonts w:ascii="Verdana" w:hAnsi="Verdana" w:cs="Arial"/>
          <w:sz w:val="22"/>
          <w:szCs w:val="22"/>
          <w:lang w:val="en-GB"/>
        </w:rPr>
        <w:t>Remuneration is defined, by the regulations, as all sums subject to income tax, including expenses, but excluding employer pension contributions.  This includes payments of accrued overtime, as well as annual increments, allowances, bonuses and pay awards.</w:t>
      </w:r>
    </w:p>
    <w:p w14:paraId="756DA8AB" w14:textId="77777777" w:rsidR="00335488" w:rsidRPr="00F5442C" w:rsidRDefault="00335488" w:rsidP="00335488">
      <w:pPr>
        <w:pStyle w:val="Normal00"/>
        <w:jc w:val="both"/>
        <w:rPr>
          <w:rFonts w:ascii="Verdana" w:hAnsi="Verdana" w:cs="Arial"/>
          <w:sz w:val="22"/>
          <w:szCs w:val="22"/>
          <w:lang w:val="en-GB"/>
        </w:rPr>
      </w:pPr>
    </w:p>
    <w:p w14:paraId="0AEC8BEE" w14:textId="77777777" w:rsidR="00335488" w:rsidRPr="00F5442C" w:rsidRDefault="00335488" w:rsidP="00335488">
      <w:pPr>
        <w:pStyle w:val="Normal0"/>
        <w:spacing w:after="160" w:line="259" w:lineRule="auto"/>
        <w:rPr>
          <w:rFonts w:ascii="Verdana" w:eastAsia="Verdana" w:hAnsi="Verdana" w:cs="Verdana"/>
          <w:sz w:val="22"/>
          <w:szCs w:val="22"/>
          <w:lang w:val="en-GB"/>
        </w:rPr>
      </w:pPr>
      <w:r w:rsidRPr="00F5442C">
        <w:rPr>
          <w:rFonts w:ascii="Verdana" w:eastAsia="Verdana" w:hAnsi="Verdana" w:cs="Verdana"/>
          <w:sz w:val="22"/>
          <w:szCs w:val="22"/>
          <w:lang w:val="en-GB"/>
        </w:rPr>
        <w:t>There are a small number of employees included that are seconded to other agencies. These costs are fully recovered.</w:t>
      </w:r>
    </w:p>
    <w:p w14:paraId="2FC0DAD7" w14:textId="77777777" w:rsidR="00335488" w:rsidRDefault="00335488" w:rsidP="00335488">
      <w:pPr>
        <w:pStyle w:val="Normal00"/>
        <w:jc w:val="both"/>
        <w:rPr>
          <w:rFonts w:ascii="Verdana" w:hAnsi="Verdana" w:cs="Arial"/>
          <w:sz w:val="22"/>
          <w:szCs w:val="22"/>
          <w:lang w:val="en-GB"/>
        </w:rPr>
      </w:pPr>
      <w:r w:rsidRPr="00F5442C">
        <w:rPr>
          <w:rFonts w:ascii="Verdana" w:hAnsi="Verdana" w:cs="Arial"/>
          <w:sz w:val="22"/>
          <w:szCs w:val="22"/>
          <w:lang w:val="en-GB"/>
        </w:rPr>
        <w:t>The table below shows the numbers of police officers and police staff with remuneration in excess of £50,000.  This table excludes the senior employee positions shown separately.</w:t>
      </w:r>
    </w:p>
    <w:p w14:paraId="1498387C" w14:textId="77777777" w:rsidR="00335488" w:rsidRDefault="00335488" w:rsidP="00335488">
      <w:pPr>
        <w:pStyle w:val="Normal00"/>
        <w:jc w:val="both"/>
        <w:rPr>
          <w:rFonts w:ascii="Verdana" w:hAnsi="Verdana" w:cs="Arial"/>
          <w:sz w:val="22"/>
          <w:szCs w:val="22"/>
          <w:lang w:val="en-GB"/>
        </w:rPr>
      </w:pPr>
    </w:p>
    <w:tbl>
      <w:tblPr>
        <w:tblW w:w="6340" w:type="dxa"/>
        <w:jc w:val="center"/>
        <w:tblLook w:val="04A0" w:firstRow="1" w:lastRow="0" w:firstColumn="1" w:lastColumn="0" w:noHBand="0" w:noVBand="1"/>
      </w:tblPr>
      <w:tblGrid>
        <w:gridCol w:w="1840"/>
        <w:gridCol w:w="2660"/>
        <w:gridCol w:w="1840"/>
      </w:tblGrid>
      <w:tr w:rsidR="00F5442C" w:rsidRPr="00F5442C" w14:paraId="32640997" w14:textId="77777777" w:rsidTr="00F5442C">
        <w:trPr>
          <w:trHeight w:val="630"/>
          <w:jc w:val="center"/>
        </w:trPr>
        <w:tc>
          <w:tcPr>
            <w:tcW w:w="1840" w:type="dxa"/>
            <w:tcBorders>
              <w:top w:val="single" w:sz="4" w:space="0" w:color="auto"/>
              <w:left w:val="single" w:sz="4" w:space="0" w:color="auto"/>
              <w:bottom w:val="nil"/>
              <w:right w:val="nil"/>
            </w:tcBorders>
            <w:shd w:val="clear" w:color="auto" w:fill="auto"/>
            <w:vAlign w:val="center"/>
            <w:hideMark/>
          </w:tcPr>
          <w:p w14:paraId="578EA51B" w14:textId="77777777" w:rsidR="00F5442C" w:rsidRPr="00F5442C" w:rsidRDefault="00F5442C" w:rsidP="00F5442C">
            <w:pPr>
              <w:jc w:val="center"/>
              <w:rPr>
                <w:rFonts w:ascii="Verdana" w:eastAsia="Times New Roman" w:hAnsi="Verdana" w:cs="Times New Roman"/>
                <w:b/>
                <w:bCs/>
                <w:color w:val="000000"/>
                <w:sz w:val="16"/>
                <w:szCs w:val="16"/>
                <w:lang w:val="en-GB" w:eastAsia="en-GB"/>
              </w:rPr>
            </w:pPr>
            <w:r w:rsidRPr="00F5442C">
              <w:rPr>
                <w:rFonts w:ascii="Verdana" w:eastAsia="Times New Roman" w:hAnsi="Verdana" w:cs="Times New Roman"/>
                <w:b/>
                <w:bCs/>
                <w:color w:val="000000"/>
                <w:sz w:val="16"/>
                <w:szCs w:val="16"/>
                <w:lang w:val="en-GB" w:eastAsia="en-GB"/>
              </w:rPr>
              <w:t xml:space="preserve">No. Employees </w:t>
            </w:r>
            <w:r w:rsidRPr="00F5442C">
              <w:rPr>
                <w:rFonts w:ascii="Verdana" w:eastAsia="Times New Roman" w:hAnsi="Verdana" w:cs="Times New Roman"/>
                <w:b/>
                <w:bCs/>
                <w:color w:val="000000"/>
                <w:sz w:val="16"/>
                <w:szCs w:val="16"/>
                <w:lang w:val="en-GB" w:eastAsia="en-GB"/>
              </w:rPr>
              <w:br/>
              <w:t>31 March 2020</w:t>
            </w:r>
          </w:p>
        </w:tc>
        <w:tc>
          <w:tcPr>
            <w:tcW w:w="2660" w:type="dxa"/>
            <w:tcBorders>
              <w:top w:val="single" w:sz="4" w:space="0" w:color="auto"/>
              <w:left w:val="single" w:sz="4" w:space="0" w:color="auto"/>
              <w:bottom w:val="nil"/>
              <w:right w:val="single" w:sz="4" w:space="0" w:color="auto"/>
            </w:tcBorders>
            <w:shd w:val="clear" w:color="auto" w:fill="auto"/>
            <w:vAlign w:val="center"/>
            <w:hideMark/>
          </w:tcPr>
          <w:p w14:paraId="1660DD3F" w14:textId="77777777" w:rsidR="00F5442C" w:rsidRPr="00F5442C" w:rsidRDefault="00F5442C" w:rsidP="00F5442C">
            <w:pPr>
              <w:jc w:val="center"/>
              <w:rPr>
                <w:rFonts w:ascii="Verdana" w:eastAsia="Times New Roman" w:hAnsi="Verdana" w:cs="Times New Roman"/>
                <w:b/>
                <w:bCs/>
                <w:color w:val="000000"/>
                <w:sz w:val="16"/>
                <w:szCs w:val="16"/>
                <w:lang w:val="en-GB" w:eastAsia="en-GB"/>
              </w:rPr>
            </w:pPr>
            <w:r w:rsidRPr="00F5442C">
              <w:rPr>
                <w:rFonts w:ascii="Verdana" w:eastAsia="Times New Roman" w:hAnsi="Verdana" w:cs="Times New Roman"/>
                <w:b/>
                <w:bCs/>
                <w:color w:val="000000"/>
                <w:sz w:val="16"/>
                <w:szCs w:val="16"/>
                <w:lang w:val="en-GB" w:eastAsia="en-GB"/>
              </w:rPr>
              <w:t>CC Gross Remuneration</w:t>
            </w:r>
            <w:r w:rsidRPr="00F5442C">
              <w:rPr>
                <w:rFonts w:ascii="Verdana" w:eastAsia="Times New Roman" w:hAnsi="Verdana" w:cs="Times New Roman"/>
                <w:b/>
                <w:bCs/>
                <w:color w:val="000000"/>
                <w:sz w:val="16"/>
                <w:szCs w:val="16"/>
                <w:lang w:val="en-GB" w:eastAsia="en-GB"/>
              </w:rPr>
              <w:br/>
              <w:t>£</w:t>
            </w:r>
          </w:p>
        </w:tc>
        <w:tc>
          <w:tcPr>
            <w:tcW w:w="1840" w:type="dxa"/>
            <w:tcBorders>
              <w:top w:val="single" w:sz="4" w:space="0" w:color="auto"/>
              <w:left w:val="nil"/>
              <w:bottom w:val="nil"/>
              <w:right w:val="single" w:sz="4" w:space="0" w:color="auto"/>
            </w:tcBorders>
            <w:shd w:val="clear" w:color="auto" w:fill="auto"/>
            <w:vAlign w:val="center"/>
            <w:hideMark/>
          </w:tcPr>
          <w:p w14:paraId="1D146499" w14:textId="77777777" w:rsidR="00F5442C" w:rsidRPr="00F5442C" w:rsidRDefault="00F5442C" w:rsidP="00F5442C">
            <w:pPr>
              <w:jc w:val="center"/>
              <w:rPr>
                <w:rFonts w:ascii="Verdana" w:eastAsia="Times New Roman" w:hAnsi="Verdana" w:cs="Times New Roman"/>
                <w:b/>
                <w:bCs/>
                <w:color w:val="000000"/>
                <w:sz w:val="16"/>
                <w:szCs w:val="16"/>
                <w:lang w:val="en-GB" w:eastAsia="en-GB"/>
              </w:rPr>
            </w:pPr>
            <w:r w:rsidRPr="00F5442C">
              <w:rPr>
                <w:rFonts w:ascii="Verdana" w:eastAsia="Times New Roman" w:hAnsi="Verdana" w:cs="Times New Roman"/>
                <w:b/>
                <w:bCs/>
                <w:color w:val="000000"/>
                <w:sz w:val="16"/>
                <w:szCs w:val="16"/>
                <w:lang w:val="en-GB" w:eastAsia="en-GB"/>
              </w:rPr>
              <w:t xml:space="preserve">No. Employees </w:t>
            </w:r>
            <w:r w:rsidRPr="00F5442C">
              <w:rPr>
                <w:rFonts w:ascii="Verdana" w:eastAsia="Times New Roman" w:hAnsi="Verdana" w:cs="Times New Roman"/>
                <w:b/>
                <w:bCs/>
                <w:color w:val="000000"/>
                <w:sz w:val="16"/>
                <w:szCs w:val="16"/>
                <w:lang w:val="en-GB" w:eastAsia="en-GB"/>
              </w:rPr>
              <w:br/>
              <w:t>31 March 2021</w:t>
            </w:r>
          </w:p>
        </w:tc>
      </w:tr>
      <w:tr w:rsidR="00F5442C" w:rsidRPr="00F5442C" w14:paraId="250EEC0D" w14:textId="77777777" w:rsidTr="00F5442C">
        <w:trPr>
          <w:trHeight w:val="270"/>
          <w:jc w:val="center"/>
        </w:trPr>
        <w:tc>
          <w:tcPr>
            <w:tcW w:w="1840" w:type="dxa"/>
            <w:tcBorders>
              <w:top w:val="nil"/>
              <w:left w:val="single" w:sz="4" w:space="0" w:color="auto"/>
              <w:bottom w:val="nil"/>
              <w:right w:val="nil"/>
            </w:tcBorders>
            <w:shd w:val="clear" w:color="auto" w:fill="auto"/>
            <w:vAlign w:val="center"/>
            <w:hideMark/>
          </w:tcPr>
          <w:p w14:paraId="42D0AEB0" w14:textId="77777777" w:rsidR="00F5442C" w:rsidRPr="00F5442C" w:rsidRDefault="00F5442C" w:rsidP="00F5442C">
            <w:pPr>
              <w:jc w:val="center"/>
              <w:rPr>
                <w:rFonts w:ascii="Verdana" w:eastAsia="Times New Roman" w:hAnsi="Verdana" w:cs="Times New Roman"/>
                <w:color w:val="000000"/>
                <w:sz w:val="16"/>
                <w:szCs w:val="16"/>
                <w:lang w:val="en-GB" w:eastAsia="en-GB"/>
              </w:rPr>
            </w:pPr>
            <w:r w:rsidRPr="00F5442C">
              <w:rPr>
                <w:rFonts w:ascii="Verdana" w:eastAsia="Times New Roman" w:hAnsi="Verdana" w:cs="Times New Roman"/>
                <w:color w:val="000000"/>
                <w:sz w:val="16"/>
                <w:szCs w:val="16"/>
                <w:lang w:val="en-GB" w:eastAsia="en-GB"/>
              </w:rPr>
              <w:t>267</w:t>
            </w:r>
          </w:p>
        </w:tc>
        <w:tc>
          <w:tcPr>
            <w:tcW w:w="2660" w:type="dxa"/>
            <w:tcBorders>
              <w:top w:val="nil"/>
              <w:left w:val="single" w:sz="4" w:space="0" w:color="auto"/>
              <w:bottom w:val="nil"/>
              <w:right w:val="single" w:sz="4" w:space="0" w:color="auto"/>
            </w:tcBorders>
            <w:shd w:val="clear" w:color="auto" w:fill="auto"/>
            <w:noWrap/>
            <w:vAlign w:val="center"/>
            <w:hideMark/>
          </w:tcPr>
          <w:p w14:paraId="5ACA5EB1" w14:textId="77777777" w:rsidR="00F5442C" w:rsidRPr="00F5442C" w:rsidRDefault="00F5442C" w:rsidP="00F5442C">
            <w:pPr>
              <w:jc w:val="center"/>
              <w:rPr>
                <w:rFonts w:ascii="Verdana" w:eastAsia="Times New Roman" w:hAnsi="Verdana" w:cs="Times New Roman"/>
                <w:color w:val="000000"/>
                <w:sz w:val="16"/>
                <w:szCs w:val="16"/>
                <w:lang w:val="en-GB" w:eastAsia="en-GB"/>
              </w:rPr>
            </w:pPr>
            <w:r w:rsidRPr="00F5442C">
              <w:rPr>
                <w:rFonts w:ascii="Verdana" w:eastAsia="Times New Roman" w:hAnsi="Verdana" w:cs="Times New Roman"/>
                <w:color w:val="000000"/>
                <w:sz w:val="16"/>
                <w:szCs w:val="16"/>
                <w:lang w:val="en-GB" w:eastAsia="en-GB"/>
              </w:rPr>
              <w:t>50,000 to 54,999</w:t>
            </w:r>
          </w:p>
        </w:tc>
        <w:tc>
          <w:tcPr>
            <w:tcW w:w="1840" w:type="dxa"/>
            <w:tcBorders>
              <w:top w:val="nil"/>
              <w:left w:val="nil"/>
              <w:bottom w:val="nil"/>
              <w:right w:val="single" w:sz="4" w:space="0" w:color="auto"/>
            </w:tcBorders>
            <w:shd w:val="clear" w:color="auto" w:fill="auto"/>
            <w:noWrap/>
            <w:vAlign w:val="center"/>
            <w:hideMark/>
          </w:tcPr>
          <w:p w14:paraId="209F9474" w14:textId="77777777" w:rsidR="00F5442C" w:rsidRPr="00F5442C" w:rsidRDefault="00F5442C" w:rsidP="00F5442C">
            <w:pPr>
              <w:jc w:val="center"/>
              <w:rPr>
                <w:rFonts w:ascii="Verdana" w:eastAsia="Times New Roman" w:hAnsi="Verdana" w:cs="Times New Roman"/>
                <w:color w:val="000000"/>
                <w:sz w:val="16"/>
                <w:szCs w:val="16"/>
                <w:lang w:val="en-GB" w:eastAsia="en-GB"/>
              </w:rPr>
            </w:pPr>
            <w:r w:rsidRPr="00F5442C">
              <w:rPr>
                <w:rFonts w:ascii="Verdana" w:eastAsia="Times New Roman" w:hAnsi="Verdana" w:cs="Times New Roman"/>
                <w:color w:val="000000"/>
                <w:sz w:val="16"/>
                <w:szCs w:val="16"/>
                <w:lang w:val="en-GB" w:eastAsia="en-GB"/>
              </w:rPr>
              <w:t>318</w:t>
            </w:r>
          </w:p>
        </w:tc>
      </w:tr>
      <w:tr w:rsidR="00F5442C" w:rsidRPr="00F5442C" w14:paraId="0C517F77" w14:textId="77777777" w:rsidTr="00F5442C">
        <w:trPr>
          <w:trHeight w:val="255"/>
          <w:jc w:val="center"/>
        </w:trPr>
        <w:tc>
          <w:tcPr>
            <w:tcW w:w="1840" w:type="dxa"/>
            <w:tcBorders>
              <w:top w:val="nil"/>
              <w:left w:val="single" w:sz="4" w:space="0" w:color="auto"/>
              <w:bottom w:val="nil"/>
              <w:right w:val="nil"/>
            </w:tcBorders>
            <w:shd w:val="clear" w:color="auto" w:fill="auto"/>
            <w:vAlign w:val="center"/>
            <w:hideMark/>
          </w:tcPr>
          <w:p w14:paraId="48827442" w14:textId="77777777" w:rsidR="00F5442C" w:rsidRPr="00F5442C" w:rsidRDefault="00F5442C" w:rsidP="00F5442C">
            <w:pPr>
              <w:jc w:val="center"/>
              <w:rPr>
                <w:rFonts w:ascii="Verdana" w:eastAsia="Times New Roman" w:hAnsi="Verdana" w:cs="Times New Roman"/>
                <w:color w:val="000000"/>
                <w:sz w:val="16"/>
                <w:szCs w:val="16"/>
                <w:lang w:val="en-GB" w:eastAsia="en-GB"/>
              </w:rPr>
            </w:pPr>
            <w:r w:rsidRPr="00F5442C">
              <w:rPr>
                <w:rFonts w:ascii="Verdana" w:eastAsia="Times New Roman" w:hAnsi="Verdana" w:cs="Times New Roman"/>
                <w:color w:val="000000"/>
                <w:sz w:val="16"/>
                <w:szCs w:val="16"/>
                <w:lang w:val="en-GB" w:eastAsia="en-GB"/>
              </w:rPr>
              <w:t>130</w:t>
            </w:r>
          </w:p>
        </w:tc>
        <w:tc>
          <w:tcPr>
            <w:tcW w:w="2660" w:type="dxa"/>
            <w:tcBorders>
              <w:top w:val="nil"/>
              <w:left w:val="single" w:sz="4" w:space="0" w:color="auto"/>
              <w:bottom w:val="nil"/>
              <w:right w:val="single" w:sz="4" w:space="0" w:color="auto"/>
            </w:tcBorders>
            <w:shd w:val="clear" w:color="auto" w:fill="auto"/>
            <w:noWrap/>
            <w:vAlign w:val="center"/>
            <w:hideMark/>
          </w:tcPr>
          <w:p w14:paraId="4FB2D108" w14:textId="77777777" w:rsidR="00F5442C" w:rsidRPr="00F5442C" w:rsidRDefault="00F5442C" w:rsidP="00F5442C">
            <w:pPr>
              <w:jc w:val="center"/>
              <w:rPr>
                <w:rFonts w:ascii="Verdana" w:eastAsia="Times New Roman" w:hAnsi="Verdana" w:cs="Times New Roman"/>
                <w:color w:val="000000"/>
                <w:sz w:val="16"/>
                <w:szCs w:val="16"/>
                <w:lang w:val="en-GB" w:eastAsia="en-GB"/>
              </w:rPr>
            </w:pPr>
            <w:r w:rsidRPr="00F5442C">
              <w:rPr>
                <w:rFonts w:ascii="Verdana" w:eastAsia="Times New Roman" w:hAnsi="Verdana" w:cs="Times New Roman"/>
                <w:color w:val="000000"/>
                <w:sz w:val="16"/>
                <w:szCs w:val="16"/>
                <w:lang w:val="en-GB" w:eastAsia="en-GB"/>
              </w:rPr>
              <w:t>55,000 to 59,999</w:t>
            </w:r>
          </w:p>
        </w:tc>
        <w:tc>
          <w:tcPr>
            <w:tcW w:w="1840" w:type="dxa"/>
            <w:tcBorders>
              <w:top w:val="nil"/>
              <w:left w:val="nil"/>
              <w:bottom w:val="nil"/>
              <w:right w:val="single" w:sz="4" w:space="0" w:color="auto"/>
            </w:tcBorders>
            <w:shd w:val="clear" w:color="auto" w:fill="auto"/>
            <w:noWrap/>
            <w:vAlign w:val="center"/>
            <w:hideMark/>
          </w:tcPr>
          <w:p w14:paraId="1A09FD92" w14:textId="77777777" w:rsidR="00F5442C" w:rsidRPr="00F5442C" w:rsidRDefault="00F5442C" w:rsidP="00F5442C">
            <w:pPr>
              <w:jc w:val="center"/>
              <w:rPr>
                <w:rFonts w:ascii="Verdana" w:eastAsia="Times New Roman" w:hAnsi="Verdana" w:cs="Times New Roman"/>
                <w:color w:val="000000"/>
                <w:sz w:val="16"/>
                <w:szCs w:val="16"/>
                <w:lang w:val="en-GB" w:eastAsia="en-GB"/>
              </w:rPr>
            </w:pPr>
            <w:r w:rsidRPr="00F5442C">
              <w:rPr>
                <w:rFonts w:ascii="Verdana" w:eastAsia="Times New Roman" w:hAnsi="Verdana" w:cs="Times New Roman"/>
                <w:color w:val="000000"/>
                <w:sz w:val="16"/>
                <w:szCs w:val="16"/>
                <w:lang w:val="en-GB" w:eastAsia="en-GB"/>
              </w:rPr>
              <w:t>173</w:t>
            </w:r>
          </w:p>
        </w:tc>
      </w:tr>
      <w:tr w:rsidR="00F5442C" w:rsidRPr="00F5442C" w14:paraId="7731C30E" w14:textId="77777777" w:rsidTr="00F5442C">
        <w:trPr>
          <w:trHeight w:val="255"/>
          <w:jc w:val="center"/>
        </w:trPr>
        <w:tc>
          <w:tcPr>
            <w:tcW w:w="1840" w:type="dxa"/>
            <w:tcBorders>
              <w:top w:val="nil"/>
              <w:left w:val="single" w:sz="4" w:space="0" w:color="auto"/>
              <w:bottom w:val="nil"/>
              <w:right w:val="nil"/>
            </w:tcBorders>
            <w:shd w:val="clear" w:color="auto" w:fill="auto"/>
            <w:vAlign w:val="center"/>
            <w:hideMark/>
          </w:tcPr>
          <w:p w14:paraId="2D93BF44" w14:textId="77777777" w:rsidR="00F5442C" w:rsidRPr="00F5442C" w:rsidRDefault="00F5442C" w:rsidP="00F5442C">
            <w:pPr>
              <w:jc w:val="center"/>
              <w:rPr>
                <w:rFonts w:ascii="Verdana" w:eastAsia="Times New Roman" w:hAnsi="Verdana" w:cs="Times New Roman"/>
                <w:color w:val="000000"/>
                <w:sz w:val="16"/>
                <w:szCs w:val="16"/>
                <w:lang w:val="en-GB" w:eastAsia="en-GB"/>
              </w:rPr>
            </w:pPr>
            <w:r w:rsidRPr="00F5442C">
              <w:rPr>
                <w:rFonts w:ascii="Verdana" w:eastAsia="Times New Roman" w:hAnsi="Verdana" w:cs="Times New Roman"/>
                <w:color w:val="000000"/>
                <w:sz w:val="16"/>
                <w:szCs w:val="16"/>
                <w:lang w:val="en-GB" w:eastAsia="en-GB"/>
              </w:rPr>
              <w:t>78</w:t>
            </w:r>
          </w:p>
        </w:tc>
        <w:tc>
          <w:tcPr>
            <w:tcW w:w="2660" w:type="dxa"/>
            <w:tcBorders>
              <w:top w:val="nil"/>
              <w:left w:val="single" w:sz="4" w:space="0" w:color="auto"/>
              <w:bottom w:val="nil"/>
              <w:right w:val="single" w:sz="4" w:space="0" w:color="auto"/>
            </w:tcBorders>
            <w:shd w:val="clear" w:color="auto" w:fill="auto"/>
            <w:noWrap/>
            <w:vAlign w:val="center"/>
            <w:hideMark/>
          </w:tcPr>
          <w:p w14:paraId="181D4EAD" w14:textId="77777777" w:rsidR="00F5442C" w:rsidRPr="00F5442C" w:rsidRDefault="00F5442C" w:rsidP="00F5442C">
            <w:pPr>
              <w:jc w:val="center"/>
              <w:rPr>
                <w:rFonts w:ascii="Verdana" w:eastAsia="Times New Roman" w:hAnsi="Verdana" w:cs="Times New Roman"/>
                <w:color w:val="000000"/>
                <w:sz w:val="16"/>
                <w:szCs w:val="16"/>
                <w:lang w:val="en-GB" w:eastAsia="en-GB"/>
              </w:rPr>
            </w:pPr>
            <w:r w:rsidRPr="00F5442C">
              <w:rPr>
                <w:rFonts w:ascii="Verdana" w:eastAsia="Times New Roman" w:hAnsi="Verdana" w:cs="Times New Roman"/>
                <w:color w:val="000000"/>
                <w:sz w:val="16"/>
                <w:szCs w:val="16"/>
                <w:lang w:val="en-GB" w:eastAsia="en-GB"/>
              </w:rPr>
              <w:t>60,000 to 64,999</w:t>
            </w:r>
          </w:p>
        </w:tc>
        <w:tc>
          <w:tcPr>
            <w:tcW w:w="1840" w:type="dxa"/>
            <w:tcBorders>
              <w:top w:val="nil"/>
              <w:left w:val="nil"/>
              <w:bottom w:val="nil"/>
              <w:right w:val="single" w:sz="4" w:space="0" w:color="auto"/>
            </w:tcBorders>
            <w:shd w:val="clear" w:color="auto" w:fill="auto"/>
            <w:noWrap/>
            <w:vAlign w:val="center"/>
            <w:hideMark/>
          </w:tcPr>
          <w:p w14:paraId="375FF473" w14:textId="77777777" w:rsidR="00F5442C" w:rsidRPr="00F5442C" w:rsidRDefault="00F5442C" w:rsidP="00F5442C">
            <w:pPr>
              <w:jc w:val="center"/>
              <w:rPr>
                <w:rFonts w:ascii="Verdana" w:eastAsia="Times New Roman" w:hAnsi="Verdana" w:cs="Times New Roman"/>
                <w:color w:val="000000"/>
                <w:sz w:val="16"/>
                <w:szCs w:val="16"/>
                <w:lang w:val="en-GB" w:eastAsia="en-GB"/>
              </w:rPr>
            </w:pPr>
            <w:r w:rsidRPr="00F5442C">
              <w:rPr>
                <w:rFonts w:ascii="Verdana" w:eastAsia="Times New Roman" w:hAnsi="Verdana" w:cs="Times New Roman"/>
                <w:color w:val="000000"/>
                <w:sz w:val="16"/>
                <w:szCs w:val="16"/>
                <w:lang w:val="en-GB" w:eastAsia="en-GB"/>
              </w:rPr>
              <w:t>118</w:t>
            </w:r>
          </w:p>
        </w:tc>
      </w:tr>
      <w:tr w:rsidR="00F5442C" w:rsidRPr="00F5442C" w14:paraId="07856B56" w14:textId="77777777" w:rsidTr="00F5442C">
        <w:trPr>
          <w:trHeight w:val="255"/>
          <w:jc w:val="center"/>
        </w:trPr>
        <w:tc>
          <w:tcPr>
            <w:tcW w:w="1840" w:type="dxa"/>
            <w:tcBorders>
              <w:top w:val="nil"/>
              <w:left w:val="single" w:sz="4" w:space="0" w:color="auto"/>
              <w:bottom w:val="nil"/>
              <w:right w:val="nil"/>
            </w:tcBorders>
            <w:shd w:val="clear" w:color="auto" w:fill="auto"/>
            <w:vAlign w:val="center"/>
            <w:hideMark/>
          </w:tcPr>
          <w:p w14:paraId="4B14E3C6" w14:textId="77777777" w:rsidR="00F5442C" w:rsidRPr="00F5442C" w:rsidRDefault="00F5442C" w:rsidP="00F5442C">
            <w:pPr>
              <w:jc w:val="center"/>
              <w:rPr>
                <w:rFonts w:ascii="Verdana" w:eastAsia="Times New Roman" w:hAnsi="Verdana" w:cs="Times New Roman"/>
                <w:color w:val="000000"/>
                <w:sz w:val="16"/>
                <w:szCs w:val="16"/>
                <w:lang w:val="en-GB" w:eastAsia="en-GB"/>
              </w:rPr>
            </w:pPr>
            <w:r w:rsidRPr="00F5442C">
              <w:rPr>
                <w:rFonts w:ascii="Verdana" w:eastAsia="Times New Roman" w:hAnsi="Verdana" w:cs="Times New Roman"/>
                <w:color w:val="000000"/>
                <w:sz w:val="16"/>
                <w:szCs w:val="16"/>
                <w:lang w:val="en-GB" w:eastAsia="en-GB"/>
              </w:rPr>
              <w:t>21</w:t>
            </w:r>
          </w:p>
        </w:tc>
        <w:tc>
          <w:tcPr>
            <w:tcW w:w="2660" w:type="dxa"/>
            <w:tcBorders>
              <w:top w:val="nil"/>
              <w:left w:val="single" w:sz="4" w:space="0" w:color="auto"/>
              <w:bottom w:val="nil"/>
              <w:right w:val="single" w:sz="4" w:space="0" w:color="auto"/>
            </w:tcBorders>
            <w:shd w:val="clear" w:color="auto" w:fill="auto"/>
            <w:noWrap/>
            <w:vAlign w:val="center"/>
            <w:hideMark/>
          </w:tcPr>
          <w:p w14:paraId="7B730E26" w14:textId="77777777" w:rsidR="00F5442C" w:rsidRPr="00F5442C" w:rsidRDefault="00F5442C" w:rsidP="00F5442C">
            <w:pPr>
              <w:jc w:val="center"/>
              <w:rPr>
                <w:rFonts w:ascii="Verdana" w:eastAsia="Times New Roman" w:hAnsi="Verdana" w:cs="Times New Roman"/>
                <w:color w:val="000000"/>
                <w:sz w:val="16"/>
                <w:szCs w:val="16"/>
                <w:lang w:val="en-GB" w:eastAsia="en-GB"/>
              </w:rPr>
            </w:pPr>
            <w:r w:rsidRPr="00F5442C">
              <w:rPr>
                <w:rFonts w:ascii="Verdana" w:eastAsia="Times New Roman" w:hAnsi="Verdana" w:cs="Times New Roman"/>
                <w:color w:val="000000"/>
                <w:sz w:val="16"/>
                <w:szCs w:val="16"/>
                <w:lang w:val="en-GB" w:eastAsia="en-GB"/>
              </w:rPr>
              <w:t>65,000 to 69,999</w:t>
            </w:r>
          </w:p>
        </w:tc>
        <w:tc>
          <w:tcPr>
            <w:tcW w:w="1840" w:type="dxa"/>
            <w:tcBorders>
              <w:top w:val="nil"/>
              <w:left w:val="nil"/>
              <w:bottom w:val="nil"/>
              <w:right w:val="single" w:sz="4" w:space="0" w:color="auto"/>
            </w:tcBorders>
            <w:shd w:val="clear" w:color="auto" w:fill="auto"/>
            <w:noWrap/>
            <w:vAlign w:val="center"/>
            <w:hideMark/>
          </w:tcPr>
          <w:p w14:paraId="07F2C53D" w14:textId="77777777" w:rsidR="00F5442C" w:rsidRPr="00F5442C" w:rsidRDefault="00F5442C" w:rsidP="00F5442C">
            <w:pPr>
              <w:jc w:val="center"/>
              <w:rPr>
                <w:rFonts w:ascii="Verdana" w:eastAsia="Times New Roman" w:hAnsi="Verdana" w:cs="Times New Roman"/>
                <w:color w:val="000000"/>
                <w:sz w:val="16"/>
                <w:szCs w:val="16"/>
                <w:lang w:val="en-GB" w:eastAsia="en-GB"/>
              </w:rPr>
            </w:pPr>
            <w:r w:rsidRPr="00F5442C">
              <w:rPr>
                <w:rFonts w:ascii="Verdana" w:eastAsia="Times New Roman" w:hAnsi="Verdana" w:cs="Times New Roman"/>
                <w:color w:val="000000"/>
                <w:sz w:val="16"/>
                <w:szCs w:val="16"/>
                <w:lang w:val="en-GB" w:eastAsia="en-GB"/>
              </w:rPr>
              <w:t>19</w:t>
            </w:r>
          </w:p>
        </w:tc>
      </w:tr>
      <w:tr w:rsidR="00F5442C" w:rsidRPr="00F5442C" w14:paraId="0DD69A0F" w14:textId="77777777" w:rsidTr="00F5442C">
        <w:trPr>
          <w:trHeight w:val="255"/>
          <w:jc w:val="center"/>
        </w:trPr>
        <w:tc>
          <w:tcPr>
            <w:tcW w:w="1840" w:type="dxa"/>
            <w:tcBorders>
              <w:top w:val="nil"/>
              <w:left w:val="single" w:sz="4" w:space="0" w:color="auto"/>
              <w:bottom w:val="nil"/>
              <w:right w:val="nil"/>
            </w:tcBorders>
            <w:shd w:val="clear" w:color="auto" w:fill="auto"/>
            <w:vAlign w:val="center"/>
            <w:hideMark/>
          </w:tcPr>
          <w:p w14:paraId="2473823C" w14:textId="77777777" w:rsidR="00F5442C" w:rsidRPr="00F5442C" w:rsidRDefault="00F5442C" w:rsidP="00F5442C">
            <w:pPr>
              <w:jc w:val="center"/>
              <w:rPr>
                <w:rFonts w:ascii="Verdana" w:eastAsia="Times New Roman" w:hAnsi="Verdana" w:cs="Times New Roman"/>
                <w:color w:val="000000"/>
                <w:sz w:val="16"/>
                <w:szCs w:val="16"/>
                <w:lang w:val="en-GB" w:eastAsia="en-GB"/>
              </w:rPr>
            </w:pPr>
            <w:r w:rsidRPr="00F5442C">
              <w:rPr>
                <w:rFonts w:ascii="Verdana" w:eastAsia="Times New Roman" w:hAnsi="Verdana" w:cs="Times New Roman"/>
                <w:color w:val="000000"/>
                <w:sz w:val="16"/>
                <w:szCs w:val="16"/>
                <w:lang w:val="en-GB" w:eastAsia="en-GB"/>
              </w:rPr>
              <w:t>15</w:t>
            </w:r>
          </w:p>
        </w:tc>
        <w:tc>
          <w:tcPr>
            <w:tcW w:w="2660" w:type="dxa"/>
            <w:tcBorders>
              <w:top w:val="nil"/>
              <w:left w:val="single" w:sz="4" w:space="0" w:color="auto"/>
              <w:bottom w:val="nil"/>
              <w:right w:val="single" w:sz="4" w:space="0" w:color="auto"/>
            </w:tcBorders>
            <w:shd w:val="clear" w:color="auto" w:fill="auto"/>
            <w:noWrap/>
            <w:vAlign w:val="center"/>
            <w:hideMark/>
          </w:tcPr>
          <w:p w14:paraId="7E57EFEA" w14:textId="77777777" w:rsidR="00F5442C" w:rsidRPr="00F5442C" w:rsidRDefault="00F5442C" w:rsidP="00F5442C">
            <w:pPr>
              <w:jc w:val="center"/>
              <w:rPr>
                <w:rFonts w:ascii="Verdana" w:eastAsia="Times New Roman" w:hAnsi="Verdana" w:cs="Times New Roman"/>
                <w:color w:val="000000"/>
                <w:sz w:val="16"/>
                <w:szCs w:val="16"/>
                <w:lang w:val="en-GB" w:eastAsia="en-GB"/>
              </w:rPr>
            </w:pPr>
            <w:r w:rsidRPr="00F5442C">
              <w:rPr>
                <w:rFonts w:ascii="Verdana" w:eastAsia="Times New Roman" w:hAnsi="Verdana" w:cs="Times New Roman"/>
                <w:color w:val="000000"/>
                <w:sz w:val="16"/>
                <w:szCs w:val="16"/>
                <w:lang w:val="en-GB" w:eastAsia="en-GB"/>
              </w:rPr>
              <w:t>70,000 to 74,999</w:t>
            </w:r>
          </w:p>
        </w:tc>
        <w:tc>
          <w:tcPr>
            <w:tcW w:w="1840" w:type="dxa"/>
            <w:tcBorders>
              <w:top w:val="nil"/>
              <w:left w:val="nil"/>
              <w:bottom w:val="nil"/>
              <w:right w:val="single" w:sz="4" w:space="0" w:color="auto"/>
            </w:tcBorders>
            <w:shd w:val="clear" w:color="auto" w:fill="auto"/>
            <w:noWrap/>
            <w:vAlign w:val="center"/>
            <w:hideMark/>
          </w:tcPr>
          <w:p w14:paraId="0E9BE616" w14:textId="77777777" w:rsidR="00F5442C" w:rsidRPr="00F5442C" w:rsidRDefault="00F5442C" w:rsidP="00F5442C">
            <w:pPr>
              <w:jc w:val="center"/>
              <w:rPr>
                <w:rFonts w:ascii="Verdana" w:eastAsia="Times New Roman" w:hAnsi="Verdana" w:cs="Times New Roman"/>
                <w:color w:val="000000"/>
                <w:sz w:val="16"/>
                <w:szCs w:val="16"/>
                <w:lang w:val="en-GB" w:eastAsia="en-GB"/>
              </w:rPr>
            </w:pPr>
            <w:r w:rsidRPr="00F5442C">
              <w:rPr>
                <w:rFonts w:ascii="Verdana" w:eastAsia="Times New Roman" w:hAnsi="Verdana" w:cs="Times New Roman"/>
                <w:color w:val="000000"/>
                <w:sz w:val="16"/>
                <w:szCs w:val="16"/>
                <w:lang w:val="en-GB" w:eastAsia="en-GB"/>
              </w:rPr>
              <w:t>16</w:t>
            </w:r>
          </w:p>
        </w:tc>
      </w:tr>
      <w:tr w:rsidR="00F5442C" w:rsidRPr="00F5442C" w14:paraId="43F94B87" w14:textId="77777777" w:rsidTr="00F5442C">
        <w:trPr>
          <w:trHeight w:val="255"/>
          <w:jc w:val="center"/>
        </w:trPr>
        <w:tc>
          <w:tcPr>
            <w:tcW w:w="1840" w:type="dxa"/>
            <w:tcBorders>
              <w:top w:val="nil"/>
              <w:left w:val="single" w:sz="4" w:space="0" w:color="auto"/>
              <w:bottom w:val="nil"/>
              <w:right w:val="nil"/>
            </w:tcBorders>
            <w:shd w:val="clear" w:color="auto" w:fill="auto"/>
            <w:vAlign w:val="center"/>
            <w:hideMark/>
          </w:tcPr>
          <w:p w14:paraId="7CE0F089" w14:textId="77777777" w:rsidR="00F5442C" w:rsidRPr="00F5442C" w:rsidRDefault="00F5442C" w:rsidP="00F5442C">
            <w:pPr>
              <w:jc w:val="center"/>
              <w:rPr>
                <w:rFonts w:ascii="Verdana" w:eastAsia="Times New Roman" w:hAnsi="Verdana" w:cs="Times New Roman"/>
                <w:color w:val="000000"/>
                <w:sz w:val="16"/>
                <w:szCs w:val="16"/>
                <w:lang w:val="en-GB" w:eastAsia="en-GB"/>
              </w:rPr>
            </w:pPr>
            <w:r w:rsidRPr="00F5442C">
              <w:rPr>
                <w:rFonts w:ascii="Verdana" w:eastAsia="Times New Roman" w:hAnsi="Verdana" w:cs="Times New Roman"/>
                <w:color w:val="000000"/>
                <w:sz w:val="16"/>
                <w:szCs w:val="16"/>
                <w:lang w:val="en-GB" w:eastAsia="en-GB"/>
              </w:rPr>
              <w:t>6</w:t>
            </w:r>
          </w:p>
        </w:tc>
        <w:tc>
          <w:tcPr>
            <w:tcW w:w="2660" w:type="dxa"/>
            <w:tcBorders>
              <w:top w:val="nil"/>
              <w:left w:val="single" w:sz="4" w:space="0" w:color="auto"/>
              <w:bottom w:val="nil"/>
              <w:right w:val="single" w:sz="4" w:space="0" w:color="auto"/>
            </w:tcBorders>
            <w:shd w:val="clear" w:color="auto" w:fill="auto"/>
            <w:noWrap/>
            <w:vAlign w:val="center"/>
            <w:hideMark/>
          </w:tcPr>
          <w:p w14:paraId="5C78B5B9" w14:textId="77777777" w:rsidR="00F5442C" w:rsidRPr="00F5442C" w:rsidRDefault="00F5442C" w:rsidP="00F5442C">
            <w:pPr>
              <w:jc w:val="center"/>
              <w:rPr>
                <w:rFonts w:ascii="Verdana" w:eastAsia="Times New Roman" w:hAnsi="Verdana" w:cs="Times New Roman"/>
                <w:color w:val="000000"/>
                <w:sz w:val="16"/>
                <w:szCs w:val="16"/>
                <w:lang w:val="en-GB" w:eastAsia="en-GB"/>
              </w:rPr>
            </w:pPr>
            <w:r w:rsidRPr="00F5442C">
              <w:rPr>
                <w:rFonts w:ascii="Verdana" w:eastAsia="Times New Roman" w:hAnsi="Verdana" w:cs="Times New Roman"/>
                <w:color w:val="000000"/>
                <w:sz w:val="16"/>
                <w:szCs w:val="16"/>
                <w:lang w:val="en-GB" w:eastAsia="en-GB"/>
              </w:rPr>
              <w:t>75,000 to 79,999</w:t>
            </w:r>
          </w:p>
        </w:tc>
        <w:tc>
          <w:tcPr>
            <w:tcW w:w="1840" w:type="dxa"/>
            <w:tcBorders>
              <w:top w:val="nil"/>
              <w:left w:val="nil"/>
              <w:bottom w:val="nil"/>
              <w:right w:val="single" w:sz="4" w:space="0" w:color="auto"/>
            </w:tcBorders>
            <w:shd w:val="clear" w:color="auto" w:fill="auto"/>
            <w:noWrap/>
            <w:vAlign w:val="center"/>
            <w:hideMark/>
          </w:tcPr>
          <w:p w14:paraId="1DE06116" w14:textId="77777777" w:rsidR="00F5442C" w:rsidRPr="00F5442C" w:rsidRDefault="00F5442C" w:rsidP="00F5442C">
            <w:pPr>
              <w:jc w:val="center"/>
              <w:rPr>
                <w:rFonts w:ascii="Verdana" w:eastAsia="Times New Roman" w:hAnsi="Verdana" w:cs="Times New Roman"/>
                <w:color w:val="000000"/>
                <w:sz w:val="16"/>
                <w:szCs w:val="16"/>
                <w:lang w:val="en-GB" w:eastAsia="en-GB"/>
              </w:rPr>
            </w:pPr>
            <w:r w:rsidRPr="00F5442C">
              <w:rPr>
                <w:rFonts w:ascii="Verdana" w:eastAsia="Times New Roman" w:hAnsi="Verdana" w:cs="Times New Roman"/>
                <w:color w:val="000000"/>
                <w:sz w:val="16"/>
                <w:szCs w:val="16"/>
                <w:lang w:val="en-GB" w:eastAsia="en-GB"/>
              </w:rPr>
              <w:t>11</w:t>
            </w:r>
          </w:p>
        </w:tc>
      </w:tr>
      <w:tr w:rsidR="00F5442C" w:rsidRPr="00F5442C" w14:paraId="256C0DD6" w14:textId="77777777" w:rsidTr="00F5442C">
        <w:trPr>
          <w:trHeight w:val="255"/>
          <w:jc w:val="center"/>
        </w:trPr>
        <w:tc>
          <w:tcPr>
            <w:tcW w:w="1840" w:type="dxa"/>
            <w:tcBorders>
              <w:top w:val="nil"/>
              <w:left w:val="single" w:sz="4" w:space="0" w:color="auto"/>
              <w:bottom w:val="nil"/>
              <w:right w:val="nil"/>
            </w:tcBorders>
            <w:shd w:val="clear" w:color="auto" w:fill="auto"/>
            <w:vAlign w:val="center"/>
            <w:hideMark/>
          </w:tcPr>
          <w:p w14:paraId="4DD35F45" w14:textId="77777777" w:rsidR="00F5442C" w:rsidRPr="00F5442C" w:rsidRDefault="00F5442C" w:rsidP="00F5442C">
            <w:pPr>
              <w:jc w:val="center"/>
              <w:rPr>
                <w:rFonts w:ascii="Verdana" w:eastAsia="Times New Roman" w:hAnsi="Verdana" w:cs="Times New Roman"/>
                <w:color w:val="000000"/>
                <w:sz w:val="16"/>
                <w:szCs w:val="16"/>
                <w:lang w:val="en-GB" w:eastAsia="en-GB"/>
              </w:rPr>
            </w:pPr>
            <w:r w:rsidRPr="00F5442C">
              <w:rPr>
                <w:rFonts w:ascii="Verdana" w:eastAsia="Times New Roman" w:hAnsi="Verdana" w:cs="Times New Roman"/>
                <w:color w:val="000000"/>
                <w:sz w:val="16"/>
                <w:szCs w:val="16"/>
                <w:lang w:val="en-GB" w:eastAsia="en-GB"/>
              </w:rPr>
              <w:t>7</w:t>
            </w:r>
          </w:p>
        </w:tc>
        <w:tc>
          <w:tcPr>
            <w:tcW w:w="2660" w:type="dxa"/>
            <w:tcBorders>
              <w:top w:val="nil"/>
              <w:left w:val="single" w:sz="4" w:space="0" w:color="auto"/>
              <w:bottom w:val="nil"/>
              <w:right w:val="single" w:sz="4" w:space="0" w:color="auto"/>
            </w:tcBorders>
            <w:shd w:val="clear" w:color="auto" w:fill="auto"/>
            <w:noWrap/>
            <w:vAlign w:val="center"/>
            <w:hideMark/>
          </w:tcPr>
          <w:p w14:paraId="40FAC31E" w14:textId="77777777" w:rsidR="00F5442C" w:rsidRPr="00F5442C" w:rsidRDefault="00F5442C" w:rsidP="00F5442C">
            <w:pPr>
              <w:jc w:val="center"/>
              <w:rPr>
                <w:rFonts w:ascii="Verdana" w:eastAsia="Times New Roman" w:hAnsi="Verdana" w:cs="Times New Roman"/>
                <w:color w:val="000000"/>
                <w:sz w:val="16"/>
                <w:szCs w:val="16"/>
                <w:lang w:val="en-GB" w:eastAsia="en-GB"/>
              </w:rPr>
            </w:pPr>
            <w:r w:rsidRPr="00F5442C">
              <w:rPr>
                <w:rFonts w:ascii="Verdana" w:eastAsia="Times New Roman" w:hAnsi="Verdana" w:cs="Times New Roman"/>
                <w:color w:val="000000"/>
                <w:sz w:val="16"/>
                <w:szCs w:val="16"/>
                <w:lang w:val="en-GB" w:eastAsia="en-GB"/>
              </w:rPr>
              <w:t>80,000 to 84,999</w:t>
            </w:r>
          </w:p>
        </w:tc>
        <w:tc>
          <w:tcPr>
            <w:tcW w:w="1840" w:type="dxa"/>
            <w:tcBorders>
              <w:top w:val="nil"/>
              <w:left w:val="nil"/>
              <w:bottom w:val="nil"/>
              <w:right w:val="single" w:sz="4" w:space="0" w:color="auto"/>
            </w:tcBorders>
            <w:shd w:val="clear" w:color="auto" w:fill="auto"/>
            <w:noWrap/>
            <w:vAlign w:val="center"/>
            <w:hideMark/>
          </w:tcPr>
          <w:p w14:paraId="6F1C22B3" w14:textId="77777777" w:rsidR="00F5442C" w:rsidRPr="00F5442C" w:rsidRDefault="00F5442C" w:rsidP="00F5442C">
            <w:pPr>
              <w:jc w:val="center"/>
              <w:rPr>
                <w:rFonts w:ascii="Verdana" w:eastAsia="Times New Roman" w:hAnsi="Verdana" w:cs="Times New Roman"/>
                <w:color w:val="000000"/>
                <w:sz w:val="16"/>
                <w:szCs w:val="16"/>
                <w:lang w:val="en-GB" w:eastAsia="en-GB"/>
              </w:rPr>
            </w:pPr>
            <w:r w:rsidRPr="00F5442C">
              <w:rPr>
                <w:rFonts w:ascii="Verdana" w:eastAsia="Times New Roman" w:hAnsi="Verdana" w:cs="Times New Roman"/>
                <w:color w:val="000000"/>
                <w:sz w:val="16"/>
                <w:szCs w:val="16"/>
                <w:lang w:val="en-GB" w:eastAsia="en-GB"/>
              </w:rPr>
              <w:t>7</w:t>
            </w:r>
          </w:p>
        </w:tc>
      </w:tr>
      <w:tr w:rsidR="00F5442C" w:rsidRPr="00F5442C" w14:paraId="27777955" w14:textId="77777777" w:rsidTr="00F5442C">
        <w:trPr>
          <w:trHeight w:val="255"/>
          <w:jc w:val="center"/>
        </w:trPr>
        <w:tc>
          <w:tcPr>
            <w:tcW w:w="1840" w:type="dxa"/>
            <w:tcBorders>
              <w:top w:val="nil"/>
              <w:left w:val="single" w:sz="4" w:space="0" w:color="auto"/>
              <w:bottom w:val="nil"/>
              <w:right w:val="nil"/>
            </w:tcBorders>
            <w:shd w:val="clear" w:color="auto" w:fill="auto"/>
            <w:vAlign w:val="center"/>
            <w:hideMark/>
          </w:tcPr>
          <w:p w14:paraId="3D5B984B" w14:textId="77777777" w:rsidR="00F5442C" w:rsidRPr="00F5442C" w:rsidRDefault="00F5442C" w:rsidP="00F5442C">
            <w:pPr>
              <w:jc w:val="center"/>
              <w:rPr>
                <w:rFonts w:ascii="Verdana" w:eastAsia="Times New Roman" w:hAnsi="Verdana" w:cs="Times New Roman"/>
                <w:color w:val="000000"/>
                <w:sz w:val="16"/>
                <w:szCs w:val="16"/>
                <w:lang w:val="en-GB" w:eastAsia="en-GB"/>
              </w:rPr>
            </w:pPr>
            <w:r w:rsidRPr="00F5442C">
              <w:rPr>
                <w:rFonts w:ascii="Verdana" w:eastAsia="Times New Roman" w:hAnsi="Verdana" w:cs="Times New Roman"/>
                <w:color w:val="000000"/>
                <w:sz w:val="16"/>
                <w:szCs w:val="16"/>
                <w:lang w:val="en-GB" w:eastAsia="en-GB"/>
              </w:rPr>
              <w:t>4</w:t>
            </w:r>
          </w:p>
        </w:tc>
        <w:tc>
          <w:tcPr>
            <w:tcW w:w="2660" w:type="dxa"/>
            <w:tcBorders>
              <w:top w:val="nil"/>
              <w:left w:val="single" w:sz="4" w:space="0" w:color="auto"/>
              <w:bottom w:val="nil"/>
              <w:right w:val="single" w:sz="4" w:space="0" w:color="auto"/>
            </w:tcBorders>
            <w:shd w:val="clear" w:color="auto" w:fill="auto"/>
            <w:noWrap/>
            <w:vAlign w:val="center"/>
            <w:hideMark/>
          </w:tcPr>
          <w:p w14:paraId="7DEE4F02" w14:textId="77777777" w:rsidR="00F5442C" w:rsidRPr="00F5442C" w:rsidRDefault="00F5442C" w:rsidP="00F5442C">
            <w:pPr>
              <w:jc w:val="center"/>
              <w:rPr>
                <w:rFonts w:ascii="Verdana" w:eastAsia="Times New Roman" w:hAnsi="Verdana" w:cs="Times New Roman"/>
                <w:color w:val="000000"/>
                <w:sz w:val="16"/>
                <w:szCs w:val="16"/>
                <w:lang w:val="en-GB" w:eastAsia="en-GB"/>
              </w:rPr>
            </w:pPr>
            <w:r w:rsidRPr="00F5442C">
              <w:rPr>
                <w:rFonts w:ascii="Verdana" w:eastAsia="Times New Roman" w:hAnsi="Verdana" w:cs="Times New Roman"/>
                <w:color w:val="000000"/>
                <w:sz w:val="16"/>
                <w:szCs w:val="16"/>
                <w:lang w:val="en-GB" w:eastAsia="en-GB"/>
              </w:rPr>
              <w:t>85,000 to 89,999</w:t>
            </w:r>
          </w:p>
        </w:tc>
        <w:tc>
          <w:tcPr>
            <w:tcW w:w="1840" w:type="dxa"/>
            <w:tcBorders>
              <w:top w:val="nil"/>
              <w:left w:val="nil"/>
              <w:bottom w:val="nil"/>
              <w:right w:val="single" w:sz="4" w:space="0" w:color="auto"/>
            </w:tcBorders>
            <w:shd w:val="clear" w:color="auto" w:fill="auto"/>
            <w:noWrap/>
            <w:vAlign w:val="center"/>
            <w:hideMark/>
          </w:tcPr>
          <w:p w14:paraId="3A59F0CB" w14:textId="77777777" w:rsidR="00F5442C" w:rsidRPr="00F5442C" w:rsidRDefault="00F5442C" w:rsidP="00F5442C">
            <w:pPr>
              <w:jc w:val="center"/>
              <w:rPr>
                <w:rFonts w:ascii="Verdana" w:eastAsia="Times New Roman" w:hAnsi="Verdana" w:cs="Times New Roman"/>
                <w:color w:val="000000"/>
                <w:sz w:val="16"/>
                <w:szCs w:val="16"/>
                <w:lang w:val="en-GB" w:eastAsia="en-GB"/>
              </w:rPr>
            </w:pPr>
            <w:r w:rsidRPr="00F5442C">
              <w:rPr>
                <w:rFonts w:ascii="Verdana" w:eastAsia="Times New Roman" w:hAnsi="Verdana" w:cs="Times New Roman"/>
                <w:color w:val="000000"/>
                <w:sz w:val="16"/>
                <w:szCs w:val="16"/>
                <w:lang w:val="en-GB" w:eastAsia="en-GB"/>
              </w:rPr>
              <w:t>7</w:t>
            </w:r>
          </w:p>
        </w:tc>
      </w:tr>
      <w:tr w:rsidR="00F5442C" w:rsidRPr="00F5442C" w14:paraId="4254B89C" w14:textId="77777777" w:rsidTr="00F5442C">
        <w:trPr>
          <w:trHeight w:val="255"/>
          <w:jc w:val="center"/>
        </w:trPr>
        <w:tc>
          <w:tcPr>
            <w:tcW w:w="1840" w:type="dxa"/>
            <w:tcBorders>
              <w:top w:val="nil"/>
              <w:left w:val="single" w:sz="4" w:space="0" w:color="auto"/>
              <w:bottom w:val="nil"/>
              <w:right w:val="nil"/>
            </w:tcBorders>
            <w:shd w:val="clear" w:color="auto" w:fill="auto"/>
            <w:vAlign w:val="center"/>
            <w:hideMark/>
          </w:tcPr>
          <w:p w14:paraId="2D7686B3" w14:textId="77777777" w:rsidR="00F5442C" w:rsidRPr="00F5442C" w:rsidRDefault="00F5442C" w:rsidP="00F5442C">
            <w:pPr>
              <w:jc w:val="center"/>
              <w:rPr>
                <w:rFonts w:ascii="Verdana" w:eastAsia="Times New Roman" w:hAnsi="Verdana" w:cs="Times New Roman"/>
                <w:color w:val="000000"/>
                <w:sz w:val="16"/>
                <w:szCs w:val="16"/>
                <w:lang w:val="en-GB" w:eastAsia="en-GB"/>
              </w:rPr>
            </w:pPr>
            <w:r w:rsidRPr="00F5442C">
              <w:rPr>
                <w:rFonts w:ascii="Verdana" w:eastAsia="Times New Roman" w:hAnsi="Verdana" w:cs="Times New Roman"/>
                <w:color w:val="000000"/>
                <w:sz w:val="16"/>
                <w:szCs w:val="16"/>
                <w:lang w:val="en-GB" w:eastAsia="en-GB"/>
              </w:rPr>
              <w:t>4</w:t>
            </w:r>
          </w:p>
        </w:tc>
        <w:tc>
          <w:tcPr>
            <w:tcW w:w="2660" w:type="dxa"/>
            <w:tcBorders>
              <w:top w:val="nil"/>
              <w:left w:val="single" w:sz="4" w:space="0" w:color="auto"/>
              <w:bottom w:val="nil"/>
              <w:right w:val="single" w:sz="4" w:space="0" w:color="auto"/>
            </w:tcBorders>
            <w:shd w:val="clear" w:color="auto" w:fill="auto"/>
            <w:noWrap/>
            <w:vAlign w:val="center"/>
            <w:hideMark/>
          </w:tcPr>
          <w:p w14:paraId="371A4C2E" w14:textId="77777777" w:rsidR="00F5442C" w:rsidRPr="00F5442C" w:rsidRDefault="00F5442C" w:rsidP="00F5442C">
            <w:pPr>
              <w:jc w:val="center"/>
              <w:rPr>
                <w:rFonts w:ascii="Verdana" w:eastAsia="Times New Roman" w:hAnsi="Verdana" w:cs="Times New Roman"/>
                <w:color w:val="000000"/>
                <w:sz w:val="16"/>
                <w:szCs w:val="16"/>
                <w:lang w:val="en-GB" w:eastAsia="en-GB"/>
              </w:rPr>
            </w:pPr>
            <w:r w:rsidRPr="00F5442C">
              <w:rPr>
                <w:rFonts w:ascii="Verdana" w:eastAsia="Times New Roman" w:hAnsi="Verdana" w:cs="Times New Roman"/>
                <w:color w:val="000000"/>
                <w:sz w:val="16"/>
                <w:szCs w:val="16"/>
                <w:lang w:val="en-GB" w:eastAsia="en-GB"/>
              </w:rPr>
              <w:t>90,000 to 94,999</w:t>
            </w:r>
          </w:p>
        </w:tc>
        <w:tc>
          <w:tcPr>
            <w:tcW w:w="1840" w:type="dxa"/>
            <w:tcBorders>
              <w:top w:val="nil"/>
              <w:left w:val="nil"/>
              <w:bottom w:val="nil"/>
              <w:right w:val="single" w:sz="4" w:space="0" w:color="auto"/>
            </w:tcBorders>
            <w:shd w:val="clear" w:color="auto" w:fill="auto"/>
            <w:noWrap/>
            <w:vAlign w:val="center"/>
            <w:hideMark/>
          </w:tcPr>
          <w:p w14:paraId="06E961AC" w14:textId="77777777" w:rsidR="00F5442C" w:rsidRPr="00F5442C" w:rsidRDefault="00F5442C" w:rsidP="00F5442C">
            <w:pPr>
              <w:jc w:val="center"/>
              <w:rPr>
                <w:rFonts w:ascii="Verdana" w:eastAsia="Times New Roman" w:hAnsi="Verdana" w:cs="Times New Roman"/>
                <w:color w:val="000000"/>
                <w:sz w:val="16"/>
                <w:szCs w:val="16"/>
                <w:lang w:val="en-GB" w:eastAsia="en-GB"/>
              </w:rPr>
            </w:pPr>
            <w:r w:rsidRPr="00F5442C">
              <w:rPr>
                <w:rFonts w:ascii="Verdana" w:eastAsia="Times New Roman" w:hAnsi="Verdana" w:cs="Times New Roman"/>
                <w:color w:val="000000"/>
                <w:sz w:val="16"/>
                <w:szCs w:val="16"/>
                <w:lang w:val="en-GB" w:eastAsia="en-GB"/>
              </w:rPr>
              <w:t>7</w:t>
            </w:r>
          </w:p>
        </w:tc>
      </w:tr>
      <w:tr w:rsidR="00F5442C" w:rsidRPr="00F5442C" w14:paraId="58AD29A7" w14:textId="77777777" w:rsidTr="00F5442C">
        <w:trPr>
          <w:trHeight w:val="255"/>
          <w:jc w:val="center"/>
        </w:trPr>
        <w:tc>
          <w:tcPr>
            <w:tcW w:w="1840" w:type="dxa"/>
            <w:tcBorders>
              <w:top w:val="nil"/>
              <w:left w:val="single" w:sz="4" w:space="0" w:color="auto"/>
              <w:bottom w:val="nil"/>
              <w:right w:val="nil"/>
            </w:tcBorders>
            <w:shd w:val="clear" w:color="auto" w:fill="auto"/>
            <w:vAlign w:val="center"/>
            <w:hideMark/>
          </w:tcPr>
          <w:p w14:paraId="473B0A32" w14:textId="77777777" w:rsidR="00F5442C" w:rsidRPr="00F5442C" w:rsidRDefault="00F5442C" w:rsidP="00F5442C">
            <w:pPr>
              <w:jc w:val="center"/>
              <w:rPr>
                <w:rFonts w:ascii="Verdana" w:eastAsia="Times New Roman" w:hAnsi="Verdana" w:cs="Times New Roman"/>
                <w:color w:val="000000"/>
                <w:sz w:val="16"/>
                <w:szCs w:val="16"/>
                <w:lang w:val="en-GB" w:eastAsia="en-GB"/>
              </w:rPr>
            </w:pPr>
            <w:r w:rsidRPr="00F5442C">
              <w:rPr>
                <w:rFonts w:ascii="Verdana" w:eastAsia="Times New Roman" w:hAnsi="Verdana" w:cs="Times New Roman"/>
                <w:color w:val="000000"/>
                <w:sz w:val="16"/>
                <w:szCs w:val="16"/>
                <w:lang w:val="en-GB" w:eastAsia="en-GB"/>
              </w:rPr>
              <w:t>4</w:t>
            </w:r>
          </w:p>
        </w:tc>
        <w:tc>
          <w:tcPr>
            <w:tcW w:w="2660" w:type="dxa"/>
            <w:tcBorders>
              <w:top w:val="nil"/>
              <w:left w:val="single" w:sz="4" w:space="0" w:color="auto"/>
              <w:bottom w:val="nil"/>
              <w:right w:val="single" w:sz="4" w:space="0" w:color="auto"/>
            </w:tcBorders>
            <w:shd w:val="clear" w:color="auto" w:fill="auto"/>
            <w:noWrap/>
            <w:vAlign w:val="center"/>
            <w:hideMark/>
          </w:tcPr>
          <w:p w14:paraId="3F02EB9E" w14:textId="77777777" w:rsidR="00F5442C" w:rsidRPr="00F5442C" w:rsidRDefault="00F5442C" w:rsidP="00F5442C">
            <w:pPr>
              <w:jc w:val="center"/>
              <w:rPr>
                <w:rFonts w:ascii="Verdana" w:eastAsia="Times New Roman" w:hAnsi="Verdana" w:cs="Times New Roman"/>
                <w:color w:val="000000"/>
                <w:sz w:val="16"/>
                <w:szCs w:val="16"/>
                <w:lang w:val="en-GB" w:eastAsia="en-GB"/>
              </w:rPr>
            </w:pPr>
            <w:r w:rsidRPr="00F5442C">
              <w:rPr>
                <w:rFonts w:ascii="Verdana" w:eastAsia="Times New Roman" w:hAnsi="Verdana" w:cs="Times New Roman"/>
                <w:color w:val="000000"/>
                <w:sz w:val="16"/>
                <w:szCs w:val="16"/>
                <w:lang w:val="en-GB" w:eastAsia="en-GB"/>
              </w:rPr>
              <w:t>95,000 to 99,999</w:t>
            </w:r>
          </w:p>
        </w:tc>
        <w:tc>
          <w:tcPr>
            <w:tcW w:w="1840" w:type="dxa"/>
            <w:tcBorders>
              <w:top w:val="nil"/>
              <w:left w:val="nil"/>
              <w:bottom w:val="nil"/>
              <w:right w:val="single" w:sz="4" w:space="0" w:color="auto"/>
            </w:tcBorders>
            <w:shd w:val="clear" w:color="auto" w:fill="auto"/>
            <w:noWrap/>
            <w:vAlign w:val="center"/>
            <w:hideMark/>
          </w:tcPr>
          <w:p w14:paraId="6E15E2DD" w14:textId="77777777" w:rsidR="00F5442C" w:rsidRPr="00F5442C" w:rsidRDefault="00F5442C" w:rsidP="00F5442C">
            <w:pPr>
              <w:jc w:val="center"/>
              <w:rPr>
                <w:rFonts w:ascii="Verdana" w:eastAsia="Times New Roman" w:hAnsi="Verdana" w:cs="Times New Roman"/>
                <w:color w:val="000000"/>
                <w:sz w:val="16"/>
                <w:szCs w:val="16"/>
                <w:lang w:val="en-GB" w:eastAsia="en-GB"/>
              </w:rPr>
            </w:pPr>
            <w:r w:rsidRPr="00F5442C">
              <w:rPr>
                <w:rFonts w:ascii="Verdana" w:eastAsia="Times New Roman" w:hAnsi="Verdana" w:cs="Times New Roman"/>
                <w:color w:val="000000"/>
                <w:sz w:val="16"/>
                <w:szCs w:val="16"/>
                <w:lang w:val="en-GB" w:eastAsia="en-GB"/>
              </w:rPr>
              <w:t>4</w:t>
            </w:r>
          </w:p>
        </w:tc>
      </w:tr>
      <w:tr w:rsidR="00F5442C" w:rsidRPr="00F5442C" w14:paraId="207F74E4" w14:textId="77777777" w:rsidTr="00F5442C">
        <w:trPr>
          <w:trHeight w:val="255"/>
          <w:jc w:val="center"/>
        </w:trPr>
        <w:tc>
          <w:tcPr>
            <w:tcW w:w="1840" w:type="dxa"/>
            <w:tcBorders>
              <w:top w:val="nil"/>
              <w:left w:val="single" w:sz="4" w:space="0" w:color="auto"/>
              <w:bottom w:val="nil"/>
              <w:right w:val="nil"/>
            </w:tcBorders>
            <w:shd w:val="clear" w:color="auto" w:fill="auto"/>
            <w:vAlign w:val="center"/>
            <w:hideMark/>
          </w:tcPr>
          <w:p w14:paraId="0623BEC4" w14:textId="77777777" w:rsidR="00F5442C" w:rsidRPr="00F5442C" w:rsidRDefault="00F5442C" w:rsidP="00F5442C">
            <w:pPr>
              <w:jc w:val="center"/>
              <w:rPr>
                <w:rFonts w:ascii="Verdana" w:eastAsia="Times New Roman" w:hAnsi="Verdana" w:cs="Times New Roman"/>
                <w:color w:val="000000"/>
                <w:sz w:val="16"/>
                <w:szCs w:val="16"/>
                <w:lang w:val="en-GB" w:eastAsia="en-GB"/>
              </w:rPr>
            </w:pPr>
            <w:r w:rsidRPr="00F5442C">
              <w:rPr>
                <w:rFonts w:ascii="Verdana" w:eastAsia="Times New Roman" w:hAnsi="Verdana" w:cs="Times New Roman"/>
                <w:color w:val="000000"/>
                <w:sz w:val="16"/>
                <w:szCs w:val="16"/>
                <w:lang w:val="en-GB" w:eastAsia="en-GB"/>
              </w:rPr>
              <w:t>1</w:t>
            </w:r>
          </w:p>
        </w:tc>
        <w:tc>
          <w:tcPr>
            <w:tcW w:w="2660" w:type="dxa"/>
            <w:tcBorders>
              <w:top w:val="nil"/>
              <w:left w:val="single" w:sz="4" w:space="0" w:color="auto"/>
              <w:bottom w:val="nil"/>
              <w:right w:val="single" w:sz="4" w:space="0" w:color="auto"/>
            </w:tcBorders>
            <w:shd w:val="clear" w:color="auto" w:fill="auto"/>
            <w:noWrap/>
            <w:vAlign w:val="center"/>
            <w:hideMark/>
          </w:tcPr>
          <w:p w14:paraId="245A298A" w14:textId="77777777" w:rsidR="00F5442C" w:rsidRPr="00F5442C" w:rsidRDefault="00F5442C" w:rsidP="00F5442C">
            <w:pPr>
              <w:jc w:val="center"/>
              <w:rPr>
                <w:rFonts w:ascii="Verdana" w:eastAsia="Times New Roman" w:hAnsi="Verdana" w:cs="Times New Roman"/>
                <w:color w:val="000000"/>
                <w:sz w:val="16"/>
                <w:szCs w:val="16"/>
                <w:lang w:val="en-GB" w:eastAsia="en-GB"/>
              </w:rPr>
            </w:pPr>
            <w:r w:rsidRPr="00F5442C">
              <w:rPr>
                <w:rFonts w:ascii="Verdana" w:eastAsia="Times New Roman" w:hAnsi="Verdana" w:cs="Times New Roman"/>
                <w:color w:val="000000"/>
                <w:sz w:val="16"/>
                <w:szCs w:val="16"/>
                <w:lang w:val="en-GB" w:eastAsia="en-GB"/>
              </w:rPr>
              <w:t>100,000 to 104,999</w:t>
            </w:r>
          </w:p>
        </w:tc>
        <w:tc>
          <w:tcPr>
            <w:tcW w:w="1840" w:type="dxa"/>
            <w:tcBorders>
              <w:top w:val="nil"/>
              <w:left w:val="nil"/>
              <w:bottom w:val="nil"/>
              <w:right w:val="single" w:sz="4" w:space="0" w:color="auto"/>
            </w:tcBorders>
            <w:shd w:val="clear" w:color="auto" w:fill="auto"/>
            <w:noWrap/>
            <w:vAlign w:val="center"/>
            <w:hideMark/>
          </w:tcPr>
          <w:p w14:paraId="31F85FC9" w14:textId="77777777" w:rsidR="00F5442C" w:rsidRPr="00F5442C" w:rsidRDefault="00F5442C" w:rsidP="00F5442C">
            <w:pPr>
              <w:jc w:val="center"/>
              <w:rPr>
                <w:rFonts w:ascii="Verdana" w:eastAsia="Times New Roman" w:hAnsi="Verdana" w:cs="Times New Roman"/>
                <w:color w:val="000000"/>
                <w:sz w:val="16"/>
                <w:szCs w:val="16"/>
                <w:lang w:val="en-GB" w:eastAsia="en-GB"/>
              </w:rPr>
            </w:pPr>
            <w:r w:rsidRPr="00F5442C">
              <w:rPr>
                <w:rFonts w:ascii="Verdana" w:eastAsia="Times New Roman" w:hAnsi="Verdana" w:cs="Times New Roman"/>
                <w:color w:val="000000"/>
                <w:sz w:val="16"/>
                <w:szCs w:val="16"/>
                <w:lang w:val="en-GB" w:eastAsia="en-GB"/>
              </w:rPr>
              <w:t>0</w:t>
            </w:r>
          </w:p>
        </w:tc>
      </w:tr>
      <w:tr w:rsidR="00F5442C" w:rsidRPr="00F5442C" w14:paraId="144FB3FE" w14:textId="77777777" w:rsidTr="00F5442C">
        <w:trPr>
          <w:trHeight w:val="255"/>
          <w:jc w:val="center"/>
        </w:trPr>
        <w:tc>
          <w:tcPr>
            <w:tcW w:w="1840" w:type="dxa"/>
            <w:tcBorders>
              <w:top w:val="nil"/>
              <w:left w:val="single" w:sz="4" w:space="0" w:color="auto"/>
              <w:bottom w:val="nil"/>
              <w:right w:val="nil"/>
            </w:tcBorders>
            <w:shd w:val="clear" w:color="auto" w:fill="auto"/>
            <w:vAlign w:val="center"/>
            <w:hideMark/>
          </w:tcPr>
          <w:p w14:paraId="54B4249F" w14:textId="77777777" w:rsidR="00F5442C" w:rsidRPr="00F5442C" w:rsidRDefault="00F5442C" w:rsidP="00F5442C">
            <w:pPr>
              <w:jc w:val="center"/>
              <w:rPr>
                <w:rFonts w:ascii="Verdana" w:eastAsia="Times New Roman" w:hAnsi="Verdana" w:cs="Times New Roman"/>
                <w:color w:val="000000"/>
                <w:sz w:val="16"/>
                <w:szCs w:val="16"/>
                <w:lang w:val="en-GB" w:eastAsia="en-GB"/>
              </w:rPr>
            </w:pPr>
            <w:r w:rsidRPr="00F5442C">
              <w:rPr>
                <w:rFonts w:ascii="Verdana" w:eastAsia="Times New Roman" w:hAnsi="Verdana" w:cs="Times New Roman"/>
                <w:color w:val="000000"/>
                <w:sz w:val="16"/>
                <w:szCs w:val="16"/>
                <w:lang w:val="en-GB" w:eastAsia="en-GB"/>
              </w:rPr>
              <w:t>1</w:t>
            </w:r>
          </w:p>
        </w:tc>
        <w:tc>
          <w:tcPr>
            <w:tcW w:w="2660" w:type="dxa"/>
            <w:tcBorders>
              <w:top w:val="nil"/>
              <w:left w:val="single" w:sz="4" w:space="0" w:color="auto"/>
              <w:bottom w:val="nil"/>
              <w:right w:val="single" w:sz="4" w:space="0" w:color="auto"/>
            </w:tcBorders>
            <w:shd w:val="clear" w:color="auto" w:fill="auto"/>
            <w:noWrap/>
            <w:vAlign w:val="center"/>
            <w:hideMark/>
          </w:tcPr>
          <w:p w14:paraId="1DEDC0C7" w14:textId="77777777" w:rsidR="00F5442C" w:rsidRPr="00F5442C" w:rsidRDefault="00F5442C" w:rsidP="00F5442C">
            <w:pPr>
              <w:jc w:val="center"/>
              <w:rPr>
                <w:rFonts w:ascii="Verdana" w:eastAsia="Times New Roman" w:hAnsi="Verdana" w:cs="Times New Roman"/>
                <w:color w:val="000000"/>
                <w:sz w:val="16"/>
                <w:szCs w:val="16"/>
                <w:lang w:val="en-GB" w:eastAsia="en-GB"/>
              </w:rPr>
            </w:pPr>
            <w:r w:rsidRPr="00F5442C">
              <w:rPr>
                <w:rFonts w:ascii="Verdana" w:eastAsia="Times New Roman" w:hAnsi="Verdana" w:cs="Times New Roman"/>
                <w:color w:val="000000"/>
                <w:sz w:val="16"/>
                <w:szCs w:val="16"/>
                <w:lang w:val="en-GB" w:eastAsia="en-GB"/>
              </w:rPr>
              <w:t>105,000 to 109,999</w:t>
            </w:r>
          </w:p>
        </w:tc>
        <w:tc>
          <w:tcPr>
            <w:tcW w:w="1840" w:type="dxa"/>
            <w:tcBorders>
              <w:top w:val="nil"/>
              <w:left w:val="nil"/>
              <w:bottom w:val="nil"/>
              <w:right w:val="single" w:sz="4" w:space="0" w:color="auto"/>
            </w:tcBorders>
            <w:shd w:val="clear" w:color="auto" w:fill="auto"/>
            <w:noWrap/>
            <w:vAlign w:val="center"/>
            <w:hideMark/>
          </w:tcPr>
          <w:p w14:paraId="4509640A" w14:textId="77777777" w:rsidR="00F5442C" w:rsidRPr="00F5442C" w:rsidRDefault="00F5442C" w:rsidP="00F5442C">
            <w:pPr>
              <w:jc w:val="center"/>
              <w:rPr>
                <w:rFonts w:ascii="Verdana" w:eastAsia="Times New Roman" w:hAnsi="Verdana" w:cs="Times New Roman"/>
                <w:color w:val="000000"/>
                <w:sz w:val="16"/>
                <w:szCs w:val="16"/>
                <w:lang w:val="en-GB" w:eastAsia="en-GB"/>
              </w:rPr>
            </w:pPr>
            <w:r w:rsidRPr="00F5442C">
              <w:rPr>
                <w:rFonts w:ascii="Verdana" w:eastAsia="Times New Roman" w:hAnsi="Verdana" w:cs="Times New Roman"/>
                <w:color w:val="000000"/>
                <w:sz w:val="16"/>
                <w:szCs w:val="16"/>
                <w:lang w:val="en-GB" w:eastAsia="en-GB"/>
              </w:rPr>
              <w:t>0</w:t>
            </w:r>
          </w:p>
        </w:tc>
      </w:tr>
      <w:tr w:rsidR="00F5442C" w:rsidRPr="00F5442C" w14:paraId="4875CE96" w14:textId="77777777" w:rsidTr="00F5442C">
        <w:trPr>
          <w:trHeight w:val="255"/>
          <w:jc w:val="center"/>
        </w:trPr>
        <w:tc>
          <w:tcPr>
            <w:tcW w:w="1840" w:type="dxa"/>
            <w:tcBorders>
              <w:top w:val="nil"/>
              <w:left w:val="single" w:sz="4" w:space="0" w:color="auto"/>
              <w:bottom w:val="nil"/>
              <w:right w:val="nil"/>
            </w:tcBorders>
            <w:shd w:val="clear" w:color="auto" w:fill="auto"/>
            <w:vAlign w:val="center"/>
            <w:hideMark/>
          </w:tcPr>
          <w:p w14:paraId="50B8E160" w14:textId="77777777" w:rsidR="00F5442C" w:rsidRPr="00F5442C" w:rsidRDefault="00F5442C" w:rsidP="00F5442C">
            <w:pPr>
              <w:jc w:val="center"/>
              <w:rPr>
                <w:rFonts w:ascii="Verdana" w:eastAsia="Times New Roman" w:hAnsi="Verdana" w:cs="Times New Roman"/>
                <w:color w:val="000000"/>
                <w:sz w:val="16"/>
                <w:szCs w:val="16"/>
                <w:lang w:val="en-GB" w:eastAsia="en-GB"/>
              </w:rPr>
            </w:pPr>
            <w:r w:rsidRPr="00F5442C">
              <w:rPr>
                <w:rFonts w:ascii="Verdana" w:eastAsia="Times New Roman" w:hAnsi="Verdana" w:cs="Times New Roman"/>
                <w:color w:val="000000"/>
                <w:sz w:val="16"/>
                <w:szCs w:val="16"/>
                <w:lang w:val="en-GB" w:eastAsia="en-GB"/>
              </w:rPr>
              <w:t>0</w:t>
            </w:r>
          </w:p>
        </w:tc>
        <w:tc>
          <w:tcPr>
            <w:tcW w:w="2660" w:type="dxa"/>
            <w:tcBorders>
              <w:top w:val="nil"/>
              <w:left w:val="single" w:sz="4" w:space="0" w:color="auto"/>
              <w:bottom w:val="nil"/>
              <w:right w:val="single" w:sz="4" w:space="0" w:color="auto"/>
            </w:tcBorders>
            <w:shd w:val="clear" w:color="auto" w:fill="auto"/>
            <w:noWrap/>
            <w:vAlign w:val="center"/>
            <w:hideMark/>
          </w:tcPr>
          <w:p w14:paraId="5FAB125D" w14:textId="77777777" w:rsidR="00F5442C" w:rsidRPr="00F5442C" w:rsidRDefault="00F5442C" w:rsidP="00F5442C">
            <w:pPr>
              <w:jc w:val="center"/>
              <w:rPr>
                <w:rFonts w:ascii="Verdana" w:eastAsia="Times New Roman" w:hAnsi="Verdana" w:cs="Times New Roman"/>
                <w:color w:val="000000"/>
                <w:sz w:val="16"/>
                <w:szCs w:val="16"/>
                <w:lang w:val="en-GB" w:eastAsia="en-GB"/>
              </w:rPr>
            </w:pPr>
            <w:r w:rsidRPr="00F5442C">
              <w:rPr>
                <w:rFonts w:ascii="Verdana" w:eastAsia="Times New Roman" w:hAnsi="Verdana" w:cs="Times New Roman"/>
                <w:color w:val="000000"/>
                <w:sz w:val="16"/>
                <w:szCs w:val="16"/>
                <w:lang w:val="en-GB" w:eastAsia="en-GB"/>
              </w:rPr>
              <w:t>110,000 to 114,999</w:t>
            </w:r>
          </w:p>
        </w:tc>
        <w:tc>
          <w:tcPr>
            <w:tcW w:w="1840" w:type="dxa"/>
            <w:tcBorders>
              <w:top w:val="nil"/>
              <w:left w:val="nil"/>
              <w:bottom w:val="nil"/>
              <w:right w:val="single" w:sz="4" w:space="0" w:color="auto"/>
            </w:tcBorders>
            <w:shd w:val="clear" w:color="auto" w:fill="auto"/>
            <w:noWrap/>
            <w:vAlign w:val="center"/>
            <w:hideMark/>
          </w:tcPr>
          <w:p w14:paraId="40EC689B" w14:textId="77777777" w:rsidR="00F5442C" w:rsidRPr="00F5442C" w:rsidRDefault="00F5442C" w:rsidP="00F5442C">
            <w:pPr>
              <w:jc w:val="center"/>
              <w:rPr>
                <w:rFonts w:ascii="Verdana" w:eastAsia="Times New Roman" w:hAnsi="Verdana" w:cs="Times New Roman"/>
                <w:color w:val="000000"/>
                <w:sz w:val="16"/>
                <w:szCs w:val="16"/>
                <w:lang w:val="en-GB" w:eastAsia="en-GB"/>
              </w:rPr>
            </w:pPr>
            <w:r w:rsidRPr="00F5442C">
              <w:rPr>
                <w:rFonts w:ascii="Verdana" w:eastAsia="Times New Roman" w:hAnsi="Verdana" w:cs="Times New Roman"/>
                <w:color w:val="000000"/>
                <w:sz w:val="16"/>
                <w:szCs w:val="16"/>
                <w:lang w:val="en-GB" w:eastAsia="en-GB"/>
              </w:rPr>
              <w:t>1</w:t>
            </w:r>
          </w:p>
        </w:tc>
      </w:tr>
      <w:tr w:rsidR="00F5442C" w:rsidRPr="00F5442C" w14:paraId="2C280DEF" w14:textId="77777777" w:rsidTr="00F5442C">
        <w:trPr>
          <w:trHeight w:val="255"/>
          <w:jc w:val="center"/>
        </w:trPr>
        <w:tc>
          <w:tcPr>
            <w:tcW w:w="1840" w:type="dxa"/>
            <w:tcBorders>
              <w:top w:val="nil"/>
              <w:left w:val="single" w:sz="4" w:space="0" w:color="auto"/>
              <w:bottom w:val="nil"/>
              <w:right w:val="nil"/>
            </w:tcBorders>
            <w:shd w:val="clear" w:color="auto" w:fill="auto"/>
            <w:vAlign w:val="center"/>
            <w:hideMark/>
          </w:tcPr>
          <w:p w14:paraId="6A8326E2" w14:textId="77777777" w:rsidR="00F5442C" w:rsidRPr="00F5442C" w:rsidRDefault="00F5442C" w:rsidP="00F5442C">
            <w:pPr>
              <w:jc w:val="center"/>
              <w:rPr>
                <w:rFonts w:ascii="Verdana" w:eastAsia="Times New Roman" w:hAnsi="Verdana" w:cs="Times New Roman"/>
                <w:color w:val="000000"/>
                <w:sz w:val="16"/>
                <w:szCs w:val="16"/>
                <w:lang w:val="en-GB" w:eastAsia="en-GB"/>
              </w:rPr>
            </w:pPr>
            <w:r w:rsidRPr="00F5442C">
              <w:rPr>
                <w:rFonts w:ascii="Verdana" w:eastAsia="Times New Roman" w:hAnsi="Verdana" w:cs="Times New Roman"/>
                <w:color w:val="000000"/>
                <w:sz w:val="16"/>
                <w:szCs w:val="16"/>
                <w:lang w:val="en-GB" w:eastAsia="en-GB"/>
              </w:rPr>
              <w:t>1</w:t>
            </w:r>
          </w:p>
        </w:tc>
        <w:tc>
          <w:tcPr>
            <w:tcW w:w="2660" w:type="dxa"/>
            <w:tcBorders>
              <w:top w:val="nil"/>
              <w:left w:val="single" w:sz="4" w:space="0" w:color="auto"/>
              <w:bottom w:val="nil"/>
              <w:right w:val="single" w:sz="4" w:space="0" w:color="auto"/>
            </w:tcBorders>
            <w:shd w:val="clear" w:color="auto" w:fill="auto"/>
            <w:noWrap/>
            <w:vAlign w:val="center"/>
            <w:hideMark/>
          </w:tcPr>
          <w:p w14:paraId="44779680" w14:textId="77777777" w:rsidR="00F5442C" w:rsidRPr="00F5442C" w:rsidRDefault="00F5442C" w:rsidP="00F5442C">
            <w:pPr>
              <w:jc w:val="center"/>
              <w:rPr>
                <w:rFonts w:ascii="Verdana" w:eastAsia="Times New Roman" w:hAnsi="Verdana" w:cs="Times New Roman"/>
                <w:color w:val="000000"/>
                <w:sz w:val="16"/>
                <w:szCs w:val="16"/>
                <w:lang w:val="en-GB" w:eastAsia="en-GB"/>
              </w:rPr>
            </w:pPr>
            <w:r w:rsidRPr="00F5442C">
              <w:rPr>
                <w:rFonts w:ascii="Verdana" w:eastAsia="Times New Roman" w:hAnsi="Verdana" w:cs="Times New Roman"/>
                <w:color w:val="000000"/>
                <w:sz w:val="16"/>
                <w:szCs w:val="16"/>
                <w:lang w:val="en-GB" w:eastAsia="en-GB"/>
              </w:rPr>
              <w:t>115,000 to 119,999</w:t>
            </w:r>
          </w:p>
        </w:tc>
        <w:tc>
          <w:tcPr>
            <w:tcW w:w="1840" w:type="dxa"/>
            <w:tcBorders>
              <w:top w:val="nil"/>
              <w:left w:val="nil"/>
              <w:bottom w:val="nil"/>
              <w:right w:val="single" w:sz="4" w:space="0" w:color="auto"/>
            </w:tcBorders>
            <w:shd w:val="clear" w:color="auto" w:fill="auto"/>
            <w:noWrap/>
            <w:vAlign w:val="center"/>
            <w:hideMark/>
          </w:tcPr>
          <w:p w14:paraId="3AD583A4" w14:textId="77777777" w:rsidR="00F5442C" w:rsidRPr="00F5442C" w:rsidRDefault="00F5442C" w:rsidP="00F5442C">
            <w:pPr>
              <w:jc w:val="center"/>
              <w:rPr>
                <w:rFonts w:ascii="Verdana" w:eastAsia="Times New Roman" w:hAnsi="Verdana" w:cs="Times New Roman"/>
                <w:color w:val="000000"/>
                <w:sz w:val="16"/>
                <w:szCs w:val="16"/>
                <w:lang w:val="en-GB" w:eastAsia="en-GB"/>
              </w:rPr>
            </w:pPr>
            <w:r w:rsidRPr="00F5442C">
              <w:rPr>
                <w:rFonts w:ascii="Verdana" w:eastAsia="Times New Roman" w:hAnsi="Verdana" w:cs="Times New Roman"/>
                <w:color w:val="000000"/>
                <w:sz w:val="16"/>
                <w:szCs w:val="16"/>
                <w:lang w:val="en-GB" w:eastAsia="en-GB"/>
              </w:rPr>
              <w:t>1</w:t>
            </w:r>
          </w:p>
        </w:tc>
      </w:tr>
      <w:tr w:rsidR="00F5442C" w:rsidRPr="00F5442C" w14:paraId="5B71CEEA" w14:textId="77777777" w:rsidTr="00F5442C">
        <w:trPr>
          <w:trHeight w:val="255"/>
          <w:jc w:val="center"/>
        </w:trPr>
        <w:tc>
          <w:tcPr>
            <w:tcW w:w="1840" w:type="dxa"/>
            <w:tcBorders>
              <w:top w:val="nil"/>
              <w:left w:val="single" w:sz="4" w:space="0" w:color="auto"/>
              <w:bottom w:val="nil"/>
              <w:right w:val="nil"/>
            </w:tcBorders>
            <w:shd w:val="clear" w:color="auto" w:fill="auto"/>
            <w:vAlign w:val="center"/>
            <w:hideMark/>
          </w:tcPr>
          <w:p w14:paraId="17AB5E1F" w14:textId="77777777" w:rsidR="00F5442C" w:rsidRPr="00F5442C" w:rsidRDefault="00F5442C" w:rsidP="00F5442C">
            <w:pPr>
              <w:jc w:val="center"/>
              <w:rPr>
                <w:rFonts w:ascii="Verdana" w:eastAsia="Times New Roman" w:hAnsi="Verdana" w:cs="Times New Roman"/>
                <w:color w:val="000000"/>
                <w:sz w:val="16"/>
                <w:szCs w:val="16"/>
                <w:lang w:val="en-GB" w:eastAsia="en-GB"/>
              </w:rPr>
            </w:pPr>
            <w:r w:rsidRPr="00F5442C">
              <w:rPr>
                <w:rFonts w:ascii="Verdana" w:eastAsia="Times New Roman" w:hAnsi="Verdana" w:cs="Times New Roman"/>
                <w:color w:val="000000"/>
                <w:sz w:val="16"/>
                <w:szCs w:val="16"/>
                <w:lang w:val="en-GB" w:eastAsia="en-GB"/>
              </w:rPr>
              <w:t>2</w:t>
            </w:r>
          </w:p>
        </w:tc>
        <w:tc>
          <w:tcPr>
            <w:tcW w:w="2660" w:type="dxa"/>
            <w:tcBorders>
              <w:top w:val="nil"/>
              <w:left w:val="single" w:sz="4" w:space="0" w:color="auto"/>
              <w:bottom w:val="nil"/>
              <w:right w:val="single" w:sz="4" w:space="0" w:color="auto"/>
            </w:tcBorders>
            <w:shd w:val="clear" w:color="auto" w:fill="auto"/>
            <w:noWrap/>
            <w:vAlign w:val="center"/>
            <w:hideMark/>
          </w:tcPr>
          <w:p w14:paraId="24468C00" w14:textId="77777777" w:rsidR="00F5442C" w:rsidRPr="00F5442C" w:rsidRDefault="00F5442C" w:rsidP="00F5442C">
            <w:pPr>
              <w:jc w:val="center"/>
              <w:rPr>
                <w:rFonts w:ascii="Verdana" w:eastAsia="Times New Roman" w:hAnsi="Verdana" w:cs="Times New Roman"/>
                <w:color w:val="000000"/>
                <w:sz w:val="16"/>
                <w:szCs w:val="16"/>
                <w:lang w:val="en-GB" w:eastAsia="en-GB"/>
              </w:rPr>
            </w:pPr>
            <w:r w:rsidRPr="00F5442C">
              <w:rPr>
                <w:rFonts w:ascii="Verdana" w:eastAsia="Times New Roman" w:hAnsi="Verdana" w:cs="Times New Roman"/>
                <w:color w:val="000000"/>
                <w:sz w:val="16"/>
                <w:szCs w:val="16"/>
                <w:lang w:val="en-GB" w:eastAsia="en-GB"/>
              </w:rPr>
              <w:t>120,000 to 124,999</w:t>
            </w:r>
          </w:p>
        </w:tc>
        <w:tc>
          <w:tcPr>
            <w:tcW w:w="1840" w:type="dxa"/>
            <w:tcBorders>
              <w:top w:val="nil"/>
              <w:left w:val="nil"/>
              <w:bottom w:val="nil"/>
              <w:right w:val="single" w:sz="4" w:space="0" w:color="auto"/>
            </w:tcBorders>
            <w:shd w:val="clear" w:color="auto" w:fill="auto"/>
            <w:noWrap/>
            <w:vAlign w:val="center"/>
            <w:hideMark/>
          </w:tcPr>
          <w:p w14:paraId="4175B371" w14:textId="77777777" w:rsidR="00F5442C" w:rsidRPr="00F5442C" w:rsidRDefault="00F5442C" w:rsidP="00F5442C">
            <w:pPr>
              <w:jc w:val="center"/>
              <w:rPr>
                <w:rFonts w:ascii="Verdana" w:eastAsia="Times New Roman" w:hAnsi="Verdana" w:cs="Times New Roman"/>
                <w:color w:val="000000"/>
                <w:sz w:val="16"/>
                <w:szCs w:val="16"/>
                <w:lang w:val="en-GB" w:eastAsia="en-GB"/>
              </w:rPr>
            </w:pPr>
            <w:r w:rsidRPr="00F5442C">
              <w:rPr>
                <w:rFonts w:ascii="Verdana" w:eastAsia="Times New Roman" w:hAnsi="Verdana" w:cs="Times New Roman"/>
                <w:color w:val="000000"/>
                <w:sz w:val="16"/>
                <w:szCs w:val="16"/>
                <w:lang w:val="en-GB" w:eastAsia="en-GB"/>
              </w:rPr>
              <w:t>1</w:t>
            </w:r>
          </w:p>
        </w:tc>
      </w:tr>
      <w:tr w:rsidR="00F5442C" w:rsidRPr="00F5442C" w14:paraId="0B38D40C" w14:textId="77777777" w:rsidTr="00F5442C">
        <w:trPr>
          <w:trHeight w:val="255"/>
          <w:jc w:val="center"/>
        </w:trPr>
        <w:tc>
          <w:tcPr>
            <w:tcW w:w="1840" w:type="dxa"/>
            <w:tcBorders>
              <w:top w:val="nil"/>
              <w:left w:val="single" w:sz="4" w:space="0" w:color="auto"/>
              <w:bottom w:val="nil"/>
              <w:right w:val="nil"/>
            </w:tcBorders>
            <w:shd w:val="clear" w:color="auto" w:fill="auto"/>
            <w:vAlign w:val="center"/>
            <w:hideMark/>
          </w:tcPr>
          <w:p w14:paraId="381BD12F" w14:textId="77777777" w:rsidR="00F5442C" w:rsidRPr="00F5442C" w:rsidRDefault="00F5442C" w:rsidP="00F5442C">
            <w:pPr>
              <w:jc w:val="center"/>
              <w:rPr>
                <w:rFonts w:ascii="Verdana" w:eastAsia="Times New Roman" w:hAnsi="Verdana" w:cs="Times New Roman"/>
                <w:color w:val="000000"/>
                <w:sz w:val="16"/>
                <w:szCs w:val="16"/>
                <w:lang w:val="en-GB" w:eastAsia="en-GB"/>
              </w:rPr>
            </w:pPr>
            <w:r w:rsidRPr="00F5442C">
              <w:rPr>
                <w:rFonts w:ascii="Verdana" w:eastAsia="Times New Roman" w:hAnsi="Verdana" w:cs="Times New Roman"/>
                <w:color w:val="000000"/>
                <w:sz w:val="16"/>
                <w:szCs w:val="16"/>
                <w:lang w:val="en-GB" w:eastAsia="en-GB"/>
              </w:rPr>
              <w:t>0</w:t>
            </w:r>
          </w:p>
        </w:tc>
        <w:tc>
          <w:tcPr>
            <w:tcW w:w="2660" w:type="dxa"/>
            <w:tcBorders>
              <w:top w:val="nil"/>
              <w:left w:val="single" w:sz="4" w:space="0" w:color="auto"/>
              <w:bottom w:val="nil"/>
              <w:right w:val="single" w:sz="4" w:space="0" w:color="auto"/>
            </w:tcBorders>
            <w:shd w:val="clear" w:color="auto" w:fill="auto"/>
            <w:noWrap/>
            <w:vAlign w:val="center"/>
            <w:hideMark/>
          </w:tcPr>
          <w:p w14:paraId="1E34BA50" w14:textId="77777777" w:rsidR="00F5442C" w:rsidRPr="00F5442C" w:rsidRDefault="00F5442C" w:rsidP="00F5442C">
            <w:pPr>
              <w:jc w:val="center"/>
              <w:rPr>
                <w:rFonts w:ascii="Verdana" w:eastAsia="Times New Roman" w:hAnsi="Verdana" w:cs="Times New Roman"/>
                <w:color w:val="000000"/>
                <w:sz w:val="16"/>
                <w:szCs w:val="16"/>
                <w:lang w:val="en-GB" w:eastAsia="en-GB"/>
              </w:rPr>
            </w:pPr>
            <w:r w:rsidRPr="00F5442C">
              <w:rPr>
                <w:rFonts w:ascii="Verdana" w:eastAsia="Times New Roman" w:hAnsi="Verdana" w:cs="Times New Roman"/>
                <w:color w:val="000000"/>
                <w:sz w:val="16"/>
                <w:szCs w:val="16"/>
                <w:lang w:val="en-GB" w:eastAsia="en-GB"/>
              </w:rPr>
              <w:t>125,000 to 129,999</w:t>
            </w:r>
          </w:p>
        </w:tc>
        <w:tc>
          <w:tcPr>
            <w:tcW w:w="1840" w:type="dxa"/>
            <w:tcBorders>
              <w:top w:val="nil"/>
              <w:left w:val="nil"/>
              <w:bottom w:val="nil"/>
              <w:right w:val="single" w:sz="4" w:space="0" w:color="auto"/>
            </w:tcBorders>
            <w:shd w:val="clear" w:color="auto" w:fill="auto"/>
            <w:noWrap/>
            <w:vAlign w:val="center"/>
            <w:hideMark/>
          </w:tcPr>
          <w:p w14:paraId="67DC586A" w14:textId="77777777" w:rsidR="00F5442C" w:rsidRPr="00F5442C" w:rsidRDefault="00F5442C" w:rsidP="00F5442C">
            <w:pPr>
              <w:jc w:val="center"/>
              <w:rPr>
                <w:rFonts w:ascii="Verdana" w:eastAsia="Times New Roman" w:hAnsi="Verdana" w:cs="Times New Roman"/>
                <w:color w:val="000000"/>
                <w:sz w:val="16"/>
                <w:szCs w:val="16"/>
                <w:lang w:val="en-GB" w:eastAsia="en-GB"/>
              </w:rPr>
            </w:pPr>
            <w:r w:rsidRPr="00F5442C">
              <w:rPr>
                <w:rFonts w:ascii="Verdana" w:eastAsia="Times New Roman" w:hAnsi="Verdana" w:cs="Times New Roman"/>
                <w:color w:val="000000"/>
                <w:sz w:val="16"/>
                <w:szCs w:val="16"/>
                <w:lang w:val="en-GB" w:eastAsia="en-GB"/>
              </w:rPr>
              <w:t>1</w:t>
            </w:r>
          </w:p>
        </w:tc>
      </w:tr>
      <w:tr w:rsidR="00F5442C" w:rsidRPr="00F5442C" w14:paraId="1D933772" w14:textId="77777777" w:rsidTr="00F5442C">
        <w:trPr>
          <w:trHeight w:val="255"/>
          <w:jc w:val="center"/>
        </w:trPr>
        <w:tc>
          <w:tcPr>
            <w:tcW w:w="1840" w:type="dxa"/>
            <w:tcBorders>
              <w:top w:val="nil"/>
              <w:left w:val="single" w:sz="4" w:space="0" w:color="auto"/>
              <w:bottom w:val="nil"/>
              <w:right w:val="nil"/>
            </w:tcBorders>
            <w:shd w:val="clear" w:color="auto" w:fill="auto"/>
            <w:vAlign w:val="center"/>
            <w:hideMark/>
          </w:tcPr>
          <w:p w14:paraId="1E2B754D" w14:textId="77777777" w:rsidR="00F5442C" w:rsidRPr="00F5442C" w:rsidRDefault="00F5442C" w:rsidP="00F5442C">
            <w:pPr>
              <w:jc w:val="center"/>
              <w:rPr>
                <w:rFonts w:ascii="Verdana" w:eastAsia="Times New Roman" w:hAnsi="Verdana" w:cs="Times New Roman"/>
                <w:color w:val="000000"/>
                <w:sz w:val="16"/>
                <w:szCs w:val="16"/>
                <w:lang w:val="en-GB" w:eastAsia="en-GB"/>
              </w:rPr>
            </w:pPr>
            <w:r w:rsidRPr="00F5442C">
              <w:rPr>
                <w:rFonts w:ascii="Verdana" w:eastAsia="Times New Roman" w:hAnsi="Verdana" w:cs="Times New Roman"/>
                <w:color w:val="000000"/>
                <w:sz w:val="16"/>
                <w:szCs w:val="16"/>
                <w:lang w:val="en-GB" w:eastAsia="en-GB"/>
              </w:rPr>
              <w:t>1</w:t>
            </w:r>
          </w:p>
        </w:tc>
        <w:tc>
          <w:tcPr>
            <w:tcW w:w="2660" w:type="dxa"/>
            <w:tcBorders>
              <w:top w:val="nil"/>
              <w:left w:val="single" w:sz="4" w:space="0" w:color="auto"/>
              <w:bottom w:val="nil"/>
              <w:right w:val="single" w:sz="4" w:space="0" w:color="auto"/>
            </w:tcBorders>
            <w:shd w:val="clear" w:color="auto" w:fill="auto"/>
            <w:noWrap/>
            <w:vAlign w:val="center"/>
            <w:hideMark/>
          </w:tcPr>
          <w:p w14:paraId="043FD382" w14:textId="77777777" w:rsidR="00F5442C" w:rsidRPr="00F5442C" w:rsidRDefault="00F5442C" w:rsidP="00F5442C">
            <w:pPr>
              <w:jc w:val="center"/>
              <w:rPr>
                <w:rFonts w:ascii="Verdana" w:eastAsia="Times New Roman" w:hAnsi="Verdana" w:cs="Times New Roman"/>
                <w:color w:val="000000"/>
                <w:sz w:val="16"/>
                <w:szCs w:val="16"/>
                <w:lang w:val="en-GB" w:eastAsia="en-GB"/>
              </w:rPr>
            </w:pPr>
            <w:r w:rsidRPr="00F5442C">
              <w:rPr>
                <w:rFonts w:ascii="Verdana" w:eastAsia="Times New Roman" w:hAnsi="Verdana" w:cs="Times New Roman"/>
                <w:color w:val="000000"/>
                <w:sz w:val="16"/>
                <w:szCs w:val="16"/>
                <w:lang w:val="en-GB" w:eastAsia="en-GB"/>
              </w:rPr>
              <w:t>130,000 to 134,999</w:t>
            </w:r>
          </w:p>
        </w:tc>
        <w:tc>
          <w:tcPr>
            <w:tcW w:w="1840" w:type="dxa"/>
            <w:tcBorders>
              <w:top w:val="nil"/>
              <w:left w:val="nil"/>
              <w:bottom w:val="nil"/>
              <w:right w:val="single" w:sz="4" w:space="0" w:color="auto"/>
            </w:tcBorders>
            <w:shd w:val="clear" w:color="auto" w:fill="auto"/>
            <w:noWrap/>
            <w:vAlign w:val="center"/>
            <w:hideMark/>
          </w:tcPr>
          <w:p w14:paraId="1FA1CF1C" w14:textId="77777777" w:rsidR="00F5442C" w:rsidRPr="00F5442C" w:rsidRDefault="00F5442C" w:rsidP="00F5442C">
            <w:pPr>
              <w:jc w:val="center"/>
              <w:rPr>
                <w:rFonts w:ascii="Verdana" w:eastAsia="Times New Roman" w:hAnsi="Verdana" w:cs="Times New Roman"/>
                <w:color w:val="000000"/>
                <w:sz w:val="16"/>
                <w:szCs w:val="16"/>
                <w:lang w:val="en-GB" w:eastAsia="en-GB"/>
              </w:rPr>
            </w:pPr>
            <w:r w:rsidRPr="00F5442C">
              <w:rPr>
                <w:rFonts w:ascii="Verdana" w:eastAsia="Times New Roman" w:hAnsi="Verdana" w:cs="Times New Roman"/>
                <w:color w:val="000000"/>
                <w:sz w:val="16"/>
                <w:szCs w:val="16"/>
                <w:lang w:val="en-GB" w:eastAsia="en-GB"/>
              </w:rPr>
              <w:t>1</w:t>
            </w:r>
          </w:p>
        </w:tc>
      </w:tr>
      <w:tr w:rsidR="00F5442C" w:rsidRPr="00F5442C" w14:paraId="104FFCE2" w14:textId="77777777" w:rsidTr="00F5442C">
        <w:trPr>
          <w:trHeight w:val="255"/>
          <w:jc w:val="center"/>
        </w:trPr>
        <w:tc>
          <w:tcPr>
            <w:tcW w:w="1840" w:type="dxa"/>
            <w:tcBorders>
              <w:top w:val="nil"/>
              <w:left w:val="single" w:sz="4" w:space="0" w:color="auto"/>
              <w:bottom w:val="nil"/>
              <w:right w:val="nil"/>
            </w:tcBorders>
            <w:shd w:val="clear" w:color="auto" w:fill="auto"/>
            <w:vAlign w:val="center"/>
            <w:hideMark/>
          </w:tcPr>
          <w:p w14:paraId="33C2D4D3" w14:textId="77777777" w:rsidR="00F5442C" w:rsidRPr="00F5442C" w:rsidRDefault="00F5442C" w:rsidP="00F5442C">
            <w:pPr>
              <w:jc w:val="center"/>
              <w:rPr>
                <w:rFonts w:ascii="Verdana" w:eastAsia="Times New Roman" w:hAnsi="Verdana" w:cs="Times New Roman"/>
                <w:color w:val="000000"/>
                <w:sz w:val="16"/>
                <w:szCs w:val="16"/>
                <w:lang w:val="en-GB" w:eastAsia="en-GB"/>
              </w:rPr>
            </w:pPr>
            <w:r w:rsidRPr="00F5442C">
              <w:rPr>
                <w:rFonts w:ascii="Verdana" w:eastAsia="Times New Roman" w:hAnsi="Verdana" w:cs="Times New Roman"/>
                <w:color w:val="000000"/>
                <w:sz w:val="16"/>
                <w:szCs w:val="16"/>
                <w:lang w:val="en-GB" w:eastAsia="en-GB"/>
              </w:rPr>
              <w:t>1</w:t>
            </w:r>
          </w:p>
        </w:tc>
        <w:tc>
          <w:tcPr>
            <w:tcW w:w="2660" w:type="dxa"/>
            <w:tcBorders>
              <w:top w:val="nil"/>
              <w:left w:val="single" w:sz="4" w:space="0" w:color="auto"/>
              <w:bottom w:val="nil"/>
              <w:right w:val="single" w:sz="4" w:space="0" w:color="auto"/>
            </w:tcBorders>
            <w:shd w:val="clear" w:color="auto" w:fill="auto"/>
            <w:noWrap/>
            <w:vAlign w:val="center"/>
            <w:hideMark/>
          </w:tcPr>
          <w:p w14:paraId="546B7645" w14:textId="77777777" w:rsidR="00F5442C" w:rsidRPr="00F5442C" w:rsidRDefault="00F5442C" w:rsidP="00F5442C">
            <w:pPr>
              <w:jc w:val="center"/>
              <w:rPr>
                <w:rFonts w:ascii="Verdana" w:eastAsia="Times New Roman" w:hAnsi="Verdana" w:cs="Times New Roman"/>
                <w:color w:val="000000"/>
                <w:sz w:val="16"/>
                <w:szCs w:val="16"/>
                <w:lang w:val="en-GB" w:eastAsia="en-GB"/>
              </w:rPr>
            </w:pPr>
            <w:r w:rsidRPr="00F5442C">
              <w:rPr>
                <w:rFonts w:ascii="Verdana" w:eastAsia="Times New Roman" w:hAnsi="Verdana" w:cs="Times New Roman"/>
                <w:color w:val="000000"/>
                <w:sz w:val="16"/>
                <w:szCs w:val="16"/>
                <w:lang w:val="en-GB" w:eastAsia="en-GB"/>
              </w:rPr>
              <w:t>150,000 to 154,999</w:t>
            </w:r>
          </w:p>
        </w:tc>
        <w:tc>
          <w:tcPr>
            <w:tcW w:w="1840" w:type="dxa"/>
            <w:tcBorders>
              <w:top w:val="nil"/>
              <w:left w:val="nil"/>
              <w:bottom w:val="nil"/>
              <w:right w:val="single" w:sz="4" w:space="0" w:color="auto"/>
            </w:tcBorders>
            <w:shd w:val="clear" w:color="auto" w:fill="auto"/>
            <w:noWrap/>
            <w:vAlign w:val="center"/>
            <w:hideMark/>
          </w:tcPr>
          <w:p w14:paraId="39A52A2E" w14:textId="77777777" w:rsidR="00F5442C" w:rsidRPr="00F5442C" w:rsidRDefault="00F5442C" w:rsidP="00F5442C">
            <w:pPr>
              <w:jc w:val="center"/>
              <w:rPr>
                <w:rFonts w:ascii="Verdana" w:eastAsia="Times New Roman" w:hAnsi="Verdana" w:cs="Times New Roman"/>
                <w:color w:val="000000"/>
                <w:sz w:val="16"/>
                <w:szCs w:val="16"/>
                <w:lang w:val="en-GB" w:eastAsia="en-GB"/>
              </w:rPr>
            </w:pPr>
            <w:r w:rsidRPr="00F5442C">
              <w:rPr>
                <w:rFonts w:ascii="Verdana" w:eastAsia="Times New Roman" w:hAnsi="Verdana" w:cs="Times New Roman"/>
                <w:color w:val="000000"/>
                <w:sz w:val="16"/>
                <w:szCs w:val="16"/>
                <w:lang w:val="en-GB" w:eastAsia="en-GB"/>
              </w:rPr>
              <w:t>0</w:t>
            </w:r>
          </w:p>
        </w:tc>
      </w:tr>
      <w:tr w:rsidR="00F5442C" w:rsidRPr="00F5442C" w14:paraId="6D3443BA" w14:textId="77777777" w:rsidTr="00F5442C">
        <w:trPr>
          <w:trHeight w:val="255"/>
          <w:jc w:val="center"/>
        </w:trPr>
        <w:tc>
          <w:tcPr>
            <w:tcW w:w="1840" w:type="dxa"/>
            <w:tcBorders>
              <w:top w:val="nil"/>
              <w:left w:val="single" w:sz="4" w:space="0" w:color="auto"/>
              <w:bottom w:val="nil"/>
              <w:right w:val="nil"/>
            </w:tcBorders>
            <w:shd w:val="clear" w:color="auto" w:fill="auto"/>
            <w:vAlign w:val="center"/>
            <w:hideMark/>
          </w:tcPr>
          <w:p w14:paraId="67A5193B" w14:textId="77777777" w:rsidR="00F5442C" w:rsidRPr="00F5442C" w:rsidRDefault="00F5442C" w:rsidP="00F5442C">
            <w:pPr>
              <w:jc w:val="center"/>
              <w:rPr>
                <w:rFonts w:ascii="Verdana" w:eastAsia="Times New Roman" w:hAnsi="Verdana" w:cs="Times New Roman"/>
                <w:color w:val="000000"/>
                <w:sz w:val="16"/>
                <w:szCs w:val="16"/>
                <w:lang w:val="en-GB" w:eastAsia="en-GB"/>
              </w:rPr>
            </w:pPr>
            <w:r w:rsidRPr="00F5442C">
              <w:rPr>
                <w:rFonts w:ascii="Verdana" w:eastAsia="Times New Roman" w:hAnsi="Verdana" w:cs="Times New Roman"/>
                <w:color w:val="000000"/>
                <w:sz w:val="16"/>
                <w:szCs w:val="16"/>
                <w:lang w:val="en-GB" w:eastAsia="en-GB"/>
              </w:rPr>
              <w:t>0</w:t>
            </w:r>
          </w:p>
        </w:tc>
        <w:tc>
          <w:tcPr>
            <w:tcW w:w="2660" w:type="dxa"/>
            <w:tcBorders>
              <w:top w:val="nil"/>
              <w:left w:val="single" w:sz="4" w:space="0" w:color="auto"/>
              <w:bottom w:val="nil"/>
              <w:right w:val="single" w:sz="4" w:space="0" w:color="auto"/>
            </w:tcBorders>
            <w:shd w:val="clear" w:color="auto" w:fill="auto"/>
            <w:noWrap/>
            <w:vAlign w:val="center"/>
            <w:hideMark/>
          </w:tcPr>
          <w:p w14:paraId="43C5CFF0" w14:textId="77777777" w:rsidR="00F5442C" w:rsidRPr="00F5442C" w:rsidRDefault="00F5442C" w:rsidP="00F5442C">
            <w:pPr>
              <w:jc w:val="center"/>
              <w:rPr>
                <w:rFonts w:ascii="Verdana" w:eastAsia="Times New Roman" w:hAnsi="Verdana" w:cs="Times New Roman"/>
                <w:color w:val="000000"/>
                <w:sz w:val="16"/>
                <w:szCs w:val="16"/>
                <w:lang w:val="en-GB" w:eastAsia="en-GB"/>
              </w:rPr>
            </w:pPr>
            <w:r w:rsidRPr="00F5442C">
              <w:rPr>
                <w:rFonts w:ascii="Verdana" w:eastAsia="Times New Roman" w:hAnsi="Verdana" w:cs="Times New Roman"/>
                <w:color w:val="000000"/>
                <w:sz w:val="16"/>
                <w:szCs w:val="16"/>
                <w:lang w:val="en-GB" w:eastAsia="en-GB"/>
              </w:rPr>
              <w:t>155,000 to 159,999</w:t>
            </w:r>
          </w:p>
        </w:tc>
        <w:tc>
          <w:tcPr>
            <w:tcW w:w="1840" w:type="dxa"/>
            <w:tcBorders>
              <w:top w:val="nil"/>
              <w:left w:val="nil"/>
              <w:bottom w:val="nil"/>
              <w:right w:val="single" w:sz="4" w:space="0" w:color="auto"/>
            </w:tcBorders>
            <w:shd w:val="clear" w:color="auto" w:fill="auto"/>
            <w:noWrap/>
            <w:vAlign w:val="center"/>
            <w:hideMark/>
          </w:tcPr>
          <w:p w14:paraId="16C70C6C" w14:textId="77777777" w:rsidR="00F5442C" w:rsidRPr="00F5442C" w:rsidRDefault="00F5442C" w:rsidP="00F5442C">
            <w:pPr>
              <w:jc w:val="center"/>
              <w:rPr>
                <w:rFonts w:ascii="Verdana" w:eastAsia="Times New Roman" w:hAnsi="Verdana" w:cs="Times New Roman"/>
                <w:color w:val="000000"/>
                <w:sz w:val="16"/>
                <w:szCs w:val="16"/>
                <w:lang w:val="en-GB" w:eastAsia="en-GB"/>
              </w:rPr>
            </w:pPr>
            <w:r w:rsidRPr="00F5442C">
              <w:rPr>
                <w:rFonts w:ascii="Verdana" w:eastAsia="Times New Roman" w:hAnsi="Verdana" w:cs="Times New Roman"/>
                <w:color w:val="000000"/>
                <w:sz w:val="16"/>
                <w:szCs w:val="16"/>
                <w:lang w:val="en-GB" w:eastAsia="en-GB"/>
              </w:rPr>
              <w:t>1</w:t>
            </w:r>
          </w:p>
        </w:tc>
      </w:tr>
      <w:tr w:rsidR="00F5442C" w:rsidRPr="00F5442C" w14:paraId="395582E6" w14:textId="77777777" w:rsidTr="00F5442C">
        <w:trPr>
          <w:trHeight w:val="270"/>
          <w:jc w:val="center"/>
        </w:trPr>
        <w:tc>
          <w:tcPr>
            <w:tcW w:w="1840" w:type="dxa"/>
            <w:tcBorders>
              <w:top w:val="single" w:sz="4" w:space="0" w:color="auto"/>
              <w:left w:val="single" w:sz="4" w:space="0" w:color="auto"/>
              <w:bottom w:val="single" w:sz="4" w:space="0" w:color="auto"/>
              <w:right w:val="nil"/>
            </w:tcBorders>
            <w:shd w:val="clear" w:color="auto" w:fill="auto"/>
            <w:vAlign w:val="center"/>
            <w:hideMark/>
          </w:tcPr>
          <w:p w14:paraId="09173521" w14:textId="77777777" w:rsidR="00F5442C" w:rsidRPr="00F5442C" w:rsidRDefault="00F5442C" w:rsidP="00F5442C">
            <w:pPr>
              <w:jc w:val="center"/>
              <w:rPr>
                <w:rFonts w:ascii="Verdana" w:eastAsia="Times New Roman" w:hAnsi="Verdana" w:cs="Times New Roman"/>
                <w:b/>
                <w:bCs/>
                <w:color w:val="000000"/>
                <w:sz w:val="16"/>
                <w:szCs w:val="16"/>
                <w:lang w:val="en-GB" w:eastAsia="en-GB"/>
              </w:rPr>
            </w:pPr>
            <w:r w:rsidRPr="00F5442C">
              <w:rPr>
                <w:rFonts w:ascii="Verdana" w:eastAsia="Times New Roman" w:hAnsi="Verdana" w:cs="Times New Roman"/>
                <w:b/>
                <w:bCs/>
                <w:color w:val="000000"/>
                <w:sz w:val="16"/>
                <w:szCs w:val="16"/>
                <w:lang w:val="en-GB" w:eastAsia="en-GB"/>
              </w:rPr>
              <w:t>543</w:t>
            </w:r>
          </w:p>
        </w:tc>
        <w:tc>
          <w:tcPr>
            <w:tcW w:w="2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DDE85" w14:textId="77777777" w:rsidR="00F5442C" w:rsidRPr="00F5442C" w:rsidRDefault="00F5442C" w:rsidP="00F5442C">
            <w:pPr>
              <w:rPr>
                <w:rFonts w:ascii="Verdana" w:eastAsia="Times New Roman" w:hAnsi="Verdana" w:cs="Times New Roman"/>
                <w:b/>
                <w:bCs/>
                <w:color w:val="000000"/>
                <w:sz w:val="16"/>
                <w:szCs w:val="16"/>
                <w:lang w:val="en-GB" w:eastAsia="en-GB"/>
              </w:rPr>
            </w:pPr>
            <w:r w:rsidRPr="00F5442C">
              <w:rPr>
                <w:rFonts w:ascii="Verdana" w:eastAsia="Times New Roman" w:hAnsi="Verdana" w:cs="Times New Roman"/>
                <w:b/>
                <w:bCs/>
                <w:color w:val="000000"/>
                <w:sz w:val="16"/>
                <w:szCs w:val="16"/>
                <w:lang w:val="en-GB" w:eastAsia="en-GB"/>
              </w:rPr>
              <w:t>Total</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5E2E829C" w14:textId="77777777" w:rsidR="00F5442C" w:rsidRPr="00F5442C" w:rsidRDefault="00F5442C" w:rsidP="00F5442C">
            <w:pPr>
              <w:jc w:val="center"/>
              <w:rPr>
                <w:rFonts w:ascii="Verdana" w:eastAsia="Times New Roman" w:hAnsi="Verdana" w:cs="Times New Roman"/>
                <w:b/>
                <w:bCs/>
                <w:color w:val="000000"/>
                <w:sz w:val="16"/>
                <w:szCs w:val="16"/>
                <w:lang w:val="en-GB" w:eastAsia="en-GB"/>
              </w:rPr>
            </w:pPr>
            <w:r w:rsidRPr="00F5442C">
              <w:rPr>
                <w:rFonts w:ascii="Verdana" w:eastAsia="Times New Roman" w:hAnsi="Verdana" w:cs="Times New Roman"/>
                <w:b/>
                <w:bCs/>
                <w:color w:val="000000"/>
                <w:sz w:val="16"/>
                <w:szCs w:val="16"/>
                <w:lang w:val="en-GB" w:eastAsia="en-GB"/>
              </w:rPr>
              <w:t>686</w:t>
            </w:r>
          </w:p>
        </w:tc>
      </w:tr>
    </w:tbl>
    <w:p w14:paraId="72F5045E" w14:textId="77777777" w:rsidR="00745B47" w:rsidRDefault="00745B47" w:rsidP="00745B47">
      <w:pPr>
        <w:pStyle w:val="Normal0"/>
        <w:spacing w:after="160" w:line="259" w:lineRule="auto"/>
        <w:jc w:val="center"/>
        <w:rPr>
          <w:rFonts w:ascii="Verdana" w:eastAsia="Verdana" w:hAnsi="Verdana" w:cs="Verdana"/>
          <w:sz w:val="22"/>
          <w:szCs w:val="22"/>
          <w:lang w:val="en-GB"/>
        </w:rPr>
      </w:pPr>
    </w:p>
    <w:tbl>
      <w:tblPr>
        <w:tblW w:w="13580" w:type="dxa"/>
        <w:tblInd w:w="-5" w:type="dxa"/>
        <w:tblLook w:val="04A0" w:firstRow="1" w:lastRow="0" w:firstColumn="1" w:lastColumn="0" w:noHBand="0" w:noVBand="1"/>
      </w:tblPr>
      <w:tblGrid>
        <w:gridCol w:w="3544"/>
        <w:gridCol w:w="1701"/>
        <w:gridCol w:w="1176"/>
        <w:gridCol w:w="1242"/>
        <w:gridCol w:w="1551"/>
        <w:gridCol w:w="1276"/>
        <w:gridCol w:w="1134"/>
        <w:gridCol w:w="1931"/>
        <w:gridCol w:w="19"/>
        <w:gridCol w:w="6"/>
      </w:tblGrid>
      <w:tr w:rsidR="0027176B" w:rsidRPr="0027176B" w14:paraId="18141847" w14:textId="77777777" w:rsidTr="0027176B">
        <w:trPr>
          <w:trHeight w:val="293"/>
        </w:trPr>
        <w:tc>
          <w:tcPr>
            <w:tcW w:w="13580" w:type="dxa"/>
            <w:gridSpan w:val="10"/>
            <w:vMerge w:val="restart"/>
            <w:tcBorders>
              <w:top w:val="single" w:sz="4" w:space="0" w:color="auto"/>
              <w:left w:val="single" w:sz="4" w:space="0" w:color="auto"/>
              <w:bottom w:val="nil"/>
              <w:right w:val="single" w:sz="4" w:space="0" w:color="000000"/>
            </w:tcBorders>
            <w:shd w:val="clear" w:color="000000" w:fill="FFFFFF"/>
            <w:noWrap/>
            <w:vAlign w:val="center"/>
            <w:hideMark/>
          </w:tcPr>
          <w:p w14:paraId="3CB57346" w14:textId="77777777" w:rsidR="0027176B" w:rsidRPr="0027176B" w:rsidRDefault="0027176B" w:rsidP="0027176B">
            <w:pPr>
              <w:rPr>
                <w:rFonts w:ascii="Verdana" w:eastAsia="Times New Roman" w:hAnsi="Verdana" w:cs="Calibri"/>
                <w:b/>
                <w:bCs/>
                <w:color w:val="000000"/>
                <w:sz w:val="18"/>
                <w:szCs w:val="18"/>
                <w:lang w:val="en-GB" w:eastAsia="en-GB"/>
              </w:rPr>
            </w:pPr>
            <w:r w:rsidRPr="0027176B">
              <w:rPr>
                <w:rFonts w:ascii="Verdana" w:eastAsia="Verdana" w:hAnsi="Verdana" w:cs="Verdana"/>
                <w:b/>
                <w:bCs/>
                <w:color w:val="000000"/>
                <w:sz w:val="18"/>
                <w:szCs w:val="18"/>
                <w:lang w:val="en-GB" w:eastAsia="en-GB"/>
              </w:rPr>
              <w:t>Remuneration for Senior Officers with the responsibility for the management of Surrey Police were:</w:t>
            </w:r>
          </w:p>
        </w:tc>
      </w:tr>
      <w:tr w:rsidR="0027176B" w:rsidRPr="0027176B" w14:paraId="10732ACD" w14:textId="77777777" w:rsidTr="0027176B">
        <w:trPr>
          <w:trHeight w:val="293"/>
        </w:trPr>
        <w:tc>
          <w:tcPr>
            <w:tcW w:w="13580" w:type="dxa"/>
            <w:gridSpan w:val="10"/>
            <w:vMerge/>
            <w:tcBorders>
              <w:top w:val="single" w:sz="4" w:space="0" w:color="auto"/>
              <w:left w:val="single" w:sz="4" w:space="0" w:color="auto"/>
              <w:bottom w:val="nil"/>
              <w:right w:val="single" w:sz="4" w:space="0" w:color="000000"/>
            </w:tcBorders>
            <w:vAlign w:val="center"/>
            <w:hideMark/>
          </w:tcPr>
          <w:p w14:paraId="55F41915" w14:textId="77777777" w:rsidR="0027176B" w:rsidRPr="0027176B" w:rsidRDefault="0027176B" w:rsidP="0027176B">
            <w:pPr>
              <w:rPr>
                <w:rFonts w:ascii="Verdana" w:eastAsia="Times New Roman" w:hAnsi="Verdana" w:cs="Calibri"/>
                <w:b/>
                <w:bCs/>
                <w:color w:val="000000"/>
                <w:sz w:val="18"/>
                <w:szCs w:val="18"/>
                <w:lang w:val="en-GB" w:eastAsia="en-GB"/>
              </w:rPr>
            </w:pPr>
          </w:p>
        </w:tc>
      </w:tr>
      <w:tr w:rsidR="0027176B" w:rsidRPr="0027176B" w14:paraId="4387EA38" w14:textId="77777777" w:rsidTr="0027176B">
        <w:trPr>
          <w:gridAfter w:val="1"/>
          <w:wAfter w:w="6" w:type="dxa"/>
          <w:trHeight w:val="315"/>
        </w:trPr>
        <w:tc>
          <w:tcPr>
            <w:tcW w:w="3544" w:type="dxa"/>
            <w:tcBorders>
              <w:top w:val="single" w:sz="4" w:space="0" w:color="auto"/>
              <w:left w:val="single" w:sz="4" w:space="0" w:color="auto"/>
              <w:bottom w:val="nil"/>
              <w:right w:val="nil"/>
            </w:tcBorders>
            <w:shd w:val="clear" w:color="000000" w:fill="FFFFFF"/>
            <w:noWrap/>
            <w:vAlign w:val="center"/>
            <w:hideMark/>
          </w:tcPr>
          <w:p w14:paraId="2D3DAABA" w14:textId="77777777" w:rsidR="0027176B" w:rsidRPr="0027176B" w:rsidRDefault="0027176B" w:rsidP="0027176B">
            <w:pPr>
              <w:rPr>
                <w:rFonts w:ascii="Verdana" w:eastAsia="Times New Roman" w:hAnsi="Verdana" w:cs="Calibri"/>
                <w:b/>
                <w:bCs/>
                <w:color w:val="000000"/>
                <w:sz w:val="16"/>
                <w:szCs w:val="16"/>
                <w:lang w:val="en-GB" w:eastAsia="en-GB"/>
              </w:rPr>
            </w:pPr>
            <w:r w:rsidRPr="0027176B">
              <w:rPr>
                <w:rFonts w:ascii="Verdana" w:eastAsia="Verdana" w:hAnsi="Verdana" w:cs="Verdana"/>
                <w:b/>
                <w:bCs/>
                <w:color w:val="000000"/>
                <w:sz w:val="16"/>
                <w:szCs w:val="16"/>
                <w:lang w:val="en-GB" w:eastAsia="en-GB"/>
              </w:rPr>
              <w:t> </w:t>
            </w:r>
          </w:p>
        </w:tc>
        <w:tc>
          <w:tcPr>
            <w:tcW w:w="1701" w:type="dxa"/>
            <w:tcBorders>
              <w:top w:val="single" w:sz="4" w:space="0" w:color="auto"/>
              <w:left w:val="single" w:sz="4" w:space="0" w:color="auto"/>
              <w:bottom w:val="nil"/>
              <w:right w:val="single" w:sz="4" w:space="0" w:color="auto"/>
            </w:tcBorders>
            <w:shd w:val="clear" w:color="000000" w:fill="FFFFFF"/>
            <w:noWrap/>
            <w:vAlign w:val="center"/>
            <w:hideMark/>
          </w:tcPr>
          <w:p w14:paraId="31CB7A83" w14:textId="77777777" w:rsidR="0027176B" w:rsidRPr="0027176B" w:rsidRDefault="0027176B" w:rsidP="0027176B">
            <w:pPr>
              <w:rPr>
                <w:rFonts w:ascii="Verdana" w:eastAsia="Times New Roman" w:hAnsi="Verdana" w:cs="Calibri"/>
                <w:b/>
                <w:bCs/>
                <w:color w:val="000000"/>
                <w:sz w:val="16"/>
                <w:szCs w:val="16"/>
                <w:lang w:val="en-GB" w:eastAsia="en-GB"/>
              </w:rPr>
            </w:pPr>
            <w:r w:rsidRPr="0027176B">
              <w:rPr>
                <w:rFonts w:ascii="Verdana" w:eastAsia="Verdana" w:hAnsi="Verdana" w:cs="Verdana"/>
                <w:b/>
                <w:bCs/>
                <w:color w:val="000000"/>
                <w:sz w:val="16"/>
                <w:szCs w:val="16"/>
                <w:lang w:val="en-GB" w:eastAsia="en-GB"/>
              </w:rPr>
              <w:t> </w:t>
            </w:r>
          </w:p>
        </w:tc>
        <w:tc>
          <w:tcPr>
            <w:tcW w:w="1176" w:type="dxa"/>
            <w:tcBorders>
              <w:top w:val="single" w:sz="4" w:space="0" w:color="auto"/>
              <w:left w:val="nil"/>
              <w:bottom w:val="nil"/>
              <w:right w:val="nil"/>
            </w:tcBorders>
            <w:shd w:val="clear" w:color="000000" w:fill="FFFFFF"/>
            <w:noWrap/>
            <w:vAlign w:val="center"/>
            <w:hideMark/>
          </w:tcPr>
          <w:p w14:paraId="6627BE5E" w14:textId="77777777" w:rsidR="0027176B" w:rsidRPr="0027176B" w:rsidRDefault="0027176B" w:rsidP="0027176B">
            <w:pPr>
              <w:rPr>
                <w:rFonts w:ascii="Verdana" w:eastAsia="Times New Roman" w:hAnsi="Verdana" w:cs="Calibri"/>
                <w:b/>
                <w:bCs/>
                <w:color w:val="000000"/>
                <w:sz w:val="16"/>
                <w:szCs w:val="16"/>
                <w:lang w:val="en-GB" w:eastAsia="en-GB"/>
              </w:rPr>
            </w:pPr>
            <w:r w:rsidRPr="0027176B">
              <w:rPr>
                <w:rFonts w:ascii="Verdana" w:eastAsia="Verdana" w:hAnsi="Verdana" w:cs="Verdana"/>
                <w:b/>
                <w:bCs/>
                <w:color w:val="000000"/>
                <w:sz w:val="16"/>
                <w:szCs w:val="16"/>
                <w:lang w:val="en-GB" w:eastAsia="en-GB"/>
              </w:rPr>
              <w:t> </w:t>
            </w:r>
          </w:p>
        </w:tc>
        <w:tc>
          <w:tcPr>
            <w:tcW w:w="7153" w:type="dxa"/>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DBF00A1" w14:textId="77777777" w:rsidR="0027176B" w:rsidRPr="0027176B" w:rsidRDefault="0027176B" w:rsidP="0027176B">
            <w:pPr>
              <w:jc w:val="center"/>
              <w:rPr>
                <w:rFonts w:ascii="Verdana" w:eastAsia="Times New Roman" w:hAnsi="Verdana" w:cs="Calibri"/>
                <w:b/>
                <w:bCs/>
                <w:color w:val="000000"/>
                <w:sz w:val="18"/>
                <w:szCs w:val="18"/>
                <w:lang w:val="en-GB" w:eastAsia="en-GB"/>
              </w:rPr>
            </w:pPr>
            <w:r w:rsidRPr="0027176B">
              <w:rPr>
                <w:rFonts w:ascii="Verdana" w:eastAsia="Verdana" w:hAnsi="Verdana" w:cs="Verdana"/>
                <w:b/>
                <w:bCs/>
                <w:color w:val="000000"/>
                <w:sz w:val="18"/>
                <w:szCs w:val="18"/>
                <w:lang w:val="en-GB" w:eastAsia="en-GB"/>
              </w:rPr>
              <w:t>2020/2021</w:t>
            </w:r>
          </w:p>
        </w:tc>
      </w:tr>
      <w:tr w:rsidR="0027176B" w:rsidRPr="0027176B" w14:paraId="7B28B57A" w14:textId="77777777" w:rsidTr="0027176B">
        <w:trPr>
          <w:gridAfter w:val="2"/>
          <w:wAfter w:w="25" w:type="dxa"/>
          <w:trHeight w:val="1050"/>
        </w:trPr>
        <w:tc>
          <w:tcPr>
            <w:tcW w:w="3544" w:type="dxa"/>
            <w:tcBorders>
              <w:top w:val="single" w:sz="4" w:space="0" w:color="auto"/>
              <w:left w:val="single" w:sz="4" w:space="0" w:color="auto"/>
              <w:bottom w:val="single" w:sz="4" w:space="0" w:color="auto"/>
              <w:right w:val="nil"/>
            </w:tcBorders>
            <w:shd w:val="clear" w:color="000000" w:fill="FFFFFF"/>
            <w:vAlign w:val="center"/>
            <w:hideMark/>
          </w:tcPr>
          <w:p w14:paraId="503135FE" w14:textId="77777777" w:rsidR="0027176B" w:rsidRPr="0027176B" w:rsidRDefault="0027176B" w:rsidP="0027176B">
            <w:pPr>
              <w:jc w:val="center"/>
              <w:rPr>
                <w:rFonts w:ascii="Verdana" w:eastAsia="Times New Roman" w:hAnsi="Verdana" w:cs="Calibri"/>
                <w:b/>
                <w:bCs/>
                <w:color w:val="000000"/>
                <w:sz w:val="16"/>
                <w:szCs w:val="16"/>
                <w:lang w:val="en-GB" w:eastAsia="en-GB"/>
              </w:rPr>
            </w:pPr>
            <w:r w:rsidRPr="0027176B">
              <w:rPr>
                <w:rFonts w:ascii="Verdana" w:eastAsia="Verdana" w:hAnsi="Verdana" w:cs="Verdana"/>
                <w:b/>
                <w:bCs/>
                <w:color w:val="000000"/>
                <w:sz w:val="16"/>
                <w:szCs w:val="16"/>
                <w:lang w:val="en-GB" w:eastAsia="en-GB"/>
              </w:rPr>
              <w:t>Position</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F12E57" w14:textId="77777777" w:rsidR="0027176B" w:rsidRPr="0027176B" w:rsidRDefault="0027176B" w:rsidP="0027176B">
            <w:pPr>
              <w:jc w:val="center"/>
              <w:rPr>
                <w:rFonts w:ascii="Verdana" w:eastAsia="Times New Roman" w:hAnsi="Verdana" w:cs="Calibri"/>
                <w:b/>
                <w:bCs/>
                <w:color w:val="000000"/>
                <w:sz w:val="16"/>
                <w:szCs w:val="16"/>
                <w:lang w:val="en-GB" w:eastAsia="en-GB"/>
              </w:rPr>
            </w:pPr>
            <w:r w:rsidRPr="0027176B">
              <w:rPr>
                <w:rFonts w:ascii="Verdana" w:eastAsia="Verdana" w:hAnsi="Verdana" w:cs="Verdana"/>
                <w:b/>
                <w:bCs/>
                <w:color w:val="000000"/>
                <w:sz w:val="16"/>
                <w:szCs w:val="16"/>
                <w:lang w:val="en-GB" w:eastAsia="en-GB"/>
              </w:rPr>
              <w:t>Position Start Date</w:t>
            </w:r>
          </w:p>
        </w:tc>
        <w:tc>
          <w:tcPr>
            <w:tcW w:w="1176" w:type="dxa"/>
            <w:tcBorders>
              <w:top w:val="single" w:sz="4" w:space="0" w:color="auto"/>
              <w:left w:val="nil"/>
              <w:bottom w:val="single" w:sz="4" w:space="0" w:color="auto"/>
              <w:right w:val="nil"/>
            </w:tcBorders>
            <w:shd w:val="clear" w:color="000000" w:fill="FFFFFF"/>
            <w:vAlign w:val="center"/>
            <w:hideMark/>
          </w:tcPr>
          <w:p w14:paraId="618B63A5" w14:textId="77777777" w:rsidR="0027176B" w:rsidRPr="0027176B" w:rsidRDefault="0027176B" w:rsidP="0027176B">
            <w:pPr>
              <w:jc w:val="center"/>
              <w:rPr>
                <w:rFonts w:ascii="Verdana" w:eastAsia="Times New Roman" w:hAnsi="Verdana" w:cs="Calibri"/>
                <w:b/>
                <w:bCs/>
                <w:color w:val="000000"/>
                <w:sz w:val="16"/>
                <w:szCs w:val="16"/>
                <w:lang w:val="en-GB" w:eastAsia="en-GB"/>
              </w:rPr>
            </w:pPr>
            <w:r w:rsidRPr="0027176B">
              <w:rPr>
                <w:rFonts w:ascii="Verdana" w:eastAsia="Verdana" w:hAnsi="Verdana" w:cs="Verdana"/>
                <w:b/>
                <w:bCs/>
                <w:color w:val="000000"/>
                <w:sz w:val="16"/>
                <w:szCs w:val="16"/>
                <w:lang w:val="en-GB" w:eastAsia="en-GB"/>
              </w:rPr>
              <w:t>Position End Date</w:t>
            </w:r>
          </w:p>
        </w:tc>
        <w:tc>
          <w:tcPr>
            <w:tcW w:w="1242" w:type="dxa"/>
            <w:tcBorders>
              <w:top w:val="nil"/>
              <w:left w:val="single" w:sz="4" w:space="0" w:color="auto"/>
              <w:bottom w:val="single" w:sz="4" w:space="0" w:color="auto"/>
              <w:right w:val="nil"/>
            </w:tcBorders>
            <w:shd w:val="clear" w:color="000000" w:fill="FFFFFF"/>
            <w:vAlign w:val="center"/>
            <w:hideMark/>
          </w:tcPr>
          <w:p w14:paraId="3B7A98F1" w14:textId="77777777" w:rsidR="0027176B" w:rsidRPr="0027176B" w:rsidRDefault="0027176B" w:rsidP="0027176B">
            <w:pPr>
              <w:jc w:val="center"/>
              <w:rPr>
                <w:rFonts w:ascii="Verdana" w:eastAsia="Times New Roman" w:hAnsi="Verdana" w:cs="Calibri"/>
                <w:b/>
                <w:bCs/>
                <w:color w:val="000000"/>
                <w:sz w:val="16"/>
                <w:szCs w:val="16"/>
                <w:lang w:val="en-GB" w:eastAsia="en-GB"/>
              </w:rPr>
            </w:pPr>
            <w:r w:rsidRPr="0027176B">
              <w:rPr>
                <w:rFonts w:ascii="Verdana" w:eastAsia="Verdana" w:hAnsi="Verdana" w:cs="Verdana"/>
                <w:b/>
                <w:bCs/>
                <w:color w:val="000000"/>
                <w:sz w:val="16"/>
                <w:szCs w:val="16"/>
                <w:lang w:val="en-GB" w:eastAsia="en-GB"/>
              </w:rPr>
              <w:t>Salary, Fees &amp; Allowances</w:t>
            </w:r>
          </w:p>
        </w:tc>
        <w:tc>
          <w:tcPr>
            <w:tcW w:w="1551" w:type="dxa"/>
            <w:tcBorders>
              <w:top w:val="nil"/>
              <w:left w:val="single" w:sz="4" w:space="0" w:color="auto"/>
              <w:bottom w:val="single" w:sz="4" w:space="0" w:color="auto"/>
              <w:right w:val="nil"/>
            </w:tcBorders>
            <w:shd w:val="clear" w:color="000000" w:fill="FFFFFF"/>
            <w:vAlign w:val="center"/>
            <w:hideMark/>
          </w:tcPr>
          <w:p w14:paraId="694A33E2" w14:textId="77777777" w:rsidR="0027176B" w:rsidRPr="0027176B" w:rsidRDefault="0027176B" w:rsidP="0027176B">
            <w:pPr>
              <w:jc w:val="center"/>
              <w:rPr>
                <w:rFonts w:ascii="Verdana" w:eastAsia="Times New Roman" w:hAnsi="Verdana" w:cs="Calibri"/>
                <w:b/>
                <w:bCs/>
                <w:color w:val="000000"/>
                <w:sz w:val="16"/>
                <w:szCs w:val="16"/>
                <w:lang w:val="en-GB" w:eastAsia="en-GB"/>
              </w:rPr>
            </w:pPr>
            <w:r w:rsidRPr="0027176B">
              <w:rPr>
                <w:rFonts w:ascii="Verdana" w:eastAsia="Verdana" w:hAnsi="Verdana" w:cs="Verdana"/>
                <w:b/>
                <w:bCs/>
                <w:color w:val="000000"/>
                <w:sz w:val="16"/>
                <w:szCs w:val="16"/>
                <w:lang w:val="en-GB" w:eastAsia="en-GB"/>
              </w:rPr>
              <w:t>Employers Pension Contribution</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5EB5593D" w14:textId="77777777" w:rsidR="0027176B" w:rsidRPr="0027176B" w:rsidRDefault="0027176B" w:rsidP="0027176B">
            <w:pPr>
              <w:jc w:val="center"/>
              <w:rPr>
                <w:rFonts w:ascii="Verdana" w:eastAsia="Times New Roman" w:hAnsi="Verdana" w:cs="Calibri"/>
                <w:b/>
                <w:bCs/>
                <w:color w:val="000000"/>
                <w:sz w:val="16"/>
                <w:szCs w:val="16"/>
                <w:lang w:val="en-GB" w:eastAsia="en-GB"/>
              </w:rPr>
            </w:pPr>
            <w:r w:rsidRPr="0027176B">
              <w:rPr>
                <w:rFonts w:ascii="Verdana" w:eastAsia="Verdana" w:hAnsi="Verdana" w:cs="Verdana"/>
                <w:b/>
                <w:bCs/>
                <w:color w:val="000000"/>
                <w:sz w:val="16"/>
                <w:szCs w:val="16"/>
                <w:lang w:val="en-GB" w:eastAsia="en-GB"/>
              </w:rPr>
              <w:t>Benefit in kind</w:t>
            </w:r>
          </w:p>
        </w:tc>
        <w:tc>
          <w:tcPr>
            <w:tcW w:w="1134" w:type="dxa"/>
            <w:tcBorders>
              <w:top w:val="nil"/>
              <w:left w:val="nil"/>
              <w:bottom w:val="single" w:sz="4" w:space="0" w:color="auto"/>
              <w:right w:val="single" w:sz="4" w:space="0" w:color="auto"/>
            </w:tcBorders>
            <w:shd w:val="clear" w:color="000000" w:fill="FFFFFF"/>
            <w:vAlign w:val="center"/>
            <w:hideMark/>
          </w:tcPr>
          <w:p w14:paraId="6E2D67D4" w14:textId="77777777" w:rsidR="0027176B" w:rsidRPr="0027176B" w:rsidRDefault="0027176B" w:rsidP="0027176B">
            <w:pPr>
              <w:jc w:val="center"/>
              <w:rPr>
                <w:rFonts w:ascii="Verdana" w:eastAsia="Times New Roman" w:hAnsi="Verdana" w:cs="Calibri"/>
                <w:b/>
                <w:bCs/>
                <w:color w:val="000000"/>
                <w:sz w:val="16"/>
                <w:szCs w:val="16"/>
                <w:lang w:val="en-GB" w:eastAsia="en-GB"/>
              </w:rPr>
            </w:pPr>
            <w:r w:rsidRPr="0027176B">
              <w:rPr>
                <w:rFonts w:ascii="Verdana" w:eastAsia="Verdana" w:hAnsi="Verdana" w:cs="Verdana"/>
                <w:b/>
                <w:bCs/>
                <w:color w:val="000000"/>
                <w:sz w:val="16"/>
                <w:szCs w:val="16"/>
                <w:lang w:val="en-GB" w:eastAsia="en-GB"/>
              </w:rPr>
              <w:t>Annual Leave not yet taken</w:t>
            </w:r>
          </w:p>
        </w:tc>
        <w:tc>
          <w:tcPr>
            <w:tcW w:w="1931" w:type="dxa"/>
            <w:tcBorders>
              <w:top w:val="nil"/>
              <w:left w:val="nil"/>
              <w:bottom w:val="single" w:sz="4" w:space="0" w:color="auto"/>
              <w:right w:val="single" w:sz="4" w:space="0" w:color="auto"/>
            </w:tcBorders>
            <w:shd w:val="clear" w:color="000000" w:fill="FFFFFF"/>
            <w:vAlign w:val="center"/>
            <w:hideMark/>
          </w:tcPr>
          <w:p w14:paraId="5EF514B8" w14:textId="77777777" w:rsidR="0027176B" w:rsidRPr="0027176B" w:rsidRDefault="0027176B" w:rsidP="0027176B">
            <w:pPr>
              <w:jc w:val="center"/>
              <w:rPr>
                <w:rFonts w:ascii="Verdana" w:eastAsia="Times New Roman" w:hAnsi="Verdana" w:cs="Calibri"/>
                <w:b/>
                <w:bCs/>
                <w:color w:val="000000"/>
                <w:sz w:val="16"/>
                <w:szCs w:val="16"/>
                <w:lang w:val="en-GB" w:eastAsia="en-GB"/>
              </w:rPr>
            </w:pPr>
            <w:r w:rsidRPr="0027176B">
              <w:rPr>
                <w:rFonts w:ascii="Verdana" w:eastAsia="Verdana" w:hAnsi="Verdana" w:cs="Verdana"/>
                <w:b/>
                <w:bCs/>
                <w:color w:val="000000"/>
                <w:sz w:val="16"/>
                <w:szCs w:val="16"/>
                <w:lang w:val="en-GB" w:eastAsia="en-GB"/>
              </w:rPr>
              <w:t>Total Remuneration</w:t>
            </w:r>
          </w:p>
        </w:tc>
      </w:tr>
      <w:tr w:rsidR="0027176B" w:rsidRPr="0027176B" w14:paraId="18BBFA66" w14:textId="77777777" w:rsidTr="0027176B">
        <w:trPr>
          <w:gridAfter w:val="2"/>
          <w:wAfter w:w="25" w:type="dxa"/>
          <w:trHeight w:val="315"/>
        </w:trPr>
        <w:tc>
          <w:tcPr>
            <w:tcW w:w="3544" w:type="dxa"/>
            <w:tcBorders>
              <w:top w:val="nil"/>
              <w:left w:val="single" w:sz="4" w:space="0" w:color="auto"/>
              <w:bottom w:val="single" w:sz="4" w:space="0" w:color="auto"/>
              <w:right w:val="nil"/>
            </w:tcBorders>
            <w:shd w:val="clear" w:color="000000" w:fill="FFFFFF"/>
            <w:noWrap/>
            <w:vAlign w:val="center"/>
            <w:hideMark/>
          </w:tcPr>
          <w:p w14:paraId="63C6F2F8" w14:textId="77777777" w:rsidR="0027176B" w:rsidRPr="0027176B" w:rsidRDefault="0027176B" w:rsidP="0027176B">
            <w:pPr>
              <w:rPr>
                <w:rFonts w:ascii="Verdana" w:eastAsia="Times New Roman" w:hAnsi="Verdana" w:cs="Calibri"/>
                <w:b/>
                <w:bCs/>
                <w:color w:val="000000"/>
                <w:sz w:val="16"/>
                <w:szCs w:val="16"/>
                <w:lang w:val="en-GB" w:eastAsia="en-GB"/>
              </w:rPr>
            </w:pPr>
            <w:r w:rsidRPr="0027176B">
              <w:rPr>
                <w:rFonts w:ascii="Verdana" w:eastAsia="Verdana" w:hAnsi="Verdana" w:cs="Verdana"/>
                <w:b/>
                <w:bCs/>
                <w:color w:val="000000"/>
                <w:sz w:val="16"/>
                <w:szCs w:val="16"/>
                <w:lang w:val="en-GB" w:eastAsia="en-GB"/>
              </w:rPr>
              <w:t> </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6263F26D" w14:textId="77777777" w:rsidR="0027176B" w:rsidRPr="0027176B" w:rsidRDefault="0027176B" w:rsidP="0027176B">
            <w:pPr>
              <w:rPr>
                <w:rFonts w:ascii="Verdana" w:eastAsia="Times New Roman" w:hAnsi="Verdana" w:cs="Calibri"/>
                <w:b/>
                <w:bCs/>
                <w:color w:val="000000"/>
                <w:sz w:val="16"/>
                <w:szCs w:val="16"/>
                <w:lang w:val="en-GB" w:eastAsia="en-GB"/>
              </w:rPr>
            </w:pPr>
            <w:r w:rsidRPr="0027176B">
              <w:rPr>
                <w:rFonts w:ascii="Verdana" w:eastAsia="Verdana" w:hAnsi="Verdana" w:cs="Verdana"/>
                <w:b/>
                <w:bCs/>
                <w:color w:val="000000"/>
                <w:sz w:val="16"/>
                <w:szCs w:val="16"/>
                <w:lang w:val="en-GB" w:eastAsia="en-GB"/>
              </w:rPr>
              <w:t> </w:t>
            </w:r>
          </w:p>
        </w:tc>
        <w:tc>
          <w:tcPr>
            <w:tcW w:w="1176" w:type="dxa"/>
            <w:tcBorders>
              <w:top w:val="nil"/>
              <w:left w:val="nil"/>
              <w:bottom w:val="single" w:sz="4" w:space="0" w:color="auto"/>
              <w:right w:val="nil"/>
            </w:tcBorders>
            <w:shd w:val="clear" w:color="000000" w:fill="FFFFFF"/>
            <w:noWrap/>
            <w:vAlign w:val="center"/>
            <w:hideMark/>
          </w:tcPr>
          <w:p w14:paraId="2F5833BD" w14:textId="77777777" w:rsidR="0027176B" w:rsidRPr="0027176B" w:rsidRDefault="0027176B" w:rsidP="0027176B">
            <w:pPr>
              <w:rPr>
                <w:rFonts w:ascii="Verdana" w:eastAsia="Times New Roman" w:hAnsi="Verdana" w:cs="Calibri"/>
                <w:b/>
                <w:bCs/>
                <w:color w:val="000000"/>
                <w:sz w:val="16"/>
                <w:szCs w:val="16"/>
                <w:lang w:val="en-GB" w:eastAsia="en-GB"/>
              </w:rPr>
            </w:pPr>
            <w:r w:rsidRPr="0027176B">
              <w:rPr>
                <w:rFonts w:ascii="Verdana" w:eastAsia="Verdana" w:hAnsi="Verdana" w:cs="Verdana"/>
                <w:b/>
                <w:bCs/>
                <w:color w:val="000000"/>
                <w:sz w:val="16"/>
                <w:szCs w:val="16"/>
                <w:lang w:val="en-GB" w:eastAsia="en-GB"/>
              </w:rPr>
              <w:t> </w:t>
            </w:r>
          </w:p>
        </w:tc>
        <w:tc>
          <w:tcPr>
            <w:tcW w:w="1242" w:type="dxa"/>
            <w:tcBorders>
              <w:top w:val="nil"/>
              <w:left w:val="single" w:sz="4" w:space="0" w:color="auto"/>
              <w:bottom w:val="single" w:sz="4" w:space="0" w:color="auto"/>
              <w:right w:val="nil"/>
            </w:tcBorders>
            <w:shd w:val="clear" w:color="000000" w:fill="FFFFFF"/>
            <w:noWrap/>
            <w:vAlign w:val="center"/>
            <w:hideMark/>
          </w:tcPr>
          <w:p w14:paraId="65C5A1F7" w14:textId="77777777" w:rsidR="0027176B" w:rsidRPr="0027176B" w:rsidRDefault="0027176B" w:rsidP="0027176B">
            <w:pPr>
              <w:jc w:val="center"/>
              <w:rPr>
                <w:rFonts w:ascii="Verdana" w:eastAsia="Times New Roman" w:hAnsi="Verdana" w:cs="Calibri"/>
                <w:b/>
                <w:bCs/>
                <w:color w:val="000000"/>
                <w:sz w:val="16"/>
                <w:szCs w:val="16"/>
                <w:lang w:val="en-GB" w:eastAsia="en-GB"/>
              </w:rPr>
            </w:pPr>
            <w:r w:rsidRPr="0027176B">
              <w:rPr>
                <w:rFonts w:ascii="Verdana" w:eastAsia="Verdana" w:hAnsi="Verdana" w:cs="Verdana"/>
                <w:b/>
                <w:bCs/>
                <w:color w:val="000000"/>
                <w:sz w:val="16"/>
                <w:szCs w:val="16"/>
                <w:lang w:val="en-GB" w:eastAsia="en-GB"/>
              </w:rPr>
              <w:t>£</w:t>
            </w:r>
          </w:p>
        </w:tc>
        <w:tc>
          <w:tcPr>
            <w:tcW w:w="1551" w:type="dxa"/>
            <w:tcBorders>
              <w:top w:val="nil"/>
              <w:left w:val="single" w:sz="4" w:space="0" w:color="auto"/>
              <w:bottom w:val="single" w:sz="4" w:space="0" w:color="auto"/>
              <w:right w:val="nil"/>
            </w:tcBorders>
            <w:shd w:val="clear" w:color="000000" w:fill="FFFFFF"/>
            <w:noWrap/>
            <w:vAlign w:val="center"/>
            <w:hideMark/>
          </w:tcPr>
          <w:p w14:paraId="69E3656F" w14:textId="77777777" w:rsidR="0027176B" w:rsidRPr="0027176B" w:rsidRDefault="0027176B" w:rsidP="0027176B">
            <w:pPr>
              <w:jc w:val="center"/>
              <w:rPr>
                <w:rFonts w:ascii="Verdana" w:eastAsia="Times New Roman" w:hAnsi="Verdana" w:cs="Calibri"/>
                <w:b/>
                <w:bCs/>
                <w:color w:val="000000"/>
                <w:sz w:val="16"/>
                <w:szCs w:val="16"/>
                <w:lang w:val="en-GB" w:eastAsia="en-GB"/>
              </w:rPr>
            </w:pPr>
            <w:r w:rsidRPr="0027176B">
              <w:rPr>
                <w:rFonts w:ascii="Verdana" w:eastAsia="Verdana" w:hAnsi="Verdana" w:cs="Verdana"/>
                <w:b/>
                <w:bCs/>
                <w:color w:val="000000"/>
                <w:sz w:val="16"/>
                <w:szCs w:val="16"/>
                <w:lang w:val="en-GB" w:eastAsia="en-GB"/>
              </w:rPr>
              <w:t>£</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53B731F5" w14:textId="77777777" w:rsidR="0027176B" w:rsidRPr="0027176B" w:rsidRDefault="0027176B" w:rsidP="0027176B">
            <w:pPr>
              <w:jc w:val="center"/>
              <w:rPr>
                <w:rFonts w:ascii="Verdana" w:eastAsia="Times New Roman" w:hAnsi="Verdana" w:cs="Calibri"/>
                <w:b/>
                <w:bCs/>
                <w:color w:val="000000"/>
                <w:sz w:val="16"/>
                <w:szCs w:val="16"/>
                <w:lang w:val="en-GB" w:eastAsia="en-GB"/>
              </w:rPr>
            </w:pPr>
            <w:r w:rsidRPr="0027176B">
              <w:rPr>
                <w:rFonts w:ascii="Verdana" w:eastAsia="Verdana" w:hAnsi="Verdana" w:cs="Verdana"/>
                <w:b/>
                <w:bCs/>
                <w:color w:val="000000"/>
                <w:sz w:val="16"/>
                <w:szCs w:val="16"/>
                <w:lang w:val="en-GB" w:eastAsia="en-GB"/>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36046DA7" w14:textId="77777777" w:rsidR="0027176B" w:rsidRPr="0027176B" w:rsidRDefault="0027176B" w:rsidP="0027176B">
            <w:pPr>
              <w:jc w:val="center"/>
              <w:rPr>
                <w:rFonts w:ascii="Verdana" w:eastAsia="Times New Roman" w:hAnsi="Verdana" w:cs="Calibri"/>
                <w:b/>
                <w:bCs/>
                <w:color w:val="000000"/>
                <w:sz w:val="16"/>
                <w:szCs w:val="16"/>
                <w:lang w:val="en-GB" w:eastAsia="en-GB"/>
              </w:rPr>
            </w:pPr>
            <w:r w:rsidRPr="0027176B">
              <w:rPr>
                <w:rFonts w:ascii="Verdana" w:eastAsia="Verdana" w:hAnsi="Verdana" w:cs="Verdana"/>
                <w:b/>
                <w:bCs/>
                <w:color w:val="000000"/>
                <w:sz w:val="16"/>
                <w:szCs w:val="16"/>
                <w:lang w:val="en-GB" w:eastAsia="en-GB"/>
              </w:rPr>
              <w:t>£</w:t>
            </w:r>
          </w:p>
        </w:tc>
        <w:tc>
          <w:tcPr>
            <w:tcW w:w="1931" w:type="dxa"/>
            <w:tcBorders>
              <w:top w:val="nil"/>
              <w:left w:val="nil"/>
              <w:bottom w:val="single" w:sz="4" w:space="0" w:color="auto"/>
              <w:right w:val="single" w:sz="4" w:space="0" w:color="auto"/>
            </w:tcBorders>
            <w:shd w:val="clear" w:color="000000" w:fill="FFFFFF"/>
            <w:noWrap/>
            <w:vAlign w:val="center"/>
            <w:hideMark/>
          </w:tcPr>
          <w:p w14:paraId="62EF7DDA" w14:textId="77777777" w:rsidR="0027176B" w:rsidRPr="0027176B" w:rsidRDefault="0027176B" w:rsidP="0027176B">
            <w:pPr>
              <w:jc w:val="center"/>
              <w:rPr>
                <w:rFonts w:ascii="Verdana" w:eastAsia="Times New Roman" w:hAnsi="Verdana" w:cs="Calibri"/>
                <w:b/>
                <w:bCs/>
                <w:color w:val="000000"/>
                <w:sz w:val="16"/>
                <w:szCs w:val="16"/>
                <w:lang w:val="en-GB" w:eastAsia="en-GB"/>
              </w:rPr>
            </w:pPr>
            <w:r w:rsidRPr="0027176B">
              <w:rPr>
                <w:rFonts w:ascii="Verdana" w:eastAsia="Verdana" w:hAnsi="Verdana" w:cs="Verdana"/>
                <w:b/>
                <w:bCs/>
                <w:color w:val="000000"/>
                <w:sz w:val="16"/>
                <w:szCs w:val="16"/>
                <w:lang w:val="en-GB" w:eastAsia="en-GB"/>
              </w:rPr>
              <w:t>£</w:t>
            </w:r>
          </w:p>
        </w:tc>
      </w:tr>
      <w:tr w:rsidR="0027176B" w:rsidRPr="0027176B" w14:paraId="2C3111B2" w14:textId="77777777" w:rsidTr="0027176B">
        <w:trPr>
          <w:gridAfter w:val="2"/>
          <w:wAfter w:w="25" w:type="dxa"/>
          <w:trHeight w:val="315"/>
        </w:trPr>
        <w:tc>
          <w:tcPr>
            <w:tcW w:w="3544" w:type="dxa"/>
            <w:tcBorders>
              <w:top w:val="nil"/>
              <w:left w:val="single" w:sz="4" w:space="0" w:color="auto"/>
              <w:bottom w:val="nil"/>
              <w:right w:val="nil"/>
            </w:tcBorders>
            <w:shd w:val="clear" w:color="000000" w:fill="FFFFFF"/>
            <w:noWrap/>
            <w:vAlign w:val="center"/>
            <w:hideMark/>
          </w:tcPr>
          <w:p w14:paraId="7E81EB99" w14:textId="77777777" w:rsidR="0027176B" w:rsidRPr="0027176B" w:rsidRDefault="0027176B" w:rsidP="0027176B">
            <w:pPr>
              <w:rPr>
                <w:rFonts w:ascii="Verdana" w:eastAsia="Times New Roman" w:hAnsi="Verdana" w:cs="Calibri"/>
                <w:b/>
                <w:bCs/>
                <w:color w:val="000000"/>
                <w:sz w:val="16"/>
                <w:szCs w:val="16"/>
                <w:lang w:val="en-GB" w:eastAsia="en-GB"/>
              </w:rPr>
            </w:pPr>
            <w:r w:rsidRPr="0027176B">
              <w:rPr>
                <w:rFonts w:ascii="Verdana" w:eastAsia="Verdana" w:hAnsi="Verdana" w:cs="Verdana"/>
                <w:b/>
                <w:bCs/>
                <w:color w:val="000000"/>
                <w:sz w:val="16"/>
                <w:szCs w:val="16"/>
                <w:lang w:val="en-GB" w:eastAsia="en-GB"/>
              </w:rPr>
              <w:t>Police Officers</w:t>
            </w:r>
          </w:p>
        </w:tc>
        <w:tc>
          <w:tcPr>
            <w:tcW w:w="1701" w:type="dxa"/>
            <w:tcBorders>
              <w:top w:val="nil"/>
              <w:left w:val="single" w:sz="4" w:space="0" w:color="auto"/>
              <w:bottom w:val="nil"/>
              <w:right w:val="single" w:sz="4" w:space="0" w:color="auto"/>
            </w:tcBorders>
            <w:shd w:val="clear" w:color="000000" w:fill="FFFFFF"/>
            <w:noWrap/>
            <w:vAlign w:val="center"/>
            <w:hideMark/>
          </w:tcPr>
          <w:p w14:paraId="593856E6" w14:textId="77777777" w:rsidR="0027176B" w:rsidRPr="0027176B" w:rsidRDefault="0027176B" w:rsidP="0027176B">
            <w:pPr>
              <w:rPr>
                <w:rFonts w:ascii="Verdana" w:eastAsia="Times New Roman" w:hAnsi="Verdana" w:cs="Calibri"/>
                <w:b/>
                <w:bCs/>
                <w:color w:val="000000"/>
                <w:sz w:val="16"/>
                <w:szCs w:val="16"/>
                <w:lang w:val="en-GB" w:eastAsia="en-GB"/>
              </w:rPr>
            </w:pPr>
            <w:r w:rsidRPr="0027176B">
              <w:rPr>
                <w:rFonts w:ascii="Verdana" w:eastAsia="Verdana" w:hAnsi="Verdana" w:cs="Verdana"/>
                <w:b/>
                <w:bCs/>
                <w:color w:val="000000"/>
                <w:sz w:val="16"/>
                <w:szCs w:val="16"/>
                <w:lang w:val="en-GB" w:eastAsia="en-GB"/>
              </w:rPr>
              <w:t> </w:t>
            </w:r>
          </w:p>
        </w:tc>
        <w:tc>
          <w:tcPr>
            <w:tcW w:w="1176" w:type="dxa"/>
            <w:tcBorders>
              <w:top w:val="nil"/>
              <w:left w:val="nil"/>
              <w:bottom w:val="nil"/>
              <w:right w:val="nil"/>
            </w:tcBorders>
            <w:shd w:val="clear" w:color="000000" w:fill="FFFFFF"/>
            <w:noWrap/>
            <w:vAlign w:val="center"/>
            <w:hideMark/>
          </w:tcPr>
          <w:p w14:paraId="616A9B61" w14:textId="77777777" w:rsidR="0027176B" w:rsidRPr="0027176B" w:rsidRDefault="0027176B" w:rsidP="0027176B">
            <w:pPr>
              <w:rPr>
                <w:rFonts w:ascii="Verdana" w:eastAsia="Times New Roman" w:hAnsi="Verdana" w:cs="Calibri"/>
                <w:b/>
                <w:bCs/>
                <w:color w:val="000000"/>
                <w:sz w:val="16"/>
                <w:szCs w:val="16"/>
                <w:lang w:val="en-GB" w:eastAsia="en-GB"/>
              </w:rPr>
            </w:pPr>
            <w:r w:rsidRPr="0027176B">
              <w:rPr>
                <w:rFonts w:ascii="Verdana" w:eastAsia="Verdana" w:hAnsi="Verdana" w:cs="Verdana"/>
                <w:b/>
                <w:bCs/>
                <w:color w:val="000000"/>
                <w:sz w:val="16"/>
                <w:szCs w:val="16"/>
                <w:lang w:val="en-GB" w:eastAsia="en-GB"/>
              </w:rPr>
              <w:t> </w:t>
            </w:r>
          </w:p>
        </w:tc>
        <w:tc>
          <w:tcPr>
            <w:tcW w:w="1242" w:type="dxa"/>
            <w:tcBorders>
              <w:top w:val="nil"/>
              <w:left w:val="single" w:sz="4" w:space="0" w:color="auto"/>
              <w:bottom w:val="nil"/>
              <w:right w:val="nil"/>
            </w:tcBorders>
            <w:shd w:val="clear" w:color="000000" w:fill="FFFFFF"/>
            <w:noWrap/>
            <w:vAlign w:val="center"/>
            <w:hideMark/>
          </w:tcPr>
          <w:p w14:paraId="51D7D2AC" w14:textId="77777777" w:rsidR="0027176B" w:rsidRPr="0027176B" w:rsidRDefault="0027176B" w:rsidP="0027176B">
            <w:pPr>
              <w:jc w:val="center"/>
              <w:rPr>
                <w:rFonts w:ascii="Verdana" w:eastAsia="Times New Roman" w:hAnsi="Verdana" w:cs="Calibri"/>
                <w:b/>
                <w:bCs/>
                <w:color w:val="000000"/>
                <w:sz w:val="16"/>
                <w:szCs w:val="16"/>
                <w:lang w:val="en-GB" w:eastAsia="en-GB"/>
              </w:rPr>
            </w:pPr>
            <w:r w:rsidRPr="0027176B">
              <w:rPr>
                <w:rFonts w:ascii="Verdana" w:eastAsia="Verdana" w:hAnsi="Verdana" w:cs="Verdana"/>
                <w:b/>
                <w:bCs/>
                <w:color w:val="000000"/>
                <w:sz w:val="16"/>
                <w:szCs w:val="16"/>
                <w:lang w:val="en-GB" w:eastAsia="en-GB"/>
              </w:rPr>
              <w:t> </w:t>
            </w:r>
          </w:p>
        </w:tc>
        <w:tc>
          <w:tcPr>
            <w:tcW w:w="1551" w:type="dxa"/>
            <w:tcBorders>
              <w:top w:val="nil"/>
              <w:left w:val="single" w:sz="4" w:space="0" w:color="auto"/>
              <w:bottom w:val="nil"/>
              <w:right w:val="nil"/>
            </w:tcBorders>
            <w:shd w:val="clear" w:color="000000" w:fill="FFFFFF"/>
            <w:noWrap/>
            <w:vAlign w:val="center"/>
            <w:hideMark/>
          </w:tcPr>
          <w:p w14:paraId="5FB9E2AE" w14:textId="77777777" w:rsidR="0027176B" w:rsidRPr="0027176B" w:rsidRDefault="0027176B" w:rsidP="0027176B">
            <w:pPr>
              <w:jc w:val="center"/>
              <w:rPr>
                <w:rFonts w:ascii="Verdana" w:eastAsia="Times New Roman" w:hAnsi="Verdana" w:cs="Calibri"/>
                <w:b/>
                <w:bCs/>
                <w:color w:val="000000"/>
                <w:sz w:val="16"/>
                <w:szCs w:val="16"/>
                <w:lang w:val="en-GB" w:eastAsia="en-GB"/>
              </w:rPr>
            </w:pPr>
            <w:r w:rsidRPr="0027176B">
              <w:rPr>
                <w:rFonts w:ascii="Verdana" w:eastAsia="Verdana" w:hAnsi="Verdana" w:cs="Verdana"/>
                <w:b/>
                <w:bCs/>
                <w:color w:val="000000"/>
                <w:sz w:val="16"/>
                <w:szCs w:val="16"/>
                <w:lang w:val="en-GB" w:eastAsia="en-GB"/>
              </w:rPr>
              <w:t> </w:t>
            </w:r>
          </w:p>
        </w:tc>
        <w:tc>
          <w:tcPr>
            <w:tcW w:w="1276" w:type="dxa"/>
            <w:tcBorders>
              <w:top w:val="nil"/>
              <w:left w:val="single" w:sz="4" w:space="0" w:color="auto"/>
              <w:bottom w:val="nil"/>
              <w:right w:val="single" w:sz="4" w:space="0" w:color="auto"/>
            </w:tcBorders>
            <w:shd w:val="clear" w:color="000000" w:fill="FFFFFF"/>
            <w:noWrap/>
            <w:vAlign w:val="center"/>
            <w:hideMark/>
          </w:tcPr>
          <w:p w14:paraId="793A1103" w14:textId="77777777" w:rsidR="0027176B" w:rsidRPr="0027176B" w:rsidRDefault="0027176B" w:rsidP="0027176B">
            <w:pPr>
              <w:jc w:val="center"/>
              <w:rPr>
                <w:rFonts w:ascii="Verdana" w:eastAsia="Times New Roman" w:hAnsi="Verdana" w:cs="Calibri"/>
                <w:b/>
                <w:bCs/>
                <w:color w:val="000000"/>
                <w:sz w:val="16"/>
                <w:szCs w:val="16"/>
                <w:lang w:val="en-GB" w:eastAsia="en-GB"/>
              </w:rPr>
            </w:pPr>
            <w:r w:rsidRPr="0027176B">
              <w:rPr>
                <w:rFonts w:ascii="Verdana" w:eastAsia="Verdana" w:hAnsi="Verdana" w:cs="Verdana"/>
                <w:b/>
                <w:bCs/>
                <w:color w:val="000000"/>
                <w:sz w:val="16"/>
                <w:szCs w:val="16"/>
                <w:lang w:val="en-GB" w:eastAsia="en-GB"/>
              </w:rPr>
              <w:t> </w:t>
            </w:r>
          </w:p>
        </w:tc>
        <w:tc>
          <w:tcPr>
            <w:tcW w:w="1134" w:type="dxa"/>
            <w:tcBorders>
              <w:top w:val="nil"/>
              <w:left w:val="nil"/>
              <w:bottom w:val="nil"/>
              <w:right w:val="single" w:sz="4" w:space="0" w:color="auto"/>
            </w:tcBorders>
            <w:shd w:val="clear" w:color="000000" w:fill="FFFFFF"/>
            <w:noWrap/>
            <w:vAlign w:val="center"/>
            <w:hideMark/>
          </w:tcPr>
          <w:p w14:paraId="43AB9E32" w14:textId="77777777" w:rsidR="0027176B" w:rsidRPr="0027176B" w:rsidRDefault="0027176B" w:rsidP="0027176B">
            <w:pPr>
              <w:jc w:val="center"/>
              <w:rPr>
                <w:rFonts w:ascii="Verdana" w:eastAsia="Times New Roman" w:hAnsi="Verdana" w:cs="Calibri"/>
                <w:b/>
                <w:bCs/>
                <w:color w:val="000000"/>
                <w:sz w:val="16"/>
                <w:szCs w:val="16"/>
                <w:lang w:val="en-GB" w:eastAsia="en-GB"/>
              </w:rPr>
            </w:pPr>
            <w:r w:rsidRPr="0027176B">
              <w:rPr>
                <w:rFonts w:ascii="Verdana" w:eastAsia="Verdana" w:hAnsi="Verdana" w:cs="Verdana"/>
                <w:b/>
                <w:bCs/>
                <w:color w:val="000000"/>
                <w:sz w:val="16"/>
                <w:szCs w:val="16"/>
                <w:lang w:val="en-GB" w:eastAsia="en-GB"/>
              </w:rPr>
              <w:t> </w:t>
            </w:r>
          </w:p>
        </w:tc>
        <w:tc>
          <w:tcPr>
            <w:tcW w:w="1931" w:type="dxa"/>
            <w:tcBorders>
              <w:top w:val="nil"/>
              <w:left w:val="nil"/>
              <w:bottom w:val="nil"/>
              <w:right w:val="single" w:sz="4" w:space="0" w:color="auto"/>
            </w:tcBorders>
            <w:shd w:val="clear" w:color="000000" w:fill="FFFFFF"/>
            <w:noWrap/>
            <w:vAlign w:val="center"/>
            <w:hideMark/>
          </w:tcPr>
          <w:p w14:paraId="29E0B29E" w14:textId="77777777" w:rsidR="0027176B" w:rsidRPr="0027176B" w:rsidRDefault="0027176B" w:rsidP="0027176B">
            <w:pPr>
              <w:jc w:val="right"/>
              <w:rPr>
                <w:rFonts w:ascii="Verdana" w:eastAsia="Times New Roman" w:hAnsi="Verdana" w:cs="Calibri"/>
                <w:b/>
                <w:bCs/>
                <w:color w:val="000000"/>
                <w:sz w:val="16"/>
                <w:szCs w:val="16"/>
                <w:lang w:val="en-GB" w:eastAsia="en-GB"/>
              </w:rPr>
            </w:pPr>
            <w:r w:rsidRPr="0027176B">
              <w:rPr>
                <w:rFonts w:ascii="Verdana" w:eastAsia="Verdana" w:hAnsi="Verdana" w:cs="Verdana"/>
                <w:b/>
                <w:bCs/>
                <w:color w:val="000000"/>
                <w:sz w:val="16"/>
                <w:szCs w:val="16"/>
                <w:lang w:val="en-GB" w:eastAsia="en-GB"/>
              </w:rPr>
              <w:t> </w:t>
            </w:r>
          </w:p>
        </w:tc>
      </w:tr>
      <w:tr w:rsidR="0027176B" w:rsidRPr="0027176B" w14:paraId="67AD9638" w14:textId="77777777" w:rsidTr="0027176B">
        <w:trPr>
          <w:gridAfter w:val="2"/>
          <w:wAfter w:w="25" w:type="dxa"/>
          <w:trHeight w:val="315"/>
        </w:trPr>
        <w:tc>
          <w:tcPr>
            <w:tcW w:w="3544" w:type="dxa"/>
            <w:tcBorders>
              <w:top w:val="nil"/>
              <w:left w:val="single" w:sz="4" w:space="0" w:color="auto"/>
              <w:bottom w:val="nil"/>
              <w:right w:val="nil"/>
            </w:tcBorders>
            <w:shd w:val="clear" w:color="000000" w:fill="FFFFFF"/>
            <w:noWrap/>
            <w:vAlign w:val="center"/>
            <w:hideMark/>
          </w:tcPr>
          <w:p w14:paraId="71809947" w14:textId="77777777" w:rsidR="0027176B" w:rsidRPr="0027176B" w:rsidRDefault="0027176B" w:rsidP="0027176B">
            <w:pP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Chief Constable (G Stevens)</w:t>
            </w:r>
          </w:p>
        </w:tc>
        <w:tc>
          <w:tcPr>
            <w:tcW w:w="1701" w:type="dxa"/>
            <w:tcBorders>
              <w:top w:val="nil"/>
              <w:left w:val="single" w:sz="4" w:space="0" w:color="auto"/>
              <w:bottom w:val="nil"/>
              <w:right w:val="single" w:sz="4" w:space="0" w:color="auto"/>
            </w:tcBorders>
            <w:shd w:val="clear" w:color="000000" w:fill="FFFFFF"/>
            <w:noWrap/>
            <w:vAlign w:val="center"/>
            <w:hideMark/>
          </w:tcPr>
          <w:p w14:paraId="6D851ACC" w14:textId="77777777" w:rsidR="0027176B" w:rsidRPr="0027176B" w:rsidRDefault="0027176B" w:rsidP="0027176B">
            <w:pP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20/01/2019</w:t>
            </w:r>
          </w:p>
        </w:tc>
        <w:tc>
          <w:tcPr>
            <w:tcW w:w="1176" w:type="dxa"/>
            <w:tcBorders>
              <w:top w:val="nil"/>
              <w:left w:val="nil"/>
              <w:bottom w:val="nil"/>
              <w:right w:val="nil"/>
            </w:tcBorders>
            <w:shd w:val="clear" w:color="000000" w:fill="FFFFFF"/>
            <w:noWrap/>
            <w:vAlign w:val="center"/>
            <w:hideMark/>
          </w:tcPr>
          <w:p w14:paraId="2661F46E" w14:textId="77777777" w:rsidR="0027176B" w:rsidRPr="0027176B" w:rsidRDefault="0027176B" w:rsidP="0027176B">
            <w:pP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 </w:t>
            </w:r>
          </w:p>
        </w:tc>
        <w:tc>
          <w:tcPr>
            <w:tcW w:w="1242" w:type="dxa"/>
            <w:tcBorders>
              <w:top w:val="nil"/>
              <w:left w:val="single" w:sz="4" w:space="0" w:color="auto"/>
              <w:bottom w:val="nil"/>
              <w:right w:val="nil"/>
            </w:tcBorders>
            <w:shd w:val="clear" w:color="000000" w:fill="FFFFFF"/>
            <w:noWrap/>
            <w:vAlign w:val="center"/>
            <w:hideMark/>
          </w:tcPr>
          <w:p w14:paraId="16EADE3B" w14:textId="77777777" w:rsidR="0027176B" w:rsidRPr="0027176B" w:rsidRDefault="0027176B" w:rsidP="0027176B">
            <w:pPr>
              <w:jc w:val="cente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156,548</w:t>
            </w:r>
          </w:p>
        </w:tc>
        <w:tc>
          <w:tcPr>
            <w:tcW w:w="1551" w:type="dxa"/>
            <w:tcBorders>
              <w:top w:val="nil"/>
              <w:left w:val="single" w:sz="4" w:space="0" w:color="auto"/>
              <w:bottom w:val="nil"/>
              <w:right w:val="nil"/>
            </w:tcBorders>
            <w:shd w:val="clear" w:color="000000" w:fill="FFFFFF"/>
            <w:noWrap/>
            <w:vAlign w:val="center"/>
            <w:hideMark/>
          </w:tcPr>
          <w:p w14:paraId="4B5C2EBC" w14:textId="77777777" w:rsidR="0027176B" w:rsidRPr="0027176B" w:rsidRDefault="0027176B" w:rsidP="0027176B">
            <w:pPr>
              <w:jc w:val="cente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47,035</w:t>
            </w:r>
          </w:p>
        </w:tc>
        <w:tc>
          <w:tcPr>
            <w:tcW w:w="1276" w:type="dxa"/>
            <w:tcBorders>
              <w:top w:val="nil"/>
              <w:left w:val="single" w:sz="4" w:space="0" w:color="auto"/>
              <w:bottom w:val="nil"/>
              <w:right w:val="single" w:sz="4" w:space="0" w:color="auto"/>
            </w:tcBorders>
            <w:shd w:val="clear" w:color="000000" w:fill="FFFFFF"/>
            <w:noWrap/>
            <w:vAlign w:val="center"/>
            <w:hideMark/>
          </w:tcPr>
          <w:p w14:paraId="2A79D012" w14:textId="77777777" w:rsidR="0027176B" w:rsidRPr="0027176B" w:rsidRDefault="0027176B" w:rsidP="0027176B">
            <w:pPr>
              <w:jc w:val="cente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 </w:t>
            </w:r>
          </w:p>
        </w:tc>
        <w:tc>
          <w:tcPr>
            <w:tcW w:w="1134" w:type="dxa"/>
            <w:tcBorders>
              <w:top w:val="nil"/>
              <w:left w:val="nil"/>
              <w:bottom w:val="nil"/>
              <w:right w:val="single" w:sz="4" w:space="0" w:color="auto"/>
            </w:tcBorders>
            <w:shd w:val="clear" w:color="000000" w:fill="FFFFFF"/>
            <w:noWrap/>
            <w:vAlign w:val="center"/>
            <w:hideMark/>
          </w:tcPr>
          <w:p w14:paraId="1E2FF9FD" w14:textId="77777777" w:rsidR="0027176B" w:rsidRPr="0027176B" w:rsidRDefault="0027176B" w:rsidP="0027176B">
            <w:pPr>
              <w:jc w:val="cente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5,879</w:t>
            </w:r>
          </w:p>
        </w:tc>
        <w:tc>
          <w:tcPr>
            <w:tcW w:w="1931" w:type="dxa"/>
            <w:tcBorders>
              <w:top w:val="nil"/>
              <w:left w:val="nil"/>
              <w:bottom w:val="nil"/>
              <w:right w:val="single" w:sz="4" w:space="0" w:color="auto"/>
            </w:tcBorders>
            <w:shd w:val="clear" w:color="000000" w:fill="FFFFFF"/>
            <w:noWrap/>
            <w:vAlign w:val="center"/>
            <w:hideMark/>
          </w:tcPr>
          <w:p w14:paraId="31962246" w14:textId="77777777" w:rsidR="0027176B" w:rsidRPr="0027176B" w:rsidRDefault="0027176B" w:rsidP="0027176B">
            <w:pPr>
              <w:jc w:val="right"/>
              <w:rPr>
                <w:rFonts w:ascii="Verdana" w:eastAsia="Times New Roman" w:hAnsi="Verdana" w:cs="Calibri"/>
                <w:b/>
                <w:bCs/>
                <w:color w:val="000000"/>
                <w:sz w:val="16"/>
                <w:szCs w:val="16"/>
                <w:lang w:val="en-GB" w:eastAsia="en-GB"/>
              </w:rPr>
            </w:pPr>
            <w:r w:rsidRPr="0027176B">
              <w:rPr>
                <w:rFonts w:ascii="Verdana" w:eastAsia="Verdana" w:hAnsi="Verdana" w:cs="Verdana"/>
                <w:b/>
                <w:bCs/>
                <w:color w:val="000000"/>
                <w:sz w:val="16"/>
                <w:szCs w:val="16"/>
                <w:lang w:val="en-GB" w:eastAsia="en-GB"/>
              </w:rPr>
              <w:t>209,462</w:t>
            </w:r>
          </w:p>
        </w:tc>
      </w:tr>
      <w:tr w:rsidR="0027176B" w:rsidRPr="0027176B" w14:paraId="4CF5639D" w14:textId="77777777" w:rsidTr="0027176B">
        <w:trPr>
          <w:gridAfter w:val="2"/>
          <w:wAfter w:w="25" w:type="dxa"/>
          <w:trHeight w:val="315"/>
        </w:trPr>
        <w:tc>
          <w:tcPr>
            <w:tcW w:w="3544" w:type="dxa"/>
            <w:tcBorders>
              <w:top w:val="nil"/>
              <w:left w:val="single" w:sz="4" w:space="0" w:color="auto"/>
              <w:bottom w:val="nil"/>
              <w:right w:val="nil"/>
            </w:tcBorders>
            <w:shd w:val="clear" w:color="000000" w:fill="FFFFFF"/>
            <w:noWrap/>
            <w:vAlign w:val="center"/>
            <w:hideMark/>
          </w:tcPr>
          <w:p w14:paraId="0968C46E" w14:textId="77777777" w:rsidR="0027176B" w:rsidRPr="0027176B" w:rsidRDefault="0027176B" w:rsidP="0027176B">
            <w:pP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Deputy Chief Constable</w:t>
            </w:r>
          </w:p>
        </w:tc>
        <w:tc>
          <w:tcPr>
            <w:tcW w:w="1701" w:type="dxa"/>
            <w:tcBorders>
              <w:top w:val="nil"/>
              <w:left w:val="single" w:sz="4" w:space="0" w:color="auto"/>
              <w:bottom w:val="nil"/>
              <w:right w:val="single" w:sz="4" w:space="0" w:color="auto"/>
            </w:tcBorders>
            <w:shd w:val="clear" w:color="000000" w:fill="FFFFFF"/>
            <w:noWrap/>
            <w:vAlign w:val="center"/>
            <w:hideMark/>
          </w:tcPr>
          <w:p w14:paraId="13445A86" w14:textId="77777777" w:rsidR="0027176B" w:rsidRPr="0027176B" w:rsidRDefault="0027176B" w:rsidP="0027176B">
            <w:pP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23/09/2019</w:t>
            </w:r>
          </w:p>
        </w:tc>
        <w:tc>
          <w:tcPr>
            <w:tcW w:w="1176" w:type="dxa"/>
            <w:tcBorders>
              <w:top w:val="nil"/>
              <w:left w:val="nil"/>
              <w:bottom w:val="nil"/>
              <w:right w:val="nil"/>
            </w:tcBorders>
            <w:shd w:val="clear" w:color="000000" w:fill="FFFFFF"/>
            <w:noWrap/>
            <w:vAlign w:val="center"/>
            <w:hideMark/>
          </w:tcPr>
          <w:p w14:paraId="405180C0" w14:textId="77777777" w:rsidR="0027176B" w:rsidRPr="0027176B" w:rsidRDefault="0027176B" w:rsidP="0027176B">
            <w:pP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 </w:t>
            </w:r>
          </w:p>
        </w:tc>
        <w:tc>
          <w:tcPr>
            <w:tcW w:w="1242" w:type="dxa"/>
            <w:tcBorders>
              <w:top w:val="nil"/>
              <w:left w:val="single" w:sz="4" w:space="0" w:color="auto"/>
              <w:bottom w:val="nil"/>
              <w:right w:val="nil"/>
            </w:tcBorders>
            <w:shd w:val="clear" w:color="000000" w:fill="FFFFFF"/>
            <w:noWrap/>
            <w:vAlign w:val="center"/>
            <w:hideMark/>
          </w:tcPr>
          <w:p w14:paraId="11C516D3" w14:textId="77777777" w:rsidR="0027176B" w:rsidRPr="0027176B" w:rsidRDefault="0027176B" w:rsidP="0027176B">
            <w:pPr>
              <w:jc w:val="cente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134,977</w:t>
            </w:r>
          </w:p>
        </w:tc>
        <w:tc>
          <w:tcPr>
            <w:tcW w:w="1551" w:type="dxa"/>
            <w:tcBorders>
              <w:top w:val="nil"/>
              <w:left w:val="single" w:sz="4" w:space="0" w:color="auto"/>
              <w:bottom w:val="nil"/>
              <w:right w:val="nil"/>
            </w:tcBorders>
            <w:shd w:val="clear" w:color="000000" w:fill="FFFFFF"/>
            <w:noWrap/>
            <w:vAlign w:val="center"/>
            <w:hideMark/>
          </w:tcPr>
          <w:p w14:paraId="510964A8" w14:textId="77777777" w:rsidR="0027176B" w:rsidRPr="0027176B" w:rsidRDefault="0027176B" w:rsidP="0027176B">
            <w:pPr>
              <w:jc w:val="cente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38,804</w:t>
            </w:r>
          </w:p>
        </w:tc>
        <w:tc>
          <w:tcPr>
            <w:tcW w:w="1276" w:type="dxa"/>
            <w:tcBorders>
              <w:top w:val="nil"/>
              <w:left w:val="single" w:sz="4" w:space="0" w:color="auto"/>
              <w:bottom w:val="nil"/>
              <w:right w:val="single" w:sz="4" w:space="0" w:color="auto"/>
            </w:tcBorders>
            <w:shd w:val="clear" w:color="000000" w:fill="FFFFFF"/>
            <w:noWrap/>
            <w:vAlign w:val="center"/>
            <w:hideMark/>
          </w:tcPr>
          <w:p w14:paraId="70677039" w14:textId="77777777" w:rsidR="0027176B" w:rsidRPr="0027176B" w:rsidRDefault="0027176B" w:rsidP="0027176B">
            <w:pPr>
              <w:jc w:val="cente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 </w:t>
            </w:r>
          </w:p>
        </w:tc>
        <w:tc>
          <w:tcPr>
            <w:tcW w:w="1134" w:type="dxa"/>
            <w:tcBorders>
              <w:top w:val="nil"/>
              <w:left w:val="nil"/>
              <w:bottom w:val="nil"/>
              <w:right w:val="single" w:sz="4" w:space="0" w:color="auto"/>
            </w:tcBorders>
            <w:shd w:val="clear" w:color="000000" w:fill="FFFFFF"/>
            <w:noWrap/>
            <w:vAlign w:val="center"/>
            <w:hideMark/>
          </w:tcPr>
          <w:p w14:paraId="4B4929D3" w14:textId="77777777" w:rsidR="0027176B" w:rsidRPr="0027176B" w:rsidRDefault="0027176B" w:rsidP="0027176B">
            <w:pPr>
              <w:jc w:val="cente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4,851</w:t>
            </w:r>
          </w:p>
        </w:tc>
        <w:tc>
          <w:tcPr>
            <w:tcW w:w="1931" w:type="dxa"/>
            <w:tcBorders>
              <w:top w:val="nil"/>
              <w:left w:val="nil"/>
              <w:bottom w:val="nil"/>
              <w:right w:val="single" w:sz="4" w:space="0" w:color="auto"/>
            </w:tcBorders>
            <w:shd w:val="clear" w:color="000000" w:fill="FFFFFF"/>
            <w:noWrap/>
            <w:vAlign w:val="center"/>
            <w:hideMark/>
          </w:tcPr>
          <w:p w14:paraId="50D66BE0" w14:textId="77777777" w:rsidR="0027176B" w:rsidRPr="0027176B" w:rsidRDefault="0027176B" w:rsidP="0027176B">
            <w:pPr>
              <w:jc w:val="right"/>
              <w:rPr>
                <w:rFonts w:ascii="Verdana" w:eastAsia="Times New Roman" w:hAnsi="Verdana" w:cs="Calibri"/>
                <w:b/>
                <w:bCs/>
                <w:color w:val="000000"/>
                <w:sz w:val="16"/>
                <w:szCs w:val="16"/>
                <w:lang w:val="en-GB" w:eastAsia="en-GB"/>
              </w:rPr>
            </w:pPr>
            <w:r w:rsidRPr="0027176B">
              <w:rPr>
                <w:rFonts w:ascii="Verdana" w:eastAsia="Verdana" w:hAnsi="Verdana" w:cs="Verdana"/>
                <w:b/>
                <w:bCs/>
                <w:color w:val="000000"/>
                <w:sz w:val="16"/>
                <w:szCs w:val="16"/>
                <w:lang w:val="en-GB" w:eastAsia="en-GB"/>
              </w:rPr>
              <w:t>178,632</w:t>
            </w:r>
          </w:p>
        </w:tc>
      </w:tr>
      <w:tr w:rsidR="0027176B" w:rsidRPr="0027176B" w14:paraId="7DED4EE5" w14:textId="77777777" w:rsidTr="0027176B">
        <w:trPr>
          <w:gridAfter w:val="2"/>
          <w:wAfter w:w="25" w:type="dxa"/>
          <w:trHeight w:val="315"/>
        </w:trPr>
        <w:tc>
          <w:tcPr>
            <w:tcW w:w="3544" w:type="dxa"/>
            <w:tcBorders>
              <w:top w:val="nil"/>
              <w:left w:val="single" w:sz="4" w:space="0" w:color="auto"/>
              <w:bottom w:val="nil"/>
              <w:right w:val="nil"/>
            </w:tcBorders>
            <w:shd w:val="clear" w:color="000000" w:fill="FFFFFF"/>
            <w:noWrap/>
            <w:vAlign w:val="center"/>
            <w:hideMark/>
          </w:tcPr>
          <w:p w14:paraId="7CFB65CF" w14:textId="77777777" w:rsidR="0027176B" w:rsidRPr="0027176B" w:rsidRDefault="0027176B" w:rsidP="0027176B">
            <w:pP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 xml:space="preserve">Assistant Chief Constable </w:t>
            </w:r>
          </w:p>
        </w:tc>
        <w:tc>
          <w:tcPr>
            <w:tcW w:w="1701" w:type="dxa"/>
            <w:tcBorders>
              <w:top w:val="nil"/>
              <w:left w:val="single" w:sz="4" w:space="0" w:color="auto"/>
              <w:bottom w:val="nil"/>
              <w:right w:val="single" w:sz="4" w:space="0" w:color="auto"/>
            </w:tcBorders>
            <w:shd w:val="clear" w:color="000000" w:fill="FFFFFF"/>
            <w:noWrap/>
            <w:vAlign w:val="center"/>
            <w:hideMark/>
          </w:tcPr>
          <w:p w14:paraId="537DA5FE" w14:textId="77777777" w:rsidR="0027176B" w:rsidRPr="0027176B" w:rsidRDefault="0027176B" w:rsidP="0027176B">
            <w:pP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07/10/2019</w:t>
            </w:r>
          </w:p>
        </w:tc>
        <w:tc>
          <w:tcPr>
            <w:tcW w:w="1176" w:type="dxa"/>
            <w:tcBorders>
              <w:top w:val="nil"/>
              <w:left w:val="nil"/>
              <w:bottom w:val="nil"/>
              <w:right w:val="nil"/>
            </w:tcBorders>
            <w:shd w:val="clear" w:color="000000" w:fill="FFFFFF"/>
            <w:noWrap/>
            <w:vAlign w:val="center"/>
            <w:hideMark/>
          </w:tcPr>
          <w:p w14:paraId="1655DB6A" w14:textId="77777777" w:rsidR="0027176B" w:rsidRPr="0027176B" w:rsidRDefault="0027176B" w:rsidP="0027176B">
            <w:pP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 </w:t>
            </w:r>
          </w:p>
        </w:tc>
        <w:tc>
          <w:tcPr>
            <w:tcW w:w="1242" w:type="dxa"/>
            <w:tcBorders>
              <w:top w:val="nil"/>
              <w:left w:val="single" w:sz="4" w:space="0" w:color="auto"/>
              <w:bottom w:val="nil"/>
              <w:right w:val="nil"/>
            </w:tcBorders>
            <w:shd w:val="clear" w:color="000000" w:fill="FFFFFF"/>
            <w:noWrap/>
            <w:vAlign w:val="center"/>
            <w:hideMark/>
          </w:tcPr>
          <w:p w14:paraId="76CF38B0" w14:textId="77777777" w:rsidR="0027176B" w:rsidRPr="0027176B" w:rsidRDefault="0027176B" w:rsidP="0027176B">
            <w:pPr>
              <w:jc w:val="cente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118,401</w:t>
            </w:r>
          </w:p>
        </w:tc>
        <w:tc>
          <w:tcPr>
            <w:tcW w:w="1551" w:type="dxa"/>
            <w:tcBorders>
              <w:top w:val="nil"/>
              <w:left w:val="single" w:sz="4" w:space="0" w:color="auto"/>
              <w:bottom w:val="nil"/>
              <w:right w:val="nil"/>
            </w:tcBorders>
            <w:shd w:val="clear" w:color="000000" w:fill="FFFFFF"/>
            <w:noWrap/>
            <w:vAlign w:val="center"/>
            <w:hideMark/>
          </w:tcPr>
          <w:p w14:paraId="06BEA736" w14:textId="77777777" w:rsidR="0027176B" w:rsidRPr="0027176B" w:rsidRDefault="0027176B" w:rsidP="0027176B">
            <w:pPr>
              <w:jc w:val="cente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33,424</w:t>
            </w:r>
          </w:p>
        </w:tc>
        <w:tc>
          <w:tcPr>
            <w:tcW w:w="1276" w:type="dxa"/>
            <w:tcBorders>
              <w:top w:val="nil"/>
              <w:left w:val="single" w:sz="4" w:space="0" w:color="auto"/>
              <w:bottom w:val="nil"/>
              <w:right w:val="single" w:sz="4" w:space="0" w:color="auto"/>
            </w:tcBorders>
            <w:shd w:val="clear" w:color="000000" w:fill="FFFFFF"/>
            <w:noWrap/>
            <w:vAlign w:val="center"/>
            <w:hideMark/>
          </w:tcPr>
          <w:p w14:paraId="5B216C0D" w14:textId="77777777" w:rsidR="0027176B" w:rsidRPr="0027176B" w:rsidRDefault="0027176B" w:rsidP="0027176B">
            <w:pPr>
              <w:jc w:val="cente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 </w:t>
            </w:r>
          </w:p>
        </w:tc>
        <w:tc>
          <w:tcPr>
            <w:tcW w:w="1134" w:type="dxa"/>
            <w:tcBorders>
              <w:top w:val="nil"/>
              <w:left w:val="nil"/>
              <w:bottom w:val="nil"/>
              <w:right w:val="single" w:sz="4" w:space="0" w:color="auto"/>
            </w:tcBorders>
            <w:shd w:val="clear" w:color="000000" w:fill="FFFFFF"/>
            <w:noWrap/>
            <w:vAlign w:val="center"/>
            <w:hideMark/>
          </w:tcPr>
          <w:p w14:paraId="2C3B19B9" w14:textId="77777777" w:rsidR="0027176B" w:rsidRPr="0027176B" w:rsidRDefault="0027176B" w:rsidP="0027176B">
            <w:pPr>
              <w:jc w:val="cente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4,311</w:t>
            </w:r>
          </w:p>
        </w:tc>
        <w:tc>
          <w:tcPr>
            <w:tcW w:w="1931" w:type="dxa"/>
            <w:tcBorders>
              <w:top w:val="nil"/>
              <w:left w:val="nil"/>
              <w:bottom w:val="nil"/>
              <w:right w:val="single" w:sz="4" w:space="0" w:color="auto"/>
            </w:tcBorders>
            <w:shd w:val="clear" w:color="000000" w:fill="FFFFFF"/>
            <w:noWrap/>
            <w:vAlign w:val="center"/>
            <w:hideMark/>
          </w:tcPr>
          <w:p w14:paraId="7256905E" w14:textId="77777777" w:rsidR="0027176B" w:rsidRPr="0027176B" w:rsidRDefault="0027176B" w:rsidP="0027176B">
            <w:pPr>
              <w:jc w:val="right"/>
              <w:rPr>
                <w:rFonts w:ascii="Verdana" w:eastAsia="Times New Roman" w:hAnsi="Verdana" w:cs="Calibri"/>
                <w:b/>
                <w:bCs/>
                <w:color w:val="000000"/>
                <w:sz w:val="16"/>
                <w:szCs w:val="16"/>
                <w:lang w:val="en-GB" w:eastAsia="en-GB"/>
              </w:rPr>
            </w:pPr>
            <w:r w:rsidRPr="0027176B">
              <w:rPr>
                <w:rFonts w:ascii="Verdana" w:eastAsia="Verdana" w:hAnsi="Verdana" w:cs="Verdana"/>
                <w:b/>
                <w:bCs/>
                <w:color w:val="000000"/>
                <w:sz w:val="16"/>
                <w:szCs w:val="16"/>
                <w:lang w:val="en-GB" w:eastAsia="en-GB"/>
              </w:rPr>
              <w:t>156,136</w:t>
            </w:r>
          </w:p>
        </w:tc>
      </w:tr>
      <w:tr w:rsidR="0027176B" w:rsidRPr="0027176B" w14:paraId="77393656" w14:textId="77777777" w:rsidTr="0027176B">
        <w:trPr>
          <w:gridAfter w:val="2"/>
          <w:wAfter w:w="25" w:type="dxa"/>
          <w:trHeight w:val="315"/>
        </w:trPr>
        <w:tc>
          <w:tcPr>
            <w:tcW w:w="3544" w:type="dxa"/>
            <w:tcBorders>
              <w:top w:val="nil"/>
              <w:left w:val="single" w:sz="4" w:space="0" w:color="auto"/>
              <w:bottom w:val="nil"/>
              <w:right w:val="nil"/>
            </w:tcBorders>
            <w:shd w:val="clear" w:color="000000" w:fill="FFFFFF"/>
            <w:noWrap/>
            <w:vAlign w:val="center"/>
            <w:hideMark/>
          </w:tcPr>
          <w:p w14:paraId="13F8A500" w14:textId="77777777" w:rsidR="0027176B" w:rsidRPr="0027176B" w:rsidRDefault="0027176B" w:rsidP="0027176B">
            <w:pP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Temporary Assistant Chief Constable</w:t>
            </w:r>
          </w:p>
        </w:tc>
        <w:tc>
          <w:tcPr>
            <w:tcW w:w="1701" w:type="dxa"/>
            <w:tcBorders>
              <w:top w:val="nil"/>
              <w:left w:val="single" w:sz="4" w:space="0" w:color="auto"/>
              <w:bottom w:val="nil"/>
              <w:right w:val="single" w:sz="4" w:space="0" w:color="auto"/>
            </w:tcBorders>
            <w:shd w:val="clear" w:color="000000" w:fill="FFFFFF"/>
            <w:noWrap/>
            <w:vAlign w:val="center"/>
            <w:hideMark/>
          </w:tcPr>
          <w:p w14:paraId="44DEA394" w14:textId="77777777" w:rsidR="0027176B" w:rsidRPr="0027176B" w:rsidRDefault="0027176B" w:rsidP="0027176B">
            <w:pP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16/12/2019</w:t>
            </w:r>
          </w:p>
        </w:tc>
        <w:tc>
          <w:tcPr>
            <w:tcW w:w="1176" w:type="dxa"/>
            <w:tcBorders>
              <w:top w:val="nil"/>
              <w:left w:val="nil"/>
              <w:bottom w:val="nil"/>
              <w:right w:val="nil"/>
            </w:tcBorders>
            <w:shd w:val="clear" w:color="000000" w:fill="FFFFFF"/>
            <w:noWrap/>
            <w:vAlign w:val="center"/>
            <w:hideMark/>
          </w:tcPr>
          <w:p w14:paraId="2C362F8C" w14:textId="77777777" w:rsidR="0027176B" w:rsidRPr="0027176B" w:rsidRDefault="0027176B" w:rsidP="0027176B">
            <w:pP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 </w:t>
            </w:r>
          </w:p>
        </w:tc>
        <w:tc>
          <w:tcPr>
            <w:tcW w:w="1242" w:type="dxa"/>
            <w:tcBorders>
              <w:top w:val="nil"/>
              <w:left w:val="single" w:sz="4" w:space="0" w:color="auto"/>
              <w:bottom w:val="nil"/>
              <w:right w:val="nil"/>
            </w:tcBorders>
            <w:shd w:val="clear" w:color="000000" w:fill="FFFFFF"/>
            <w:noWrap/>
            <w:vAlign w:val="center"/>
            <w:hideMark/>
          </w:tcPr>
          <w:p w14:paraId="35CACBFA" w14:textId="77777777" w:rsidR="0027176B" w:rsidRPr="0027176B" w:rsidRDefault="0027176B" w:rsidP="0027176B">
            <w:pPr>
              <w:jc w:val="cente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121,729</w:t>
            </w:r>
          </w:p>
        </w:tc>
        <w:tc>
          <w:tcPr>
            <w:tcW w:w="1551" w:type="dxa"/>
            <w:tcBorders>
              <w:top w:val="nil"/>
              <w:left w:val="single" w:sz="4" w:space="0" w:color="auto"/>
              <w:bottom w:val="nil"/>
              <w:right w:val="nil"/>
            </w:tcBorders>
            <w:shd w:val="clear" w:color="000000" w:fill="FFFFFF"/>
            <w:noWrap/>
            <w:vAlign w:val="center"/>
            <w:hideMark/>
          </w:tcPr>
          <w:p w14:paraId="3FFFFF8D" w14:textId="77777777" w:rsidR="0027176B" w:rsidRPr="0027176B" w:rsidRDefault="0027176B" w:rsidP="0027176B">
            <w:pPr>
              <w:jc w:val="cente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33,021</w:t>
            </w:r>
          </w:p>
        </w:tc>
        <w:tc>
          <w:tcPr>
            <w:tcW w:w="1276" w:type="dxa"/>
            <w:tcBorders>
              <w:top w:val="nil"/>
              <w:left w:val="single" w:sz="4" w:space="0" w:color="auto"/>
              <w:bottom w:val="nil"/>
              <w:right w:val="single" w:sz="4" w:space="0" w:color="auto"/>
            </w:tcBorders>
            <w:shd w:val="clear" w:color="000000" w:fill="FFFFFF"/>
            <w:noWrap/>
            <w:vAlign w:val="center"/>
            <w:hideMark/>
          </w:tcPr>
          <w:p w14:paraId="5AFB93DF" w14:textId="77777777" w:rsidR="0027176B" w:rsidRPr="0027176B" w:rsidRDefault="0027176B" w:rsidP="0027176B">
            <w:pPr>
              <w:jc w:val="cente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 </w:t>
            </w:r>
          </w:p>
        </w:tc>
        <w:tc>
          <w:tcPr>
            <w:tcW w:w="1134" w:type="dxa"/>
            <w:tcBorders>
              <w:top w:val="nil"/>
              <w:left w:val="nil"/>
              <w:bottom w:val="nil"/>
              <w:right w:val="single" w:sz="4" w:space="0" w:color="auto"/>
            </w:tcBorders>
            <w:shd w:val="clear" w:color="000000" w:fill="FFFFFF"/>
            <w:noWrap/>
            <w:vAlign w:val="center"/>
            <w:hideMark/>
          </w:tcPr>
          <w:p w14:paraId="0064AF14" w14:textId="77777777" w:rsidR="0027176B" w:rsidRPr="0027176B" w:rsidRDefault="0027176B" w:rsidP="0027176B">
            <w:pPr>
              <w:jc w:val="cente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3,880</w:t>
            </w:r>
          </w:p>
        </w:tc>
        <w:tc>
          <w:tcPr>
            <w:tcW w:w="1931" w:type="dxa"/>
            <w:tcBorders>
              <w:top w:val="nil"/>
              <w:left w:val="nil"/>
              <w:bottom w:val="nil"/>
              <w:right w:val="single" w:sz="4" w:space="0" w:color="auto"/>
            </w:tcBorders>
            <w:shd w:val="clear" w:color="000000" w:fill="FFFFFF"/>
            <w:noWrap/>
            <w:vAlign w:val="center"/>
            <w:hideMark/>
          </w:tcPr>
          <w:p w14:paraId="319D364F" w14:textId="77777777" w:rsidR="0027176B" w:rsidRPr="0027176B" w:rsidRDefault="0027176B" w:rsidP="0027176B">
            <w:pPr>
              <w:jc w:val="right"/>
              <w:rPr>
                <w:rFonts w:ascii="Verdana" w:eastAsia="Times New Roman" w:hAnsi="Verdana" w:cs="Calibri"/>
                <w:b/>
                <w:bCs/>
                <w:color w:val="000000"/>
                <w:sz w:val="16"/>
                <w:szCs w:val="16"/>
                <w:lang w:val="en-GB" w:eastAsia="en-GB"/>
              </w:rPr>
            </w:pPr>
            <w:r w:rsidRPr="0027176B">
              <w:rPr>
                <w:rFonts w:ascii="Verdana" w:eastAsia="Verdana" w:hAnsi="Verdana" w:cs="Verdana"/>
                <w:b/>
                <w:bCs/>
                <w:color w:val="000000"/>
                <w:sz w:val="16"/>
                <w:szCs w:val="16"/>
                <w:lang w:val="en-GB" w:eastAsia="en-GB"/>
              </w:rPr>
              <w:t>158,630</w:t>
            </w:r>
          </w:p>
        </w:tc>
      </w:tr>
      <w:tr w:rsidR="0027176B" w:rsidRPr="0027176B" w14:paraId="505F2C6B" w14:textId="77777777" w:rsidTr="0027176B">
        <w:trPr>
          <w:gridAfter w:val="2"/>
          <w:wAfter w:w="25" w:type="dxa"/>
          <w:trHeight w:val="315"/>
        </w:trPr>
        <w:tc>
          <w:tcPr>
            <w:tcW w:w="3544" w:type="dxa"/>
            <w:tcBorders>
              <w:top w:val="nil"/>
              <w:left w:val="single" w:sz="4" w:space="0" w:color="auto"/>
              <w:bottom w:val="nil"/>
              <w:right w:val="nil"/>
            </w:tcBorders>
            <w:shd w:val="clear" w:color="000000" w:fill="FFFFFF"/>
            <w:noWrap/>
            <w:vAlign w:val="center"/>
            <w:hideMark/>
          </w:tcPr>
          <w:p w14:paraId="68E66DF6" w14:textId="77777777" w:rsidR="0027176B" w:rsidRPr="0027176B" w:rsidRDefault="0027176B" w:rsidP="0027176B">
            <w:pP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Temporary Assistant Chief Constable</w:t>
            </w:r>
          </w:p>
        </w:tc>
        <w:tc>
          <w:tcPr>
            <w:tcW w:w="1701" w:type="dxa"/>
            <w:tcBorders>
              <w:top w:val="nil"/>
              <w:left w:val="single" w:sz="4" w:space="0" w:color="auto"/>
              <w:bottom w:val="nil"/>
              <w:right w:val="single" w:sz="4" w:space="0" w:color="auto"/>
            </w:tcBorders>
            <w:shd w:val="clear" w:color="000000" w:fill="FFFFFF"/>
            <w:noWrap/>
            <w:vAlign w:val="center"/>
            <w:hideMark/>
          </w:tcPr>
          <w:p w14:paraId="6B1565C9" w14:textId="77777777" w:rsidR="0027176B" w:rsidRPr="0027176B" w:rsidRDefault="0027176B" w:rsidP="0027176B">
            <w:pP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20/01/2019</w:t>
            </w:r>
          </w:p>
        </w:tc>
        <w:tc>
          <w:tcPr>
            <w:tcW w:w="1176" w:type="dxa"/>
            <w:tcBorders>
              <w:top w:val="nil"/>
              <w:left w:val="nil"/>
              <w:bottom w:val="nil"/>
              <w:right w:val="nil"/>
            </w:tcBorders>
            <w:shd w:val="clear" w:color="000000" w:fill="FFFFFF"/>
            <w:noWrap/>
            <w:vAlign w:val="center"/>
            <w:hideMark/>
          </w:tcPr>
          <w:p w14:paraId="2EEEADAE" w14:textId="77777777" w:rsidR="0027176B" w:rsidRPr="0027176B" w:rsidRDefault="0027176B" w:rsidP="0027176B">
            <w:pP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07/06/2020</w:t>
            </w:r>
          </w:p>
        </w:tc>
        <w:tc>
          <w:tcPr>
            <w:tcW w:w="1242" w:type="dxa"/>
            <w:tcBorders>
              <w:top w:val="nil"/>
              <w:left w:val="single" w:sz="4" w:space="0" w:color="auto"/>
              <w:bottom w:val="nil"/>
              <w:right w:val="nil"/>
            </w:tcBorders>
            <w:shd w:val="clear" w:color="000000" w:fill="FFFFFF"/>
            <w:noWrap/>
            <w:vAlign w:val="center"/>
            <w:hideMark/>
          </w:tcPr>
          <w:p w14:paraId="1589C827" w14:textId="77777777" w:rsidR="0027176B" w:rsidRPr="0027176B" w:rsidRDefault="0027176B" w:rsidP="0027176B">
            <w:pPr>
              <w:jc w:val="cente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21,263</w:t>
            </w:r>
          </w:p>
        </w:tc>
        <w:tc>
          <w:tcPr>
            <w:tcW w:w="1551" w:type="dxa"/>
            <w:tcBorders>
              <w:top w:val="nil"/>
              <w:left w:val="single" w:sz="4" w:space="0" w:color="auto"/>
              <w:bottom w:val="nil"/>
              <w:right w:val="nil"/>
            </w:tcBorders>
            <w:shd w:val="clear" w:color="000000" w:fill="FFFFFF"/>
            <w:noWrap/>
            <w:vAlign w:val="center"/>
            <w:hideMark/>
          </w:tcPr>
          <w:p w14:paraId="61D02EC6" w14:textId="77777777" w:rsidR="0027176B" w:rsidRPr="0027176B" w:rsidRDefault="0027176B" w:rsidP="0027176B">
            <w:pPr>
              <w:jc w:val="cente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5,066</w:t>
            </w:r>
          </w:p>
        </w:tc>
        <w:tc>
          <w:tcPr>
            <w:tcW w:w="1276" w:type="dxa"/>
            <w:tcBorders>
              <w:top w:val="nil"/>
              <w:left w:val="single" w:sz="4" w:space="0" w:color="auto"/>
              <w:bottom w:val="nil"/>
              <w:right w:val="single" w:sz="4" w:space="0" w:color="auto"/>
            </w:tcBorders>
            <w:shd w:val="clear" w:color="000000" w:fill="FFFFFF"/>
            <w:noWrap/>
            <w:vAlign w:val="center"/>
            <w:hideMark/>
          </w:tcPr>
          <w:p w14:paraId="0A9F3B06" w14:textId="77777777" w:rsidR="0027176B" w:rsidRPr="0027176B" w:rsidRDefault="0027176B" w:rsidP="0027176B">
            <w:pPr>
              <w:jc w:val="cente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 </w:t>
            </w:r>
          </w:p>
        </w:tc>
        <w:tc>
          <w:tcPr>
            <w:tcW w:w="1134" w:type="dxa"/>
            <w:tcBorders>
              <w:top w:val="nil"/>
              <w:left w:val="nil"/>
              <w:bottom w:val="nil"/>
              <w:right w:val="single" w:sz="4" w:space="0" w:color="auto"/>
            </w:tcBorders>
            <w:shd w:val="clear" w:color="000000" w:fill="FFFFFF"/>
            <w:noWrap/>
            <w:vAlign w:val="center"/>
            <w:hideMark/>
          </w:tcPr>
          <w:p w14:paraId="19A80789" w14:textId="77777777" w:rsidR="0027176B" w:rsidRPr="0027176B" w:rsidRDefault="0027176B" w:rsidP="0027176B">
            <w:pPr>
              <w:jc w:val="cente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 </w:t>
            </w:r>
          </w:p>
        </w:tc>
        <w:tc>
          <w:tcPr>
            <w:tcW w:w="1931" w:type="dxa"/>
            <w:tcBorders>
              <w:top w:val="nil"/>
              <w:left w:val="nil"/>
              <w:bottom w:val="nil"/>
              <w:right w:val="single" w:sz="4" w:space="0" w:color="auto"/>
            </w:tcBorders>
            <w:shd w:val="clear" w:color="000000" w:fill="FFFFFF"/>
            <w:noWrap/>
            <w:vAlign w:val="center"/>
            <w:hideMark/>
          </w:tcPr>
          <w:p w14:paraId="5E35C8A4" w14:textId="77777777" w:rsidR="0027176B" w:rsidRPr="0027176B" w:rsidRDefault="0027176B" w:rsidP="0027176B">
            <w:pPr>
              <w:jc w:val="right"/>
              <w:rPr>
                <w:rFonts w:ascii="Verdana" w:eastAsia="Times New Roman" w:hAnsi="Verdana" w:cs="Calibri"/>
                <w:b/>
                <w:bCs/>
                <w:color w:val="000000"/>
                <w:sz w:val="16"/>
                <w:szCs w:val="16"/>
                <w:lang w:val="en-GB" w:eastAsia="en-GB"/>
              </w:rPr>
            </w:pPr>
            <w:r w:rsidRPr="0027176B">
              <w:rPr>
                <w:rFonts w:ascii="Verdana" w:eastAsia="Verdana" w:hAnsi="Verdana" w:cs="Verdana"/>
                <w:b/>
                <w:bCs/>
                <w:color w:val="000000"/>
                <w:sz w:val="16"/>
                <w:szCs w:val="16"/>
                <w:lang w:val="en-GB" w:eastAsia="en-GB"/>
              </w:rPr>
              <w:t>26,329</w:t>
            </w:r>
          </w:p>
        </w:tc>
      </w:tr>
      <w:tr w:rsidR="0027176B" w:rsidRPr="0027176B" w14:paraId="7918CAC7" w14:textId="77777777" w:rsidTr="0027176B">
        <w:trPr>
          <w:gridAfter w:val="2"/>
          <w:wAfter w:w="25" w:type="dxa"/>
          <w:trHeight w:val="315"/>
        </w:trPr>
        <w:tc>
          <w:tcPr>
            <w:tcW w:w="3544" w:type="dxa"/>
            <w:tcBorders>
              <w:top w:val="nil"/>
              <w:left w:val="single" w:sz="4" w:space="0" w:color="auto"/>
              <w:bottom w:val="nil"/>
              <w:right w:val="nil"/>
            </w:tcBorders>
            <w:shd w:val="clear" w:color="000000" w:fill="FFFFFF"/>
            <w:noWrap/>
            <w:vAlign w:val="center"/>
            <w:hideMark/>
          </w:tcPr>
          <w:p w14:paraId="6E37F3D6" w14:textId="77777777" w:rsidR="0027176B" w:rsidRPr="0027176B" w:rsidRDefault="0027176B" w:rsidP="0027176B">
            <w:pP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Chief Superintendent</w:t>
            </w:r>
          </w:p>
        </w:tc>
        <w:tc>
          <w:tcPr>
            <w:tcW w:w="1701" w:type="dxa"/>
            <w:tcBorders>
              <w:top w:val="nil"/>
              <w:left w:val="single" w:sz="4" w:space="0" w:color="auto"/>
              <w:bottom w:val="nil"/>
              <w:right w:val="single" w:sz="4" w:space="0" w:color="auto"/>
            </w:tcBorders>
            <w:shd w:val="clear" w:color="000000" w:fill="FFFFFF"/>
            <w:noWrap/>
            <w:vAlign w:val="center"/>
            <w:hideMark/>
          </w:tcPr>
          <w:p w14:paraId="73925951" w14:textId="77777777" w:rsidR="0027176B" w:rsidRPr="0027176B" w:rsidRDefault="0027176B" w:rsidP="0027176B">
            <w:pP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09/06/2014</w:t>
            </w:r>
          </w:p>
        </w:tc>
        <w:tc>
          <w:tcPr>
            <w:tcW w:w="1176" w:type="dxa"/>
            <w:tcBorders>
              <w:top w:val="nil"/>
              <w:left w:val="nil"/>
              <w:bottom w:val="nil"/>
              <w:right w:val="nil"/>
            </w:tcBorders>
            <w:shd w:val="clear" w:color="000000" w:fill="FFFFFF"/>
            <w:noWrap/>
            <w:vAlign w:val="center"/>
            <w:hideMark/>
          </w:tcPr>
          <w:p w14:paraId="50796CF0" w14:textId="77777777" w:rsidR="0027176B" w:rsidRPr="0027176B" w:rsidRDefault="0027176B" w:rsidP="0027176B">
            <w:pP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 </w:t>
            </w:r>
          </w:p>
        </w:tc>
        <w:tc>
          <w:tcPr>
            <w:tcW w:w="1242" w:type="dxa"/>
            <w:tcBorders>
              <w:top w:val="nil"/>
              <w:left w:val="single" w:sz="4" w:space="0" w:color="auto"/>
              <w:bottom w:val="nil"/>
              <w:right w:val="nil"/>
            </w:tcBorders>
            <w:shd w:val="clear" w:color="000000" w:fill="FFFFFF"/>
            <w:noWrap/>
            <w:vAlign w:val="center"/>
            <w:hideMark/>
          </w:tcPr>
          <w:p w14:paraId="5D551E69" w14:textId="77777777" w:rsidR="0027176B" w:rsidRPr="0027176B" w:rsidRDefault="0027176B" w:rsidP="0027176B">
            <w:pPr>
              <w:jc w:val="cente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95,635</w:t>
            </w:r>
          </w:p>
        </w:tc>
        <w:tc>
          <w:tcPr>
            <w:tcW w:w="1551" w:type="dxa"/>
            <w:tcBorders>
              <w:top w:val="nil"/>
              <w:left w:val="single" w:sz="4" w:space="0" w:color="auto"/>
              <w:bottom w:val="nil"/>
              <w:right w:val="nil"/>
            </w:tcBorders>
            <w:shd w:val="clear" w:color="000000" w:fill="FFFFFF"/>
            <w:noWrap/>
            <w:vAlign w:val="center"/>
            <w:hideMark/>
          </w:tcPr>
          <w:p w14:paraId="257C7937" w14:textId="77777777" w:rsidR="0027176B" w:rsidRPr="0027176B" w:rsidRDefault="0027176B" w:rsidP="0027176B">
            <w:pPr>
              <w:jc w:val="cente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28,153</w:t>
            </w:r>
          </w:p>
        </w:tc>
        <w:tc>
          <w:tcPr>
            <w:tcW w:w="1276" w:type="dxa"/>
            <w:tcBorders>
              <w:top w:val="nil"/>
              <w:left w:val="single" w:sz="4" w:space="0" w:color="auto"/>
              <w:bottom w:val="nil"/>
              <w:right w:val="single" w:sz="4" w:space="0" w:color="auto"/>
            </w:tcBorders>
            <w:shd w:val="clear" w:color="000000" w:fill="FFFFFF"/>
            <w:noWrap/>
            <w:vAlign w:val="center"/>
            <w:hideMark/>
          </w:tcPr>
          <w:p w14:paraId="3342E901" w14:textId="77777777" w:rsidR="0027176B" w:rsidRPr="0027176B" w:rsidRDefault="0027176B" w:rsidP="0027176B">
            <w:pPr>
              <w:jc w:val="cente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 </w:t>
            </w:r>
          </w:p>
        </w:tc>
        <w:tc>
          <w:tcPr>
            <w:tcW w:w="1134" w:type="dxa"/>
            <w:tcBorders>
              <w:top w:val="nil"/>
              <w:left w:val="nil"/>
              <w:bottom w:val="nil"/>
              <w:right w:val="single" w:sz="4" w:space="0" w:color="auto"/>
            </w:tcBorders>
            <w:shd w:val="clear" w:color="000000" w:fill="FFFFFF"/>
            <w:noWrap/>
            <w:vAlign w:val="center"/>
            <w:hideMark/>
          </w:tcPr>
          <w:p w14:paraId="28F1A3C8" w14:textId="77777777" w:rsidR="0027176B" w:rsidRPr="0027176B" w:rsidRDefault="0027176B" w:rsidP="0027176B">
            <w:pPr>
              <w:jc w:val="cente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3,519</w:t>
            </w:r>
          </w:p>
        </w:tc>
        <w:tc>
          <w:tcPr>
            <w:tcW w:w="1931" w:type="dxa"/>
            <w:tcBorders>
              <w:top w:val="nil"/>
              <w:left w:val="nil"/>
              <w:bottom w:val="nil"/>
              <w:right w:val="single" w:sz="4" w:space="0" w:color="auto"/>
            </w:tcBorders>
            <w:shd w:val="clear" w:color="000000" w:fill="FFFFFF"/>
            <w:noWrap/>
            <w:vAlign w:val="center"/>
            <w:hideMark/>
          </w:tcPr>
          <w:p w14:paraId="5924F005" w14:textId="77777777" w:rsidR="0027176B" w:rsidRPr="0027176B" w:rsidRDefault="0027176B" w:rsidP="0027176B">
            <w:pPr>
              <w:jc w:val="right"/>
              <w:rPr>
                <w:rFonts w:ascii="Verdana" w:eastAsia="Times New Roman" w:hAnsi="Verdana" w:cs="Calibri"/>
                <w:b/>
                <w:bCs/>
                <w:color w:val="000000"/>
                <w:sz w:val="16"/>
                <w:szCs w:val="16"/>
                <w:lang w:val="en-GB" w:eastAsia="en-GB"/>
              </w:rPr>
            </w:pPr>
            <w:r w:rsidRPr="0027176B">
              <w:rPr>
                <w:rFonts w:ascii="Verdana" w:eastAsia="Verdana" w:hAnsi="Verdana" w:cs="Verdana"/>
                <w:b/>
                <w:bCs/>
                <w:color w:val="000000"/>
                <w:sz w:val="16"/>
                <w:szCs w:val="16"/>
                <w:lang w:val="en-GB" w:eastAsia="en-GB"/>
              </w:rPr>
              <w:t>127,307</w:t>
            </w:r>
          </w:p>
        </w:tc>
      </w:tr>
      <w:tr w:rsidR="0027176B" w:rsidRPr="0027176B" w14:paraId="3C1D33C3" w14:textId="77777777" w:rsidTr="0027176B">
        <w:trPr>
          <w:gridAfter w:val="2"/>
          <w:wAfter w:w="25" w:type="dxa"/>
          <w:trHeight w:val="315"/>
        </w:trPr>
        <w:tc>
          <w:tcPr>
            <w:tcW w:w="3544" w:type="dxa"/>
            <w:tcBorders>
              <w:top w:val="nil"/>
              <w:left w:val="single" w:sz="4" w:space="0" w:color="auto"/>
              <w:bottom w:val="nil"/>
              <w:right w:val="nil"/>
            </w:tcBorders>
            <w:shd w:val="clear" w:color="000000" w:fill="FFFFFF"/>
            <w:noWrap/>
            <w:vAlign w:val="center"/>
            <w:hideMark/>
          </w:tcPr>
          <w:p w14:paraId="472821C3" w14:textId="77777777" w:rsidR="0027176B" w:rsidRPr="0027176B" w:rsidRDefault="0027176B" w:rsidP="0027176B">
            <w:pP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Chief Superintendent</w:t>
            </w:r>
          </w:p>
        </w:tc>
        <w:tc>
          <w:tcPr>
            <w:tcW w:w="1701" w:type="dxa"/>
            <w:tcBorders>
              <w:top w:val="nil"/>
              <w:left w:val="single" w:sz="4" w:space="0" w:color="auto"/>
              <w:bottom w:val="nil"/>
              <w:right w:val="single" w:sz="4" w:space="0" w:color="auto"/>
            </w:tcBorders>
            <w:shd w:val="clear" w:color="000000" w:fill="FFFFFF"/>
            <w:noWrap/>
            <w:vAlign w:val="center"/>
            <w:hideMark/>
          </w:tcPr>
          <w:p w14:paraId="69A41E36" w14:textId="77777777" w:rsidR="0027176B" w:rsidRPr="0027176B" w:rsidRDefault="0027176B" w:rsidP="0027176B">
            <w:pP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02/01/2018</w:t>
            </w:r>
          </w:p>
        </w:tc>
        <w:tc>
          <w:tcPr>
            <w:tcW w:w="1176" w:type="dxa"/>
            <w:tcBorders>
              <w:top w:val="nil"/>
              <w:left w:val="nil"/>
              <w:bottom w:val="nil"/>
              <w:right w:val="nil"/>
            </w:tcBorders>
            <w:shd w:val="clear" w:color="000000" w:fill="FFFFFF"/>
            <w:noWrap/>
            <w:vAlign w:val="center"/>
            <w:hideMark/>
          </w:tcPr>
          <w:p w14:paraId="5827FECB" w14:textId="77777777" w:rsidR="0027176B" w:rsidRPr="0027176B" w:rsidRDefault="0027176B" w:rsidP="0027176B">
            <w:pP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 </w:t>
            </w:r>
          </w:p>
        </w:tc>
        <w:tc>
          <w:tcPr>
            <w:tcW w:w="1242" w:type="dxa"/>
            <w:tcBorders>
              <w:top w:val="nil"/>
              <w:left w:val="single" w:sz="4" w:space="0" w:color="auto"/>
              <w:bottom w:val="nil"/>
              <w:right w:val="nil"/>
            </w:tcBorders>
            <w:shd w:val="clear" w:color="000000" w:fill="FFFFFF"/>
            <w:noWrap/>
            <w:vAlign w:val="center"/>
            <w:hideMark/>
          </w:tcPr>
          <w:p w14:paraId="11669148" w14:textId="77777777" w:rsidR="0027176B" w:rsidRPr="0027176B" w:rsidRDefault="0027176B" w:rsidP="0027176B">
            <w:pPr>
              <w:jc w:val="cente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97,740</w:t>
            </w:r>
          </w:p>
        </w:tc>
        <w:tc>
          <w:tcPr>
            <w:tcW w:w="1551" w:type="dxa"/>
            <w:tcBorders>
              <w:top w:val="nil"/>
              <w:left w:val="single" w:sz="4" w:space="0" w:color="auto"/>
              <w:bottom w:val="nil"/>
              <w:right w:val="nil"/>
            </w:tcBorders>
            <w:shd w:val="clear" w:color="000000" w:fill="FFFFFF"/>
            <w:noWrap/>
            <w:vAlign w:val="center"/>
            <w:hideMark/>
          </w:tcPr>
          <w:p w14:paraId="26E04156" w14:textId="77777777" w:rsidR="0027176B" w:rsidRPr="0027176B" w:rsidRDefault="0027176B" w:rsidP="0027176B">
            <w:pPr>
              <w:jc w:val="cente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23,413</w:t>
            </w:r>
          </w:p>
        </w:tc>
        <w:tc>
          <w:tcPr>
            <w:tcW w:w="1276" w:type="dxa"/>
            <w:tcBorders>
              <w:top w:val="nil"/>
              <w:left w:val="single" w:sz="4" w:space="0" w:color="auto"/>
              <w:bottom w:val="nil"/>
              <w:right w:val="single" w:sz="4" w:space="0" w:color="auto"/>
            </w:tcBorders>
            <w:shd w:val="clear" w:color="000000" w:fill="FFFFFF"/>
            <w:noWrap/>
            <w:vAlign w:val="center"/>
            <w:hideMark/>
          </w:tcPr>
          <w:p w14:paraId="04375357" w14:textId="77777777" w:rsidR="0027176B" w:rsidRPr="0027176B" w:rsidRDefault="0027176B" w:rsidP="0027176B">
            <w:pPr>
              <w:jc w:val="cente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 </w:t>
            </w:r>
          </w:p>
        </w:tc>
        <w:tc>
          <w:tcPr>
            <w:tcW w:w="1134" w:type="dxa"/>
            <w:tcBorders>
              <w:top w:val="nil"/>
              <w:left w:val="nil"/>
              <w:bottom w:val="nil"/>
              <w:right w:val="single" w:sz="4" w:space="0" w:color="auto"/>
            </w:tcBorders>
            <w:shd w:val="clear" w:color="000000" w:fill="FFFFFF"/>
            <w:noWrap/>
            <w:vAlign w:val="center"/>
            <w:hideMark/>
          </w:tcPr>
          <w:p w14:paraId="5984F4F0" w14:textId="77777777" w:rsidR="0027176B" w:rsidRPr="0027176B" w:rsidRDefault="0027176B" w:rsidP="0027176B">
            <w:pPr>
              <w:jc w:val="cente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 </w:t>
            </w:r>
          </w:p>
        </w:tc>
        <w:tc>
          <w:tcPr>
            <w:tcW w:w="1931" w:type="dxa"/>
            <w:tcBorders>
              <w:top w:val="nil"/>
              <w:left w:val="nil"/>
              <w:bottom w:val="nil"/>
              <w:right w:val="single" w:sz="4" w:space="0" w:color="auto"/>
            </w:tcBorders>
            <w:shd w:val="clear" w:color="000000" w:fill="FFFFFF"/>
            <w:noWrap/>
            <w:vAlign w:val="center"/>
            <w:hideMark/>
          </w:tcPr>
          <w:p w14:paraId="5CB58E33" w14:textId="77777777" w:rsidR="0027176B" w:rsidRPr="0027176B" w:rsidRDefault="0027176B" w:rsidP="0027176B">
            <w:pPr>
              <w:jc w:val="right"/>
              <w:rPr>
                <w:rFonts w:ascii="Verdana" w:eastAsia="Times New Roman" w:hAnsi="Verdana" w:cs="Calibri"/>
                <w:b/>
                <w:bCs/>
                <w:color w:val="000000"/>
                <w:sz w:val="16"/>
                <w:szCs w:val="16"/>
                <w:lang w:val="en-GB" w:eastAsia="en-GB"/>
              </w:rPr>
            </w:pPr>
            <w:r w:rsidRPr="0027176B">
              <w:rPr>
                <w:rFonts w:ascii="Verdana" w:eastAsia="Verdana" w:hAnsi="Verdana" w:cs="Verdana"/>
                <w:b/>
                <w:bCs/>
                <w:color w:val="000000"/>
                <w:sz w:val="16"/>
                <w:szCs w:val="16"/>
                <w:lang w:val="en-GB" w:eastAsia="en-GB"/>
              </w:rPr>
              <w:t>121,153</w:t>
            </w:r>
          </w:p>
        </w:tc>
      </w:tr>
      <w:tr w:rsidR="0027176B" w:rsidRPr="0027176B" w14:paraId="11B2C1C6" w14:textId="77777777" w:rsidTr="0027176B">
        <w:trPr>
          <w:gridAfter w:val="2"/>
          <w:wAfter w:w="25" w:type="dxa"/>
          <w:trHeight w:val="315"/>
        </w:trPr>
        <w:tc>
          <w:tcPr>
            <w:tcW w:w="3544" w:type="dxa"/>
            <w:tcBorders>
              <w:top w:val="nil"/>
              <w:left w:val="single" w:sz="4" w:space="0" w:color="auto"/>
              <w:bottom w:val="nil"/>
              <w:right w:val="nil"/>
            </w:tcBorders>
            <w:shd w:val="clear" w:color="000000" w:fill="FFFFFF"/>
            <w:noWrap/>
            <w:vAlign w:val="center"/>
            <w:hideMark/>
          </w:tcPr>
          <w:p w14:paraId="475795A2" w14:textId="77777777" w:rsidR="0027176B" w:rsidRPr="0027176B" w:rsidRDefault="0027176B" w:rsidP="0027176B">
            <w:pP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Temporary Chief Superintendent</w:t>
            </w:r>
          </w:p>
        </w:tc>
        <w:tc>
          <w:tcPr>
            <w:tcW w:w="1701" w:type="dxa"/>
            <w:tcBorders>
              <w:top w:val="nil"/>
              <w:left w:val="single" w:sz="4" w:space="0" w:color="auto"/>
              <w:bottom w:val="nil"/>
              <w:right w:val="single" w:sz="4" w:space="0" w:color="auto"/>
            </w:tcBorders>
            <w:shd w:val="clear" w:color="000000" w:fill="FFFFFF"/>
            <w:noWrap/>
            <w:vAlign w:val="center"/>
            <w:hideMark/>
          </w:tcPr>
          <w:p w14:paraId="061440DF" w14:textId="77777777" w:rsidR="0027176B" w:rsidRPr="0027176B" w:rsidRDefault="0027176B" w:rsidP="0027176B">
            <w:pP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14/10/2019</w:t>
            </w:r>
          </w:p>
        </w:tc>
        <w:tc>
          <w:tcPr>
            <w:tcW w:w="1176" w:type="dxa"/>
            <w:tcBorders>
              <w:top w:val="nil"/>
              <w:left w:val="nil"/>
              <w:bottom w:val="nil"/>
              <w:right w:val="nil"/>
            </w:tcBorders>
            <w:shd w:val="clear" w:color="000000" w:fill="FFFFFF"/>
            <w:noWrap/>
            <w:vAlign w:val="center"/>
            <w:hideMark/>
          </w:tcPr>
          <w:p w14:paraId="52095665" w14:textId="77777777" w:rsidR="0027176B" w:rsidRPr="0027176B" w:rsidRDefault="0027176B" w:rsidP="0027176B">
            <w:pP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 </w:t>
            </w:r>
          </w:p>
        </w:tc>
        <w:tc>
          <w:tcPr>
            <w:tcW w:w="1242" w:type="dxa"/>
            <w:tcBorders>
              <w:top w:val="nil"/>
              <w:left w:val="single" w:sz="4" w:space="0" w:color="auto"/>
              <w:bottom w:val="nil"/>
              <w:right w:val="nil"/>
            </w:tcBorders>
            <w:shd w:val="clear" w:color="000000" w:fill="FFFFFF"/>
            <w:noWrap/>
            <w:vAlign w:val="center"/>
            <w:hideMark/>
          </w:tcPr>
          <w:p w14:paraId="4B44410C" w14:textId="77777777" w:rsidR="0027176B" w:rsidRPr="0027176B" w:rsidRDefault="0027176B" w:rsidP="0027176B">
            <w:pPr>
              <w:jc w:val="cente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92,545</w:t>
            </w:r>
          </w:p>
        </w:tc>
        <w:tc>
          <w:tcPr>
            <w:tcW w:w="1551" w:type="dxa"/>
            <w:tcBorders>
              <w:top w:val="nil"/>
              <w:left w:val="single" w:sz="4" w:space="0" w:color="auto"/>
              <w:bottom w:val="nil"/>
              <w:right w:val="nil"/>
            </w:tcBorders>
            <w:shd w:val="clear" w:color="000000" w:fill="FFFFFF"/>
            <w:noWrap/>
            <w:vAlign w:val="center"/>
            <w:hideMark/>
          </w:tcPr>
          <w:p w14:paraId="148059D4" w14:textId="77777777" w:rsidR="0027176B" w:rsidRPr="0027176B" w:rsidRDefault="0027176B" w:rsidP="0027176B">
            <w:pPr>
              <w:jc w:val="cente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26,597</w:t>
            </w:r>
          </w:p>
        </w:tc>
        <w:tc>
          <w:tcPr>
            <w:tcW w:w="1276" w:type="dxa"/>
            <w:tcBorders>
              <w:top w:val="nil"/>
              <w:left w:val="single" w:sz="4" w:space="0" w:color="auto"/>
              <w:bottom w:val="nil"/>
              <w:right w:val="single" w:sz="4" w:space="0" w:color="auto"/>
            </w:tcBorders>
            <w:shd w:val="clear" w:color="000000" w:fill="FFFFFF"/>
            <w:noWrap/>
            <w:vAlign w:val="center"/>
            <w:hideMark/>
          </w:tcPr>
          <w:p w14:paraId="1B02E625" w14:textId="77777777" w:rsidR="0027176B" w:rsidRPr="0027176B" w:rsidRDefault="0027176B" w:rsidP="0027176B">
            <w:pPr>
              <w:jc w:val="cente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 </w:t>
            </w:r>
          </w:p>
        </w:tc>
        <w:tc>
          <w:tcPr>
            <w:tcW w:w="1134" w:type="dxa"/>
            <w:tcBorders>
              <w:top w:val="nil"/>
              <w:left w:val="nil"/>
              <w:bottom w:val="nil"/>
              <w:right w:val="single" w:sz="4" w:space="0" w:color="auto"/>
            </w:tcBorders>
            <w:shd w:val="clear" w:color="000000" w:fill="FFFFFF"/>
            <w:noWrap/>
            <w:vAlign w:val="center"/>
            <w:hideMark/>
          </w:tcPr>
          <w:p w14:paraId="5943E1E5" w14:textId="77777777" w:rsidR="0027176B" w:rsidRPr="0027176B" w:rsidRDefault="0027176B" w:rsidP="0027176B">
            <w:pPr>
              <w:jc w:val="cente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 </w:t>
            </w:r>
          </w:p>
        </w:tc>
        <w:tc>
          <w:tcPr>
            <w:tcW w:w="1931" w:type="dxa"/>
            <w:tcBorders>
              <w:top w:val="nil"/>
              <w:left w:val="nil"/>
              <w:bottom w:val="nil"/>
              <w:right w:val="single" w:sz="4" w:space="0" w:color="auto"/>
            </w:tcBorders>
            <w:shd w:val="clear" w:color="000000" w:fill="FFFFFF"/>
            <w:noWrap/>
            <w:vAlign w:val="center"/>
            <w:hideMark/>
          </w:tcPr>
          <w:p w14:paraId="1C3E00D6" w14:textId="77777777" w:rsidR="0027176B" w:rsidRPr="0027176B" w:rsidRDefault="0027176B" w:rsidP="0027176B">
            <w:pPr>
              <w:jc w:val="right"/>
              <w:rPr>
                <w:rFonts w:ascii="Verdana" w:eastAsia="Times New Roman" w:hAnsi="Verdana" w:cs="Calibri"/>
                <w:b/>
                <w:bCs/>
                <w:color w:val="000000"/>
                <w:sz w:val="16"/>
                <w:szCs w:val="16"/>
                <w:lang w:val="en-GB" w:eastAsia="en-GB"/>
              </w:rPr>
            </w:pPr>
            <w:r w:rsidRPr="0027176B">
              <w:rPr>
                <w:rFonts w:ascii="Verdana" w:eastAsia="Verdana" w:hAnsi="Verdana" w:cs="Verdana"/>
                <w:b/>
                <w:bCs/>
                <w:color w:val="000000"/>
                <w:sz w:val="16"/>
                <w:szCs w:val="16"/>
                <w:lang w:val="en-GB" w:eastAsia="en-GB"/>
              </w:rPr>
              <w:t>119,142</w:t>
            </w:r>
          </w:p>
        </w:tc>
      </w:tr>
      <w:tr w:rsidR="0027176B" w:rsidRPr="0027176B" w14:paraId="680BFAAB" w14:textId="77777777" w:rsidTr="0027176B">
        <w:trPr>
          <w:gridAfter w:val="2"/>
          <w:wAfter w:w="25" w:type="dxa"/>
          <w:trHeight w:val="315"/>
        </w:trPr>
        <w:tc>
          <w:tcPr>
            <w:tcW w:w="3544" w:type="dxa"/>
            <w:tcBorders>
              <w:top w:val="nil"/>
              <w:left w:val="single" w:sz="4" w:space="0" w:color="auto"/>
              <w:bottom w:val="nil"/>
              <w:right w:val="nil"/>
            </w:tcBorders>
            <w:shd w:val="clear" w:color="000000" w:fill="FFFFFF"/>
            <w:noWrap/>
            <w:vAlign w:val="center"/>
            <w:hideMark/>
          </w:tcPr>
          <w:p w14:paraId="11C08CF8" w14:textId="77777777" w:rsidR="0027176B" w:rsidRPr="0027176B" w:rsidRDefault="0027176B" w:rsidP="0027176B">
            <w:pP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Temporary Chief Superintendent</w:t>
            </w:r>
          </w:p>
        </w:tc>
        <w:tc>
          <w:tcPr>
            <w:tcW w:w="1701" w:type="dxa"/>
            <w:tcBorders>
              <w:top w:val="nil"/>
              <w:left w:val="single" w:sz="4" w:space="0" w:color="auto"/>
              <w:bottom w:val="nil"/>
              <w:right w:val="single" w:sz="4" w:space="0" w:color="auto"/>
            </w:tcBorders>
            <w:shd w:val="clear" w:color="000000" w:fill="FFFFFF"/>
            <w:noWrap/>
            <w:vAlign w:val="center"/>
            <w:hideMark/>
          </w:tcPr>
          <w:p w14:paraId="22ECB6E0" w14:textId="77777777" w:rsidR="0027176B" w:rsidRPr="0027176B" w:rsidRDefault="0027176B" w:rsidP="0027176B">
            <w:pP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16/12/2019</w:t>
            </w:r>
          </w:p>
        </w:tc>
        <w:tc>
          <w:tcPr>
            <w:tcW w:w="1176" w:type="dxa"/>
            <w:tcBorders>
              <w:top w:val="nil"/>
              <w:left w:val="nil"/>
              <w:bottom w:val="nil"/>
              <w:right w:val="nil"/>
            </w:tcBorders>
            <w:shd w:val="clear" w:color="000000" w:fill="FFFFFF"/>
            <w:noWrap/>
            <w:vAlign w:val="center"/>
            <w:hideMark/>
          </w:tcPr>
          <w:p w14:paraId="6E306C5D" w14:textId="77777777" w:rsidR="0027176B" w:rsidRPr="0027176B" w:rsidRDefault="0027176B" w:rsidP="0027176B">
            <w:pP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 </w:t>
            </w:r>
          </w:p>
        </w:tc>
        <w:tc>
          <w:tcPr>
            <w:tcW w:w="1242" w:type="dxa"/>
            <w:tcBorders>
              <w:top w:val="nil"/>
              <w:left w:val="single" w:sz="4" w:space="0" w:color="auto"/>
              <w:bottom w:val="nil"/>
              <w:right w:val="nil"/>
            </w:tcBorders>
            <w:shd w:val="clear" w:color="000000" w:fill="FFFFFF"/>
            <w:noWrap/>
            <w:vAlign w:val="center"/>
            <w:hideMark/>
          </w:tcPr>
          <w:p w14:paraId="52BA2671" w14:textId="77777777" w:rsidR="0027176B" w:rsidRPr="0027176B" w:rsidRDefault="0027176B" w:rsidP="0027176B">
            <w:pPr>
              <w:jc w:val="cente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90,257</w:t>
            </w:r>
          </w:p>
        </w:tc>
        <w:tc>
          <w:tcPr>
            <w:tcW w:w="1551" w:type="dxa"/>
            <w:tcBorders>
              <w:top w:val="nil"/>
              <w:left w:val="single" w:sz="4" w:space="0" w:color="auto"/>
              <w:bottom w:val="nil"/>
              <w:right w:val="nil"/>
            </w:tcBorders>
            <w:shd w:val="clear" w:color="000000" w:fill="FFFFFF"/>
            <w:noWrap/>
            <w:vAlign w:val="center"/>
            <w:hideMark/>
          </w:tcPr>
          <w:p w14:paraId="4A61A43A" w14:textId="77777777" w:rsidR="0027176B" w:rsidRPr="0027176B" w:rsidRDefault="0027176B" w:rsidP="0027176B">
            <w:pPr>
              <w:jc w:val="cente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26,594</w:t>
            </w:r>
          </w:p>
        </w:tc>
        <w:tc>
          <w:tcPr>
            <w:tcW w:w="1276" w:type="dxa"/>
            <w:tcBorders>
              <w:top w:val="nil"/>
              <w:left w:val="single" w:sz="4" w:space="0" w:color="auto"/>
              <w:bottom w:val="nil"/>
              <w:right w:val="single" w:sz="4" w:space="0" w:color="auto"/>
            </w:tcBorders>
            <w:shd w:val="clear" w:color="000000" w:fill="FFFFFF"/>
            <w:noWrap/>
            <w:vAlign w:val="center"/>
            <w:hideMark/>
          </w:tcPr>
          <w:p w14:paraId="1EE6237B" w14:textId="77777777" w:rsidR="0027176B" w:rsidRPr="0027176B" w:rsidRDefault="0027176B" w:rsidP="0027176B">
            <w:pPr>
              <w:jc w:val="cente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 </w:t>
            </w:r>
          </w:p>
        </w:tc>
        <w:tc>
          <w:tcPr>
            <w:tcW w:w="1134" w:type="dxa"/>
            <w:tcBorders>
              <w:top w:val="nil"/>
              <w:left w:val="nil"/>
              <w:bottom w:val="nil"/>
              <w:right w:val="single" w:sz="4" w:space="0" w:color="auto"/>
            </w:tcBorders>
            <w:shd w:val="clear" w:color="000000" w:fill="FFFFFF"/>
            <w:noWrap/>
            <w:vAlign w:val="center"/>
            <w:hideMark/>
          </w:tcPr>
          <w:p w14:paraId="7DEBFA6D" w14:textId="77777777" w:rsidR="0027176B" w:rsidRPr="0027176B" w:rsidRDefault="0027176B" w:rsidP="0027176B">
            <w:pPr>
              <w:jc w:val="cente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 </w:t>
            </w:r>
          </w:p>
        </w:tc>
        <w:tc>
          <w:tcPr>
            <w:tcW w:w="1931" w:type="dxa"/>
            <w:tcBorders>
              <w:top w:val="nil"/>
              <w:left w:val="nil"/>
              <w:bottom w:val="nil"/>
              <w:right w:val="single" w:sz="4" w:space="0" w:color="auto"/>
            </w:tcBorders>
            <w:shd w:val="clear" w:color="000000" w:fill="FFFFFF"/>
            <w:noWrap/>
            <w:vAlign w:val="center"/>
            <w:hideMark/>
          </w:tcPr>
          <w:p w14:paraId="60F31225" w14:textId="77777777" w:rsidR="0027176B" w:rsidRPr="0027176B" w:rsidRDefault="0027176B" w:rsidP="0027176B">
            <w:pPr>
              <w:jc w:val="right"/>
              <w:rPr>
                <w:rFonts w:ascii="Verdana" w:eastAsia="Times New Roman" w:hAnsi="Verdana" w:cs="Calibri"/>
                <w:b/>
                <w:bCs/>
                <w:color w:val="000000"/>
                <w:sz w:val="16"/>
                <w:szCs w:val="16"/>
                <w:lang w:val="en-GB" w:eastAsia="en-GB"/>
              </w:rPr>
            </w:pPr>
            <w:r w:rsidRPr="0027176B">
              <w:rPr>
                <w:rFonts w:ascii="Verdana" w:eastAsia="Verdana" w:hAnsi="Verdana" w:cs="Verdana"/>
                <w:b/>
                <w:bCs/>
                <w:color w:val="000000"/>
                <w:sz w:val="16"/>
                <w:szCs w:val="16"/>
                <w:lang w:val="en-GB" w:eastAsia="en-GB"/>
              </w:rPr>
              <w:t>116,851</w:t>
            </w:r>
          </w:p>
        </w:tc>
      </w:tr>
      <w:tr w:rsidR="0027176B" w:rsidRPr="0027176B" w14:paraId="229E5319" w14:textId="77777777" w:rsidTr="0027176B">
        <w:trPr>
          <w:gridAfter w:val="2"/>
          <w:wAfter w:w="25" w:type="dxa"/>
          <w:trHeight w:val="315"/>
        </w:trPr>
        <w:tc>
          <w:tcPr>
            <w:tcW w:w="3544" w:type="dxa"/>
            <w:tcBorders>
              <w:top w:val="nil"/>
              <w:left w:val="single" w:sz="4" w:space="0" w:color="auto"/>
              <w:bottom w:val="nil"/>
              <w:right w:val="nil"/>
            </w:tcBorders>
            <w:shd w:val="clear" w:color="000000" w:fill="FFFFFF"/>
            <w:noWrap/>
            <w:vAlign w:val="center"/>
            <w:hideMark/>
          </w:tcPr>
          <w:p w14:paraId="2E9C5B2C" w14:textId="77777777" w:rsidR="0027176B" w:rsidRPr="0027176B" w:rsidRDefault="0027176B" w:rsidP="0027176B">
            <w:pPr>
              <w:rPr>
                <w:rFonts w:ascii="Verdana" w:eastAsia="Times New Roman" w:hAnsi="Verdana" w:cs="Calibri"/>
                <w:b/>
                <w:bCs/>
                <w:color w:val="000000"/>
                <w:sz w:val="16"/>
                <w:szCs w:val="16"/>
                <w:lang w:val="en-GB" w:eastAsia="en-GB"/>
              </w:rPr>
            </w:pPr>
            <w:r w:rsidRPr="0027176B">
              <w:rPr>
                <w:rFonts w:ascii="Verdana" w:eastAsia="Verdana" w:hAnsi="Verdana" w:cs="Verdana"/>
                <w:b/>
                <w:bCs/>
                <w:color w:val="000000"/>
                <w:sz w:val="16"/>
                <w:szCs w:val="16"/>
                <w:lang w:val="en-GB" w:eastAsia="en-GB"/>
              </w:rPr>
              <w:t>Police Staff</w:t>
            </w:r>
          </w:p>
        </w:tc>
        <w:tc>
          <w:tcPr>
            <w:tcW w:w="1701" w:type="dxa"/>
            <w:tcBorders>
              <w:top w:val="nil"/>
              <w:left w:val="single" w:sz="4" w:space="0" w:color="auto"/>
              <w:bottom w:val="nil"/>
              <w:right w:val="single" w:sz="4" w:space="0" w:color="auto"/>
            </w:tcBorders>
            <w:shd w:val="clear" w:color="000000" w:fill="FFFFFF"/>
            <w:noWrap/>
            <w:vAlign w:val="center"/>
            <w:hideMark/>
          </w:tcPr>
          <w:p w14:paraId="3F6273C9" w14:textId="77777777" w:rsidR="0027176B" w:rsidRPr="0027176B" w:rsidRDefault="0027176B" w:rsidP="0027176B">
            <w:pPr>
              <w:rPr>
                <w:rFonts w:ascii="Verdana" w:eastAsia="Times New Roman" w:hAnsi="Verdana" w:cs="Calibri"/>
                <w:b/>
                <w:bCs/>
                <w:color w:val="000000"/>
                <w:sz w:val="16"/>
                <w:szCs w:val="16"/>
                <w:lang w:val="en-GB" w:eastAsia="en-GB"/>
              </w:rPr>
            </w:pPr>
            <w:r w:rsidRPr="0027176B">
              <w:rPr>
                <w:rFonts w:ascii="Verdana" w:eastAsia="Verdana" w:hAnsi="Verdana" w:cs="Verdana"/>
                <w:b/>
                <w:bCs/>
                <w:color w:val="000000"/>
                <w:sz w:val="16"/>
                <w:szCs w:val="16"/>
                <w:lang w:val="en-GB" w:eastAsia="en-GB"/>
              </w:rPr>
              <w:t> </w:t>
            </w:r>
          </w:p>
        </w:tc>
        <w:tc>
          <w:tcPr>
            <w:tcW w:w="1176" w:type="dxa"/>
            <w:tcBorders>
              <w:top w:val="nil"/>
              <w:left w:val="nil"/>
              <w:bottom w:val="nil"/>
              <w:right w:val="nil"/>
            </w:tcBorders>
            <w:shd w:val="clear" w:color="000000" w:fill="FFFFFF"/>
            <w:noWrap/>
            <w:vAlign w:val="center"/>
            <w:hideMark/>
          </w:tcPr>
          <w:p w14:paraId="3F00C6D4" w14:textId="77777777" w:rsidR="0027176B" w:rsidRPr="0027176B" w:rsidRDefault="0027176B" w:rsidP="0027176B">
            <w:pPr>
              <w:rPr>
                <w:rFonts w:ascii="Verdana" w:eastAsia="Times New Roman" w:hAnsi="Verdana" w:cs="Calibri"/>
                <w:b/>
                <w:bCs/>
                <w:color w:val="000000"/>
                <w:sz w:val="16"/>
                <w:szCs w:val="16"/>
                <w:lang w:val="en-GB" w:eastAsia="en-GB"/>
              </w:rPr>
            </w:pPr>
            <w:r w:rsidRPr="0027176B">
              <w:rPr>
                <w:rFonts w:ascii="Verdana" w:eastAsia="Verdana" w:hAnsi="Verdana" w:cs="Verdana"/>
                <w:b/>
                <w:bCs/>
                <w:color w:val="000000"/>
                <w:sz w:val="16"/>
                <w:szCs w:val="16"/>
                <w:lang w:val="en-GB" w:eastAsia="en-GB"/>
              </w:rPr>
              <w:t> </w:t>
            </w:r>
          </w:p>
        </w:tc>
        <w:tc>
          <w:tcPr>
            <w:tcW w:w="1242" w:type="dxa"/>
            <w:tcBorders>
              <w:top w:val="nil"/>
              <w:left w:val="single" w:sz="4" w:space="0" w:color="auto"/>
              <w:bottom w:val="nil"/>
              <w:right w:val="nil"/>
            </w:tcBorders>
            <w:shd w:val="clear" w:color="000000" w:fill="FFFFFF"/>
            <w:noWrap/>
            <w:vAlign w:val="center"/>
            <w:hideMark/>
          </w:tcPr>
          <w:p w14:paraId="1BD88092" w14:textId="77777777" w:rsidR="0027176B" w:rsidRPr="0027176B" w:rsidRDefault="0027176B" w:rsidP="0027176B">
            <w:pPr>
              <w:jc w:val="center"/>
              <w:rPr>
                <w:rFonts w:ascii="Verdana" w:eastAsia="Times New Roman" w:hAnsi="Verdana" w:cs="Calibri"/>
                <w:b/>
                <w:bCs/>
                <w:color w:val="000000"/>
                <w:sz w:val="16"/>
                <w:szCs w:val="16"/>
                <w:lang w:val="en-GB" w:eastAsia="en-GB"/>
              </w:rPr>
            </w:pPr>
            <w:r w:rsidRPr="0027176B">
              <w:rPr>
                <w:rFonts w:ascii="Verdana" w:eastAsia="Verdana" w:hAnsi="Verdana" w:cs="Verdana"/>
                <w:b/>
                <w:bCs/>
                <w:color w:val="000000"/>
                <w:sz w:val="16"/>
                <w:szCs w:val="16"/>
                <w:lang w:val="en-GB" w:eastAsia="en-GB"/>
              </w:rPr>
              <w:t> </w:t>
            </w:r>
          </w:p>
        </w:tc>
        <w:tc>
          <w:tcPr>
            <w:tcW w:w="1551" w:type="dxa"/>
            <w:tcBorders>
              <w:top w:val="nil"/>
              <w:left w:val="single" w:sz="4" w:space="0" w:color="auto"/>
              <w:bottom w:val="nil"/>
              <w:right w:val="nil"/>
            </w:tcBorders>
            <w:shd w:val="clear" w:color="000000" w:fill="FFFFFF"/>
            <w:noWrap/>
            <w:vAlign w:val="center"/>
            <w:hideMark/>
          </w:tcPr>
          <w:p w14:paraId="5BC91470" w14:textId="77777777" w:rsidR="0027176B" w:rsidRPr="0027176B" w:rsidRDefault="0027176B" w:rsidP="0027176B">
            <w:pPr>
              <w:jc w:val="center"/>
              <w:rPr>
                <w:rFonts w:ascii="Verdana" w:eastAsia="Times New Roman" w:hAnsi="Verdana" w:cs="Calibri"/>
                <w:b/>
                <w:bCs/>
                <w:color w:val="000000"/>
                <w:sz w:val="16"/>
                <w:szCs w:val="16"/>
                <w:lang w:val="en-GB" w:eastAsia="en-GB"/>
              </w:rPr>
            </w:pPr>
            <w:r w:rsidRPr="0027176B">
              <w:rPr>
                <w:rFonts w:ascii="Verdana" w:eastAsia="Verdana" w:hAnsi="Verdana" w:cs="Verdana"/>
                <w:b/>
                <w:bCs/>
                <w:color w:val="000000"/>
                <w:sz w:val="16"/>
                <w:szCs w:val="16"/>
                <w:lang w:val="en-GB" w:eastAsia="en-GB"/>
              </w:rPr>
              <w:t> </w:t>
            </w:r>
          </w:p>
        </w:tc>
        <w:tc>
          <w:tcPr>
            <w:tcW w:w="1276" w:type="dxa"/>
            <w:tcBorders>
              <w:top w:val="nil"/>
              <w:left w:val="single" w:sz="4" w:space="0" w:color="auto"/>
              <w:bottom w:val="nil"/>
              <w:right w:val="single" w:sz="4" w:space="0" w:color="auto"/>
            </w:tcBorders>
            <w:shd w:val="clear" w:color="000000" w:fill="FFFFFF"/>
            <w:noWrap/>
            <w:vAlign w:val="center"/>
            <w:hideMark/>
          </w:tcPr>
          <w:p w14:paraId="4C21FDC1" w14:textId="77777777" w:rsidR="0027176B" w:rsidRPr="0027176B" w:rsidRDefault="0027176B" w:rsidP="0027176B">
            <w:pPr>
              <w:jc w:val="center"/>
              <w:rPr>
                <w:rFonts w:ascii="Verdana" w:eastAsia="Times New Roman" w:hAnsi="Verdana" w:cs="Calibri"/>
                <w:b/>
                <w:bCs/>
                <w:color w:val="000000"/>
                <w:sz w:val="16"/>
                <w:szCs w:val="16"/>
                <w:lang w:val="en-GB" w:eastAsia="en-GB"/>
              </w:rPr>
            </w:pPr>
            <w:r w:rsidRPr="0027176B">
              <w:rPr>
                <w:rFonts w:ascii="Verdana" w:eastAsia="Verdana" w:hAnsi="Verdana" w:cs="Verdana"/>
                <w:b/>
                <w:bCs/>
                <w:color w:val="000000"/>
                <w:sz w:val="16"/>
                <w:szCs w:val="16"/>
                <w:lang w:val="en-GB" w:eastAsia="en-GB"/>
              </w:rPr>
              <w:t> </w:t>
            </w:r>
          </w:p>
        </w:tc>
        <w:tc>
          <w:tcPr>
            <w:tcW w:w="1134" w:type="dxa"/>
            <w:tcBorders>
              <w:top w:val="nil"/>
              <w:left w:val="nil"/>
              <w:bottom w:val="nil"/>
              <w:right w:val="single" w:sz="4" w:space="0" w:color="auto"/>
            </w:tcBorders>
            <w:shd w:val="clear" w:color="000000" w:fill="FFFFFF"/>
            <w:noWrap/>
            <w:vAlign w:val="center"/>
            <w:hideMark/>
          </w:tcPr>
          <w:p w14:paraId="4F10B2A0" w14:textId="77777777" w:rsidR="0027176B" w:rsidRPr="0027176B" w:rsidRDefault="0027176B" w:rsidP="0027176B">
            <w:pPr>
              <w:jc w:val="center"/>
              <w:rPr>
                <w:rFonts w:ascii="Verdana" w:eastAsia="Times New Roman" w:hAnsi="Verdana" w:cs="Calibri"/>
                <w:b/>
                <w:bCs/>
                <w:color w:val="000000"/>
                <w:sz w:val="16"/>
                <w:szCs w:val="16"/>
                <w:lang w:val="en-GB" w:eastAsia="en-GB"/>
              </w:rPr>
            </w:pPr>
            <w:r w:rsidRPr="0027176B">
              <w:rPr>
                <w:rFonts w:ascii="Verdana" w:eastAsia="Verdana" w:hAnsi="Verdana" w:cs="Verdana"/>
                <w:b/>
                <w:bCs/>
                <w:color w:val="000000"/>
                <w:sz w:val="16"/>
                <w:szCs w:val="16"/>
                <w:lang w:val="en-GB" w:eastAsia="en-GB"/>
              </w:rPr>
              <w:t> </w:t>
            </w:r>
          </w:p>
        </w:tc>
        <w:tc>
          <w:tcPr>
            <w:tcW w:w="1931" w:type="dxa"/>
            <w:tcBorders>
              <w:top w:val="nil"/>
              <w:left w:val="nil"/>
              <w:bottom w:val="nil"/>
              <w:right w:val="single" w:sz="4" w:space="0" w:color="auto"/>
            </w:tcBorders>
            <w:shd w:val="clear" w:color="000000" w:fill="FFFFFF"/>
            <w:noWrap/>
            <w:vAlign w:val="center"/>
            <w:hideMark/>
          </w:tcPr>
          <w:p w14:paraId="4EA171FA" w14:textId="77777777" w:rsidR="0027176B" w:rsidRPr="0027176B" w:rsidRDefault="0027176B" w:rsidP="0027176B">
            <w:pPr>
              <w:jc w:val="right"/>
              <w:rPr>
                <w:rFonts w:ascii="Verdana" w:eastAsia="Times New Roman" w:hAnsi="Verdana" w:cs="Calibri"/>
                <w:b/>
                <w:bCs/>
                <w:color w:val="000000"/>
                <w:sz w:val="16"/>
                <w:szCs w:val="16"/>
                <w:lang w:val="en-GB" w:eastAsia="en-GB"/>
              </w:rPr>
            </w:pPr>
            <w:r w:rsidRPr="0027176B">
              <w:rPr>
                <w:rFonts w:ascii="Verdana" w:eastAsia="Verdana" w:hAnsi="Verdana" w:cs="Verdana"/>
                <w:b/>
                <w:bCs/>
                <w:color w:val="000000"/>
                <w:sz w:val="16"/>
                <w:szCs w:val="16"/>
                <w:lang w:val="en-GB" w:eastAsia="en-GB"/>
              </w:rPr>
              <w:t> </w:t>
            </w:r>
          </w:p>
        </w:tc>
      </w:tr>
      <w:tr w:rsidR="0027176B" w:rsidRPr="0027176B" w14:paraId="4301C92A" w14:textId="77777777" w:rsidTr="0027176B">
        <w:trPr>
          <w:gridAfter w:val="2"/>
          <w:wAfter w:w="25" w:type="dxa"/>
          <w:trHeight w:val="315"/>
        </w:trPr>
        <w:tc>
          <w:tcPr>
            <w:tcW w:w="3544" w:type="dxa"/>
            <w:tcBorders>
              <w:top w:val="nil"/>
              <w:left w:val="single" w:sz="4" w:space="0" w:color="auto"/>
              <w:bottom w:val="nil"/>
              <w:right w:val="nil"/>
            </w:tcBorders>
            <w:shd w:val="clear" w:color="000000" w:fill="FFFFFF"/>
            <w:noWrap/>
            <w:vAlign w:val="center"/>
            <w:hideMark/>
          </w:tcPr>
          <w:p w14:paraId="2EE6A04D" w14:textId="77777777" w:rsidR="0027176B" w:rsidRPr="0027176B" w:rsidRDefault="0027176B" w:rsidP="0027176B">
            <w:pP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Head of Corporate Communications</w:t>
            </w:r>
          </w:p>
        </w:tc>
        <w:tc>
          <w:tcPr>
            <w:tcW w:w="1701" w:type="dxa"/>
            <w:tcBorders>
              <w:top w:val="nil"/>
              <w:left w:val="single" w:sz="4" w:space="0" w:color="auto"/>
              <w:bottom w:val="nil"/>
              <w:right w:val="single" w:sz="4" w:space="0" w:color="auto"/>
            </w:tcBorders>
            <w:shd w:val="clear" w:color="000000" w:fill="FFFFFF"/>
            <w:noWrap/>
            <w:vAlign w:val="center"/>
            <w:hideMark/>
          </w:tcPr>
          <w:p w14:paraId="60A088FB" w14:textId="77777777" w:rsidR="0027176B" w:rsidRPr="0027176B" w:rsidRDefault="0027176B" w:rsidP="0027176B">
            <w:pP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16/07/2018</w:t>
            </w:r>
          </w:p>
        </w:tc>
        <w:tc>
          <w:tcPr>
            <w:tcW w:w="1176" w:type="dxa"/>
            <w:tcBorders>
              <w:top w:val="nil"/>
              <w:left w:val="nil"/>
              <w:bottom w:val="nil"/>
              <w:right w:val="nil"/>
            </w:tcBorders>
            <w:shd w:val="clear" w:color="000000" w:fill="FFFFFF"/>
            <w:noWrap/>
            <w:vAlign w:val="center"/>
            <w:hideMark/>
          </w:tcPr>
          <w:p w14:paraId="09B3EB51" w14:textId="77777777" w:rsidR="0027176B" w:rsidRPr="0027176B" w:rsidRDefault="0027176B" w:rsidP="0027176B">
            <w:pP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 </w:t>
            </w:r>
          </w:p>
        </w:tc>
        <w:tc>
          <w:tcPr>
            <w:tcW w:w="1242" w:type="dxa"/>
            <w:tcBorders>
              <w:top w:val="nil"/>
              <w:left w:val="single" w:sz="4" w:space="0" w:color="auto"/>
              <w:bottom w:val="nil"/>
              <w:right w:val="nil"/>
            </w:tcBorders>
            <w:shd w:val="clear" w:color="000000" w:fill="FFFFFF"/>
            <w:noWrap/>
            <w:vAlign w:val="center"/>
            <w:hideMark/>
          </w:tcPr>
          <w:p w14:paraId="565725A4" w14:textId="77777777" w:rsidR="0027176B" w:rsidRPr="0027176B" w:rsidRDefault="0027176B" w:rsidP="0027176B">
            <w:pPr>
              <w:jc w:val="cente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75,838</w:t>
            </w:r>
          </w:p>
        </w:tc>
        <w:tc>
          <w:tcPr>
            <w:tcW w:w="1551" w:type="dxa"/>
            <w:tcBorders>
              <w:top w:val="nil"/>
              <w:left w:val="single" w:sz="4" w:space="0" w:color="auto"/>
              <w:bottom w:val="nil"/>
              <w:right w:val="nil"/>
            </w:tcBorders>
            <w:shd w:val="clear" w:color="000000" w:fill="FFFFFF"/>
            <w:noWrap/>
            <w:vAlign w:val="center"/>
            <w:hideMark/>
          </w:tcPr>
          <w:p w14:paraId="684BECA7" w14:textId="77777777" w:rsidR="0027176B" w:rsidRPr="0027176B" w:rsidRDefault="0027176B" w:rsidP="0027176B">
            <w:pPr>
              <w:jc w:val="cente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11,738</w:t>
            </w:r>
          </w:p>
        </w:tc>
        <w:tc>
          <w:tcPr>
            <w:tcW w:w="1276" w:type="dxa"/>
            <w:tcBorders>
              <w:top w:val="nil"/>
              <w:left w:val="single" w:sz="4" w:space="0" w:color="auto"/>
              <w:bottom w:val="nil"/>
              <w:right w:val="single" w:sz="4" w:space="0" w:color="auto"/>
            </w:tcBorders>
            <w:shd w:val="clear" w:color="000000" w:fill="FFFFFF"/>
            <w:noWrap/>
            <w:vAlign w:val="center"/>
            <w:hideMark/>
          </w:tcPr>
          <w:p w14:paraId="43C2A7F9" w14:textId="77777777" w:rsidR="0027176B" w:rsidRPr="0027176B" w:rsidRDefault="0027176B" w:rsidP="0027176B">
            <w:pPr>
              <w:jc w:val="cente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 </w:t>
            </w:r>
          </w:p>
        </w:tc>
        <w:tc>
          <w:tcPr>
            <w:tcW w:w="1134" w:type="dxa"/>
            <w:tcBorders>
              <w:top w:val="nil"/>
              <w:left w:val="nil"/>
              <w:bottom w:val="nil"/>
              <w:right w:val="single" w:sz="4" w:space="0" w:color="auto"/>
            </w:tcBorders>
            <w:shd w:val="clear" w:color="000000" w:fill="FFFFFF"/>
            <w:noWrap/>
            <w:vAlign w:val="center"/>
            <w:hideMark/>
          </w:tcPr>
          <w:p w14:paraId="1DB2C51D" w14:textId="77777777" w:rsidR="0027176B" w:rsidRPr="0027176B" w:rsidRDefault="0027176B" w:rsidP="0027176B">
            <w:pPr>
              <w:jc w:val="cente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2,673</w:t>
            </w:r>
          </w:p>
        </w:tc>
        <w:tc>
          <w:tcPr>
            <w:tcW w:w="1931" w:type="dxa"/>
            <w:tcBorders>
              <w:top w:val="nil"/>
              <w:left w:val="nil"/>
              <w:bottom w:val="nil"/>
              <w:right w:val="single" w:sz="4" w:space="0" w:color="auto"/>
            </w:tcBorders>
            <w:shd w:val="clear" w:color="000000" w:fill="FFFFFF"/>
            <w:noWrap/>
            <w:vAlign w:val="center"/>
            <w:hideMark/>
          </w:tcPr>
          <w:p w14:paraId="6E40B237" w14:textId="77777777" w:rsidR="0027176B" w:rsidRPr="0027176B" w:rsidRDefault="0027176B" w:rsidP="0027176B">
            <w:pPr>
              <w:jc w:val="right"/>
              <w:rPr>
                <w:rFonts w:ascii="Verdana" w:eastAsia="Times New Roman" w:hAnsi="Verdana" w:cs="Calibri"/>
                <w:b/>
                <w:bCs/>
                <w:color w:val="000000"/>
                <w:sz w:val="16"/>
                <w:szCs w:val="16"/>
                <w:lang w:val="en-GB" w:eastAsia="en-GB"/>
              </w:rPr>
            </w:pPr>
            <w:r w:rsidRPr="0027176B">
              <w:rPr>
                <w:rFonts w:ascii="Verdana" w:eastAsia="Verdana" w:hAnsi="Verdana" w:cs="Verdana"/>
                <w:b/>
                <w:bCs/>
                <w:color w:val="000000"/>
                <w:sz w:val="16"/>
                <w:szCs w:val="16"/>
                <w:lang w:val="en-GB" w:eastAsia="en-GB"/>
              </w:rPr>
              <w:t>90,249</w:t>
            </w:r>
          </w:p>
        </w:tc>
      </w:tr>
      <w:tr w:rsidR="0027176B" w:rsidRPr="0027176B" w14:paraId="3715D49B" w14:textId="77777777" w:rsidTr="0027176B">
        <w:trPr>
          <w:gridAfter w:val="2"/>
          <w:wAfter w:w="25" w:type="dxa"/>
          <w:trHeight w:val="315"/>
        </w:trPr>
        <w:tc>
          <w:tcPr>
            <w:tcW w:w="3544" w:type="dxa"/>
            <w:tcBorders>
              <w:top w:val="nil"/>
              <w:left w:val="single" w:sz="4" w:space="0" w:color="auto"/>
              <w:bottom w:val="nil"/>
              <w:right w:val="nil"/>
            </w:tcBorders>
            <w:shd w:val="clear" w:color="000000" w:fill="FFFFFF"/>
            <w:noWrap/>
            <w:vAlign w:val="center"/>
            <w:hideMark/>
          </w:tcPr>
          <w:p w14:paraId="368F1A5D" w14:textId="77777777" w:rsidR="0027176B" w:rsidRPr="0027176B" w:rsidRDefault="0027176B" w:rsidP="0027176B">
            <w:pP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Chief Information Officer</w:t>
            </w:r>
          </w:p>
        </w:tc>
        <w:tc>
          <w:tcPr>
            <w:tcW w:w="1701" w:type="dxa"/>
            <w:tcBorders>
              <w:top w:val="nil"/>
              <w:left w:val="single" w:sz="4" w:space="0" w:color="auto"/>
              <w:bottom w:val="nil"/>
              <w:right w:val="single" w:sz="4" w:space="0" w:color="auto"/>
            </w:tcBorders>
            <w:shd w:val="clear" w:color="000000" w:fill="FFFFFF"/>
            <w:noWrap/>
            <w:vAlign w:val="center"/>
            <w:hideMark/>
          </w:tcPr>
          <w:p w14:paraId="2AF32DEA" w14:textId="77777777" w:rsidR="0027176B" w:rsidRPr="0027176B" w:rsidRDefault="0027176B" w:rsidP="0027176B">
            <w:pP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03/12/2018</w:t>
            </w:r>
          </w:p>
        </w:tc>
        <w:tc>
          <w:tcPr>
            <w:tcW w:w="1176" w:type="dxa"/>
            <w:tcBorders>
              <w:top w:val="nil"/>
              <w:left w:val="nil"/>
              <w:bottom w:val="nil"/>
              <w:right w:val="nil"/>
            </w:tcBorders>
            <w:shd w:val="clear" w:color="000000" w:fill="FFFFFF"/>
            <w:noWrap/>
            <w:vAlign w:val="center"/>
            <w:hideMark/>
          </w:tcPr>
          <w:p w14:paraId="4E353277" w14:textId="77777777" w:rsidR="0027176B" w:rsidRPr="0027176B" w:rsidRDefault="0027176B" w:rsidP="0027176B">
            <w:pP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26/02/2021</w:t>
            </w:r>
          </w:p>
        </w:tc>
        <w:tc>
          <w:tcPr>
            <w:tcW w:w="1242" w:type="dxa"/>
            <w:tcBorders>
              <w:top w:val="nil"/>
              <w:left w:val="single" w:sz="4" w:space="0" w:color="auto"/>
              <w:bottom w:val="nil"/>
              <w:right w:val="nil"/>
            </w:tcBorders>
            <w:shd w:val="clear" w:color="000000" w:fill="FFFFFF"/>
            <w:noWrap/>
            <w:vAlign w:val="center"/>
            <w:hideMark/>
          </w:tcPr>
          <w:p w14:paraId="69DDCB81" w14:textId="77777777" w:rsidR="0027176B" w:rsidRPr="0027176B" w:rsidRDefault="0027176B" w:rsidP="0027176B">
            <w:pPr>
              <w:jc w:val="cente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128,384</w:t>
            </w:r>
          </w:p>
        </w:tc>
        <w:tc>
          <w:tcPr>
            <w:tcW w:w="1551" w:type="dxa"/>
            <w:tcBorders>
              <w:top w:val="nil"/>
              <w:left w:val="single" w:sz="4" w:space="0" w:color="auto"/>
              <w:bottom w:val="nil"/>
              <w:right w:val="nil"/>
            </w:tcBorders>
            <w:shd w:val="clear" w:color="000000" w:fill="FFFFFF"/>
            <w:noWrap/>
            <w:vAlign w:val="center"/>
            <w:hideMark/>
          </w:tcPr>
          <w:p w14:paraId="7CD5109E" w14:textId="77777777" w:rsidR="0027176B" w:rsidRPr="0027176B" w:rsidRDefault="0027176B" w:rsidP="0027176B">
            <w:pPr>
              <w:jc w:val="cente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19,043</w:t>
            </w:r>
          </w:p>
        </w:tc>
        <w:tc>
          <w:tcPr>
            <w:tcW w:w="1276" w:type="dxa"/>
            <w:tcBorders>
              <w:top w:val="nil"/>
              <w:left w:val="single" w:sz="4" w:space="0" w:color="auto"/>
              <w:bottom w:val="nil"/>
              <w:right w:val="single" w:sz="4" w:space="0" w:color="auto"/>
            </w:tcBorders>
            <w:shd w:val="clear" w:color="000000" w:fill="FFFFFF"/>
            <w:noWrap/>
            <w:vAlign w:val="center"/>
            <w:hideMark/>
          </w:tcPr>
          <w:p w14:paraId="14EB67CD" w14:textId="77777777" w:rsidR="0027176B" w:rsidRPr="0027176B" w:rsidRDefault="0027176B" w:rsidP="0027176B">
            <w:pPr>
              <w:jc w:val="cente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 </w:t>
            </w:r>
          </w:p>
        </w:tc>
        <w:tc>
          <w:tcPr>
            <w:tcW w:w="1134" w:type="dxa"/>
            <w:tcBorders>
              <w:top w:val="nil"/>
              <w:left w:val="nil"/>
              <w:bottom w:val="nil"/>
              <w:right w:val="single" w:sz="4" w:space="0" w:color="auto"/>
            </w:tcBorders>
            <w:shd w:val="clear" w:color="000000" w:fill="FFFFFF"/>
            <w:noWrap/>
            <w:vAlign w:val="center"/>
            <w:hideMark/>
          </w:tcPr>
          <w:p w14:paraId="25F9D441" w14:textId="77777777" w:rsidR="0027176B" w:rsidRPr="0027176B" w:rsidRDefault="0027176B" w:rsidP="0027176B">
            <w:pPr>
              <w:jc w:val="center"/>
              <w:rPr>
                <w:rFonts w:ascii="Verdana" w:eastAsia="Times New Roman" w:hAnsi="Verdana" w:cs="Calibri"/>
                <w:color w:val="000000"/>
                <w:sz w:val="16"/>
                <w:szCs w:val="16"/>
                <w:lang w:val="en-GB" w:eastAsia="en-GB"/>
              </w:rPr>
            </w:pPr>
            <w:r w:rsidRPr="0027176B">
              <w:rPr>
                <w:rFonts w:ascii="Verdana" w:eastAsia="Verdana" w:hAnsi="Verdana" w:cs="Verdana"/>
                <w:color w:val="000000"/>
                <w:sz w:val="16"/>
                <w:szCs w:val="16"/>
                <w:lang w:val="en-GB" w:eastAsia="en-GB"/>
              </w:rPr>
              <w:t xml:space="preserve">                -  </w:t>
            </w:r>
          </w:p>
        </w:tc>
        <w:tc>
          <w:tcPr>
            <w:tcW w:w="1931" w:type="dxa"/>
            <w:tcBorders>
              <w:top w:val="nil"/>
              <w:left w:val="nil"/>
              <w:bottom w:val="nil"/>
              <w:right w:val="single" w:sz="4" w:space="0" w:color="auto"/>
            </w:tcBorders>
            <w:shd w:val="clear" w:color="000000" w:fill="FFFFFF"/>
            <w:noWrap/>
            <w:vAlign w:val="center"/>
            <w:hideMark/>
          </w:tcPr>
          <w:p w14:paraId="7C507E9A" w14:textId="77777777" w:rsidR="0027176B" w:rsidRPr="0027176B" w:rsidRDefault="0027176B" w:rsidP="0027176B">
            <w:pPr>
              <w:jc w:val="right"/>
              <w:rPr>
                <w:rFonts w:ascii="Verdana" w:eastAsia="Times New Roman" w:hAnsi="Verdana" w:cs="Calibri"/>
                <w:b/>
                <w:bCs/>
                <w:color w:val="000000"/>
                <w:sz w:val="16"/>
                <w:szCs w:val="16"/>
                <w:lang w:val="en-GB" w:eastAsia="en-GB"/>
              </w:rPr>
            </w:pPr>
            <w:r w:rsidRPr="0027176B">
              <w:rPr>
                <w:rFonts w:ascii="Verdana" w:eastAsia="Verdana" w:hAnsi="Verdana" w:cs="Verdana"/>
                <w:b/>
                <w:bCs/>
                <w:color w:val="000000"/>
                <w:sz w:val="16"/>
                <w:szCs w:val="16"/>
                <w:lang w:val="en-GB" w:eastAsia="en-GB"/>
              </w:rPr>
              <w:t>147,427</w:t>
            </w:r>
          </w:p>
        </w:tc>
      </w:tr>
      <w:tr w:rsidR="0027176B" w:rsidRPr="0027176B" w14:paraId="3A4633D9" w14:textId="77777777" w:rsidTr="0027176B">
        <w:trPr>
          <w:gridAfter w:val="2"/>
          <w:wAfter w:w="25" w:type="dxa"/>
          <w:trHeight w:val="315"/>
        </w:trPr>
        <w:tc>
          <w:tcPr>
            <w:tcW w:w="3544" w:type="dxa"/>
            <w:tcBorders>
              <w:top w:val="single" w:sz="4" w:space="0" w:color="auto"/>
              <w:left w:val="single" w:sz="4" w:space="0" w:color="auto"/>
              <w:bottom w:val="single" w:sz="4" w:space="0" w:color="auto"/>
              <w:right w:val="nil"/>
            </w:tcBorders>
            <w:shd w:val="clear" w:color="000000" w:fill="FFFFFF"/>
            <w:noWrap/>
            <w:vAlign w:val="center"/>
            <w:hideMark/>
          </w:tcPr>
          <w:p w14:paraId="5B89FF1F" w14:textId="77777777" w:rsidR="0027176B" w:rsidRPr="0027176B" w:rsidRDefault="0027176B" w:rsidP="0027176B">
            <w:pPr>
              <w:rPr>
                <w:rFonts w:ascii="Verdana" w:eastAsia="Times New Roman" w:hAnsi="Verdana" w:cs="Calibri"/>
                <w:b/>
                <w:bCs/>
                <w:color w:val="000000"/>
                <w:sz w:val="18"/>
                <w:szCs w:val="18"/>
                <w:lang w:val="en-GB" w:eastAsia="en-GB"/>
              </w:rPr>
            </w:pPr>
            <w:r w:rsidRPr="0027176B">
              <w:rPr>
                <w:rFonts w:ascii="Verdana" w:eastAsia="Verdana" w:hAnsi="Verdana" w:cs="Verdana"/>
                <w:b/>
                <w:bCs/>
                <w:color w:val="000000"/>
                <w:sz w:val="18"/>
                <w:szCs w:val="18"/>
                <w:lang w:val="en-GB" w:eastAsia="en-GB"/>
              </w:rPr>
              <w:t>TOTAL CHIEF CONSTABLE</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0D26AC" w14:textId="77777777" w:rsidR="0027176B" w:rsidRPr="0027176B" w:rsidRDefault="0027176B" w:rsidP="0027176B">
            <w:pPr>
              <w:rPr>
                <w:rFonts w:ascii="Verdana" w:eastAsia="Times New Roman" w:hAnsi="Verdana" w:cs="Calibri"/>
                <w:b/>
                <w:bCs/>
                <w:color w:val="000000"/>
                <w:sz w:val="18"/>
                <w:szCs w:val="18"/>
                <w:lang w:val="en-GB" w:eastAsia="en-GB"/>
              </w:rPr>
            </w:pPr>
            <w:r w:rsidRPr="0027176B">
              <w:rPr>
                <w:rFonts w:ascii="Verdana" w:eastAsia="Verdana" w:hAnsi="Verdana" w:cs="Verdana"/>
                <w:b/>
                <w:bCs/>
                <w:color w:val="000000"/>
                <w:sz w:val="18"/>
                <w:szCs w:val="18"/>
                <w:lang w:val="en-GB" w:eastAsia="en-GB"/>
              </w:rPr>
              <w:t> </w:t>
            </w:r>
          </w:p>
        </w:tc>
        <w:tc>
          <w:tcPr>
            <w:tcW w:w="1176" w:type="dxa"/>
            <w:tcBorders>
              <w:top w:val="single" w:sz="4" w:space="0" w:color="auto"/>
              <w:left w:val="nil"/>
              <w:bottom w:val="single" w:sz="4" w:space="0" w:color="auto"/>
              <w:right w:val="nil"/>
            </w:tcBorders>
            <w:shd w:val="clear" w:color="000000" w:fill="FFFFFF"/>
            <w:noWrap/>
            <w:vAlign w:val="center"/>
            <w:hideMark/>
          </w:tcPr>
          <w:p w14:paraId="0B91693B" w14:textId="77777777" w:rsidR="0027176B" w:rsidRPr="0027176B" w:rsidRDefault="0027176B" w:rsidP="0027176B">
            <w:pPr>
              <w:rPr>
                <w:rFonts w:ascii="Verdana" w:eastAsia="Times New Roman" w:hAnsi="Verdana" w:cs="Calibri"/>
                <w:b/>
                <w:bCs/>
                <w:color w:val="000000"/>
                <w:sz w:val="18"/>
                <w:szCs w:val="18"/>
                <w:lang w:val="en-GB" w:eastAsia="en-GB"/>
              </w:rPr>
            </w:pPr>
            <w:r w:rsidRPr="0027176B">
              <w:rPr>
                <w:rFonts w:ascii="Verdana" w:eastAsia="Verdana" w:hAnsi="Verdana" w:cs="Verdana"/>
                <w:b/>
                <w:bCs/>
                <w:color w:val="000000"/>
                <w:sz w:val="18"/>
                <w:szCs w:val="18"/>
                <w:lang w:val="en-GB" w:eastAsia="en-GB"/>
              </w:rPr>
              <w:t> </w:t>
            </w:r>
          </w:p>
        </w:tc>
        <w:tc>
          <w:tcPr>
            <w:tcW w:w="1242" w:type="dxa"/>
            <w:tcBorders>
              <w:top w:val="single" w:sz="4" w:space="0" w:color="auto"/>
              <w:left w:val="single" w:sz="4" w:space="0" w:color="auto"/>
              <w:bottom w:val="single" w:sz="4" w:space="0" w:color="auto"/>
              <w:right w:val="nil"/>
            </w:tcBorders>
            <w:shd w:val="clear" w:color="000000" w:fill="FFFFFF"/>
            <w:noWrap/>
            <w:vAlign w:val="center"/>
            <w:hideMark/>
          </w:tcPr>
          <w:p w14:paraId="647EC09E" w14:textId="77777777" w:rsidR="00D114B9" w:rsidRPr="00D114B9" w:rsidRDefault="0027176B" w:rsidP="00D114B9">
            <w:pPr>
              <w:jc w:val="center"/>
              <w:rPr>
                <w:rFonts w:ascii="Verdana" w:eastAsia="Verdana" w:hAnsi="Verdana" w:cs="Verdana"/>
                <w:b/>
                <w:bCs/>
                <w:color w:val="000000"/>
                <w:sz w:val="18"/>
                <w:szCs w:val="18"/>
                <w:lang w:val="en-GB" w:eastAsia="en-GB"/>
              </w:rPr>
            </w:pPr>
            <w:r w:rsidRPr="0027176B">
              <w:rPr>
                <w:rFonts w:ascii="Verdana" w:eastAsia="Verdana" w:hAnsi="Verdana" w:cs="Verdana"/>
                <w:b/>
                <w:bCs/>
                <w:color w:val="000000"/>
                <w:sz w:val="18"/>
                <w:szCs w:val="18"/>
                <w:lang w:val="en-GB" w:eastAsia="en-GB"/>
              </w:rPr>
              <w:t>1,133,31</w:t>
            </w:r>
            <w:r w:rsidR="00D8454A">
              <w:rPr>
                <w:rFonts w:ascii="Verdana" w:eastAsia="Verdana" w:hAnsi="Verdana" w:cs="Verdana"/>
                <w:b/>
                <w:bCs/>
                <w:color w:val="000000"/>
                <w:sz w:val="18"/>
                <w:szCs w:val="18"/>
                <w:lang w:val="en-GB" w:eastAsia="en-GB"/>
              </w:rPr>
              <w:t>7</w:t>
            </w:r>
          </w:p>
        </w:tc>
        <w:tc>
          <w:tcPr>
            <w:tcW w:w="1551" w:type="dxa"/>
            <w:tcBorders>
              <w:top w:val="single" w:sz="4" w:space="0" w:color="auto"/>
              <w:left w:val="single" w:sz="4" w:space="0" w:color="auto"/>
              <w:bottom w:val="single" w:sz="4" w:space="0" w:color="auto"/>
              <w:right w:val="nil"/>
            </w:tcBorders>
            <w:shd w:val="clear" w:color="000000" w:fill="FFFFFF"/>
            <w:noWrap/>
            <w:vAlign w:val="center"/>
            <w:hideMark/>
          </w:tcPr>
          <w:p w14:paraId="6DB05279" w14:textId="77777777" w:rsidR="0027176B" w:rsidRPr="0027176B" w:rsidRDefault="0027176B" w:rsidP="0027176B">
            <w:pPr>
              <w:jc w:val="center"/>
              <w:rPr>
                <w:rFonts w:ascii="Verdana" w:eastAsia="Times New Roman" w:hAnsi="Verdana" w:cs="Calibri"/>
                <w:b/>
                <w:bCs/>
                <w:color w:val="000000"/>
                <w:sz w:val="18"/>
                <w:szCs w:val="18"/>
                <w:lang w:val="en-GB" w:eastAsia="en-GB"/>
              </w:rPr>
            </w:pPr>
            <w:r w:rsidRPr="0027176B">
              <w:rPr>
                <w:rFonts w:ascii="Verdana" w:eastAsia="Verdana" w:hAnsi="Verdana" w:cs="Verdana"/>
                <w:b/>
                <w:bCs/>
                <w:color w:val="000000"/>
                <w:sz w:val="18"/>
                <w:szCs w:val="18"/>
                <w:lang w:val="en-GB" w:eastAsia="en-GB"/>
              </w:rPr>
              <w:t>292,888</w:t>
            </w:r>
          </w:p>
        </w:tc>
        <w:tc>
          <w:tcPr>
            <w:tcW w:w="1276" w:type="dxa"/>
            <w:tcBorders>
              <w:top w:val="single" w:sz="4" w:space="0" w:color="auto"/>
              <w:left w:val="single" w:sz="4" w:space="0" w:color="auto"/>
              <w:bottom w:val="single" w:sz="4" w:space="0" w:color="auto"/>
              <w:right w:val="nil"/>
            </w:tcBorders>
            <w:shd w:val="clear" w:color="000000" w:fill="FFFFFF"/>
            <w:noWrap/>
            <w:vAlign w:val="center"/>
            <w:hideMark/>
          </w:tcPr>
          <w:p w14:paraId="2058ED6F" w14:textId="77777777" w:rsidR="0027176B" w:rsidRPr="0027176B" w:rsidRDefault="0027176B" w:rsidP="0027176B">
            <w:pPr>
              <w:jc w:val="center"/>
              <w:rPr>
                <w:rFonts w:ascii="Verdana" w:eastAsia="Times New Roman" w:hAnsi="Verdana" w:cs="Calibri"/>
                <w:b/>
                <w:bCs/>
                <w:color w:val="000000"/>
                <w:sz w:val="18"/>
                <w:szCs w:val="18"/>
                <w:lang w:val="en-GB" w:eastAsia="en-GB"/>
              </w:rPr>
            </w:pPr>
            <w:r w:rsidRPr="0027176B">
              <w:rPr>
                <w:rFonts w:ascii="Verdana" w:eastAsia="Verdana" w:hAnsi="Verdana" w:cs="Verdana"/>
                <w:b/>
                <w:bCs/>
                <w:color w:val="000000"/>
                <w:sz w:val="18"/>
                <w:szCs w:val="18"/>
                <w:lang w:val="en-GB" w:eastAsia="en-GB"/>
              </w:rPr>
              <w:t>0</w:t>
            </w:r>
          </w:p>
        </w:tc>
        <w:tc>
          <w:tcPr>
            <w:tcW w:w="1134" w:type="dxa"/>
            <w:tcBorders>
              <w:top w:val="single" w:sz="4" w:space="0" w:color="auto"/>
              <w:left w:val="single" w:sz="4" w:space="0" w:color="auto"/>
              <w:bottom w:val="single" w:sz="4" w:space="0" w:color="auto"/>
              <w:right w:val="nil"/>
            </w:tcBorders>
            <w:shd w:val="clear" w:color="000000" w:fill="FFFFFF"/>
            <w:noWrap/>
            <w:vAlign w:val="center"/>
            <w:hideMark/>
          </w:tcPr>
          <w:p w14:paraId="0E99905F" w14:textId="77777777" w:rsidR="0027176B" w:rsidRPr="0027176B" w:rsidRDefault="0027176B" w:rsidP="0027176B">
            <w:pPr>
              <w:jc w:val="center"/>
              <w:rPr>
                <w:rFonts w:ascii="Verdana" w:eastAsia="Times New Roman" w:hAnsi="Verdana" w:cs="Calibri"/>
                <w:b/>
                <w:bCs/>
                <w:color w:val="000000"/>
                <w:sz w:val="18"/>
                <w:szCs w:val="18"/>
                <w:lang w:val="en-GB" w:eastAsia="en-GB"/>
              </w:rPr>
            </w:pPr>
            <w:r w:rsidRPr="0027176B">
              <w:rPr>
                <w:rFonts w:ascii="Verdana" w:eastAsia="Verdana" w:hAnsi="Verdana" w:cs="Verdana"/>
                <w:b/>
                <w:bCs/>
                <w:color w:val="000000"/>
                <w:sz w:val="18"/>
                <w:szCs w:val="18"/>
                <w:lang w:val="en-GB" w:eastAsia="en-GB"/>
              </w:rPr>
              <w:t>25,113</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444635" w14:textId="77777777" w:rsidR="0027176B" w:rsidRPr="0027176B" w:rsidRDefault="00D8454A" w:rsidP="0027176B">
            <w:pPr>
              <w:jc w:val="right"/>
              <w:rPr>
                <w:rFonts w:ascii="Verdana" w:eastAsia="Times New Roman" w:hAnsi="Verdana" w:cs="Calibri"/>
                <w:b/>
                <w:bCs/>
                <w:color w:val="000000"/>
                <w:sz w:val="18"/>
                <w:szCs w:val="18"/>
                <w:lang w:val="en-GB" w:eastAsia="en-GB"/>
              </w:rPr>
            </w:pPr>
            <w:r>
              <w:rPr>
                <w:rFonts w:ascii="Verdana" w:eastAsia="Verdana" w:hAnsi="Verdana" w:cs="Verdana"/>
                <w:b/>
                <w:bCs/>
                <w:color w:val="000000"/>
                <w:sz w:val="18"/>
                <w:szCs w:val="18"/>
                <w:lang w:val="en-GB" w:eastAsia="en-GB"/>
              </w:rPr>
              <w:t>1,451,318</w:t>
            </w:r>
          </w:p>
        </w:tc>
      </w:tr>
    </w:tbl>
    <w:p w14:paraId="323FE872" w14:textId="77777777" w:rsidR="00745B47" w:rsidRDefault="00745B47" w:rsidP="00745B47">
      <w:pPr>
        <w:pStyle w:val="Normal0"/>
        <w:spacing w:after="160" w:line="259" w:lineRule="auto"/>
        <w:jc w:val="center"/>
        <w:rPr>
          <w:rFonts w:ascii="Verdana" w:eastAsia="Verdana" w:hAnsi="Verdana" w:cs="Verdana"/>
          <w:sz w:val="22"/>
          <w:szCs w:val="22"/>
          <w:lang w:val="en-GB"/>
        </w:rPr>
      </w:pPr>
    </w:p>
    <w:p w14:paraId="58C5245F" w14:textId="77777777" w:rsidR="00745B47" w:rsidRDefault="00745B47" w:rsidP="00745B47">
      <w:pPr>
        <w:pStyle w:val="Normal0"/>
        <w:spacing w:after="160" w:line="259" w:lineRule="auto"/>
        <w:jc w:val="center"/>
        <w:rPr>
          <w:rFonts w:ascii="Verdana" w:eastAsia="Verdana" w:hAnsi="Verdana" w:cs="Verdana"/>
          <w:sz w:val="22"/>
          <w:szCs w:val="22"/>
          <w:lang w:val="en-GB"/>
        </w:rPr>
      </w:pPr>
    </w:p>
    <w:p w14:paraId="1E112AE1" w14:textId="77777777" w:rsidR="00745B47" w:rsidRDefault="00745B47" w:rsidP="00745B47">
      <w:pPr>
        <w:pStyle w:val="Normal0"/>
        <w:spacing w:after="160" w:line="259" w:lineRule="auto"/>
        <w:jc w:val="center"/>
        <w:rPr>
          <w:rFonts w:ascii="Verdana" w:eastAsia="Verdana" w:hAnsi="Verdana" w:cs="Verdana"/>
          <w:sz w:val="22"/>
          <w:szCs w:val="22"/>
          <w:lang w:val="en-GB"/>
        </w:rPr>
      </w:pPr>
    </w:p>
    <w:p w14:paraId="13A6AF77" w14:textId="77777777" w:rsidR="00745B47" w:rsidRDefault="00745B47" w:rsidP="00745B47">
      <w:pPr>
        <w:pStyle w:val="Normal0"/>
        <w:spacing w:after="160" w:line="259" w:lineRule="auto"/>
        <w:jc w:val="center"/>
        <w:rPr>
          <w:rFonts w:ascii="Verdana" w:eastAsia="Verdana" w:hAnsi="Verdana" w:cs="Verdana"/>
          <w:sz w:val="22"/>
          <w:szCs w:val="22"/>
          <w:lang w:val="en-GB"/>
        </w:rPr>
      </w:pPr>
    </w:p>
    <w:p w14:paraId="7CA624C5" w14:textId="77777777" w:rsidR="00745B47" w:rsidRDefault="00745B47" w:rsidP="00745B47">
      <w:pPr>
        <w:pStyle w:val="Normal0"/>
        <w:spacing w:after="160" w:line="259" w:lineRule="auto"/>
        <w:jc w:val="center"/>
        <w:rPr>
          <w:rFonts w:ascii="Verdana" w:eastAsia="Verdana" w:hAnsi="Verdana" w:cs="Verdana"/>
          <w:sz w:val="22"/>
          <w:szCs w:val="22"/>
          <w:lang w:val="en-GB"/>
        </w:rPr>
      </w:pPr>
    </w:p>
    <w:p w14:paraId="0CDD90C8" w14:textId="77777777" w:rsidR="00745B47" w:rsidRDefault="00745B47" w:rsidP="00745B47">
      <w:pPr>
        <w:pStyle w:val="Normal0"/>
        <w:spacing w:after="160" w:line="259" w:lineRule="auto"/>
        <w:jc w:val="center"/>
        <w:rPr>
          <w:rFonts w:ascii="Verdana" w:eastAsia="Verdana" w:hAnsi="Verdana" w:cs="Verdana"/>
          <w:sz w:val="22"/>
          <w:szCs w:val="22"/>
          <w:lang w:val="en-GB"/>
        </w:rPr>
      </w:pPr>
    </w:p>
    <w:tbl>
      <w:tblPr>
        <w:tblW w:w="14831" w:type="dxa"/>
        <w:tblInd w:w="-5" w:type="dxa"/>
        <w:tblLook w:val="04A0" w:firstRow="1" w:lastRow="0" w:firstColumn="1" w:lastColumn="0" w:noHBand="0" w:noVBand="1"/>
      </w:tblPr>
      <w:tblGrid>
        <w:gridCol w:w="3544"/>
        <w:gridCol w:w="1559"/>
        <w:gridCol w:w="1276"/>
        <w:gridCol w:w="1360"/>
        <w:gridCol w:w="1481"/>
        <w:gridCol w:w="1128"/>
        <w:gridCol w:w="142"/>
        <w:gridCol w:w="992"/>
        <w:gridCol w:w="1270"/>
        <w:gridCol w:w="431"/>
        <w:gridCol w:w="1128"/>
        <w:gridCol w:w="520"/>
      </w:tblGrid>
      <w:tr w:rsidR="00745B47" w:rsidRPr="00745B47" w14:paraId="35C87DDF" w14:textId="77777777" w:rsidTr="00514C09">
        <w:trPr>
          <w:trHeight w:val="300"/>
        </w:trPr>
        <w:tc>
          <w:tcPr>
            <w:tcW w:w="10348" w:type="dxa"/>
            <w:gridSpan w:val="6"/>
            <w:tcBorders>
              <w:top w:val="single" w:sz="4" w:space="0" w:color="auto"/>
              <w:left w:val="single" w:sz="4" w:space="0" w:color="auto"/>
              <w:bottom w:val="nil"/>
              <w:right w:val="nil"/>
            </w:tcBorders>
            <w:shd w:val="clear" w:color="000000" w:fill="FFFFFF"/>
            <w:noWrap/>
            <w:vAlign w:val="center"/>
            <w:hideMark/>
          </w:tcPr>
          <w:p w14:paraId="1282F602" w14:textId="77777777" w:rsidR="00745B47" w:rsidRPr="00745B47" w:rsidRDefault="00745B47" w:rsidP="0027176B">
            <w:pPr>
              <w:ind w:right="-2231" w:firstLineChars="100" w:firstLine="181"/>
              <w:rPr>
                <w:rFonts w:ascii="Verdana" w:eastAsia="Times New Roman" w:hAnsi="Verdana" w:cs="Calibri"/>
                <w:b/>
                <w:bCs/>
                <w:color w:val="000000"/>
                <w:sz w:val="18"/>
                <w:szCs w:val="18"/>
                <w:lang w:val="en-GB" w:eastAsia="en-GB"/>
              </w:rPr>
            </w:pPr>
            <w:r w:rsidRPr="00745B47">
              <w:rPr>
                <w:rFonts w:ascii="Verdana" w:eastAsia="Times New Roman" w:hAnsi="Verdana" w:cs="Calibri"/>
                <w:b/>
                <w:bCs/>
                <w:color w:val="000000"/>
                <w:sz w:val="18"/>
                <w:szCs w:val="18"/>
                <w:lang w:val="en-GB" w:eastAsia="en-GB"/>
              </w:rPr>
              <w:t>Remuneration for Senior Officers with responsibility for the management of Surrey Police were:</w:t>
            </w:r>
          </w:p>
        </w:tc>
        <w:tc>
          <w:tcPr>
            <w:tcW w:w="1134" w:type="dxa"/>
            <w:gridSpan w:val="2"/>
            <w:tcBorders>
              <w:top w:val="single" w:sz="4" w:space="0" w:color="auto"/>
              <w:left w:val="nil"/>
              <w:bottom w:val="nil"/>
              <w:right w:val="nil"/>
            </w:tcBorders>
            <w:shd w:val="clear" w:color="000000" w:fill="FFFFFF"/>
            <w:vAlign w:val="center"/>
            <w:hideMark/>
          </w:tcPr>
          <w:p w14:paraId="45247787" w14:textId="77777777" w:rsidR="00745B47" w:rsidRPr="00745B47" w:rsidRDefault="00745B47" w:rsidP="00745B47">
            <w:pPr>
              <w:ind w:firstLineChars="100" w:firstLine="181"/>
              <w:rPr>
                <w:rFonts w:ascii="Verdana" w:eastAsia="Times New Roman" w:hAnsi="Verdana" w:cs="Calibri"/>
                <w:b/>
                <w:bCs/>
                <w:color w:val="000000"/>
                <w:sz w:val="18"/>
                <w:szCs w:val="18"/>
                <w:lang w:val="en-GB" w:eastAsia="en-GB"/>
              </w:rPr>
            </w:pPr>
            <w:r w:rsidRPr="00745B47">
              <w:rPr>
                <w:rFonts w:ascii="Verdana" w:eastAsia="Times New Roman" w:hAnsi="Verdana" w:cs="Calibri"/>
                <w:b/>
                <w:bCs/>
                <w:color w:val="000000"/>
                <w:sz w:val="18"/>
                <w:szCs w:val="18"/>
                <w:lang w:val="en-GB" w:eastAsia="en-GB"/>
              </w:rPr>
              <w:t> </w:t>
            </w:r>
          </w:p>
        </w:tc>
        <w:tc>
          <w:tcPr>
            <w:tcW w:w="1270" w:type="dxa"/>
            <w:tcBorders>
              <w:top w:val="single" w:sz="4" w:space="0" w:color="auto"/>
              <w:left w:val="nil"/>
              <w:bottom w:val="nil"/>
              <w:right w:val="nil"/>
            </w:tcBorders>
            <w:shd w:val="clear" w:color="000000" w:fill="FFFFFF"/>
            <w:vAlign w:val="center"/>
            <w:hideMark/>
          </w:tcPr>
          <w:p w14:paraId="230A56DA" w14:textId="77777777" w:rsidR="00745B47" w:rsidRPr="00745B47" w:rsidRDefault="00745B47" w:rsidP="00745B47">
            <w:pPr>
              <w:ind w:firstLineChars="100" w:firstLine="181"/>
              <w:rPr>
                <w:rFonts w:ascii="Verdana" w:eastAsia="Times New Roman" w:hAnsi="Verdana" w:cs="Calibri"/>
                <w:b/>
                <w:bCs/>
                <w:color w:val="000000"/>
                <w:sz w:val="18"/>
                <w:szCs w:val="18"/>
                <w:lang w:val="en-GB" w:eastAsia="en-GB"/>
              </w:rPr>
            </w:pPr>
            <w:r w:rsidRPr="00745B47">
              <w:rPr>
                <w:rFonts w:ascii="Verdana" w:eastAsia="Times New Roman" w:hAnsi="Verdana" w:cs="Calibri"/>
                <w:b/>
                <w:bCs/>
                <w:color w:val="000000"/>
                <w:sz w:val="18"/>
                <w:szCs w:val="18"/>
                <w:lang w:val="en-GB" w:eastAsia="en-GB"/>
              </w:rPr>
              <w:t> </w:t>
            </w:r>
          </w:p>
        </w:tc>
        <w:tc>
          <w:tcPr>
            <w:tcW w:w="1559" w:type="dxa"/>
            <w:gridSpan w:val="2"/>
            <w:tcBorders>
              <w:top w:val="single" w:sz="4" w:space="0" w:color="auto"/>
              <w:left w:val="nil"/>
              <w:bottom w:val="nil"/>
              <w:right w:val="nil"/>
            </w:tcBorders>
            <w:shd w:val="clear" w:color="000000" w:fill="FFFFFF"/>
            <w:vAlign w:val="center"/>
            <w:hideMark/>
          </w:tcPr>
          <w:p w14:paraId="5EB2B6BF" w14:textId="77777777" w:rsidR="00745B47" w:rsidRPr="00745B47" w:rsidRDefault="00745B47" w:rsidP="00745B47">
            <w:pPr>
              <w:ind w:firstLineChars="100" w:firstLine="181"/>
              <w:rPr>
                <w:rFonts w:ascii="Verdana" w:eastAsia="Times New Roman" w:hAnsi="Verdana" w:cs="Calibri"/>
                <w:b/>
                <w:bCs/>
                <w:color w:val="000000"/>
                <w:sz w:val="18"/>
                <w:szCs w:val="18"/>
                <w:lang w:val="en-GB" w:eastAsia="en-GB"/>
              </w:rPr>
            </w:pPr>
            <w:r w:rsidRPr="00745B47">
              <w:rPr>
                <w:rFonts w:ascii="Verdana" w:eastAsia="Times New Roman" w:hAnsi="Verdana" w:cs="Calibri"/>
                <w:b/>
                <w:bCs/>
                <w:color w:val="000000"/>
                <w:sz w:val="18"/>
                <w:szCs w:val="18"/>
                <w:lang w:val="en-GB" w:eastAsia="en-GB"/>
              </w:rPr>
              <w:t> </w:t>
            </w:r>
          </w:p>
        </w:tc>
        <w:tc>
          <w:tcPr>
            <w:tcW w:w="520" w:type="dxa"/>
            <w:tcBorders>
              <w:top w:val="single" w:sz="4" w:space="0" w:color="auto"/>
              <w:left w:val="nil"/>
              <w:bottom w:val="nil"/>
              <w:right w:val="single" w:sz="4" w:space="0" w:color="auto"/>
            </w:tcBorders>
            <w:shd w:val="clear" w:color="000000" w:fill="FFFFFF"/>
            <w:vAlign w:val="center"/>
            <w:hideMark/>
          </w:tcPr>
          <w:p w14:paraId="09199728" w14:textId="77777777" w:rsidR="00745B47" w:rsidRPr="00745B47" w:rsidRDefault="00745B47" w:rsidP="00745B47">
            <w:pPr>
              <w:ind w:firstLineChars="100" w:firstLine="181"/>
              <w:rPr>
                <w:rFonts w:ascii="Verdana" w:eastAsia="Times New Roman" w:hAnsi="Verdana" w:cs="Calibri"/>
                <w:b/>
                <w:bCs/>
                <w:color w:val="000000"/>
                <w:sz w:val="18"/>
                <w:szCs w:val="18"/>
                <w:lang w:val="en-GB" w:eastAsia="en-GB"/>
              </w:rPr>
            </w:pPr>
            <w:r w:rsidRPr="00745B47">
              <w:rPr>
                <w:rFonts w:ascii="Verdana" w:eastAsia="Times New Roman" w:hAnsi="Verdana" w:cs="Calibri"/>
                <w:b/>
                <w:bCs/>
                <w:color w:val="000000"/>
                <w:sz w:val="18"/>
                <w:szCs w:val="18"/>
                <w:lang w:val="en-GB" w:eastAsia="en-GB"/>
              </w:rPr>
              <w:t> </w:t>
            </w:r>
          </w:p>
        </w:tc>
      </w:tr>
      <w:tr w:rsidR="00745B47" w:rsidRPr="00745B47" w14:paraId="4E582980" w14:textId="77777777" w:rsidTr="00F5442C">
        <w:trPr>
          <w:trHeight w:val="300"/>
        </w:trPr>
        <w:tc>
          <w:tcPr>
            <w:tcW w:w="3544"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14:paraId="2FADA78E" w14:textId="77777777" w:rsidR="00745B47" w:rsidRPr="00745B47" w:rsidRDefault="00745B47" w:rsidP="00745B47">
            <w:pPr>
              <w:rPr>
                <w:rFonts w:ascii="Verdana" w:eastAsia="Times New Roman" w:hAnsi="Verdana" w:cs="Calibri"/>
                <w:b/>
                <w:bCs/>
                <w:color w:val="000000"/>
                <w:sz w:val="18"/>
                <w:szCs w:val="18"/>
                <w:lang w:val="en-GB" w:eastAsia="en-GB"/>
              </w:rPr>
            </w:pPr>
            <w:r w:rsidRPr="00745B47">
              <w:rPr>
                <w:rFonts w:ascii="Verdana" w:eastAsia="Times New Roman" w:hAnsi="Verdana" w:cs="Calibri"/>
                <w:b/>
                <w:bCs/>
                <w:color w:val="000000"/>
                <w:sz w:val="18"/>
                <w:szCs w:val="18"/>
                <w:lang w:val="en-GB" w:eastAsia="en-GB"/>
              </w:rPr>
              <w:t> </w:t>
            </w:r>
          </w:p>
        </w:tc>
        <w:tc>
          <w:tcPr>
            <w:tcW w:w="1559" w:type="dxa"/>
            <w:tcBorders>
              <w:top w:val="single" w:sz="4" w:space="0" w:color="000000"/>
              <w:left w:val="nil"/>
              <w:bottom w:val="single" w:sz="4" w:space="0" w:color="000000"/>
              <w:right w:val="nil"/>
            </w:tcBorders>
            <w:shd w:val="clear" w:color="000000" w:fill="FFFFFF"/>
            <w:noWrap/>
            <w:vAlign w:val="center"/>
            <w:hideMark/>
          </w:tcPr>
          <w:p w14:paraId="3401CAB4" w14:textId="77777777" w:rsidR="00745B47" w:rsidRPr="00745B47" w:rsidRDefault="00745B47" w:rsidP="00745B47">
            <w:pPr>
              <w:rPr>
                <w:rFonts w:ascii="Verdana" w:eastAsia="Times New Roman" w:hAnsi="Verdana" w:cs="Calibri"/>
                <w:b/>
                <w:bCs/>
                <w:color w:val="000000"/>
                <w:sz w:val="18"/>
                <w:szCs w:val="18"/>
                <w:lang w:val="en-GB" w:eastAsia="en-GB"/>
              </w:rPr>
            </w:pPr>
            <w:r w:rsidRPr="00745B47">
              <w:rPr>
                <w:rFonts w:ascii="Verdana" w:eastAsia="Times New Roman" w:hAnsi="Verdana" w:cs="Calibri"/>
                <w:b/>
                <w:bCs/>
                <w:color w:val="000000"/>
                <w:sz w:val="18"/>
                <w:szCs w:val="18"/>
                <w:lang w:val="en-GB" w:eastAsia="en-GB"/>
              </w:rPr>
              <w:t> </w:t>
            </w:r>
          </w:p>
        </w:tc>
        <w:tc>
          <w:tcPr>
            <w:tcW w:w="1276" w:type="dxa"/>
            <w:tcBorders>
              <w:top w:val="single" w:sz="4" w:space="0" w:color="000000"/>
              <w:left w:val="single" w:sz="4" w:space="0" w:color="auto"/>
              <w:bottom w:val="single" w:sz="4" w:space="0" w:color="000000"/>
              <w:right w:val="single" w:sz="4" w:space="0" w:color="000000"/>
            </w:tcBorders>
            <w:shd w:val="clear" w:color="000000" w:fill="FFFFFF"/>
            <w:noWrap/>
            <w:vAlign w:val="center"/>
            <w:hideMark/>
          </w:tcPr>
          <w:p w14:paraId="43CA3D3F" w14:textId="77777777" w:rsidR="00745B47" w:rsidRPr="00745B47" w:rsidRDefault="00745B47" w:rsidP="00745B47">
            <w:pPr>
              <w:jc w:val="right"/>
              <w:rPr>
                <w:rFonts w:ascii="Verdana" w:eastAsia="Times New Roman" w:hAnsi="Verdana" w:cs="Calibri"/>
                <w:b/>
                <w:bCs/>
                <w:color w:val="000000"/>
                <w:sz w:val="18"/>
                <w:szCs w:val="18"/>
                <w:lang w:val="en-GB" w:eastAsia="en-GB"/>
              </w:rPr>
            </w:pPr>
            <w:r w:rsidRPr="00745B47">
              <w:rPr>
                <w:rFonts w:ascii="Verdana" w:eastAsia="Times New Roman" w:hAnsi="Verdana" w:cs="Calibri"/>
                <w:b/>
                <w:bCs/>
                <w:color w:val="000000"/>
                <w:sz w:val="18"/>
                <w:szCs w:val="18"/>
                <w:lang w:val="en-GB" w:eastAsia="en-GB"/>
              </w:rPr>
              <w:t> </w:t>
            </w:r>
          </w:p>
        </w:tc>
        <w:tc>
          <w:tcPr>
            <w:tcW w:w="8452" w:type="dxa"/>
            <w:gridSpan w:val="9"/>
            <w:tcBorders>
              <w:top w:val="single" w:sz="4" w:space="0" w:color="auto"/>
              <w:left w:val="single" w:sz="4" w:space="0" w:color="000000"/>
              <w:bottom w:val="single" w:sz="4" w:space="0" w:color="auto"/>
              <w:right w:val="single" w:sz="4" w:space="0" w:color="000000"/>
            </w:tcBorders>
            <w:shd w:val="clear" w:color="000000" w:fill="FFFFFF"/>
            <w:noWrap/>
            <w:vAlign w:val="center"/>
            <w:hideMark/>
          </w:tcPr>
          <w:p w14:paraId="409C7C45" w14:textId="77777777" w:rsidR="00745B47" w:rsidRPr="00745B47" w:rsidRDefault="00745B47" w:rsidP="00745B47">
            <w:pPr>
              <w:jc w:val="center"/>
              <w:rPr>
                <w:rFonts w:ascii="Verdana" w:eastAsia="Times New Roman" w:hAnsi="Verdana" w:cs="Calibri"/>
                <w:b/>
                <w:bCs/>
                <w:color w:val="000000"/>
                <w:sz w:val="18"/>
                <w:szCs w:val="18"/>
                <w:lang w:val="en-GB" w:eastAsia="en-GB"/>
              </w:rPr>
            </w:pPr>
            <w:r w:rsidRPr="00745B47">
              <w:rPr>
                <w:rFonts w:ascii="Verdana" w:eastAsia="Times New Roman" w:hAnsi="Verdana" w:cs="Calibri"/>
                <w:b/>
                <w:bCs/>
                <w:color w:val="000000"/>
                <w:sz w:val="18"/>
                <w:szCs w:val="18"/>
                <w:lang w:val="en-GB" w:eastAsia="en-GB"/>
              </w:rPr>
              <w:t>2019/2020</w:t>
            </w:r>
          </w:p>
        </w:tc>
      </w:tr>
      <w:tr w:rsidR="00745B47" w:rsidRPr="00745B47" w14:paraId="1CE3E9B4" w14:textId="77777777" w:rsidTr="00514C09">
        <w:trPr>
          <w:trHeight w:val="675"/>
        </w:trPr>
        <w:tc>
          <w:tcPr>
            <w:tcW w:w="3544" w:type="dxa"/>
            <w:tcBorders>
              <w:top w:val="single" w:sz="4" w:space="0" w:color="000000"/>
              <w:left w:val="single" w:sz="4" w:space="0" w:color="auto"/>
              <w:bottom w:val="single" w:sz="4" w:space="0" w:color="auto"/>
              <w:right w:val="single" w:sz="4" w:space="0" w:color="auto"/>
            </w:tcBorders>
            <w:shd w:val="clear" w:color="000000" w:fill="FFFFFF"/>
            <w:vAlign w:val="center"/>
            <w:hideMark/>
          </w:tcPr>
          <w:p w14:paraId="273CE373" w14:textId="77777777" w:rsidR="00745B47" w:rsidRPr="0027176B" w:rsidRDefault="00745B47" w:rsidP="00745B47">
            <w:pPr>
              <w:jc w:val="center"/>
              <w:rPr>
                <w:rFonts w:ascii="Verdana" w:eastAsia="Times New Roman" w:hAnsi="Verdana" w:cs="Calibri"/>
                <w:b/>
                <w:bCs/>
                <w:color w:val="000000"/>
                <w:sz w:val="16"/>
                <w:szCs w:val="16"/>
                <w:lang w:val="en-GB" w:eastAsia="en-GB"/>
              </w:rPr>
            </w:pPr>
            <w:r w:rsidRPr="0027176B">
              <w:rPr>
                <w:rFonts w:ascii="Verdana" w:eastAsia="Times New Roman" w:hAnsi="Verdana" w:cs="Calibri"/>
                <w:b/>
                <w:bCs/>
                <w:color w:val="000000"/>
                <w:sz w:val="16"/>
                <w:szCs w:val="16"/>
                <w:lang w:val="en-GB" w:eastAsia="en-GB"/>
              </w:rPr>
              <w:t>Position</w:t>
            </w:r>
          </w:p>
        </w:tc>
        <w:tc>
          <w:tcPr>
            <w:tcW w:w="1559" w:type="dxa"/>
            <w:tcBorders>
              <w:top w:val="single" w:sz="4" w:space="0" w:color="000000"/>
              <w:left w:val="nil"/>
              <w:bottom w:val="single" w:sz="4" w:space="0" w:color="auto"/>
              <w:right w:val="single" w:sz="4" w:space="0" w:color="auto"/>
            </w:tcBorders>
            <w:shd w:val="clear" w:color="000000" w:fill="FFFFFF"/>
            <w:vAlign w:val="center"/>
            <w:hideMark/>
          </w:tcPr>
          <w:p w14:paraId="65EE8559" w14:textId="77777777" w:rsidR="00745B47" w:rsidRPr="0027176B" w:rsidRDefault="00745B47" w:rsidP="00745B47">
            <w:pPr>
              <w:jc w:val="center"/>
              <w:rPr>
                <w:rFonts w:ascii="Verdana" w:eastAsia="Times New Roman" w:hAnsi="Verdana" w:cs="Calibri"/>
                <w:b/>
                <w:bCs/>
                <w:color w:val="000000"/>
                <w:sz w:val="16"/>
                <w:szCs w:val="16"/>
                <w:lang w:val="en-GB" w:eastAsia="en-GB"/>
              </w:rPr>
            </w:pPr>
            <w:r w:rsidRPr="0027176B">
              <w:rPr>
                <w:rFonts w:ascii="Verdana" w:eastAsia="Times New Roman" w:hAnsi="Verdana" w:cs="Calibri"/>
                <w:b/>
                <w:bCs/>
                <w:color w:val="000000"/>
                <w:sz w:val="16"/>
                <w:szCs w:val="16"/>
                <w:lang w:val="en-GB" w:eastAsia="en-GB"/>
              </w:rPr>
              <w:t>Position Start Date</w:t>
            </w:r>
          </w:p>
        </w:tc>
        <w:tc>
          <w:tcPr>
            <w:tcW w:w="1276" w:type="dxa"/>
            <w:tcBorders>
              <w:top w:val="single" w:sz="4" w:space="0" w:color="000000"/>
              <w:left w:val="nil"/>
              <w:bottom w:val="single" w:sz="4" w:space="0" w:color="auto"/>
              <w:right w:val="single" w:sz="4" w:space="0" w:color="auto"/>
            </w:tcBorders>
            <w:shd w:val="clear" w:color="000000" w:fill="FFFFFF"/>
            <w:vAlign w:val="center"/>
            <w:hideMark/>
          </w:tcPr>
          <w:p w14:paraId="0A7E879E" w14:textId="77777777" w:rsidR="00745B47" w:rsidRPr="0027176B" w:rsidRDefault="00745B47" w:rsidP="00745B47">
            <w:pPr>
              <w:jc w:val="center"/>
              <w:rPr>
                <w:rFonts w:ascii="Verdana" w:eastAsia="Times New Roman" w:hAnsi="Verdana" w:cs="Calibri"/>
                <w:b/>
                <w:bCs/>
                <w:color w:val="000000"/>
                <w:sz w:val="16"/>
                <w:szCs w:val="16"/>
                <w:lang w:val="en-GB" w:eastAsia="en-GB"/>
              </w:rPr>
            </w:pPr>
            <w:r w:rsidRPr="0027176B">
              <w:rPr>
                <w:rFonts w:ascii="Verdana" w:eastAsia="Times New Roman" w:hAnsi="Verdana" w:cs="Calibri"/>
                <w:b/>
                <w:bCs/>
                <w:color w:val="000000"/>
                <w:sz w:val="16"/>
                <w:szCs w:val="16"/>
                <w:lang w:val="en-GB" w:eastAsia="en-GB"/>
              </w:rPr>
              <w:t>Position End Date</w:t>
            </w:r>
          </w:p>
        </w:tc>
        <w:tc>
          <w:tcPr>
            <w:tcW w:w="1360" w:type="dxa"/>
            <w:tcBorders>
              <w:top w:val="nil"/>
              <w:left w:val="nil"/>
              <w:bottom w:val="single" w:sz="4" w:space="0" w:color="auto"/>
              <w:right w:val="single" w:sz="4" w:space="0" w:color="auto"/>
            </w:tcBorders>
            <w:shd w:val="clear" w:color="000000" w:fill="FFFFFF"/>
            <w:vAlign w:val="center"/>
            <w:hideMark/>
          </w:tcPr>
          <w:p w14:paraId="33257B89" w14:textId="77777777" w:rsidR="00745B47" w:rsidRPr="0027176B" w:rsidRDefault="00745B47" w:rsidP="00745B47">
            <w:pPr>
              <w:jc w:val="center"/>
              <w:rPr>
                <w:rFonts w:ascii="Verdana" w:eastAsia="Times New Roman" w:hAnsi="Verdana" w:cs="Calibri"/>
                <w:b/>
                <w:bCs/>
                <w:color w:val="000000"/>
                <w:sz w:val="16"/>
                <w:szCs w:val="16"/>
                <w:lang w:val="en-GB" w:eastAsia="en-GB"/>
              </w:rPr>
            </w:pPr>
            <w:r w:rsidRPr="0027176B">
              <w:rPr>
                <w:rFonts w:ascii="Verdana" w:eastAsia="Times New Roman" w:hAnsi="Verdana" w:cs="Calibri"/>
                <w:b/>
                <w:bCs/>
                <w:color w:val="000000"/>
                <w:sz w:val="16"/>
                <w:szCs w:val="16"/>
                <w:lang w:val="en-GB" w:eastAsia="en-GB"/>
              </w:rPr>
              <w:t>Salary, Fees &amp; Allowances</w:t>
            </w:r>
          </w:p>
        </w:tc>
        <w:tc>
          <w:tcPr>
            <w:tcW w:w="1481" w:type="dxa"/>
            <w:tcBorders>
              <w:top w:val="nil"/>
              <w:left w:val="nil"/>
              <w:bottom w:val="single" w:sz="4" w:space="0" w:color="auto"/>
              <w:right w:val="single" w:sz="4" w:space="0" w:color="auto"/>
            </w:tcBorders>
            <w:shd w:val="clear" w:color="000000" w:fill="FFFFFF"/>
            <w:vAlign w:val="center"/>
            <w:hideMark/>
          </w:tcPr>
          <w:p w14:paraId="40010705" w14:textId="77777777" w:rsidR="00745B47" w:rsidRPr="0027176B" w:rsidRDefault="00745B47" w:rsidP="00745B47">
            <w:pPr>
              <w:jc w:val="center"/>
              <w:rPr>
                <w:rFonts w:ascii="Verdana" w:eastAsia="Times New Roman" w:hAnsi="Verdana" w:cs="Calibri"/>
                <w:b/>
                <w:bCs/>
                <w:color w:val="000000"/>
                <w:sz w:val="16"/>
                <w:szCs w:val="16"/>
                <w:lang w:val="en-GB" w:eastAsia="en-GB"/>
              </w:rPr>
            </w:pPr>
            <w:r w:rsidRPr="0027176B">
              <w:rPr>
                <w:rFonts w:ascii="Verdana" w:eastAsia="Times New Roman" w:hAnsi="Verdana" w:cs="Calibri"/>
                <w:b/>
                <w:bCs/>
                <w:color w:val="000000"/>
                <w:sz w:val="16"/>
                <w:szCs w:val="16"/>
                <w:lang w:val="en-GB" w:eastAsia="en-GB"/>
              </w:rPr>
              <w:t>Employers Pension Contribution</w:t>
            </w:r>
          </w:p>
        </w:tc>
        <w:tc>
          <w:tcPr>
            <w:tcW w:w="1270" w:type="dxa"/>
            <w:gridSpan w:val="2"/>
            <w:tcBorders>
              <w:top w:val="nil"/>
              <w:left w:val="nil"/>
              <w:bottom w:val="single" w:sz="4" w:space="0" w:color="auto"/>
              <w:right w:val="single" w:sz="4" w:space="0" w:color="auto"/>
            </w:tcBorders>
            <w:shd w:val="clear" w:color="000000" w:fill="FFFFFF"/>
            <w:vAlign w:val="center"/>
            <w:hideMark/>
          </w:tcPr>
          <w:p w14:paraId="027712E7" w14:textId="77777777" w:rsidR="00745B47" w:rsidRPr="0027176B" w:rsidRDefault="00745B47" w:rsidP="00745B47">
            <w:pPr>
              <w:jc w:val="center"/>
              <w:rPr>
                <w:rFonts w:ascii="Verdana" w:eastAsia="Times New Roman" w:hAnsi="Verdana" w:cs="Calibri"/>
                <w:b/>
                <w:bCs/>
                <w:color w:val="000000"/>
                <w:sz w:val="16"/>
                <w:szCs w:val="16"/>
                <w:lang w:val="en-GB" w:eastAsia="en-GB"/>
              </w:rPr>
            </w:pPr>
            <w:r w:rsidRPr="0027176B">
              <w:rPr>
                <w:rFonts w:ascii="Verdana" w:eastAsia="Times New Roman" w:hAnsi="Verdana" w:cs="Calibri"/>
                <w:b/>
                <w:bCs/>
                <w:color w:val="000000"/>
                <w:sz w:val="16"/>
                <w:szCs w:val="16"/>
                <w:lang w:val="en-GB" w:eastAsia="en-GB"/>
              </w:rPr>
              <w:t>P11D Benefit</w:t>
            </w:r>
          </w:p>
        </w:tc>
        <w:tc>
          <w:tcPr>
            <w:tcW w:w="992" w:type="dxa"/>
            <w:tcBorders>
              <w:top w:val="nil"/>
              <w:left w:val="nil"/>
              <w:bottom w:val="single" w:sz="4" w:space="0" w:color="auto"/>
              <w:right w:val="single" w:sz="4" w:space="0" w:color="auto"/>
            </w:tcBorders>
            <w:shd w:val="clear" w:color="000000" w:fill="FFFFFF"/>
            <w:vAlign w:val="center"/>
            <w:hideMark/>
          </w:tcPr>
          <w:p w14:paraId="2D1CD15B" w14:textId="77777777" w:rsidR="00745B47" w:rsidRPr="0027176B" w:rsidRDefault="00745B47" w:rsidP="00745B47">
            <w:pPr>
              <w:jc w:val="center"/>
              <w:rPr>
                <w:rFonts w:ascii="Verdana" w:eastAsia="Times New Roman" w:hAnsi="Verdana" w:cs="Calibri"/>
                <w:b/>
                <w:bCs/>
                <w:color w:val="000000"/>
                <w:sz w:val="16"/>
                <w:szCs w:val="16"/>
                <w:lang w:val="en-GB" w:eastAsia="en-GB"/>
              </w:rPr>
            </w:pPr>
            <w:r w:rsidRPr="0027176B">
              <w:rPr>
                <w:rFonts w:ascii="Verdana" w:eastAsia="Times New Roman" w:hAnsi="Verdana" w:cs="Calibri"/>
                <w:b/>
                <w:bCs/>
                <w:color w:val="000000"/>
                <w:sz w:val="16"/>
                <w:szCs w:val="16"/>
                <w:lang w:val="en-GB" w:eastAsia="en-GB"/>
              </w:rPr>
              <w:t>Comp for Loss of Office’</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459854B2" w14:textId="77777777" w:rsidR="00745B47" w:rsidRPr="0027176B" w:rsidRDefault="00745B47" w:rsidP="00745B47">
            <w:pPr>
              <w:jc w:val="center"/>
              <w:rPr>
                <w:rFonts w:ascii="Verdana" w:eastAsia="Times New Roman" w:hAnsi="Verdana" w:cs="Calibri"/>
                <w:b/>
                <w:bCs/>
                <w:color w:val="000000"/>
                <w:sz w:val="16"/>
                <w:szCs w:val="16"/>
                <w:lang w:val="en-GB" w:eastAsia="en-GB"/>
              </w:rPr>
            </w:pPr>
            <w:r w:rsidRPr="0027176B">
              <w:rPr>
                <w:rFonts w:ascii="Verdana" w:eastAsia="Times New Roman" w:hAnsi="Verdana" w:cs="Calibri"/>
                <w:b/>
                <w:bCs/>
                <w:color w:val="000000"/>
                <w:sz w:val="16"/>
                <w:szCs w:val="16"/>
                <w:lang w:val="en-GB" w:eastAsia="en-GB"/>
              </w:rPr>
              <w:t>Accrued Annual Leave not yet taken</w:t>
            </w:r>
          </w:p>
        </w:tc>
        <w:tc>
          <w:tcPr>
            <w:tcW w:w="1648" w:type="dxa"/>
            <w:gridSpan w:val="2"/>
            <w:tcBorders>
              <w:top w:val="nil"/>
              <w:left w:val="nil"/>
              <w:bottom w:val="single" w:sz="4" w:space="0" w:color="auto"/>
              <w:right w:val="single" w:sz="4" w:space="0" w:color="auto"/>
            </w:tcBorders>
            <w:shd w:val="clear" w:color="000000" w:fill="FFFFFF"/>
            <w:vAlign w:val="center"/>
            <w:hideMark/>
          </w:tcPr>
          <w:p w14:paraId="7FF609D3" w14:textId="77777777" w:rsidR="00745B47" w:rsidRPr="0027176B" w:rsidRDefault="00745B47" w:rsidP="00745B47">
            <w:pPr>
              <w:jc w:val="center"/>
              <w:rPr>
                <w:rFonts w:ascii="Verdana" w:eastAsia="Times New Roman" w:hAnsi="Verdana" w:cs="Calibri"/>
                <w:b/>
                <w:bCs/>
                <w:color w:val="000000"/>
                <w:sz w:val="16"/>
                <w:szCs w:val="16"/>
                <w:lang w:val="en-GB" w:eastAsia="en-GB"/>
              </w:rPr>
            </w:pPr>
            <w:r w:rsidRPr="0027176B">
              <w:rPr>
                <w:rFonts w:ascii="Verdana" w:eastAsia="Times New Roman" w:hAnsi="Verdana" w:cs="Calibri"/>
                <w:b/>
                <w:bCs/>
                <w:color w:val="000000"/>
                <w:sz w:val="16"/>
                <w:szCs w:val="16"/>
                <w:lang w:val="en-GB" w:eastAsia="en-GB"/>
              </w:rPr>
              <w:t xml:space="preserve">Total Remuneration </w:t>
            </w:r>
          </w:p>
        </w:tc>
      </w:tr>
      <w:tr w:rsidR="00745B47" w:rsidRPr="00745B47" w14:paraId="04BA116F" w14:textId="77777777" w:rsidTr="00514C09">
        <w:trPr>
          <w:trHeight w:val="300"/>
        </w:trPr>
        <w:tc>
          <w:tcPr>
            <w:tcW w:w="3544" w:type="dxa"/>
            <w:tcBorders>
              <w:top w:val="nil"/>
              <w:left w:val="single" w:sz="4" w:space="0" w:color="auto"/>
              <w:bottom w:val="single" w:sz="4" w:space="0" w:color="auto"/>
              <w:right w:val="single" w:sz="4" w:space="0" w:color="auto"/>
            </w:tcBorders>
            <w:shd w:val="clear" w:color="000000" w:fill="FFFFFF"/>
            <w:noWrap/>
            <w:vAlign w:val="center"/>
            <w:hideMark/>
          </w:tcPr>
          <w:p w14:paraId="6E895037" w14:textId="77777777" w:rsidR="00745B47" w:rsidRPr="00745B47" w:rsidRDefault="00745B47" w:rsidP="00745B47">
            <w:pPr>
              <w:ind w:firstLineChars="100" w:firstLine="161"/>
              <w:rPr>
                <w:rFonts w:ascii="Verdana" w:eastAsia="Times New Roman" w:hAnsi="Verdana" w:cs="Calibri"/>
                <w:b/>
                <w:bCs/>
                <w:color w:val="000000"/>
                <w:sz w:val="16"/>
                <w:szCs w:val="16"/>
                <w:lang w:val="en-GB" w:eastAsia="en-GB"/>
              </w:rPr>
            </w:pPr>
            <w:r w:rsidRPr="00745B47">
              <w:rPr>
                <w:rFonts w:ascii="Verdana" w:eastAsia="Times New Roman" w:hAnsi="Verdana" w:cs="Calibri"/>
                <w:b/>
                <w:bCs/>
                <w:color w:val="000000"/>
                <w:sz w:val="16"/>
                <w:szCs w:val="16"/>
                <w:lang w:val="en-GB" w:eastAsia="en-GB"/>
              </w:rPr>
              <w:t> </w:t>
            </w:r>
          </w:p>
        </w:tc>
        <w:tc>
          <w:tcPr>
            <w:tcW w:w="1559" w:type="dxa"/>
            <w:tcBorders>
              <w:top w:val="nil"/>
              <w:left w:val="nil"/>
              <w:bottom w:val="single" w:sz="4" w:space="0" w:color="auto"/>
              <w:right w:val="single" w:sz="4" w:space="0" w:color="auto"/>
            </w:tcBorders>
            <w:shd w:val="clear" w:color="000000" w:fill="FFFFFF"/>
            <w:vAlign w:val="center"/>
            <w:hideMark/>
          </w:tcPr>
          <w:p w14:paraId="24D7462B" w14:textId="77777777" w:rsidR="00745B47" w:rsidRPr="00745B47" w:rsidRDefault="00745B47" w:rsidP="00745B47">
            <w:pPr>
              <w:jc w:val="center"/>
              <w:rPr>
                <w:rFonts w:ascii="Verdana" w:eastAsia="Times New Roman" w:hAnsi="Verdana" w:cs="Calibri"/>
                <w:b/>
                <w:bCs/>
                <w:color w:val="000000"/>
                <w:sz w:val="16"/>
                <w:szCs w:val="16"/>
                <w:lang w:val="en-GB" w:eastAsia="en-GB"/>
              </w:rPr>
            </w:pPr>
            <w:r w:rsidRPr="00745B47">
              <w:rPr>
                <w:rFonts w:ascii="Verdana" w:eastAsia="Times New Roman" w:hAnsi="Verdana" w:cs="Calibri"/>
                <w:b/>
                <w:bCs/>
                <w:color w:val="000000"/>
                <w:sz w:val="16"/>
                <w:szCs w:val="16"/>
                <w:lang w:val="en-GB" w:eastAsia="en-GB"/>
              </w:rPr>
              <w:t> </w:t>
            </w:r>
          </w:p>
        </w:tc>
        <w:tc>
          <w:tcPr>
            <w:tcW w:w="1276" w:type="dxa"/>
            <w:tcBorders>
              <w:top w:val="nil"/>
              <w:left w:val="nil"/>
              <w:bottom w:val="single" w:sz="4" w:space="0" w:color="auto"/>
              <w:right w:val="single" w:sz="4" w:space="0" w:color="auto"/>
            </w:tcBorders>
            <w:shd w:val="clear" w:color="000000" w:fill="FFFFFF"/>
            <w:vAlign w:val="center"/>
            <w:hideMark/>
          </w:tcPr>
          <w:p w14:paraId="71ABA095" w14:textId="77777777" w:rsidR="00745B47" w:rsidRPr="00745B47" w:rsidRDefault="00745B47" w:rsidP="00745B47">
            <w:pPr>
              <w:jc w:val="center"/>
              <w:rPr>
                <w:rFonts w:ascii="Verdana" w:eastAsia="Times New Roman" w:hAnsi="Verdana" w:cs="Calibri"/>
                <w:b/>
                <w:bCs/>
                <w:color w:val="000000"/>
                <w:sz w:val="16"/>
                <w:szCs w:val="16"/>
                <w:lang w:val="en-GB" w:eastAsia="en-GB"/>
              </w:rPr>
            </w:pPr>
            <w:r w:rsidRPr="00745B47">
              <w:rPr>
                <w:rFonts w:ascii="Verdana" w:eastAsia="Times New Roman" w:hAnsi="Verdana" w:cs="Calibri"/>
                <w:b/>
                <w:bCs/>
                <w:color w:val="000000"/>
                <w:sz w:val="16"/>
                <w:szCs w:val="16"/>
                <w:lang w:val="en-GB" w:eastAsia="en-GB"/>
              </w:rPr>
              <w:t> </w:t>
            </w:r>
          </w:p>
        </w:tc>
        <w:tc>
          <w:tcPr>
            <w:tcW w:w="1360" w:type="dxa"/>
            <w:tcBorders>
              <w:top w:val="nil"/>
              <w:left w:val="nil"/>
              <w:bottom w:val="single" w:sz="4" w:space="0" w:color="auto"/>
              <w:right w:val="single" w:sz="4" w:space="0" w:color="auto"/>
            </w:tcBorders>
            <w:shd w:val="clear" w:color="000000" w:fill="FFFFFF"/>
            <w:vAlign w:val="center"/>
            <w:hideMark/>
          </w:tcPr>
          <w:p w14:paraId="603C6079" w14:textId="77777777" w:rsidR="00745B47" w:rsidRPr="00745B47" w:rsidRDefault="00745B47" w:rsidP="00745B47">
            <w:pPr>
              <w:jc w:val="center"/>
              <w:rPr>
                <w:rFonts w:ascii="Verdana" w:eastAsia="Times New Roman" w:hAnsi="Verdana" w:cs="Calibri"/>
                <w:b/>
                <w:bCs/>
                <w:color w:val="000000"/>
                <w:sz w:val="16"/>
                <w:szCs w:val="16"/>
                <w:lang w:val="en-GB" w:eastAsia="en-GB"/>
              </w:rPr>
            </w:pPr>
            <w:r w:rsidRPr="00745B47">
              <w:rPr>
                <w:rFonts w:ascii="Verdana" w:eastAsia="Times New Roman" w:hAnsi="Verdana" w:cs="Calibri"/>
                <w:b/>
                <w:bCs/>
                <w:color w:val="000000"/>
                <w:sz w:val="16"/>
                <w:szCs w:val="16"/>
                <w:lang w:val="en-GB" w:eastAsia="en-GB"/>
              </w:rPr>
              <w:t>£</w:t>
            </w:r>
          </w:p>
        </w:tc>
        <w:tc>
          <w:tcPr>
            <w:tcW w:w="1481" w:type="dxa"/>
            <w:tcBorders>
              <w:top w:val="nil"/>
              <w:left w:val="nil"/>
              <w:bottom w:val="single" w:sz="4" w:space="0" w:color="auto"/>
              <w:right w:val="single" w:sz="4" w:space="0" w:color="auto"/>
            </w:tcBorders>
            <w:shd w:val="clear" w:color="000000" w:fill="FFFFFF"/>
            <w:vAlign w:val="center"/>
            <w:hideMark/>
          </w:tcPr>
          <w:p w14:paraId="074DF4FA" w14:textId="77777777" w:rsidR="00745B47" w:rsidRPr="00745B47" w:rsidRDefault="00745B47" w:rsidP="00745B47">
            <w:pPr>
              <w:jc w:val="center"/>
              <w:rPr>
                <w:rFonts w:ascii="Verdana" w:eastAsia="Times New Roman" w:hAnsi="Verdana" w:cs="Calibri"/>
                <w:b/>
                <w:bCs/>
                <w:color w:val="000000"/>
                <w:sz w:val="16"/>
                <w:szCs w:val="16"/>
                <w:lang w:val="en-GB" w:eastAsia="en-GB"/>
              </w:rPr>
            </w:pPr>
            <w:r w:rsidRPr="00745B47">
              <w:rPr>
                <w:rFonts w:ascii="Verdana" w:eastAsia="Times New Roman" w:hAnsi="Verdana" w:cs="Calibri"/>
                <w:b/>
                <w:bCs/>
                <w:color w:val="000000"/>
                <w:sz w:val="16"/>
                <w:szCs w:val="16"/>
                <w:lang w:val="en-GB" w:eastAsia="en-GB"/>
              </w:rPr>
              <w:t>£</w:t>
            </w:r>
          </w:p>
        </w:tc>
        <w:tc>
          <w:tcPr>
            <w:tcW w:w="1270" w:type="dxa"/>
            <w:gridSpan w:val="2"/>
            <w:tcBorders>
              <w:top w:val="nil"/>
              <w:left w:val="nil"/>
              <w:bottom w:val="single" w:sz="4" w:space="0" w:color="auto"/>
              <w:right w:val="single" w:sz="4" w:space="0" w:color="auto"/>
            </w:tcBorders>
            <w:shd w:val="clear" w:color="000000" w:fill="FFFFFF"/>
            <w:vAlign w:val="center"/>
            <w:hideMark/>
          </w:tcPr>
          <w:p w14:paraId="54BBC754" w14:textId="77777777" w:rsidR="00745B47" w:rsidRPr="00745B47" w:rsidRDefault="00745B47" w:rsidP="00745B47">
            <w:pPr>
              <w:jc w:val="center"/>
              <w:rPr>
                <w:rFonts w:ascii="Verdana" w:eastAsia="Times New Roman" w:hAnsi="Verdana" w:cs="Calibri"/>
                <w:b/>
                <w:bCs/>
                <w:color w:val="000000"/>
                <w:sz w:val="16"/>
                <w:szCs w:val="16"/>
                <w:lang w:val="en-GB" w:eastAsia="en-GB"/>
              </w:rPr>
            </w:pPr>
            <w:r w:rsidRPr="00745B47">
              <w:rPr>
                <w:rFonts w:ascii="Verdana" w:eastAsia="Times New Roman" w:hAnsi="Verdana" w:cs="Calibri"/>
                <w:b/>
                <w:bCs/>
                <w:color w:val="000000"/>
                <w:sz w:val="16"/>
                <w:szCs w:val="16"/>
                <w:lang w:val="en-GB" w:eastAsia="en-GB"/>
              </w:rPr>
              <w:t>£</w:t>
            </w:r>
          </w:p>
        </w:tc>
        <w:tc>
          <w:tcPr>
            <w:tcW w:w="992" w:type="dxa"/>
            <w:tcBorders>
              <w:top w:val="nil"/>
              <w:left w:val="nil"/>
              <w:bottom w:val="single" w:sz="4" w:space="0" w:color="auto"/>
              <w:right w:val="single" w:sz="4" w:space="0" w:color="auto"/>
            </w:tcBorders>
            <w:shd w:val="clear" w:color="000000" w:fill="FFFFFF"/>
            <w:vAlign w:val="center"/>
            <w:hideMark/>
          </w:tcPr>
          <w:p w14:paraId="42DAB74F" w14:textId="77777777" w:rsidR="00745B47" w:rsidRPr="00745B47" w:rsidRDefault="00745B47" w:rsidP="00745B47">
            <w:pPr>
              <w:jc w:val="center"/>
              <w:rPr>
                <w:rFonts w:ascii="Verdana" w:eastAsia="Times New Roman" w:hAnsi="Verdana" w:cs="Calibri"/>
                <w:b/>
                <w:bCs/>
                <w:color w:val="000000"/>
                <w:sz w:val="16"/>
                <w:szCs w:val="16"/>
                <w:lang w:val="en-GB" w:eastAsia="en-GB"/>
              </w:rPr>
            </w:pPr>
            <w:r w:rsidRPr="00745B47">
              <w:rPr>
                <w:rFonts w:ascii="Verdana" w:eastAsia="Times New Roman" w:hAnsi="Verdana" w:cs="Calibri"/>
                <w:b/>
                <w:bCs/>
                <w:color w:val="000000"/>
                <w:sz w:val="16"/>
                <w:szCs w:val="16"/>
                <w:lang w:val="en-GB" w:eastAsia="en-GB"/>
              </w:rPr>
              <w:t>£</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5BB72AB6" w14:textId="77777777" w:rsidR="00745B47" w:rsidRPr="00745B47" w:rsidRDefault="00745B47" w:rsidP="00745B47">
            <w:pPr>
              <w:jc w:val="center"/>
              <w:rPr>
                <w:rFonts w:ascii="Verdana" w:eastAsia="Times New Roman" w:hAnsi="Verdana" w:cs="Calibri"/>
                <w:b/>
                <w:bCs/>
                <w:color w:val="000000"/>
                <w:sz w:val="16"/>
                <w:szCs w:val="16"/>
                <w:lang w:val="en-GB" w:eastAsia="en-GB"/>
              </w:rPr>
            </w:pPr>
            <w:r w:rsidRPr="00745B47">
              <w:rPr>
                <w:rFonts w:ascii="Verdana" w:eastAsia="Times New Roman" w:hAnsi="Verdana" w:cs="Calibri"/>
                <w:b/>
                <w:bCs/>
                <w:color w:val="000000"/>
                <w:sz w:val="16"/>
                <w:szCs w:val="16"/>
                <w:lang w:val="en-GB" w:eastAsia="en-GB"/>
              </w:rPr>
              <w:t> </w:t>
            </w:r>
          </w:p>
        </w:tc>
        <w:tc>
          <w:tcPr>
            <w:tcW w:w="1648" w:type="dxa"/>
            <w:gridSpan w:val="2"/>
            <w:tcBorders>
              <w:top w:val="nil"/>
              <w:left w:val="nil"/>
              <w:bottom w:val="single" w:sz="4" w:space="0" w:color="auto"/>
              <w:right w:val="single" w:sz="4" w:space="0" w:color="auto"/>
            </w:tcBorders>
            <w:shd w:val="clear" w:color="000000" w:fill="FFFFFF"/>
            <w:vAlign w:val="center"/>
            <w:hideMark/>
          </w:tcPr>
          <w:p w14:paraId="1CEE803B" w14:textId="77777777" w:rsidR="00745B47" w:rsidRPr="00745B47" w:rsidRDefault="00745B47" w:rsidP="00745B47">
            <w:pPr>
              <w:jc w:val="center"/>
              <w:rPr>
                <w:rFonts w:ascii="Verdana" w:eastAsia="Times New Roman" w:hAnsi="Verdana" w:cs="Calibri"/>
                <w:b/>
                <w:bCs/>
                <w:color w:val="000000"/>
                <w:sz w:val="16"/>
                <w:szCs w:val="16"/>
                <w:lang w:val="en-GB" w:eastAsia="en-GB"/>
              </w:rPr>
            </w:pPr>
            <w:r w:rsidRPr="00745B47">
              <w:rPr>
                <w:rFonts w:ascii="Verdana" w:eastAsia="Times New Roman" w:hAnsi="Verdana" w:cs="Calibri"/>
                <w:b/>
                <w:bCs/>
                <w:color w:val="000000"/>
                <w:sz w:val="16"/>
                <w:szCs w:val="16"/>
                <w:lang w:val="en-GB" w:eastAsia="en-GB"/>
              </w:rPr>
              <w:t>£</w:t>
            </w:r>
          </w:p>
        </w:tc>
      </w:tr>
      <w:tr w:rsidR="00745B47" w:rsidRPr="00745B47" w14:paraId="2F6178B3" w14:textId="77777777" w:rsidTr="00514C09">
        <w:trPr>
          <w:trHeight w:val="300"/>
        </w:trPr>
        <w:tc>
          <w:tcPr>
            <w:tcW w:w="3544" w:type="dxa"/>
            <w:tcBorders>
              <w:top w:val="nil"/>
              <w:left w:val="single" w:sz="4" w:space="0" w:color="auto"/>
              <w:bottom w:val="nil"/>
              <w:right w:val="nil"/>
            </w:tcBorders>
            <w:shd w:val="clear" w:color="000000" w:fill="FFFFFF"/>
            <w:vAlign w:val="center"/>
            <w:hideMark/>
          </w:tcPr>
          <w:p w14:paraId="713B7310" w14:textId="77777777" w:rsidR="00745B47" w:rsidRPr="00745B47" w:rsidRDefault="00745B47" w:rsidP="00745B47">
            <w:pPr>
              <w:ind w:firstLineChars="100" w:firstLine="160"/>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Chief Constable-G Stevens</w:t>
            </w:r>
          </w:p>
        </w:tc>
        <w:tc>
          <w:tcPr>
            <w:tcW w:w="1559" w:type="dxa"/>
            <w:tcBorders>
              <w:top w:val="nil"/>
              <w:left w:val="single" w:sz="4" w:space="0" w:color="auto"/>
              <w:bottom w:val="nil"/>
              <w:right w:val="nil"/>
            </w:tcBorders>
            <w:shd w:val="clear" w:color="000000" w:fill="FFFFFF"/>
            <w:vAlign w:val="center"/>
            <w:hideMark/>
          </w:tcPr>
          <w:p w14:paraId="10BA1F4E" w14:textId="77777777" w:rsidR="00745B47" w:rsidRPr="00745B47" w:rsidRDefault="00745B47" w:rsidP="00745B47">
            <w:pPr>
              <w:ind w:firstLineChars="100" w:firstLine="160"/>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20/01/2019</w:t>
            </w:r>
          </w:p>
        </w:tc>
        <w:tc>
          <w:tcPr>
            <w:tcW w:w="1276" w:type="dxa"/>
            <w:tcBorders>
              <w:top w:val="nil"/>
              <w:left w:val="single" w:sz="4" w:space="0" w:color="auto"/>
              <w:bottom w:val="nil"/>
              <w:right w:val="nil"/>
            </w:tcBorders>
            <w:shd w:val="clear" w:color="000000" w:fill="FFFFFF"/>
            <w:vAlign w:val="center"/>
            <w:hideMark/>
          </w:tcPr>
          <w:p w14:paraId="4F4FBBCA"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w:t>
            </w:r>
          </w:p>
        </w:tc>
        <w:tc>
          <w:tcPr>
            <w:tcW w:w="1360" w:type="dxa"/>
            <w:tcBorders>
              <w:top w:val="nil"/>
              <w:left w:val="single" w:sz="4" w:space="0" w:color="auto"/>
              <w:bottom w:val="nil"/>
              <w:right w:val="nil"/>
            </w:tcBorders>
            <w:shd w:val="clear" w:color="auto" w:fill="auto"/>
            <w:noWrap/>
            <w:vAlign w:val="center"/>
            <w:hideMark/>
          </w:tcPr>
          <w:p w14:paraId="40E42706"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152,710</w:t>
            </w:r>
          </w:p>
        </w:tc>
        <w:tc>
          <w:tcPr>
            <w:tcW w:w="1481" w:type="dxa"/>
            <w:tcBorders>
              <w:top w:val="nil"/>
              <w:left w:val="single" w:sz="4" w:space="0" w:color="auto"/>
              <w:bottom w:val="nil"/>
              <w:right w:val="single" w:sz="4" w:space="0" w:color="auto"/>
            </w:tcBorders>
            <w:shd w:val="clear" w:color="auto" w:fill="auto"/>
            <w:vAlign w:val="center"/>
            <w:hideMark/>
          </w:tcPr>
          <w:p w14:paraId="0BB9E793"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22,556</w:t>
            </w:r>
          </w:p>
        </w:tc>
        <w:tc>
          <w:tcPr>
            <w:tcW w:w="1270" w:type="dxa"/>
            <w:gridSpan w:val="2"/>
            <w:tcBorders>
              <w:top w:val="nil"/>
              <w:left w:val="nil"/>
              <w:bottom w:val="nil"/>
              <w:right w:val="single" w:sz="4" w:space="0" w:color="auto"/>
            </w:tcBorders>
            <w:shd w:val="clear" w:color="auto" w:fill="auto"/>
            <w:vAlign w:val="center"/>
            <w:hideMark/>
          </w:tcPr>
          <w:p w14:paraId="75F5B66F"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4,171</w:t>
            </w:r>
          </w:p>
        </w:tc>
        <w:tc>
          <w:tcPr>
            <w:tcW w:w="992" w:type="dxa"/>
            <w:tcBorders>
              <w:top w:val="nil"/>
              <w:left w:val="nil"/>
              <w:bottom w:val="nil"/>
              <w:right w:val="single" w:sz="4" w:space="0" w:color="auto"/>
            </w:tcBorders>
            <w:shd w:val="clear" w:color="auto" w:fill="auto"/>
            <w:vAlign w:val="center"/>
            <w:hideMark/>
          </w:tcPr>
          <w:p w14:paraId="6E64BDD4"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w:t>
            </w:r>
          </w:p>
        </w:tc>
        <w:tc>
          <w:tcPr>
            <w:tcW w:w="1701" w:type="dxa"/>
            <w:gridSpan w:val="2"/>
            <w:tcBorders>
              <w:top w:val="nil"/>
              <w:left w:val="nil"/>
              <w:bottom w:val="nil"/>
              <w:right w:val="single" w:sz="4" w:space="0" w:color="auto"/>
            </w:tcBorders>
            <w:shd w:val="clear" w:color="auto" w:fill="auto"/>
            <w:vAlign w:val="center"/>
            <w:hideMark/>
          </w:tcPr>
          <w:p w14:paraId="29D35172"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2,868</w:t>
            </w:r>
          </w:p>
        </w:tc>
        <w:tc>
          <w:tcPr>
            <w:tcW w:w="1648" w:type="dxa"/>
            <w:gridSpan w:val="2"/>
            <w:tcBorders>
              <w:top w:val="nil"/>
              <w:left w:val="nil"/>
              <w:bottom w:val="nil"/>
              <w:right w:val="single" w:sz="4" w:space="0" w:color="auto"/>
            </w:tcBorders>
            <w:shd w:val="clear" w:color="000000" w:fill="FFFFFF"/>
            <w:vAlign w:val="center"/>
            <w:hideMark/>
          </w:tcPr>
          <w:p w14:paraId="2AE85DC1" w14:textId="77777777" w:rsidR="00745B47" w:rsidRPr="00745B47" w:rsidRDefault="00745B47" w:rsidP="00745B47">
            <w:pPr>
              <w:jc w:val="right"/>
              <w:rPr>
                <w:rFonts w:ascii="Verdana" w:eastAsia="Times New Roman" w:hAnsi="Verdana" w:cs="Calibri"/>
                <w:b/>
                <w:bCs/>
                <w:color w:val="000000"/>
                <w:sz w:val="16"/>
                <w:szCs w:val="16"/>
                <w:lang w:val="en-GB" w:eastAsia="en-GB"/>
              </w:rPr>
            </w:pPr>
            <w:r w:rsidRPr="00745B47">
              <w:rPr>
                <w:rFonts w:ascii="Verdana" w:eastAsia="Times New Roman" w:hAnsi="Verdana" w:cs="Calibri"/>
                <w:b/>
                <w:bCs/>
                <w:color w:val="000000"/>
                <w:sz w:val="16"/>
                <w:szCs w:val="16"/>
                <w:lang w:val="en-GB" w:eastAsia="en-GB"/>
              </w:rPr>
              <w:t>182,305</w:t>
            </w:r>
          </w:p>
        </w:tc>
      </w:tr>
      <w:tr w:rsidR="00745B47" w:rsidRPr="00745B47" w14:paraId="26ECAFFC" w14:textId="77777777" w:rsidTr="00514C09">
        <w:trPr>
          <w:trHeight w:val="300"/>
        </w:trPr>
        <w:tc>
          <w:tcPr>
            <w:tcW w:w="3544" w:type="dxa"/>
            <w:tcBorders>
              <w:top w:val="nil"/>
              <w:left w:val="single" w:sz="4" w:space="0" w:color="auto"/>
              <w:bottom w:val="nil"/>
              <w:right w:val="nil"/>
            </w:tcBorders>
            <w:shd w:val="clear" w:color="000000" w:fill="FFFFFF"/>
            <w:vAlign w:val="center"/>
            <w:hideMark/>
          </w:tcPr>
          <w:p w14:paraId="49603EB9" w14:textId="77777777" w:rsidR="00745B47" w:rsidRPr="00745B47" w:rsidRDefault="00745B47" w:rsidP="00745B47">
            <w:pPr>
              <w:ind w:firstLineChars="100" w:firstLine="160"/>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Temporary Deputy Chief Constable</w:t>
            </w:r>
          </w:p>
        </w:tc>
        <w:tc>
          <w:tcPr>
            <w:tcW w:w="1559" w:type="dxa"/>
            <w:tcBorders>
              <w:top w:val="nil"/>
              <w:left w:val="single" w:sz="4" w:space="0" w:color="auto"/>
              <w:bottom w:val="nil"/>
              <w:right w:val="nil"/>
            </w:tcBorders>
            <w:shd w:val="clear" w:color="000000" w:fill="FFFFFF"/>
            <w:vAlign w:val="center"/>
            <w:hideMark/>
          </w:tcPr>
          <w:p w14:paraId="0C5314EE" w14:textId="77777777" w:rsidR="00745B47" w:rsidRPr="00745B47" w:rsidRDefault="00745B47" w:rsidP="00745B47">
            <w:pPr>
              <w:ind w:firstLineChars="100" w:firstLine="160"/>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20/01/2019</w:t>
            </w:r>
          </w:p>
        </w:tc>
        <w:tc>
          <w:tcPr>
            <w:tcW w:w="1276" w:type="dxa"/>
            <w:tcBorders>
              <w:top w:val="nil"/>
              <w:left w:val="single" w:sz="4" w:space="0" w:color="auto"/>
              <w:bottom w:val="nil"/>
              <w:right w:val="nil"/>
            </w:tcBorders>
            <w:shd w:val="clear" w:color="000000" w:fill="FFFFFF"/>
            <w:vAlign w:val="center"/>
            <w:hideMark/>
          </w:tcPr>
          <w:p w14:paraId="6A569A24"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23/09/2019</w:t>
            </w:r>
          </w:p>
        </w:tc>
        <w:tc>
          <w:tcPr>
            <w:tcW w:w="1360" w:type="dxa"/>
            <w:tcBorders>
              <w:top w:val="nil"/>
              <w:left w:val="single" w:sz="4" w:space="0" w:color="auto"/>
              <w:bottom w:val="nil"/>
              <w:right w:val="nil"/>
            </w:tcBorders>
            <w:shd w:val="clear" w:color="000000" w:fill="FFFFFF"/>
            <w:noWrap/>
            <w:vAlign w:val="center"/>
            <w:hideMark/>
          </w:tcPr>
          <w:p w14:paraId="17645350"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64,421</w:t>
            </w:r>
          </w:p>
        </w:tc>
        <w:tc>
          <w:tcPr>
            <w:tcW w:w="1481" w:type="dxa"/>
            <w:tcBorders>
              <w:top w:val="nil"/>
              <w:left w:val="single" w:sz="4" w:space="0" w:color="auto"/>
              <w:bottom w:val="nil"/>
              <w:right w:val="single" w:sz="4" w:space="0" w:color="auto"/>
            </w:tcBorders>
            <w:shd w:val="clear" w:color="000000" w:fill="FFFFFF"/>
            <w:vAlign w:val="center"/>
            <w:hideMark/>
          </w:tcPr>
          <w:p w14:paraId="7EDCDDAE"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17,991</w:t>
            </w:r>
          </w:p>
        </w:tc>
        <w:tc>
          <w:tcPr>
            <w:tcW w:w="1270" w:type="dxa"/>
            <w:gridSpan w:val="2"/>
            <w:tcBorders>
              <w:top w:val="nil"/>
              <w:left w:val="nil"/>
              <w:bottom w:val="nil"/>
              <w:right w:val="single" w:sz="4" w:space="0" w:color="auto"/>
            </w:tcBorders>
            <w:shd w:val="clear" w:color="000000" w:fill="FFFFFF"/>
            <w:vAlign w:val="center"/>
            <w:hideMark/>
          </w:tcPr>
          <w:p w14:paraId="7A315032"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w:t>
            </w:r>
          </w:p>
        </w:tc>
        <w:tc>
          <w:tcPr>
            <w:tcW w:w="992" w:type="dxa"/>
            <w:tcBorders>
              <w:top w:val="nil"/>
              <w:left w:val="nil"/>
              <w:bottom w:val="nil"/>
              <w:right w:val="single" w:sz="4" w:space="0" w:color="auto"/>
            </w:tcBorders>
            <w:shd w:val="clear" w:color="000000" w:fill="FFFFFF"/>
            <w:vAlign w:val="center"/>
            <w:hideMark/>
          </w:tcPr>
          <w:p w14:paraId="50DE9542"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w:t>
            </w:r>
          </w:p>
        </w:tc>
        <w:tc>
          <w:tcPr>
            <w:tcW w:w="1701" w:type="dxa"/>
            <w:gridSpan w:val="2"/>
            <w:tcBorders>
              <w:top w:val="nil"/>
              <w:left w:val="nil"/>
              <w:bottom w:val="nil"/>
              <w:right w:val="single" w:sz="4" w:space="0" w:color="auto"/>
            </w:tcBorders>
            <w:shd w:val="clear" w:color="000000" w:fill="FFFFFF"/>
            <w:vAlign w:val="center"/>
            <w:hideMark/>
          </w:tcPr>
          <w:p w14:paraId="0610F200"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2,366</w:t>
            </w:r>
          </w:p>
        </w:tc>
        <w:tc>
          <w:tcPr>
            <w:tcW w:w="1648" w:type="dxa"/>
            <w:gridSpan w:val="2"/>
            <w:tcBorders>
              <w:top w:val="nil"/>
              <w:left w:val="nil"/>
              <w:bottom w:val="nil"/>
              <w:right w:val="single" w:sz="4" w:space="0" w:color="auto"/>
            </w:tcBorders>
            <w:shd w:val="clear" w:color="000000" w:fill="FFFFFF"/>
            <w:vAlign w:val="center"/>
            <w:hideMark/>
          </w:tcPr>
          <w:p w14:paraId="5320A87D" w14:textId="77777777" w:rsidR="00745B47" w:rsidRPr="00745B47" w:rsidRDefault="00745B47" w:rsidP="00745B47">
            <w:pPr>
              <w:jc w:val="right"/>
              <w:rPr>
                <w:rFonts w:ascii="Verdana" w:eastAsia="Times New Roman" w:hAnsi="Verdana" w:cs="Calibri"/>
                <w:b/>
                <w:bCs/>
                <w:color w:val="000000"/>
                <w:sz w:val="16"/>
                <w:szCs w:val="16"/>
                <w:lang w:val="en-GB" w:eastAsia="en-GB"/>
              </w:rPr>
            </w:pPr>
            <w:r w:rsidRPr="00745B47">
              <w:rPr>
                <w:rFonts w:ascii="Verdana" w:eastAsia="Times New Roman" w:hAnsi="Verdana" w:cs="Calibri"/>
                <w:b/>
                <w:bCs/>
                <w:color w:val="000000"/>
                <w:sz w:val="16"/>
                <w:szCs w:val="16"/>
                <w:lang w:val="en-GB" w:eastAsia="en-GB"/>
              </w:rPr>
              <w:t>84,778</w:t>
            </w:r>
          </w:p>
        </w:tc>
      </w:tr>
      <w:tr w:rsidR="00745B47" w:rsidRPr="00745B47" w14:paraId="5664C5D3" w14:textId="77777777" w:rsidTr="00514C09">
        <w:trPr>
          <w:trHeight w:val="225"/>
        </w:trPr>
        <w:tc>
          <w:tcPr>
            <w:tcW w:w="3544" w:type="dxa"/>
            <w:tcBorders>
              <w:top w:val="nil"/>
              <w:left w:val="single" w:sz="4" w:space="0" w:color="auto"/>
              <w:bottom w:val="nil"/>
              <w:right w:val="nil"/>
            </w:tcBorders>
            <w:shd w:val="clear" w:color="000000" w:fill="FFFFFF"/>
            <w:vAlign w:val="center"/>
            <w:hideMark/>
          </w:tcPr>
          <w:p w14:paraId="61281197" w14:textId="77777777" w:rsidR="00745B47" w:rsidRPr="00745B47" w:rsidRDefault="00745B47" w:rsidP="00745B47">
            <w:pPr>
              <w:ind w:firstLineChars="100" w:firstLine="160"/>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Deputy Chief Constable</w:t>
            </w:r>
          </w:p>
        </w:tc>
        <w:tc>
          <w:tcPr>
            <w:tcW w:w="1559" w:type="dxa"/>
            <w:tcBorders>
              <w:top w:val="nil"/>
              <w:left w:val="single" w:sz="4" w:space="0" w:color="auto"/>
              <w:bottom w:val="nil"/>
              <w:right w:val="nil"/>
            </w:tcBorders>
            <w:shd w:val="clear" w:color="000000" w:fill="FFFFFF"/>
            <w:vAlign w:val="center"/>
            <w:hideMark/>
          </w:tcPr>
          <w:p w14:paraId="5937ACCA" w14:textId="77777777" w:rsidR="00745B47" w:rsidRPr="00745B47" w:rsidRDefault="00745B47" w:rsidP="00745B47">
            <w:pPr>
              <w:ind w:firstLineChars="100" w:firstLine="160"/>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23/09/2019</w:t>
            </w:r>
          </w:p>
        </w:tc>
        <w:tc>
          <w:tcPr>
            <w:tcW w:w="1276" w:type="dxa"/>
            <w:tcBorders>
              <w:top w:val="nil"/>
              <w:left w:val="single" w:sz="4" w:space="0" w:color="auto"/>
              <w:bottom w:val="nil"/>
              <w:right w:val="nil"/>
            </w:tcBorders>
            <w:shd w:val="clear" w:color="000000" w:fill="FFFFFF"/>
            <w:vAlign w:val="center"/>
            <w:hideMark/>
          </w:tcPr>
          <w:p w14:paraId="47ECA08B"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w:t>
            </w:r>
          </w:p>
        </w:tc>
        <w:tc>
          <w:tcPr>
            <w:tcW w:w="1360" w:type="dxa"/>
            <w:tcBorders>
              <w:top w:val="nil"/>
              <w:left w:val="single" w:sz="4" w:space="0" w:color="auto"/>
              <w:bottom w:val="nil"/>
              <w:right w:val="nil"/>
            </w:tcBorders>
            <w:shd w:val="clear" w:color="000000" w:fill="FFFFFF"/>
            <w:noWrap/>
            <w:vAlign w:val="center"/>
            <w:hideMark/>
          </w:tcPr>
          <w:p w14:paraId="5BD7C232"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64,102</w:t>
            </w:r>
          </w:p>
        </w:tc>
        <w:tc>
          <w:tcPr>
            <w:tcW w:w="1481" w:type="dxa"/>
            <w:tcBorders>
              <w:top w:val="nil"/>
              <w:left w:val="single" w:sz="4" w:space="0" w:color="auto"/>
              <w:bottom w:val="nil"/>
              <w:right w:val="single" w:sz="4" w:space="0" w:color="auto"/>
            </w:tcBorders>
            <w:shd w:val="clear" w:color="000000" w:fill="FFFFFF"/>
            <w:vAlign w:val="center"/>
            <w:hideMark/>
          </w:tcPr>
          <w:p w14:paraId="7F41DFDC"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19,973</w:t>
            </w:r>
          </w:p>
        </w:tc>
        <w:tc>
          <w:tcPr>
            <w:tcW w:w="1270" w:type="dxa"/>
            <w:gridSpan w:val="2"/>
            <w:tcBorders>
              <w:top w:val="nil"/>
              <w:left w:val="nil"/>
              <w:bottom w:val="nil"/>
              <w:right w:val="single" w:sz="4" w:space="0" w:color="auto"/>
            </w:tcBorders>
            <w:shd w:val="clear" w:color="000000" w:fill="FFFFFF"/>
            <w:vAlign w:val="center"/>
            <w:hideMark/>
          </w:tcPr>
          <w:p w14:paraId="1D360A1D"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1,689</w:t>
            </w:r>
          </w:p>
        </w:tc>
        <w:tc>
          <w:tcPr>
            <w:tcW w:w="992" w:type="dxa"/>
            <w:tcBorders>
              <w:top w:val="nil"/>
              <w:left w:val="nil"/>
              <w:bottom w:val="nil"/>
              <w:right w:val="single" w:sz="4" w:space="0" w:color="auto"/>
            </w:tcBorders>
            <w:shd w:val="clear" w:color="000000" w:fill="FFFFFF"/>
            <w:vAlign w:val="center"/>
            <w:hideMark/>
          </w:tcPr>
          <w:p w14:paraId="3D2EB282"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w:t>
            </w:r>
          </w:p>
        </w:tc>
        <w:tc>
          <w:tcPr>
            <w:tcW w:w="1701" w:type="dxa"/>
            <w:gridSpan w:val="2"/>
            <w:tcBorders>
              <w:top w:val="nil"/>
              <w:left w:val="nil"/>
              <w:bottom w:val="nil"/>
              <w:right w:val="single" w:sz="4" w:space="0" w:color="auto"/>
            </w:tcBorders>
            <w:shd w:val="clear" w:color="000000" w:fill="FFFFFF"/>
            <w:vAlign w:val="center"/>
            <w:hideMark/>
          </w:tcPr>
          <w:p w14:paraId="4382F301"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w:t>
            </w:r>
          </w:p>
        </w:tc>
        <w:tc>
          <w:tcPr>
            <w:tcW w:w="1648" w:type="dxa"/>
            <w:gridSpan w:val="2"/>
            <w:tcBorders>
              <w:top w:val="nil"/>
              <w:left w:val="nil"/>
              <w:bottom w:val="nil"/>
              <w:right w:val="single" w:sz="4" w:space="0" w:color="auto"/>
            </w:tcBorders>
            <w:shd w:val="clear" w:color="000000" w:fill="FFFFFF"/>
            <w:vAlign w:val="center"/>
            <w:hideMark/>
          </w:tcPr>
          <w:p w14:paraId="11B135AC" w14:textId="77777777" w:rsidR="00745B47" w:rsidRPr="00745B47" w:rsidRDefault="00745B47" w:rsidP="00745B47">
            <w:pPr>
              <w:jc w:val="right"/>
              <w:rPr>
                <w:rFonts w:ascii="Verdana" w:eastAsia="Times New Roman" w:hAnsi="Verdana" w:cs="Calibri"/>
                <w:b/>
                <w:bCs/>
                <w:color w:val="000000"/>
                <w:sz w:val="16"/>
                <w:szCs w:val="16"/>
                <w:lang w:val="en-GB" w:eastAsia="en-GB"/>
              </w:rPr>
            </w:pPr>
            <w:r w:rsidRPr="00745B47">
              <w:rPr>
                <w:rFonts w:ascii="Verdana" w:eastAsia="Times New Roman" w:hAnsi="Verdana" w:cs="Calibri"/>
                <w:b/>
                <w:bCs/>
                <w:color w:val="000000"/>
                <w:sz w:val="16"/>
                <w:szCs w:val="16"/>
                <w:lang w:val="en-GB" w:eastAsia="en-GB"/>
              </w:rPr>
              <w:t>85,764</w:t>
            </w:r>
          </w:p>
        </w:tc>
      </w:tr>
      <w:tr w:rsidR="00745B47" w:rsidRPr="00745B47" w14:paraId="0FB5FF37" w14:textId="77777777" w:rsidTr="00514C09">
        <w:trPr>
          <w:trHeight w:val="225"/>
        </w:trPr>
        <w:tc>
          <w:tcPr>
            <w:tcW w:w="3544" w:type="dxa"/>
            <w:tcBorders>
              <w:top w:val="nil"/>
              <w:left w:val="single" w:sz="4" w:space="0" w:color="auto"/>
              <w:bottom w:val="nil"/>
              <w:right w:val="nil"/>
            </w:tcBorders>
            <w:shd w:val="clear" w:color="000000" w:fill="FFFFFF"/>
            <w:vAlign w:val="center"/>
            <w:hideMark/>
          </w:tcPr>
          <w:p w14:paraId="73060E49" w14:textId="77777777" w:rsidR="00745B47" w:rsidRPr="00745B47" w:rsidRDefault="00745B47" w:rsidP="00745B47">
            <w:pPr>
              <w:ind w:firstLineChars="100" w:firstLine="160"/>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Assistant Chief Constable</w:t>
            </w:r>
          </w:p>
        </w:tc>
        <w:tc>
          <w:tcPr>
            <w:tcW w:w="1559" w:type="dxa"/>
            <w:tcBorders>
              <w:top w:val="nil"/>
              <w:left w:val="single" w:sz="4" w:space="0" w:color="auto"/>
              <w:bottom w:val="nil"/>
              <w:right w:val="nil"/>
            </w:tcBorders>
            <w:shd w:val="clear" w:color="000000" w:fill="FFFFFF"/>
            <w:vAlign w:val="center"/>
            <w:hideMark/>
          </w:tcPr>
          <w:p w14:paraId="4A5EF02B" w14:textId="77777777" w:rsidR="00745B47" w:rsidRPr="00745B47" w:rsidRDefault="00745B47" w:rsidP="00745B47">
            <w:pPr>
              <w:ind w:firstLineChars="100" w:firstLine="160"/>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07/05/2017</w:t>
            </w:r>
          </w:p>
        </w:tc>
        <w:tc>
          <w:tcPr>
            <w:tcW w:w="1276" w:type="dxa"/>
            <w:tcBorders>
              <w:top w:val="nil"/>
              <w:left w:val="single" w:sz="4" w:space="0" w:color="auto"/>
              <w:bottom w:val="nil"/>
              <w:right w:val="nil"/>
            </w:tcBorders>
            <w:shd w:val="clear" w:color="000000" w:fill="FFFFFF"/>
            <w:vAlign w:val="center"/>
            <w:hideMark/>
          </w:tcPr>
          <w:p w14:paraId="37307FF5"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22/09/2019</w:t>
            </w:r>
          </w:p>
        </w:tc>
        <w:tc>
          <w:tcPr>
            <w:tcW w:w="1360" w:type="dxa"/>
            <w:tcBorders>
              <w:top w:val="nil"/>
              <w:left w:val="single" w:sz="4" w:space="0" w:color="auto"/>
              <w:bottom w:val="nil"/>
              <w:right w:val="nil"/>
            </w:tcBorders>
            <w:shd w:val="clear" w:color="000000" w:fill="FFFFFF"/>
            <w:noWrap/>
            <w:vAlign w:val="center"/>
            <w:hideMark/>
          </w:tcPr>
          <w:p w14:paraId="5AA9A7C7"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54,420</w:t>
            </w:r>
          </w:p>
        </w:tc>
        <w:tc>
          <w:tcPr>
            <w:tcW w:w="1481" w:type="dxa"/>
            <w:tcBorders>
              <w:top w:val="nil"/>
              <w:left w:val="single" w:sz="4" w:space="0" w:color="auto"/>
              <w:bottom w:val="nil"/>
              <w:right w:val="single" w:sz="4" w:space="0" w:color="auto"/>
            </w:tcBorders>
            <w:shd w:val="clear" w:color="000000" w:fill="FFFFFF"/>
            <w:vAlign w:val="center"/>
            <w:hideMark/>
          </w:tcPr>
          <w:p w14:paraId="39966BF6"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16,661</w:t>
            </w:r>
          </w:p>
        </w:tc>
        <w:tc>
          <w:tcPr>
            <w:tcW w:w="1270" w:type="dxa"/>
            <w:gridSpan w:val="2"/>
            <w:tcBorders>
              <w:top w:val="nil"/>
              <w:left w:val="nil"/>
              <w:bottom w:val="nil"/>
              <w:right w:val="single" w:sz="4" w:space="0" w:color="auto"/>
            </w:tcBorders>
            <w:shd w:val="clear" w:color="000000" w:fill="FFFFFF"/>
            <w:vAlign w:val="center"/>
            <w:hideMark/>
          </w:tcPr>
          <w:p w14:paraId="5AB8A112"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627</w:t>
            </w:r>
          </w:p>
        </w:tc>
        <w:tc>
          <w:tcPr>
            <w:tcW w:w="992" w:type="dxa"/>
            <w:tcBorders>
              <w:top w:val="nil"/>
              <w:left w:val="nil"/>
              <w:bottom w:val="nil"/>
              <w:right w:val="single" w:sz="4" w:space="0" w:color="auto"/>
            </w:tcBorders>
            <w:shd w:val="clear" w:color="000000" w:fill="FFFFFF"/>
            <w:vAlign w:val="center"/>
            <w:hideMark/>
          </w:tcPr>
          <w:p w14:paraId="78080E2C"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w:t>
            </w:r>
          </w:p>
        </w:tc>
        <w:tc>
          <w:tcPr>
            <w:tcW w:w="1701" w:type="dxa"/>
            <w:gridSpan w:val="2"/>
            <w:tcBorders>
              <w:top w:val="nil"/>
              <w:left w:val="nil"/>
              <w:bottom w:val="nil"/>
              <w:right w:val="single" w:sz="4" w:space="0" w:color="auto"/>
            </w:tcBorders>
            <w:shd w:val="clear" w:color="000000" w:fill="FFFFFF"/>
            <w:vAlign w:val="center"/>
            <w:hideMark/>
          </w:tcPr>
          <w:p w14:paraId="681497A2"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1,976</w:t>
            </w:r>
          </w:p>
        </w:tc>
        <w:tc>
          <w:tcPr>
            <w:tcW w:w="1648" w:type="dxa"/>
            <w:gridSpan w:val="2"/>
            <w:tcBorders>
              <w:top w:val="nil"/>
              <w:left w:val="nil"/>
              <w:bottom w:val="nil"/>
              <w:right w:val="single" w:sz="4" w:space="0" w:color="auto"/>
            </w:tcBorders>
            <w:shd w:val="clear" w:color="000000" w:fill="FFFFFF"/>
            <w:vAlign w:val="center"/>
            <w:hideMark/>
          </w:tcPr>
          <w:p w14:paraId="790A002F" w14:textId="77777777" w:rsidR="00745B47" w:rsidRPr="00745B47" w:rsidRDefault="00745B47" w:rsidP="00745B47">
            <w:pPr>
              <w:jc w:val="right"/>
              <w:rPr>
                <w:rFonts w:ascii="Verdana" w:eastAsia="Times New Roman" w:hAnsi="Verdana" w:cs="Calibri"/>
                <w:b/>
                <w:bCs/>
                <w:color w:val="000000"/>
                <w:sz w:val="16"/>
                <w:szCs w:val="16"/>
                <w:lang w:val="en-GB" w:eastAsia="en-GB"/>
              </w:rPr>
            </w:pPr>
            <w:r w:rsidRPr="00745B47">
              <w:rPr>
                <w:rFonts w:ascii="Verdana" w:eastAsia="Times New Roman" w:hAnsi="Verdana" w:cs="Calibri"/>
                <w:b/>
                <w:bCs/>
                <w:color w:val="000000"/>
                <w:sz w:val="16"/>
                <w:szCs w:val="16"/>
                <w:lang w:val="en-GB" w:eastAsia="en-GB"/>
              </w:rPr>
              <w:t>73,684</w:t>
            </w:r>
          </w:p>
        </w:tc>
      </w:tr>
      <w:tr w:rsidR="00745B47" w:rsidRPr="00745B47" w14:paraId="2E96EEEC" w14:textId="77777777" w:rsidTr="00514C09">
        <w:trPr>
          <w:trHeight w:val="315"/>
        </w:trPr>
        <w:tc>
          <w:tcPr>
            <w:tcW w:w="3544" w:type="dxa"/>
            <w:tcBorders>
              <w:top w:val="nil"/>
              <w:left w:val="single" w:sz="4" w:space="0" w:color="auto"/>
              <w:bottom w:val="nil"/>
              <w:right w:val="nil"/>
            </w:tcBorders>
            <w:shd w:val="clear" w:color="000000" w:fill="FFFFFF"/>
            <w:vAlign w:val="center"/>
            <w:hideMark/>
          </w:tcPr>
          <w:p w14:paraId="540CA96F" w14:textId="77777777" w:rsidR="00745B47" w:rsidRPr="00745B47" w:rsidRDefault="00745B47" w:rsidP="00745B47">
            <w:pPr>
              <w:ind w:firstLineChars="100" w:firstLine="160"/>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xml:space="preserve">Temporary Assistant Chief Constable </w:t>
            </w:r>
          </w:p>
        </w:tc>
        <w:tc>
          <w:tcPr>
            <w:tcW w:w="1559" w:type="dxa"/>
            <w:tcBorders>
              <w:top w:val="nil"/>
              <w:left w:val="single" w:sz="4" w:space="0" w:color="auto"/>
              <w:bottom w:val="nil"/>
              <w:right w:val="nil"/>
            </w:tcBorders>
            <w:shd w:val="clear" w:color="000000" w:fill="FFFFFF"/>
            <w:vAlign w:val="center"/>
            <w:hideMark/>
          </w:tcPr>
          <w:p w14:paraId="04CCF9F8" w14:textId="77777777" w:rsidR="00745B47" w:rsidRPr="00745B47" w:rsidRDefault="00745B47" w:rsidP="00745B47">
            <w:pPr>
              <w:ind w:firstLineChars="100" w:firstLine="160"/>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07/10/2019</w:t>
            </w:r>
          </w:p>
        </w:tc>
        <w:tc>
          <w:tcPr>
            <w:tcW w:w="1276" w:type="dxa"/>
            <w:tcBorders>
              <w:top w:val="nil"/>
              <w:left w:val="single" w:sz="4" w:space="0" w:color="auto"/>
              <w:bottom w:val="nil"/>
              <w:right w:val="nil"/>
            </w:tcBorders>
            <w:shd w:val="clear" w:color="000000" w:fill="FFFFFF"/>
            <w:vAlign w:val="center"/>
            <w:hideMark/>
          </w:tcPr>
          <w:p w14:paraId="469E4F1F"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w:t>
            </w:r>
          </w:p>
        </w:tc>
        <w:tc>
          <w:tcPr>
            <w:tcW w:w="1360" w:type="dxa"/>
            <w:tcBorders>
              <w:top w:val="nil"/>
              <w:left w:val="single" w:sz="4" w:space="0" w:color="auto"/>
              <w:bottom w:val="nil"/>
              <w:right w:val="nil"/>
            </w:tcBorders>
            <w:shd w:val="clear" w:color="000000" w:fill="FFFFFF"/>
            <w:noWrap/>
            <w:vAlign w:val="center"/>
            <w:hideMark/>
          </w:tcPr>
          <w:p w14:paraId="424E42A9"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50,723</w:t>
            </w:r>
          </w:p>
        </w:tc>
        <w:tc>
          <w:tcPr>
            <w:tcW w:w="1481" w:type="dxa"/>
            <w:tcBorders>
              <w:top w:val="nil"/>
              <w:left w:val="single" w:sz="4" w:space="0" w:color="auto"/>
              <w:bottom w:val="nil"/>
              <w:right w:val="single" w:sz="4" w:space="0" w:color="auto"/>
            </w:tcBorders>
            <w:shd w:val="clear" w:color="000000" w:fill="FFFFFF"/>
            <w:vAlign w:val="center"/>
            <w:hideMark/>
          </w:tcPr>
          <w:p w14:paraId="4F602489"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9,160</w:t>
            </w:r>
          </w:p>
        </w:tc>
        <w:tc>
          <w:tcPr>
            <w:tcW w:w="1270" w:type="dxa"/>
            <w:gridSpan w:val="2"/>
            <w:tcBorders>
              <w:top w:val="nil"/>
              <w:left w:val="nil"/>
              <w:bottom w:val="nil"/>
              <w:right w:val="single" w:sz="4" w:space="0" w:color="auto"/>
            </w:tcBorders>
            <w:shd w:val="clear" w:color="000000" w:fill="FFFFFF"/>
            <w:vAlign w:val="center"/>
            <w:hideMark/>
          </w:tcPr>
          <w:p w14:paraId="36667F20"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625</w:t>
            </w:r>
          </w:p>
        </w:tc>
        <w:tc>
          <w:tcPr>
            <w:tcW w:w="992" w:type="dxa"/>
            <w:tcBorders>
              <w:top w:val="nil"/>
              <w:left w:val="nil"/>
              <w:bottom w:val="nil"/>
              <w:right w:val="single" w:sz="4" w:space="0" w:color="auto"/>
            </w:tcBorders>
            <w:shd w:val="clear" w:color="000000" w:fill="FFFFFF"/>
            <w:vAlign w:val="center"/>
            <w:hideMark/>
          </w:tcPr>
          <w:p w14:paraId="1527C2EC"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w:t>
            </w:r>
          </w:p>
        </w:tc>
        <w:tc>
          <w:tcPr>
            <w:tcW w:w="1701" w:type="dxa"/>
            <w:gridSpan w:val="2"/>
            <w:tcBorders>
              <w:top w:val="nil"/>
              <w:left w:val="nil"/>
              <w:bottom w:val="nil"/>
              <w:right w:val="single" w:sz="4" w:space="0" w:color="auto"/>
            </w:tcBorders>
            <w:shd w:val="clear" w:color="000000" w:fill="FFFFFF"/>
            <w:vAlign w:val="center"/>
            <w:hideMark/>
          </w:tcPr>
          <w:p w14:paraId="316D9879"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w:t>
            </w:r>
          </w:p>
        </w:tc>
        <w:tc>
          <w:tcPr>
            <w:tcW w:w="1648" w:type="dxa"/>
            <w:gridSpan w:val="2"/>
            <w:tcBorders>
              <w:top w:val="nil"/>
              <w:left w:val="nil"/>
              <w:bottom w:val="nil"/>
              <w:right w:val="single" w:sz="4" w:space="0" w:color="auto"/>
            </w:tcBorders>
            <w:shd w:val="clear" w:color="000000" w:fill="FFFFFF"/>
            <w:vAlign w:val="center"/>
            <w:hideMark/>
          </w:tcPr>
          <w:p w14:paraId="547F3166" w14:textId="77777777" w:rsidR="00745B47" w:rsidRPr="00745B47" w:rsidRDefault="00745B47" w:rsidP="00745B47">
            <w:pPr>
              <w:jc w:val="right"/>
              <w:rPr>
                <w:rFonts w:ascii="Verdana" w:eastAsia="Times New Roman" w:hAnsi="Verdana" w:cs="Calibri"/>
                <w:b/>
                <w:bCs/>
                <w:color w:val="000000"/>
                <w:sz w:val="16"/>
                <w:szCs w:val="16"/>
                <w:lang w:val="en-GB" w:eastAsia="en-GB"/>
              </w:rPr>
            </w:pPr>
            <w:r w:rsidRPr="00745B47">
              <w:rPr>
                <w:rFonts w:ascii="Verdana" w:eastAsia="Times New Roman" w:hAnsi="Verdana" w:cs="Calibri"/>
                <w:b/>
                <w:bCs/>
                <w:color w:val="000000"/>
                <w:sz w:val="16"/>
                <w:szCs w:val="16"/>
                <w:lang w:val="en-GB" w:eastAsia="en-GB"/>
              </w:rPr>
              <w:t>60,508</w:t>
            </w:r>
          </w:p>
        </w:tc>
      </w:tr>
      <w:tr w:rsidR="00745B47" w:rsidRPr="00745B47" w14:paraId="7B0EC6CF" w14:textId="77777777" w:rsidTr="00514C09">
        <w:trPr>
          <w:trHeight w:val="900"/>
        </w:trPr>
        <w:tc>
          <w:tcPr>
            <w:tcW w:w="3544" w:type="dxa"/>
            <w:tcBorders>
              <w:top w:val="nil"/>
              <w:left w:val="single" w:sz="4" w:space="0" w:color="auto"/>
              <w:bottom w:val="nil"/>
              <w:right w:val="nil"/>
            </w:tcBorders>
            <w:shd w:val="clear" w:color="000000" w:fill="FFFFFF"/>
            <w:vAlign w:val="center"/>
            <w:hideMark/>
          </w:tcPr>
          <w:p w14:paraId="6F58978B" w14:textId="77777777" w:rsidR="00745B47" w:rsidRPr="00745B47" w:rsidRDefault="00745B47" w:rsidP="00745B47">
            <w:pPr>
              <w:ind w:firstLineChars="100" w:firstLine="160"/>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xml:space="preserve">Chief Superintendent </w:t>
            </w:r>
          </w:p>
        </w:tc>
        <w:tc>
          <w:tcPr>
            <w:tcW w:w="1559" w:type="dxa"/>
            <w:tcBorders>
              <w:top w:val="nil"/>
              <w:left w:val="single" w:sz="4" w:space="0" w:color="auto"/>
              <w:bottom w:val="nil"/>
              <w:right w:val="nil"/>
            </w:tcBorders>
            <w:shd w:val="clear" w:color="000000" w:fill="FFFFFF"/>
            <w:vAlign w:val="center"/>
            <w:hideMark/>
          </w:tcPr>
          <w:p w14:paraId="34BA9819" w14:textId="77777777" w:rsidR="00745B47" w:rsidRPr="00745B47" w:rsidRDefault="00745B47" w:rsidP="00745B47">
            <w:pPr>
              <w:ind w:firstLineChars="100" w:firstLine="160"/>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18/10/2017</w:t>
            </w:r>
          </w:p>
        </w:tc>
        <w:tc>
          <w:tcPr>
            <w:tcW w:w="1276" w:type="dxa"/>
            <w:tcBorders>
              <w:top w:val="nil"/>
              <w:left w:val="single" w:sz="4" w:space="0" w:color="auto"/>
              <w:bottom w:val="nil"/>
              <w:right w:val="nil"/>
            </w:tcBorders>
            <w:shd w:val="clear" w:color="000000" w:fill="FFFFFF"/>
            <w:vAlign w:val="center"/>
            <w:hideMark/>
          </w:tcPr>
          <w:p w14:paraId="7569C06F"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06/10/2019</w:t>
            </w:r>
          </w:p>
        </w:tc>
        <w:tc>
          <w:tcPr>
            <w:tcW w:w="1360" w:type="dxa"/>
            <w:tcBorders>
              <w:top w:val="nil"/>
              <w:left w:val="single" w:sz="4" w:space="0" w:color="auto"/>
              <w:bottom w:val="nil"/>
              <w:right w:val="nil"/>
            </w:tcBorders>
            <w:shd w:val="clear" w:color="000000" w:fill="FFFFFF"/>
            <w:noWrap/>
            <w:vAlign w:val="center"/>
            <w:hideMark/>
          </w:tcPr>
          <w:p w14:paraId="75085BDB"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46,106</w:t>
            </w:r>
          </w:p>
        </w:tc>
        <w:tc>
          <w:tcPr>
            <w:tcW w:w="1481" w:type="dxa"/>
            <w:tcBorders>
              <w:top w:val="nil"/>
              <w:left w:val="single" w:sz="4" w:space="0" w:color="auto"/>
              <w:bottom w:val="nil"/>
              <w:right w:val="single" w:sz="4" w:space="0" w:color="auto"/>
            </w:tcBorders>
            <w:shd w:val="clear" w:color="000000" w:fill="FFFFFF"/>
            <w:vAlign w:val="center"/>
            <w:hideMark/>
          </w:tcPr>
          <w:p w14:paraId="5CB8D260"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13,820</w:t>
            </w:r>
          </w:p>
        </w:tc>
        <w:tc>
          <w:tcPr>
            <w:tcW w:w="1270" w:type="dxa"/>
            <w:gridSpan w:val="2"/>
            <w:tcBorders>
              <w:top w:val="nil"/>
              <w:left w:val="nil"/>
              <w:bottom w:val="nil"/>
              <w:right w:val="single" w:sz="4" w:space="0" w:color="auto"/>
            </w:tcBorders>
            <w:shd w:val="clear" w:color="000000" w:fill="FFFFFF"/>
            <w:vAlign w:val="center"/>
            <w:hideMark/>
          </w:tcPr>
          <w:p w14:paraId="396B836B"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625</w:t>
            </w:r>
          </w:p>
        </w:tc>
        <w:tc>
          <w:tcPr>
            <w:tcW w:w="992" w:type="dxa"/>
            <w:tcBorders>
              <w:top w:val="nil"/>
              <w:left w:val="nil"/>
              <w:bottom w:val="nil"/>
              <w:right w:val="single" w:sz="4" w:space="0" w:color="auto"/>
            </w:tcBorders>
            <w:shd w:val="clear" w:color="000000" w:fill="FFFFFF"/>
            <w:vAlign w:val="center"/>
            <w:hideMark/>
          </w:tcPr>
          <w:p w14:paraId="6C9D71D7"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w:t>
            </w:r>
          </w:p>
        </w:tc>
        <w:tc>
          <w:tcPr>
            <w:tcW w:w="1701" w:type="dxa"/>
            <w:gridSpan w:val="2"/>
            <w:tcBorders>
              <w:top w:val="nil"/>
              <w:left w:val="nil"/>
              <w:bottom w:val="nil"/>
              <w:right w:val="single" w:sz="4" w:space="0" w:color="auto"/>
            </w:tcBorders>
            <w:shd w:val="clear" w:color="000000" w:fill="FFFFFF"/>
            <w:vAlign w:val="center"/>
            <w:hideMark/>
          </w:tcPr>
          <w:p w14:paraId="6F253A5E"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w:t>
            </w:r>
          </w:p>
        </w:tc>
        <w:tc>
          <w:tcPr>
            <w:tcW w:w="1648" w:type="dxa"/>
            <w:gridSpan w:val="2"/>
            <w:tcBorders>
              <w:top w:val="nil"/>
              <w:left w:val="nil"/>
              <w:bottom w:val="nil"/>
              <w:right w:val="single" w:sz="4" w:space="0" w:color="auto"/>
            </w:tcBorders>
            <w:shd w:val="clear" w:color="000000" w:fill="FFFFFF"/>
            <w:vAlign w:val="center"/>
            <w:hideMark/>
          </w:tcPr>
          <w:p w14:paraId="023D0C55" w14:textId="77777777" w:rsidR="00745B47" w:rsidRPr="00745B47" w:rsidRDefault="00745B47" w:rsidP="00745B47">
            <w:pPr>
              <w:jc w:val="right"/>
              <w:rPr>
                <w:rFonts w:ascii="Verdana" w:eastAsia="Times New Roman" w:hAnsi="Verdana" w:cs="Calibri"/>
                <w:b/>
                <w:bCs/>
                <w:color w:val="000000"/>
                <w:sz w:val="16"/>
                <w:szCs w:val="16"/>
                <w:lang w:val="en-GB" w:eastAsia="en-GB"/>
              </w:rPr>
            </w:pPr>
            <w:r w:rsidRPr="00745B47">
              <w:rPr>
                <w:rFonts w:ascii="Verdana" w:eastAsia="Times New Roman" w:hAnsi="Verdana" w:cs="Calibri"/>
                <w:b/>
                <w:bCs/>
                <w:color w:val="000000"/>
                <w:sz w:val="16"/>
                <w:szCs w:val="16"/>
                <w:lang w:val="en-GB" w:eastAsia="en-GB"/>
              </w:rPr>
              <w:t>60,551</w:t>
            </w:r>
          </w:p>
        </w:tc>
      </w:tr>
      <w:tr w:rsidR="00745B47" w:rsidRPr="00745B47" w14:paraId="4F0B1412" w14:textId="77777777" w:rsidTr="00514C09">
        <w:trPr>
          <w:trHeight w:val="315"/>
        </w:trPr>
        <w:tc>
          <w:tcPr>
            <w:tcW w:w="3544" w:type="dxa"/>
            <w:tcBorders>
              <w:top w:val="nil"/>
              <w:left w:val="single" w:sz="4" w:space="0" w:color="auto"/>
              <w:bottom w:val="nil"/>
              <w:right w:val="nil"/>
            </w:tcBorders>
            <w:shd w:val="clear" w:color="000000" w:fill="FFFFFF"/>
            <w:vAlign w:val="center"/>
            <w:hideMark/>
          </w:tcPr>
          <w:p w14:paraId="00EDDA4F" w14:textId="77777777" w:rsidR="00745B47" w:rsidRPr="00745B47" w:rsidRDefault="00745B47" w:rsidP="00745B47">
            <w:pPr>
              <w:ind w:firstLineChars="100" w:firstLine="160"/>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xml:space="preserve">Temporary Assistant Chief Constable </w:t>
            </w:r>
          </w:p>
        </w:tc>
        <w:tc>
          <w:tcPr>
            <w:tcW w:w="1559" w:type="dxa"/>
            <w:tcBorders>
              <w:top w:val="nil"/>
              <w:left w:val="single" w:sz="4" w:space="0" w:color="auto"/>
              <w:bottom w:val="nil"/>
              <w:right w:val="nil"/>
            </w:tcBorders>
            <w:shd w:val="clear" w:color="000000" w:fill="FFFFFF"/>
            <w:vAlign w:val="center"/>
            <w:hideMark/>
          </w:tcPr>
          <w:p w14:paraId="3FDCAA7E" w14:textId="77777777" w:rsidR="00745B47" w:rsidRPr="00745B47" w:rsidRDefault="00745B47" w:rsidP="00745B47">
            <w:pPr>
              <w:ind w:firstLineChars="100" w:firstLine="160"/>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16/12/2019</w:t>
            </w:r>
          </w:p>
        </w:tc>
        <w:tc>
          <w:tcPr>
            <w:tcW w:w="1276" w:type="dxa"/>
            <w:tcBorders>
              <w:top w:val="nil"/>
              <w:left w:val="single" w:sz="4" w:space="0" w:color="auto"/>
              <w:bottom w:val="nil"/>
              <w:right w:val="nil"/>
            </w:tcBorders>
            <w:shd w:val="clear" w:color="000000" w:fill="FFFFFF"/>
            <w:vAlign w:val="center"/>
            <w:hideMark/>
          </w:tcPr>
          <w:p w14:paraId="0F857A8B"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w:t>
            </w:r>
          </w:p>
        </w:tc>
        <w:tc>
          <w:tcPr>
            <w:tcW w:w="1360" w:type="dxa"/>
            <w:tcBorders>
              <w:top w:val="nil"/>
              <w:left w:val="single" w:sz="4" w:space="0" w:color="auto"/>
              <w:bottom w:val="nil"/>
              <w:right w:val="nil"/>
            </w:tcBorders>
            <w:shd w:val="clear" w:color="auto" w:fill="auto"/>
            <w:noWrap/>
            <w:vAlign w:val="center"/>
            <w:hideMark/>
          </w:tcPr>
          <w:p w14:paraId="0EBAF27A"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64,084</w:t>
            </w:r>
          </w:p>
        </w:tc>
        <w:tc>
          <w:tcPr>
            <w:tcW w:w="1481" w:type="dxa"/>
            <w:tcBorders>
              <w:top w:val="nil"/>
              <w:left w:val="single" w:sz="4" w:space="0" w:color="auto"/>
              <w:bottom w:val="nil"/>
              <w:right w:val="single" w:sz="4" w:space="0" w:color="auto"/>
            </w:tcBorders>
            <w:shd w:val="clear" w:color="000000" w:fill="FFFFFF"/>
            <w:vAlign w:val="center"/>
            <w:hideMark/>
          </w:tcPr>
          <w:p w14:paraId="34F4ECD7"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18,398</w:t>
            </w:r>
          </w:p>
        </w:tc>
        <w:tc>
          <w:tcPr>
            <w:tcW w:w="1270" w:type="dxa"/>
            <w:gridSpan w:val="2"/>
            <w:tcBorders>
              <w:top w:val="nil"/>
              <w:left w:val="nil"/>
              <w:bottom w:val="nil"/>
              <w:right w:val="single" w:sz="4" w:space="0" w:color="auto"/>
            </w:tcBorders>
            <w:shd w:val="clear" w:color="auto" w:fill="auto"/>
            <w:vAlign w:val="center"/>
            <w:hideMark/>
          </w:tcPr>
          <w:p w14:paraId="332EC8A0"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w:t>
            </w:r>
          </w:p>
        </w:tc>
        <w:tc>
          <w:tcPr>
            <w:tcW w:w="992" w:type="dxa"/>
            <w:tcBorders>
              <w:top w:val="nil"/>
              <w:left w:val="nil"/>
              <w:bottom w:val="nil"/>
              <w:right w:val="single" w:sz="4" w:space="0" w:color="auto"/>
            </w:tcBorders>
            <w:shd w:val="clear" w:color="auto" w:fill="auto"/>
            <w:vAlign w:val="center"/>
            <w:hideMark/>
          </w:tcPr>
          <w:p w14:paraId="24D377C5"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w:t>
            </w:r>
          </w:p>
        </w:tc>
        <w:tc>
          <w:tcPr>
            <w:tcW w:w="1701" w:type="dxa"/>
            <w:gridSpan w:val="2"/>
            <w:tcBorders>
              <w:top w:val="nil"/>
              <w:left w:val="nil"/>
              <w:bottom w:val="nil"/>
              <w:right w:val="single" w:sz="4" w:space="0" w:color="auto"/>
            </w:tcBorders>
            <w:shd w:val="clear" w:color="auto" w:fill="auto"/>
            <w:vAlign w:val="center"/>
            <w:hideMark/>
          </w:tcPr>
          <w:p w14:paraId="5FA68BA5"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w:t>
            </w:r>
          </w:p>
        </w:tc>
        <w:tc>
          <w:tcPr>
            <w:tcW w:w="1648" w:type="dxa"/>
            <w:gridSpan w:val="2"/>
            <w:tcBorders>
              <w:top w:val="nil"/>
              <w:left w:val="nil"/>
              <w:bottom w:val="nil"/>
              <w:right w:val="single" w:sz="4" w:space="0" w:color="auto"/>
            </w:tcBorders>
            <w:shd w:val="clear" w:color="000000" w:fill="FFFFFF"/>
            <w:vAlign w:val="center"/>
            <w:hideMark/>
          </w:tcPr>
          <w:p w14:paraId="134812EF" w14:textId="77777777" w:rsidR="00745B47" w:rsidRPr="00745B47" w:rsidRDefault="00745B47" w:rsidP="00745B47">
            <w:pPr>
              <w:jc w:val="right"/>
              <w:rPr>
                <w:rFonts w:ascii="Verdana" w:eastAsia="Times New Roman" w:hAnsi="Verdana" w:cs="Calibri"/>
                <w:b/>
                <w:bCs/>
                <w:color w:val="000000"/>
                <w:sz w:val="16"/>
                <w:szCs w:val="16"/>
                <w:lang w:val="en-GB" w:eastAsia="en-GB"/>
              </w:rPr>
            </w:pPr>
            <w:r w:rsidRPr="00745B47">
              <w:rPr>
                <w:rFonts w:ascii="Verdana" w:eastAsia="Times New Roman" w:hAnsi="Verdana" w:cs="Calibri"/>
                <w:b/>
                <w:bCs/>
                <w:color w:val="000000"/>
                <w:sz w:val="16"/>
                <w:szCs w:val="16"/>
                <w:lang w:val="en-GB" w:eastAsia="en-GB"/>
              </w:rPr>
              <w:t>82,482</w:t>
            </w:r>
          </w:p>
        </w:tc>
      </w:tr>
      <w:tr w:rsidR="00745B47" w:rsidRPr="00745B47" w14:paraId="30085EBD" w14:textId="77777777" w:rsidTr="00514C09">
        <w:trPr>
          <w:trHeight w:val="315"/>
        </w:trPr>
        <w:tc>
          <w:tcPr>
            <w:tcW w:w="3544" w:type="dxa"/>
            <w:tcBorders>
              <w:top w:val="nil"/>
              <w:left w:val="single" w:sz="4" w:space="0" w:color="auto"/>
              <w:bottom w:val="nil"/>
              <w:right w:val="nil"/>
            </w:tcBorders>
            <w:shd w:val="clear" w:color="000000" w:fill="FFFFFF"/>
            <w:vAlign w:val="center"/>
            <w:hideMark/>
          </w:tcPr>
          <w:p w14:paraId="770DC7AF" w14:textId="77777777" w:rsidR="00745B47" w:rsidRPr="00745B47" w:rsidRDefault="00745B47" w:rsidP="00745B47">
            <w:pPr>
              <w:ind w:firstLineChars="100" w:firstLine="160"/>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xml:space="preserve">Chief Superintendent </w:t>
            </w:r>
          </w:p>
        </w:tc>
        <w:tc>
          <w:tcPr>
            <w:tcW w:w="1559" w:type="dxa"/>
            <w:tcBorders>
              <w:top w:val="nil"/>
              <w:left w:val="single" w:sz="4" w:space="0" w:color="auto"/>
              <w:bottom w:val="nil"/>
              <w:right w:val="nil"/>
            </w:tcBorders>
            <w:shd w:val="clear" w:color="000000" w:fill="FFFFFF"/>
            <w:vAlign w:val="center"/>
            <w:hideMark/>
          </w:tcPr>
          <w:p w14:paraId="66B279E9" w14:textId="77777777" w:rsidR="00745B47" w:rsidRPr="00745B47" w:rsidRDefault="00745B47" w:rsidP="00745B47">
            <w:pPr>
              <w:ind w:firstLineChars="100" w:firstLine="160"/>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01/12/2018</w:t>
            </w:r>
          </w:p>
        </w:tc>
        <w:tc>
          <w:tcPr>
            <w:tcW w:w="1276" w:type="dxa"/>
            <w:tcBorders>
              <w:top w:val="nil"/>
              <w:left w:val="single" w:sz="4" w:space="0" w:color="auto"/>
              <w:bottom w:val="nil"/>
              <w:right w:val="nil"/>
            </w:tcBorders>
            <w:shd w:val="clear" w:color="000000" w:fill="FFFFFF"/>
            <w:vAlign w:val="center"/>
            <w:hideMark/>
          </w:tcPr>
          <w:p w14:paraId="67FBCADD"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15/12/2019</w:t>
            </w:r>
          </w:p>
        </w:tc>
        <w:tc>
          <w:tcPr>
            <w:tcW w:w="1360" w:type="dxa"/>
            <w:tcBorders>
              <w:top w:val="nil"/>
              <w:left w:val="single" w:sz="4" w:space="0" w:color="auto"/>
              <w:bottom w:val="nil"/>
              <w:right w:val="nil"/>
            </w:tcBorders>
            <w:shd w:val="clear" w:color="000000" w:fill="FFFFFF"/>
            <w:noWrap/>
            <w:vAlign w:val="center"/>
            <w:hideMark/>
          </w:tcPr>
          <w:p w14:paraId="41A27DB7"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31,949</w:t>
            </w:r>
          </w:p>
        </w:tc>
        <w:tc>
          <w:tcPr>
            <w:tcW w:w="1481" w:type="dxa"/>
            <w:tcBorders>
              <w:top w:val="nil"/>
              <w:left w:val="single" w:sz="4" w:space="0" w:color="auto"/>
              <w:bottom w:val="nil"/>
              <w:right w:val="single" w:sz="4" w:space="0" w:color="auto"/>
            </w:tcBorders>
            <w:shd w:val="clear" w:color="000000" w:fill="FFFFFF"/>
            <w:vAlign w:val="center"/>
            <w:hideMark/>
          </w:tcPr>
          <w:p w14:paraId="11BDB1DF"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9,339</w:t>
            </w:r>
          </w:p>
        </w:tc>
        <w:tc>
          <w:tcPr>
            <w:tcW w:w="1270" w:type="dxa"/>
            <w:gridSpan w:val="2"/>
            <w:tcBorders>
              <w:top w:val="nil"/>
              <w:left w:val="nil"/>
              <w:bottom w:val="nil"/>
              <w:right w:val="single" w:sz="4" w:space="0" w:color="auto"/>
            </w:tcBorders>
            <w:shd w:val="clear" w:color="000000" w:fill="FFFFFF"/>
            <w:vAlign w:val="center"/>
            <w:hideMark/>
          </w:tcPr>
          <w:p w14:paraId="355D6A11"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w:t>
            </w:r>
          </w:p>
        </w:tc>
        <w:tc>
          <w:tcPr>
            <w:tcW w:w="992" w:type="dxa"/>
            <w:tcBorders>
              <w:top w:val="nil"/>
              <w:left w:val="nil"/>
              <w:bottom w:val="nil"/>
              <w:right w:val="single" w:sz="4" w:space="0" w:color="auto"/>
            </w:tcBorders>
            <w:shd w:val="clear" w:color="000000" w:fill="FFFFFF"/>
            <w:vAlign w:val="center"/>
            <w:hideMark/>
          </w:tcPr>
          <w:p w14:paraId="5BBACE8A"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w:t>
            </w:r>
          </w:p>
        </w:tc>
        <w:tc>
          <w:tcPr>
            <w:tcW w:w="1701" w:type="dxa"/>
            <w:gridSpan w:val="2"/>
            <w:tcBorders>
              <w:top w:val="nil"/>
              <w:left w:val="nil"/>
              <w:bottom w:val="nil"/>
              <w:right w:val="single" w:sz="4" w:space="0" w:color="auto"/>
            </w:tcBorders>
            <w:shd w:val="clear" w:color="000000" w:fill="FFFFFF"/>
            <w:vAlign w:val="center"/>
            <w:hideMark/>
          </w:tcPr>
          <w:p w14:paraId="28925F19"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w:t>
            </w:r>
          </w:p>
        </w:tc>
        <w:tc>
          <w:tcPr>
            <w:tcW w:w="1648" w:type="dxa"/>
            <w:gridSpan w:val="2"/>
            <w:tcBorders>
              <w:top w:val="nil"/>
              <w:left w:val="nil"/>
              <w:bottom w:val="nil"/>
              <w:right w:val="single" w:sz="4" w:space="0" w:color="auto"/>
            </w:tcBorders>
            <w:shd w:val="clear" w:color="000000" w:fill="FFFFFF"/>
            <w:vAlign w:val="center"/>
            <w:hideMark/>
          </w:tcPr>
          <w:p w14:paraId="12570931" w14:textId="77777777" w:rsidR="00745B47" w:rsidRPr="00745B47" w:rsidRDefault="00745B47" w:rsidP="00745B47">
            <w:pPr>
              <w:jc w:val="right"/>
              <w:rPr>
                <w:rFonts w:ascii="Verdana" w:eastAsia="Times New Roman" w:hAnsi="Verdana" w:cs="Calibri"/>
                <w:b/>
                <w:bCs/>
                <w:color w:val="000000"/>
                <w:sz w:val="16"/>
                <w:szCs w:val="16"/>
                <w:lang w:val="en-GB" w:eastAsia="en-GB"/>
              </w:rPr>
            </w:pPr>
            <w:r w:rsidRPr="00745B47">
              <w:rPr>
                <w:rFonts w:ascii="Verdana" w:eastAsia="Times New Roman" w:hAnsi="Verdana" w:cs="Calibri"/>
                <w:b/>
                <w:bCs/>
                <w:color w:val="000000"/>
                <w:sz w:val="16"/>
                <w:szCs w:val="16"/>
                <w:lang w:val="en-GB" w:eastAsia="en-GB"/>
              </w:rPr>
              <w:t>41,288</w:t>
            </w:r>
          </w:p>
        </w:tc>
      </w:tr>
      <w:tr w:rsidR="00745B47" w:rsidRPr="00745B47" w14:paraId="61A4C543" w14:textId="77777777" w:rsidTr="00514C09">
        <w:trPr>
          <w:trHeight w:val="315"/>
        </w:trPr>
        <w:tc>
          <w:tcPr>
            <w:tcW w:w="3544" w:type="dxa"/>
            <w:tcBorders>
              <w:top w:val="nil"/>
              <w:left w:val="single" w:sz="4" w:space="0" w:color="auto"/>
              <w:bottom w:val="nil"/>
              <w:right w:val="nil"/>
            </w:tcBorders>
            <w:shd w:val="clear" w:color="000000" w:fill="FFFFFF"/>
            <w:vAlign w:val="center"/>
            <w:hideMark/>
          </w:tcPr>
          <w:p w14:paraId="4C274C81" w14:textId="77777777" w:rsidR="00745B47" w:rsidRPr="00745B47" w:rsidRDefault="00745B47" w:rsidP="00745B47">
            <w:pPr>
              <w:ind w:firstLineChars="100" w:firstLine="160"/>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Chief Superintendent</w:t>
            </w:r>
          </w:p>
        </w:tc>
        <w:tc>
          <w:tcPr>
            <w:tcW w:w="1559" w:type="dxa"/>
            <w:tcBorders>
              <w:top w:val="nil"/>
              <w:left w:val="single" w:sz="4" w:space="0" w:color="auto"/>
              <w:bottom w:val="nil"/>
              <w:right w:val="nil"/>
            </w:tcBorders>
            <w:shd w:val="clear" w:color="000000" w:fill="FFFFFF"/>
            <w:vAlign w:val="center"/>
            <w:hideMark/>
          </w:tcPr>
          <w:p w14:paraId="1AAED485" w14:textId="77777777" w:rsidR="00745B47" w:rsidRPr="00745B47" w:rsidRDefault="00745B47" w:rsidP="00745B47">
            <w:pPr>
              <w:ind w:firstLineChars="100" w:firstLine="160"/>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07/01/2013</w:t>
            </w:r>
          </w:p>
        </w:tc>
        <w:tc>
          <w:tcPr>
            <w:tcW w:w="1276" w:type="dxa"/>
            <w:tcBorders>
              <w:top w:val="nil"/>
              <w:left w:val="single" w:sz="4" w:space="0" w:color="auto"/>
              <w:bottom w:val="nil"/>
              <w:right w:val="nil"/>
            </w:tcBorders>
            <w:shd w:val="clear" w:color="000000" w:fill="FFFFFF"/>
            <w:vAlign w:val="center"/>
            <w:hideMark/>
          </w:tcPr>
          <w:p w14:paraId="401BBC1F"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27/05/2020</w:t>
            </w:r>
          </w:p>
        </w:tc>
        <w:tc>
          <w:tcPr>
            <w:tcW w:w="1360" w:type="dxa"/>
            <w:tcBorders>
              <w:top w:val="nil"/>
              <w:left w:val="single" w:sz="4" w:space="0" w:color="auto"/>
              <w:bottom w:val="nil"/>
              <w:right w:val="nil"/>
            </w:tcBorders>
            <w:shd w:val="clear" w:color="000000" w:fill="FFFFFF"/>
            <w:noWrap/>
            <w:vAlign w:val="center"/>
            <w:hideMark/>
          </w:tcPr>
          <w:p w14:paraId="030CC7E2"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13,750</w:t>
            </w:r>
          </w:p>
        </w:tc>
        <w:tc>
          <w:tcPr>
            <w:tcW w:w="1481" w:type="dxa"/>
            <w:tcBorders>
              <w:top w:val="nil"/>
              <w:left w:val="single" w:sz="4" w:space="0" w:color="auto"/>
              <w:bottom w:val="nil"/>
              <w:right w:val="single" w:sz="4" w:space="0" w:color="auto"/>
            </w:tcBorders>
            <w:shd w:val="clear" w:color="000000" w:fill="FFFFFF"/>
            <w:vAlign w:val="center"/>
            <w:hideMark/>
          </w:tcPr>
          <w:p w14:paraId="1C5CDBAE"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4,148</w:t>
            </w:r>
          </w:p>
        </w:tc>
        <w:tc>
          <w:tcPr>
            <w:tcW w:w="1270" w:type="dxa"/>
            <w:gridSpan w:val="2"/>
            <w:tcBorders>
              <w:top w:val="nil"/>
              <w:left w:val="nil"/>
              <w:bottom w:val="nil"/>
              <w:right w:val="single" w:sz="4" w:space="0" w:color="auto"/>
            </w:tcBorders>
            <w:shd w:val="clear" w:color="000000" w:fill="FFFFFF"/>
            <w:vAlign w:val="center"/>
            <w:hideMark/>
          </w:tcPr>
          <w:p w14:paraId="31646CFE"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64</w:t>
            </w:r>
          </w:p>
        </w:tc>
        <w:tc>
          <w:tcPr>
            <w:tcW w:w="992" w:type="dxa"/>
            <w:tcBorders>
              <w:top w:val="nil"/>
              <w:left w:val="nil"/>
              <w:bottom w:val="nil"/>
              <w:right w:val="single" w:sz="4" w:space="0" w:color="auto"/>
            </w:tcBorders>
            <w:shd w:val="clear" w:color="000000" w:fill="FFFFFF"/>
            <w:vAlign w:val="center"/>
            <w:hideMark/>
          </w:tcPr>
          <w:p w14:paraId="74B62164"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w:t>
            </w:r>
          </w:p>
        </w:tc>
        <w:tc>
          <w:tcPr>
            <w:tcW w:w="1701" w:type="dxa"/>
            <w:gridSpan w:val="2"/>
            <w:tcBorders>
              <w:top w:val="nil"/>
              <w:left w:val="nil"/>
              <w:bottom w:val="nil"/>
              <w:right w:val="single" w:sz="4" w:space="0" w:color="auto"/>
            </w:tcBorders>
            <w:shd w:val="clear" w:color="000000" w:fill="FFFFFF"/>
            <w:vAlign w:val="center"/>
            <w:hideMark/>
          </w:tcPr>
          <w:p w14:paraId="0A2BE05C"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w:t>
            </w:r>
          </w:p>
        </w:tc>
        <w:tc>
          <w:tcPr>
            <w:tcW w:w="1648" w:type="dxa"/>
            <w:gridSpan w:val="2"/>
            <w:tcBorders>
              <w:top w:val="nil"/>
              <w:left w:val="nil"/>
              <w:bottom w:val="nil"/>
              <w:right w:val="single" w:sz="4" w:space="0" w:color="auto"/>
            </w:tcBorders>
            <w:shd w:val="clear" w:color="000000" w:fill="FFFFFF"/>
            <w:vAlign w:val="center"/>
            <w:hideMark/>
          </w:tcPr>
          <w:p w14:paraId="504AD39B" w14:textId="77777777" w:rsidR="00745B47" w:rsidRPr="00745B47" w:rsidRDefault="00745B47" w:rsidP="00745B47">
            <w:pPr>
              <w:jc w:val="right"/>
              <w:rPr>
                <w:rFonts w:ascii="Verdana" w:eastAsia="Times New Roman" w:hAnsi="Verdana" w:cs="Calibri"/>
                <w:b/>
                <w:bCs/>
                <w:color w:val="000000"/>
                <w:sz w:val="16"/>
                <w:szCs w:val="16"/>
                <w:lang w:val="en-GB" w:eastAsia="en-GB"/>
              </w:rPr>
            </w:pPr>
            <w:r w:rsidRPr="00745B47">
              <w:rPr>
                <w:rFonts w:ascii="Verdana" w:eastAsia="Times New Roman" w:hAnsi="Verdana" w:cs="Calibri"/>
                <w:b/>
                <w:bCs/>
                <w:color w:val="000000"/>
                <w:sz w:val="16"/>
                <w:szCs w:val="16"/>
                <w:lang w:val="en-GB" w:eastAsia="en-GB"/>
              </w:rPr>
              <w:t>17,962</w:t>
            </w:r>
          </w:p>
        </w:tc>
      </w:tr>
      <w:tr w:rsidR="00745B47" w:rsidRPr="00745B47" w14:paraId="29C65904" w14:textId="77777777" w:rsidTr="00514C09">
        <w:trPr>
          <w:trHeight w:val="315"/>
        </w:trPr>
        <w:tc>
          <w:tcPr>
            <w:tcW w:w="3544" w:type="dxa"/>
            <w:tcBorders>
              <w:top w:val="nil"/>
              <w:left w:val="single" w:sz="4" w:space="0" w:color="auto"/>
              <w:bottom w:val="nil"/>
              <w:right w:val="nil"/>
            </w:tcBorders>
            <w:shd w:val="clear" w:color="000000" w:fill="FFFFFF"/>
            <w:vAlign w:val="center"/>
            <w:hideMark/>
          </w:tcPr>
          <w:p w14:paraId="09308105" w14:textId="77777777" w:rsidR="00745B47" w:rsidRPr="00745B47" w:rsidRDefault="00745B47" w:rsidP="00745B47">
            <w:pPr>
              <w:ind w:firstLineChars="100" w:firstLine="160"/>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xml:space="preserve">Temporary Assistant Chief Constable </w:t>
            </w:r>
          </w:p>
        </w:tc>
        <w:tc>
          <w:tcPr>
            <w:tcW w:w="1559" w:type="dxa"/>
            <w:tcBorders>
              <w:top w:val="nil"/>
              <w:left w:val="single" w:sz="4" w:space="0" w:color="auto"/>
              <w:bottom w:val="nil"/>
              <w:right w:val="nil"/>
            </w:tcBorders>
            <w:shd w:val="clear" w:color="000000" w:fill="FFFFFF"/>
            <w:vAlign w:val="center"/>
            <w:hideMark/>
          </w:tcPr>
          <w:p w14:paraId="24D262F4" w14:textId="77777777" w:rsidR="00745B47" w:rsidRPr="00745B47" w:rsidRDefault="00745B47" w:rsidP="00745B47">
            <w:pPr>
              <w:ind w:firstLineChars="100" w:firstLine="160"/>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20/01/2019</w:t>
            </w:r>
          </w:p>
        </w:tc>
        <w:tc>
          <w:tcPr>
            <w:tcW w:w="1276" w:type="dxa"/>
            <w:tcBorders>
              <w:top w:val="nil"/>
              <w:left w:val="single" w:sz="4" w:space="0" w:color="auto"/>
              <w:bottom w:val="nil"/>
              <w:right w:val="nil"/>
            </w:tcBorders>
            <w:shd w:val="clear" w:color="000000" w:fill="FFFFFF"/>
            <w:vAlign w:val="center"/>
            <w:hideMark/>
          </w:tcPr>
          <w:p w14:paraId="362ADEB7"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w:t>
            </w:r>
          </w:p>
        </w:tc>
        <w:tc>
          <w:tcPr>
            <w:tcW w:w="1360" w:type="dxa"/>
            <w:tcBorders>
              <w:top w:val="nil"/>
              <w:left w:val="single" w:sz="4" w:space="0" w:color="auto"/>
              <w:bottom w:val="nil"/>
              <w:right w:val="nil"/>
            </w:tcBorders>
            <w:shd w:val="clear" w:color="000000" w:fill="FFFFFF"/>
            <w:noWrap/>
            <w:vAlign w:val="center"/>
            <w:hideMark/>
          </w:tcPr>
          <w:p w14:paraId="25AEF58A"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100,951</w:t>
            </w:r>
          </w:p>
        </w:tc>
        <w:tc>
          <w:tcPr>
            <w:tcW w:w="1481" w:type="dxa"/>
            <w:tcBorders>
              <w:top w:val="nil"/>
              <w:left w:val="single" w:sz="4" w:space="0" w:color="auto"/>
              <w:bottom w:val="nil"/>
              <w:right w:val="single" w:sz="4" w:space="0" w:color="auto"/>
            </w:tcBorders>
            <w:shd w:val="clear" w:color="000000" w:fill="FFFFFF"/>
            <w:vAlign w:val="center"/>
            <w:hideMark/>
          </w:tcPr>
          <w:p w14:paraId="440E678E"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27,230</w:t>
            </w:r>
          </w:p>
        </w:tc>
        <w:tc>
          <w:tcPr>
            <w:tcW w:w="1270" w:type="dxa"/>
            <w:gridSpan w:val="2"/>
            <w:tcBorders>
              <w:top w:val="nil"/>
              <w:left w:val="nil"/>
              <w:bottom w:val="nil"/>
              <w:right w:val="single" w:sz="4" w:space="0" w:color="auto"/>
            </w:tcBorders>
            <w:shd w:val="clear" w:color="000000" w:fill="FFFFFF"/>
            <w:vAlign w:val="center"/>
            <w:hideMark/>
          </w:tcPr>
          <w:p w14:paraId="77A783CE"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1,233</w:t>
            </w:r>
          </w:p>
        </w:tc>
        <w:tc>
          <w:tcPr>
            <w:tcW w:w="992" w:type="dxa"/>
            <w:tcBorders>
              <w:top w:val="nil"/>
              <w:left w:val="nil"/>
              <w:bottom w:val="nil"/>
              <w:right w:val="single" w:sz="4" w:space="0" w:color="auto"/>
            </w:tcBorders>
            <w:shd w:val="clear" w:color="000000" w:fill="FFFFFF"/>
            <w:vAlign w:val="center"/>
            <w:hideMark/>
          </w:tcPr>
          <w:p w14:paraId="70787224"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w:t>
            </w:r>
          </w:p>
        </w:tc>
        <w:tc>
          <w:tcPr>
            <w:tcW w:w="1701" w:type="dxa"/>
            <w:gridSpan w:val="2"/>
            <w:tcBorders>
              <w:top w:val="nil"/>
              <w:left w:val="nil"/>
              <w:bottom w:val="nil"/>
              <w:right w:val="single" w:sz="4" w:space="0" w:color="auto"/>
            </w:tcBorders>
            <w:shd w:val="clear" w:color="000000" w:fill="FFFFFF"/>
            <w:vAlign w:val="center"/>
            <w:hideMark/>
          </w:tcPr>
          <w:p w14:paraId="57BFB61A"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1,717</w:t>
            </w:r>
          </w:p>
        </w:tc>
        <w:tc>
          <w:tcPr>
            <w:tcW w:w="1648" w:type="dxa"/>
            <w:gridSpan w:val="2"/>
            <w:tcBorders>
              <w:top w:val="nil"/>
              <w:left w:val="nil"/>
              <w:bottom w:val="nil"/>
              <w:right w:val="single" w:sz="4" w:space="0" w:color="auto"/>
            </w:tcBorders>
            <w:shd w:val="clear" w:color="000000" w:fill="FFFFFF"/>
            <w:vAlign w:val="center"/>
            <w:hideMark/>
          </w:tcPr>
          <w:p w14:paraId="70B9FA5B" w14:textId="77777777" w:rsidR="00745B47" w:rsidRPr="00745B47" w:rsidRDefault="00745B47" w:rsidP="00745B47">
            <w:pPr>
              <w:jc w:val="right"/>
              <w:rPr>
                <w:rFonts w:ascii="Verdana" w:eastAsia="Times New Roman" w:hAnsi="Verdana" w:cs="Calibri"/>
                <w:b/>
                <w:bCs/>
                <w:color w:val="000000"/>
                <w:sz w:val="16"/>
                <w:szCs w:val="16"/>
                <w:lang w:val="en-GB" w:eastAsia="en-GB"/>
              </w:rPr>
            </w:pPr>
            <w:r w:rsidRPr="00745B47">
              <w:rPr>
                <w:rFonts w:ascii="Verdana" w:eastAsia="Times New Roman" w:hAnsi="Verdana" w:cs="Calibri"/>
                <w:b/>
                <w:bCs/>
                <w:color w:val="000000"/>
                <w:sz w:val="16"/>
                <w:szCs w:val="16"/>
                <w:lang w:val="en-GB" w:eastAsia="en-GB"/>
              </w:rPr>
              <w:t>131,131</w:t>
            </w:r>
          </w:p>
        </w:tc>
      </w:tr>
      <w:tr w:rsidR="00745B47" w:rsidRPr="00745B47" w14:paraId="78D2225B" w14:textId="77777777" w:rsidTr="00514C09">
        <w:trPr>
          <w:trHeight w:val="315"/>
        </w:trPr>
        <w:tc>
          <w:tcPr>
            <w:tcW w:w="3544" w:type="dxa"/>
            <w:tcBorders>
              <w:top w:val="nil"/>
              <w:left w:val="single" w:sz="4" w:space="0" w:color="auto"/>
              <w:bottom w:val="nil"/>
              <w:right w:val="nil"/>
            </w:tcBorders>
            <w:shd w:val="clear" w:color="000000" w:fill="FFFFFF"/>
            <w:vAlign w:val="center"/>
            <w:hideMark/>
          </w:tcPr>
          <w:p w14:paraId="3951ADEB" w14:textId="77777777" w:rsidR="00745B47" w:rsidRPr="00745B47" w:rsidRDefault="00745B47" w:rsidP="00745B47">
            <w:pPr>
              <w:ind w:firstLineChars="100" w:firstLine="160"/>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Chief Information Office</w:t>
            </w:r>
          </w:p>
        </w:tc>
        <w:tc>
          <w:tcPr>
            <w:tcW w:w="1559" w:type="dxa"/>
            <w:tcBorders>
              <w:top w:val="nil"/>
              <w:left w:val="single" w:sz="4" w:space="0" w:color="auto"/>
              <w:bottom w:val="nil"/>
              <w:right w:val="nil"/>
            </w:tcBorders>
            <w:shd w:val="clear" w:color="000000" w:fill="FFFFFF"/>
            <w:vAlign w:val="center"/>
            <w:hideMark/>
          </w:tcPr>
          <w:p w14:paraId="0D89E472" w14:textId="77777777" w:rsidR="00745B47" w:rsidRPr="00745B47" w:rsidRDefault="00745B47" w:rsidP="00745B47">
            <w:pPr>
              <w:ind w:firstLineChars="100" w:firstLine="160"/>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03/12/2018</w:t>
            </w:r>
          </w:p>
        </w:tc>
        <w:tc>
          <w:tcPr>
            <w:tcW w:w="1276" w:type="dxa"/>
            <w:tcBorders>
              <w:top w:val="nil"/>
              <w:left w:val="single" w:sz="4" w:space="0" w:color="auto"/>
              <w:bottom w:val="nil"/>
              <w:right w:val="nil"/>
            </w:tcBorders>
            <w:shd w:val="clear" w:color="000000" w:fill="FFFFFF"/>
            <w:vAlign w:val="center"/>
            <w:hideMark/>
          </w:tcPr>
          <w:p w14:paraId="7E0D953E"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w:t>
            </w:r>
          </w:p>
        </w:tc>
        <w:tc>
          <w:tcPr>
            <w:tcW w:w="1360" w:type="dxa"/>
            <w:tcBorders>
              <w:top w:val="nil"/>
              <w:left w:val="single" w:sz="4" w:space="0" w:color="auto"/>
              <w:bottom w:val="nil"/>
              <w:right w:val="nil"/>
            </w:tcBorders>
            <w:shd w:val="clear" w:color="000000" w:fill="FFFFFF"/>
            <w:noWrap/>
            <w:vAlign w:val="center"/>
            <w:hideMark/>
          </w:tcPr>
          <w:p w14:paraId="6A2375B0"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132,533</w:t>
            </w:r>
          </w:p>
        </w:tc>
        <w:tc>
          <w:tcPr>
            <w:tcW w:w="1481" w:type="dxa"/>
            <w:tcBorders>
              <w:top w:val="nil"/>
              <w:left w:val="single" w:sz="4" w:space="0" w:color="auto"/>
              <w:bottom w:val="nil"/>
              <w:right w:val="single" w:sz="4" w:space="0" w:color="auto"/>
            </w:tcBorders>
            <w:shd w:val="clear" w:color="000000" w:fill="FFFFFF"/>
            <w:vAlign w:val="center"/>
            <w:hideMark/>
          </w:tcPr>
          <w:p w14:paraId="6D66DF0A"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16,646</w:t>
            </w:r>
          </w:p>
        </w:tc>
        <w:tc>
          <w:tcPr>
            <w:tcW w:w="1270" w:type="dxa"/>
            <w:gridSpan w:val="2"/>
            <w:tcBorders>
              <w:top w:val="nil"/>
              <w:left w:val="nil"/>
              <w:bottom w:val="nil"/>
              <w:right w:val="single" w:sz="4" w:space="0" w:color="auto"/>
            </w:tcBorders>
            <w:shd w:val="clear" w:color="000000" w:fill="FFFFFF"/>
            <w:vAlign w:val="center"/>
            <w:hideMark/>
          </w:tcPr>
          <w:p w14:paraId="1E877760"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w:t>
            </w:r>
          </w:p>
        </w:tc>
        <w:tc>
          <w:tcPr>
            <w:tcW w:w="992" w:type="dxa"/>
            <w:tcBorders>
              <w:top w:val="nil"/>
              <w:left w:val="nil"/>
              <w:bottom w:val="nil"/>
              <w:right w:val="single" w:sz="4" w:space="0" w:color="auto"/>
            </w:tcBorders>
            <w:shd w:val="clear" w:color="000000" w:fill="FFFFFF"/>
            <w:vAlign w:val="center"/>
            <w:hideMark/>
          </w:tcPr>
          <w:p w14:paraId="4DFB515A"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w:t>
            </w:r>
          </w:p>
        </w:tc>
        <w:tc>
          <w:tcPr>
            <w:tcW w:w="1701" w:type="dxa"/>
            <w:gridSpan w:val="2"/>
            <w:tcBorders>
              <w:top w:val="nil"/>
              <w:left w:val="nil"/>
              <w:bottom w:val="nil"/>
              <w:right w:val="single" w:sz="4" w:space="0" w:color="auto"/>
            </w:tcBorders>
            <w:shd w:val="clear" w:color="000000" w:fill="FFFFFF"/>
            <w:vAlign w:val="center"/>
            <w:hideMark/>
          </w:tcPr>
          <w:p w14:paraId="3D6CBB5E"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1,717</w:t>
            </w:r>
          </w:p>
        </w:tc>
        <w:tc>
          <w:tcPr>
            <w:tcW w:w="1648" w:type="dxa"/>
            <w:gridSpan w:val="2"/>
            <w:tcBorders>
              <w:top w:val="nil"/>
              <w:left w:val="nil"/>
              <w:bottom w:val="nil"/>
              <w:right w:val="single" w:sz="4" w:space="0" w:color="auto"/>
            </w:tcBorders>
            <w:shd w:val="clear" w:color="000000" w:fill="FFFFFF"/>
            <w:vAlign w:val="center"/>
            <w:hideMark/>
          </w:tcPr>
          <w:p w14:paraId="0F5CDE8B" w14:textId="77777777" w:rsidR="00745B47" w:rsidRPr="00745B47" w:rsidRDefault="00745B47" w:rsidP="00745B47">
            <w:pPr>
              <w:jc w:val="right"/>
              <w:rPr>
                <w:rFonts w:ascii="Verdana" w:eastAsia="Times New Roman" w:hAnsi="Verdana" w:cs="Calibri"/>
                <w:b/>
                <w:bCs/>
                <w:color w:val="000000"/>
                <w:sz w:val="16"/>
                <w:szCs w:val="16"/>
                <w:lang w:val="en-GB" w:eastAsia="en-GB"/>
              </w:rPr>
            </w:pPr>
            <w:r w:rsidRPr="00745B47">
              <w:rPr>
                <w:rFonts w:ascii="Verdana" w:eastAsia="Times New Roman" w:hAnsi="Verdana" w:cs="Calibri"/>
                <w:b/>
                <w:bCs/>
                <w:color w:val="000000"/>
                <w:sz w:val="16"/>
                <w:szCs w:val="16"/>
                <w:lang w:val="en-GB" w:eastAsia="en-GB"/>
              </w:rPr>
              <w:t>150,896</w:t>
            </w:r>
          </w:p>
        </w:tc>
      </w:tr>
      <w:tr w:rsidR="00745B47" w:rsidRPr="00745B47" w14:paraId="5BFFC5B7" w14:textId="77777777" w:rsidTr="00514C09">
        <w:trPr>
          <w:trHeight w:val="315"/>
        </w:trPr>
        <w:tc>
          <w:tcPr>
            <w:tcW w:w="3544" w:type="dxa"/>
            <w:tcBorders>
              <w:top w:val="nil"/>
              <w:left w:val="single" w:sz="4" w:space="0" w:color="auto"/>
              <w:bottom w:val="nil"/>
              <w:right w:val="nil"/>
            </w:tcBorders>
            <w:shd w:val="clear" w:color="000000" w:fill="FFFFFF"/>
            <w:vAlign w:val="center"/>
            <w:hideMark/>
          </w:tcPr>
          <w:p w14:paraId="307CEF2D" w14:textId="77777777" w:rsidR="00745B47" w:rsidRPr="00745B47" w:rsidRDefault="00745B47" w:rsidP="00745B47">
            <w:pPr>
              <w:ind w:firstLineChars="100" w:firstLine="160"/>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xml:space="preserve">Head of Corporate Communications </w:t>
            </w:r>
          </w:p>
        </w:tc>
        <w:tc>
          <w:tcPr>
            <w:tcW w:w="1559" w:type="dxa"/>
            <w:tcBorders>
              <w:top w:val="nil"/>
              <w:left w:val="single" w:sz="4" w:space="0" w:color="auto"/>
              <w:bottom w:val="nil"/>
              <w:right w:val="nil"/>
            </w:tcBorders>
            <w:shd w:val="clear" w:color="000000" w:fill="FFFFFF"/>
            <w:vAlign w:val="center"/>
            <w:hideMark/>
          </w:tcPr>
          <w:p w14:paraId="43F05D66" w14:textId="77777777" w:rsidR="00745B47" w:rsidRPr="00745B47" w:rsidRDefault="00745B47" w:rsidP="00745B47">
            <w:pPr>
              <w:ind w:firstLineChars="100" w:firstLine="160"/>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16/07/2018</w:t>
            </w:r>
          </w:p>
        </w:tc>
        <w:tc>
          <w:tcPr>
            <w:tcW w:w="1276" w:type="dxa"/>
            <w:tcBorders>
              <w:top w:val="nil"/>
              <w:left w:val="single" w:sz="4" w:space="0" w:color="auto"/>
              <w:bottom w:val="nil"/>
              <w:right w:val="nil"/>
            </w:tcBorders>
            <w:shd w:val="clear" w:color="000000" w:fill="FFFFFF"/>
            <w:vAlign w:val="center"/>
            <w:hideMark/>
          </w:tcPr>
          <w:p w14:paraId="773BF9E7"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w:t>
            </w:r>
          </w:p>
        </w:tc>
        <w:tc>
          <w:tcPr>
            <w:tcW w:w="1360" w:type="dxa"/>
            <w:tcBorders>
              <w:top w:val="nil"/>
              <w:left w:val="single" w:sz="4" w:space="0" w:color="auto"/>
              <w:bottom w:val="nil"/>
              <w:right w:val="nil"/>
            </w:tcBorders>
            <w:shd w:val="clear" w:color="000000" w:fill="FFFFFF"/>
            <w:noWrap/>
            <w:vAlign w:val="center"/>
            <w:hideMark/>
          </w:tcPr>
          <w:p w14:paraId="52EF09AE"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73,774</w:t>
            </w:r>
          </w:p>
        </w:tc>
        <w:tc>
          <w:tcPr>
            <w:tcW w:w="1481" w:type="dxa"/>
            <w:tcBorders>
              <w:top w:val="nil"/>
              <w:left w:val="single" w:sz="4" w:space="0" w:color="auto"/>
              <w:bottom w:val="nil"/>
              <w:right w:val="single" w:sz="4" w:space="0" w:color="auto"/>
            </w:tcBorders>
            <w:shd w:val="clear" w:color="000000" w:fill="FFFFFF"/>
            <w:vAlign w:val="center"/>
            <w:hideMark/>
          </w:tcPr>
          <w:p w14:paraId="37532E4E"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9,821</w:t>
            </w:r>
          </w:p>
        </w:tc>
        <w:tc>
          <w:tcPr>
            <w:tcW w:w="1270" w:type="dxa"/>
            <w:gridSpan w:val="2"/>
            <w:tcBorders>
              <w:top w:val="nil"/>
              <w:left w:val="nil"/>
              <w:bottom w:val="nil"/>
              <w:right w:val="single" w:sz="4" w:space="0" w:color="auto"/>
            </w:tcBorders>
            <w:shd w:val="clear" w:color="000000" w:fill="FFFFFF"/>
            <w:vAlign w:val="center"/>
            <w:hideMark/>
          </w:tcPr>
          <w:p w14:paraId="0D2434DD"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w:t>
            </w:r>
          </w:p>
        </w:tc>
        <w:tc>
          <w:tcPr>
            <w:tcW w:w="992" w:type="dxa"/>
            <w:tcBorders>
              <w:top w:val="nil"/>
              <w:left w:val="nil"/>
              <w:bottom w:val="nil"/>
              <w:right w:val="single" w:sz="4" w:space="0" w:color="auto"/>
            </w:tcBorders>
            <w:shd w:val="clear" w:color="000000" w:fill="FFFFFF"/>
            <w:vAlign w:val="center"/>
            <w:hideMark/>
          </w:tcPr>
          <w:p w14:paraId="410CC38C"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w:t>
            </w:r>
          </w:p>
        </w:tc>
        <w:tc>
          <w:tcPr>
            <w:tcW w:w="1701" w:type="dxa"/>
            <w:gridSpan w:val="2"/>
            <w:tcBorders>
              <w:top w:val="nil"/>
              <w:left w:val="nil"/>
              <w:bottom w:val="nil"/>
              <w:right w:val="single" w:sz="4" w:space="0" w:color="auto"/>
            </w:tcBorders>
            <w:shd w:val="clear" w:color="000000" w:fill="FFFFFF"/>
            <w:vAlign w:val="center"/>
            <w:hideMark/>
          </w:tcPr>
          <w:p w14:paraId="21B6B3B8"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200</w:t>
            </w:r>
          </w:p>
        </w:tc>
        <w:tc>
          <w:tcPr>
            <w:tcW w:w="1648" w:type="dxa"/>
            <w:gridSpan w:val="2"/>
            <w:tcBorders>
              <w:top w:val="nil"/>
              <w:left w:val="nil"/>
              <w:bottom w:val="nil"/>
              <w:right w:val="single" w:sz="4" w:space="0" w:color="auto"/>
            </w:tcBorders>
            <w:shd w:val="clear" w:color="000000" w:fill="FFFFFF"/>
            <w:vAlign w:val="center"/>
            <w:hideMark/>
          </w:tcPr>
          <w:p w14:paraId="791955DC" w14:textId="77777777" w:rsidR="00745B47" w:rsidRPr="00745B47" w:rsidRDefault="00745B47" w:rsidP="00745B47">
            <w:pPr>
              <w:jc w:val="right"/>
              <w:rPr>
                <w:rFonts w:ascii="Verdana" w:eastAsia="Times New Roman" w:hAnsi="Verdana" w:cs="Calibri"/>
                <w:b/>
                <w:bCs/>
                <w:color w:val="000000"/>
                <w:sz w:val="16"/>
                <w:szCs w:val="16"/>
                <w:lang w:val="en-GB" w:eastAsia="en-GB"/>
              </w:rPr>
            </w:pPr>
            <w:r w:rsidRPr="00745B47">
              <w:rPr>
                <w:rFonts w:ascii="Verdana" w:eastAsia="Times New Roman" w:hAnsi="Verdana" w:cs="Calibri"/>
                <w:b/>
                <w:bCs/>
                <w:color w:val="000000"/>
                <w:sz w:val="16"/>
                <w:szCs w:val="16"/>
                <w:lang w:val="en-GB" w:eastAsia="en-GB"/>
              </w:rPr>
              <w:t>83,795</w:t>
            </w:r>
          </w:p>
        </w:tc>
      </w:tr>
      <w:tr w:rsidR="00745B47" w:rsidRPr="00745B47" w14:paraId="7E7B427E" w14:textId="77777777" w:rsidTr="00514C09">
        <w:trPr>
          <w:trHeight w:val="315"/>
        </w:trPr>
        <w:tc>
          <w:tcPr>
            <w:tcW w:w="3544" w:type="dxa"/>
            <w:tcBorders>
              <w:top w:val="nil"/>
              <w:left w:val="single" w:sz="4" w:space="0" w:color="auto"/>
              <w:bottom w:val="nil"/>
              <w:right w:val="nil"/>
            </w:tcBorders>
            <w:shd w:val="clear" w:color="000000" w:fill="FFFFFF"/>
            <w:vAlign w:val="center"/>
            <w:hideMark/>
          </w:tcPr>
          <w:p w14:paraId="7E50F3CA" w14:textId="77777777" w:rsidR="00745B47" w:rsidRPr="00745B47" w:rsidRDefault="00745B47" w:rsidP="00745B47">
            <w:pPr>
              <w:ind w:firstLineChars="100" w:firstLine="160"/>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xml:space="preserve">Chief Superintendent </w:t>
            </w:r>
          </w:p>
        </w:tc>
        <w:tc>
          <w:tcPr>
            <w:tcW w:w="1559" w:type="dxa"/>
            <w:tcBorders>
              <w:top w:val="nil"/>
              <w:left w:val="single" w:sz="4" w:space="0" w:color="auto"/>
              <w:bottom w:val="nil"/>
              <w:right w:val="nil"/>
            </w:tcBorders>
            <w:shd w:val="clear" w:color="000000" w:fill="FFFFFF"/>
            <w:vAlign w:val="center"/>
            <w:hideMark/>
          </w:tcPr>
          <w:p w14:paraId="02A58552" w14:textId="77777777" w:rsidR="00745B47" w:rsidRPr="00745B47" w:rsidRDefault="00745B47" w:rsidP="00745B47">
            <w:pPr>
              <w:ind w:firstLineChars="100" w:firstLine="160"/>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01/04/2017</w:t>
            </w:r>
          </w:p>
        </w:tc>
        <w:tc>
          <w:tcPr>
            <w:tcW w:w="1276" w:type="dxa"/>
            <w:tcBorders>
              <w:top w:val="nil"/>
              <w:left w:val="single" w:sz="4" w:space="0" w:color="auto"/>
              <w:bottom w:val="nil"/>
              <w:right w:val="nil"/>
            </w:tcBorders>
            <w:shd w:val="clear" w:color="000000" w:fill="FFFFFF"/>
            <w:vAlign w:val="center"/>
            <w:hideMark/>
          </w:tcPr>
          <w:p w14:paraId="22F854DC"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29/07/2019</w:t>
            </w:r>
          </w:p>
        </w:tc>
        <w:tc>
          <w:tcPr>
            <w:tcW w:w="1360" w:type="dxa"/>
            <w:tcBorders>
              <w:top w:val="nil"/>
              <w:left w:val="single" w:sz="4" w:space="0" w:color="auto"/>
              <w:bottom w:val="nil"/>
              <w:right w:val="nil"/>
            </w:tcBorders>
            <w:shd w:val="clear" w:color="000000" w:fill="FFFFFF"/>
            <w:noWrap/>
            <w:vAlign w:val="center"/>
            <w:hideMark/>
          </w:tcPr>
          <w:p w14:paraId="2BDC4D00"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28,129</w:t>
            </w:r>
          </w:p>
        </w:tc>
        <w:tc>
          <w:tcPr>
            <w:tcW w:w="1481" w:type="dxa"/>
            <w:tcBorders>
              <w:top w:val="nil"/>
              <w:left w:val="single" w:sz="4" w:space="0" w:color="auto"/>
              <w:bottom w:val="nil"/>
              <w:right w:val="single" w:sz="4" w:space="0" w:color="auto"/>
            </w:tcBorders>
            <w:shd w:val="clear" w:color="000000" w:fill="FFFFFF"/>
            <w:vAlign w:val="center"/>
            <w:hideMark/>
          </w:tcPr>
          <w:p w14:paraId="3D82B1A5"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7,225</w:t>
            </w:r>
          </w:p>
        </w:tc>
        <w:tc>
          <w:tcPr>
            <w:tcW w:w="1270" w:type="dxa"/>
            <w:gridSpan w:val="2"/>
            <w:tcBorders>
              <w:top w:val="nil"/>
              <w:left w:val="nil"/>
              <w:bottom w:val="nil"/>
              <w:right w:val="single" w:sz="4" w:space="0" w:color="auto"/>
            </w:tcBorders>
            <w:shd w:val="clear" w:color="000000" w:fill="FFFFFF"/>
            <w:vAlign w:val="center"/>
            <w:hideMark/>
          </w:tcPr>
          <w:p w14:paraId="59E5ED11"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w:t>
            </w:r>
          </w:p>
        </w:tc>
        <w:tc>
          <w:tcPr>
            <w:tcW w:w="992" w:type="dxa"/>
            <w:tcBorders>
              <w:top w:val="nil"/>
              <w:left w:val="nil"/>
              <w:bottom w:val="nil"/>
              <w:right w:val="single" w:sz="4" w:space="0" w:color="auto"/>
            </w:tcBorders>
            <w:shd w:val="clear" w:color="000000" w:fill="FFFFFF"/>
            <w:vAlign w:val="center"/>
            <w:hideMark/>
          </w:tcPr>
          <w:p w14:paraId="64C4951E"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w:t>
            </w:r>
          </w:p>
        </w:tc>
        <w:tc>
          <w:tcPr>
            <w:tcW w:w="1701" w:type="dxa"/>
            <w:gridSpan w:val="2"/>
            <w:tcBorders>
              <w:top w:val="nil"/>
              <w:left w:val="nil"/>
              <w:bottom w:val="nil"/>
              <w:right w:val="single" w:sz="4" w:space="0" w:color="auto"/>
            </w:tcBorders>
            <w:shd w:val="clear" w:color="000000" w:fill="FFFFFF"/>
            <w:vAlign w:val="center"/>
            <w:hideMark/>
          </w:tcPr>
          <w:p w14:paraId="649987F9"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w:t>
            </w:r>
          </w:p>
        </w:tc>
        <w:tc>
          <w:tcPr>
            <w:tcW w:w="1648" w:type="dxa"/>
            <w:gridSpan w:val="2"/>
            <w:tcBorders>
              <w:top w:val="nil"/>
              <w:left w:val="nil"/>
              <w:bottom w:val="nil"/>
              <w:right w:val="single" w:sz="4" w:space="0" w:color="auto"/>
            </w:tcBorders>
            <w:shd w:val="clear" w:color="000000" w:fill="FFFFFF"/>
            <w:vAlign w:val="center"/>
            <w:hideMark/>
          </w:tcPr>
          <w:p w14:paraId="710240C2" w14:textId="77777777" w:rsidR="00745B47" w:rsidRPr="00745B47" w:rsidRDefault="00745B47" w:rsidP="00745B47">
            <w:pPr>
              <w:jc w:val="right"/>
              <w:rPr>
                <w:rFonts w:ascii="Verdana" w:eastAsia="Times New Roman" w:hAnsi="Verdana" w:cs="Calibri"/>
                <w:b/>
                <w:bCs/>
                <w:color w:val="000000"/>
                <w:sz w:val="16"/>
                <w:szCs w:val="16"/>
                <w:lang w:val="en-GB" w:eastAsia="en-GB"/>
              </w:rPr>
            </w:pPr>
            <w:r w:rsidRPr="00745B47">
              <w:rPr>
                <w:rFonts w:ascii="Verdana" w:eastAsia="Times New Roman" w:hAnsi="Verdana" w:cs="Calibri"/>
                <w:b/>
                <w:bCs/>
                <w:color w:val="000000"/>
                <w:sz w:val="16"/>
                <w:szCs w:val="16"/>
                <w:lang w:val="en-GB" w:eastAsia="en-GB"/>
              </w:rPr>
              <w:t>35,354</w:t>
            </w:r>
          </w:p>
        </w:tc>
      </w:tr>
      <w:tr w:rsidR="00745B47" w:rsidRPr="00745B47" w14:paraId="6EEBD705" w14:textId="77777777" w:rsidTr="00514C09">
        <w:trPr>
          <w:trHeight w:val="315"/>
        </w:trPr>
        <w:tc>
          <w:tcPr>
            <w:tcW w:w="3544" w:type="dxa"/>
            <w:tcBorders>
              <w:top w:val="nil"/>
              <w:left w:val="single" w:sz="4" w:space="0" w:color="auto"/>
              <w:bottom w:val="nil"/>
              <w:right w:val="nil"/>
            </w:tcBorders>
            <w:shd w:val="clear" w:color="000000" w:fill="FFFFFF"/>
            <w:vAlign w:val="center"/>
            <w:hideMark/>
          </w:tcPr>
          <w:p w14:paraId="59B2CAE4" w14:textId="77777777" w:rsidR="00745B47" w:rsidRPr="00745B47" w:rsidRDefault="00745B47" w:rsidP="00745B47">
            <w:pPr>
              <w:ind w:firstLineChars="100" w:firstLine="160"/>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xml:space="preserve">Chief Superintendent </w:t>
            </w:r>
          </w:p>
        </w:tc>
        <w:tc>
          <w:tcPr>
            <w:tcW w:w="1559" w:type="dxa"/>
            <w:tcBorders>
              <w:top w:val="nil"/>
              <w:left w:val="single" w:sz="4" w:space="0" w:color="auto"/>
              <w:bottom w:val="nil"/>
              <w:right w:val="nil"/>
            </w:tcBorders>
            <w:shd w:val="clear" w:color="000000" w:fill="FFFFFF"/>
            <w:vAlign w:val="center"/>
            <w:hideMark/>
          </w:tcPr>
          <w:p w14:paraId="3B1E750E" w14:textId="77777777" w:rsidR="00745B47" w:rsidRPr="00745B47" w:rsidRDefault="00745B47" w:rsidP="00745B47">
            <w:pPr>
              <w:ind w:firstLineChars="100" w:firstLine="160"/>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09/06/2014</w:t>
            </w:r>
          </w:p>
        </w:tc>
        <w:tc>
          <w:tcPr>
            <w:tcW w:w="1276" w:type="dxa"/>
            <w:tcBorders>
              <w:top w:val="nil"/>
              <w:left w:val="single" w:sz="4" w:space="0" w:color="auto"/>
              <w:bottom w:val="nil"/>
              <w:right w:val="nil"/>
            </w:tcBorders>
            <w:shd w:val="clear" w:color="000000" w:fill="FFFFFF"/>
            <w:vAlign w:val="center"/>
            <w:hideMark/>
          </w:tcPr>
          <w:p w14:paraId="1A7D66F7"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w:t>
            </w:r>
          </w:p>
        </w:tc>
        <w:tc>
          <w:tcPr>
            <w:tcW w:w="1360" w:type="dxa"/>
            <w:tcBorders>
              <w:top w:val="nil"/>
              <w:left w:val="single" w:sz="4" w:space="0" w:color="auto"/>
              <w:bottom w:val="nil"/>
              <w:right w:val="nil"/>
            </w:tcBorders>
            <w:shd w:val="clear" w:color="000000" w:fill="FFFFFF"/>
            <w:noWrap/>
            <w:vAlign w:val="center"/>
            <w:hideMark/>
          </w:tcPr>
          <w:p w14:paraId="57E3D324"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91,494</w:t>
            </w:r>
          </w:p>
        </w:tc>
        <w:tc>
          <w:tcPr>
            <w:tcW w:w="1481" w:type="dxa"/>
            <w:tcBorders>
              <w:top w:val="nil"/>
              <w:left w:val="single" w:sz="4" w:space="0" w:color="auto"/>
              <w:bottom w:val="nil"/>
              <w:right w:val="single" w:sz="4" w:space="0" w:color="auto"/>
            </w:tcBorders>
            <w:shd w:val="clear" w:color="000000" w:fill="FFFFFF"/>
            <w:vAlign w:val="center"/>
            <w:hideMark/>
          </w:tcPr>
          <w:p w14:paraId="5A27FBDF"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27,466</w:t>
            </w:r>
          </w:p>
        </w:tc>
        <w:tc>
          <w:tcPr>
            <w:tcW w:w="1270" w:type="dxa"/>
            <w:gridSpan w:val="2"/>
            <w:tcBorders>
              <w:top w:val="nil"/>
              <w:left w:val="nil"/>
              <w:bottom w:val="nil"/>
              <w:right w:val="single" w:sz="4" w:space="0" w:color="auto"/>
            </w:tcBorders>
            <w:shd w:val="clear" w:color="000000" w:fill="FFFFFF"/>
            <w:vAlign w:val="center"/>
            <w:hideMark/>
          </w:tcPr>
          <w:p w14:paraId="4AF67426"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2,013</w:t>
            </w:r>
          </w:p>
        </w:tc>
        <w:tc>
          <w:tcPr>
            <w:tcW w:w="992" w:type="dxa"/>
            <w:tcBorders>
              <w:top w:val="nil"/>
              <w:left w:val="nil"/>
              <w:bottom w:val="nil"/>
              <w:right w:val="single" w:sz="4" w:space="0" w:color="auto"/>
            </w:tcBorders>
            <w:shd w:val="clear" w:color="000000" w:fill="FFFFFF"/>
            <w:vAlign w:val="center"/>
            <w:hideMark/>
          </w:tcPr>
          <w:p w14:paraId="6BD2C359"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w:t>
            </w:r>
          </w:p>
        </w:tc>
        <w:tc>
          <w:tcPr>
            <w:tcW w:w="1701" w:type="dxa"/>
            <w:gridSpan w:val="2"/>
            <w:tcBorders>
              <w:top w:val="nil"/>
              <w:left w:val="nil"/>
              <w:bottom w:val="nil"/>
              <w:right w:val="single" w:sz="4" w:space="0" w:color="auto"/>
            </w:tcBorders>
            <w:shd w:val="clear" w:color="000000" w:fill="FFFFFF"/>
            <w:vAlign w:val="center"/>
            <w:hideMark/>
          </w:tcPr>
          <w:p w14:paraId="0F9D1C9B"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w:t>
            </w:r>
          </w:p>
        </w:tc>
        <w:tc>
          <w:tcPr>
            <w:tcW w:w="1648" w:type="dxa"/>
            <w:gridSpan w:val="2"/>
            <w:tcBorders>
              <w:top w:val="nil"/>
              <w:left w:val="nil"/>
              <w:bottom w:val="nil"/>
              <w:right w:val="single" w:sz="4" w:space="0" w:color="auto"/>
            </w:tcBorders>
            <w:shd w:val="clear" w:color="000000" w:fill="FFFFFF"/>
            <w:vAlign w:val="center"/>
            <w:hideMark/>
          </w:tcPr>
          <w:p w14:paraId="195F0FBF" w14:textId="77777777" w:rsidR="00745B47" w:rsidRPr="00745B47" w:rsidRDefault="00745B47" w:rsidP="00745B47">
            <w:pPr>
              <w:jc w:val="right"/>
              <w:rPr>
                <w:rFonts w:ascii="Verdana" w:eastAsia="Times New Roman" w:hAnsi="Verdana" w:cs="Calibri"/>
                <w:b/>
                <w:bCs/>
                <w:color w:val="000000"/>
                <w:sz w:val="16"/>
                <w:szCs w:val="16"/>
                <w:lang w:val="en-GB" w:eastAsia="en-GB"/>
              </w:rPr>
            </w:pPr>
            <w:r w:rsidRPr="00745B47">
              <w:rPr>
                <w:rFonts w:ascii="Verdana" w:eastAsia="Times New Roman" w:hAnsi="Verdana" w:cs="Calibri"/>
                <w:b/>
                <w:bCs/>
                <w:color w:val="000000"/>
                <w:sz w:val="16"/>
                <w:szCs w:val="16"/>
                <w:lang w:val="en-GB" w:eastAsia="en-GB"/>
              </w:rPr>
              <w:t>120,973</w:t>
            </w:r>
          </w:p>
        </w:tc>
      </w:tr>
      <w:tr w:rsidR="00745B47" w:rsidRPr="00745B47" w14:paraId="47AE9DA1" w14:textId="77777777" w:rsidTr="00514C09">
        <w:trPr>
          <w:trHeight w:val="315"/>
        </w:trPr>
        <w:tc>
          <w:tcPr>
            <w:tcW w:w="3544" w:type="dxa"/>
            <w:tcBorders>
              <w:top w:val="nil"/>
              <w:left w:val="single" w:sz="4" w:space="0" w:color="auto"/>
              <w:bottom w:val="nil"/>
              <w:right w:val="nil"/>
            </w:tcBorders>
            <w:shd w:val="clear" w:color="000000" w:fill="FFFFFF"/>
            <w:vAlign w:val="center"/>
            <w:hideMark/>
          </w:tcPr>
          <w:p w14:paraId="68A4C357" w14:textId="77777777" w:rsidR="00745B47" w:rsidRPr="00745B47" w:rsidRDefault="00745B47" w:rsidP="00745B47">
            <w:pPr>
              <w:ind w:firstLineChars="100" w:firstLine="160"/>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xml:space="preserve">Chief Superintendent </w:t>
            </w:r>
          </w:p>
        </w:tc>
        <w:tc>
          <w:tcPr>
            <w:tcW w:w="1559" w:type="dxa"/>
            <w:tcBorders>
              <w:top w:val="nil"/>
              <w:left w:val="single" w:sz="4" w:space="0" w:color="auto"/>
              <w:bottom w:val="nil"/>
              <w:right w:val="nil"/>
            </w:tcBorders>
            <w:shd w:val="clear" w:color="000000" w:fill="FFFFFF"/>
            <w:vAlign w:val="center"/>
            <w:hideMark/>
          </w:tcPr>
          <w:p w14:paraId="13E6C96F" w14:textId="77777777" w:rsidR="00745B47" w:rsidRPr="00745B47" w:rsidRDefault="00745B47" w:rsidP="00745B47">
            <w:pPr>
              <w:ind w:firstLineChars="100" w:firstLine="160"/>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02/01/2018</w:t>
            </w:r>
          </w:p>
        </w:tc>
        <w:tc>
          <w:tcPr>
            <w:tcW w:w="1276" w:type="dxa"/>
            <w:tcBorders>
              <w:top w:val="nil"/>
              <w:left w:val="single" w:sz="4" w:space="0" w:color="auto"/>
              <w:bottom w:val="nil"/>
              <w:right w:val="nil"/>
            </w:tcBorders>
            <w:shd w:val="clear" w:color="000000" w:fill="FFFFFF"/>
            <w:vAlign w:val="center"/>
            <w:hideMark/>
          </w:tcPr>
          <w:p w14:paraId="17CA5F39"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w:t>
            </w:r>
          </w:p>
        </w:tc>
        <w:tc>
          <w:tcPr>
            <w:tcW w:w="1360" w:type="dxa"/>
            <w:tcBorders>
              <w:top w:val="nil"/>
              <w:left w:val="single" w:sz="4" w:space="0" w:color="auto"/>
              <w:bottom w:val="nil"/>
              <w:right w:val="nil"/>
            </w:tcBorders>
            <w:shd w:val="clear" w:color="000000" w:fill="FFFFFF"/>
            <w:noWrap/>
            <w:vAlign w:val="center"/>
            <w:hideMark/>
          </w:tcPr>
          <w:p w14:paraId="49B3D484"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92,482</w:t>
            </w:r>
          </w:p>
        </w:tc>
        <w:tc>
          <w:tcPr>
            <w:tcW w:w="1481" w:type="dxa"/>
            <w:tcBorders>
              <w:top w:val="nil"/>
              <w:left w:val="single" w:sz="4" w:space="0" w:color="auto"/>
              <w:bottom w:val="nil"/>
              <w:right w:val="single" w:sz="4" w:space="0" w:color="auto"/>
            </w:tcBorders>
            <w:shd w:val="clear" w:color="000000" w:fill="FFFFFF"/>
            <w:vAlign w:val="center"/>
            <w:hideMark/>
          </w:tcPr>
          <w:p w14:paraId="12EC9862"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27,054</w:t>
            </w:r>
          </w:p>
        </w:tc>
        <w:tc>
          <w:tcPr>
            <w:tcW w:w="1270" w:type="dxa"/>
            <w:gridSpan w:val="2"/>
            <w:tcBorders>
              <w:top w:val="nil"/>
              <w:left w:val="nil"/>
              <w:bottom w:val="nil"/>
              <w:right w:val="single" w:sz="4" w:space="0" w:color="auto"/>
            </w:tcBorders>
            <w:shd w:val="clear" w:color="000000" w:fill="FFFFFF"/>
            <w:vAlign w:val="center"/>
            <w:hideMark/>
          </w:tcPr>
          <w:p w14:paraId="199EA592"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w:t>
            </w:r>
          </w:p>
        </w:tc>
        <w:tc>
          <w:tcPr>
            <w:tcW w:w="992" w:type="dxa"/>
            <w:tcBorders>
              <w:top w:val="nil"/>
              <w:left w:val="nil"/>
              <w:bottom w:val="nil"/>
              <w:right w:val="single" w:sz="4" w:space="0" w:color="auto"/>
            </w:tcBorders>
            <w:shd w:val="clear" w:color="000000" w:fill="FFFFFF"/>
            <w:vAlign w:val="center"/>
            <w:hideMark/>
          </w:tcPr>
          <w:p w14:paraId="76428DD4"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w:t>
            </w:r>
          </w:p>
        </w:tc>
        <w:tc>
          <w:tcPr>
            <w:tcW w:w="1701" w:type="dxa"/>
            <w:gridSpan w:val="2"/>
            <w:tcBorders>
              <w:top w:val="nil"/>
              <w:left w:val="nil"/>
              <w:bottom w:val="nil"/>
              <w:right w:val="single" w:sz="4" w:space="0" w:color="auto"/>
            </w:tcBorders>
            <w:shd w:val="clear" w:color="000000" w:fill="FFFFFF"/>
            <w:vAlign w:val="center"/>
            <w:hideMark/>
          </w:tcPr>
          <w:p w14:paraId="7247FC44"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310</w:t>
            </w:r>
          </w:p>
        </w:tc>
        <w:tc>
          <w:tcPr>
            <w:tcW w:w="1648" w:type="dxa"/>
            <w:gridSpan w:val="2"/>
            <w:tcBorders>
              <w:top w:val="nil"/>
              <w:left w:val="nil"/>
              <w:bottom w:val="nil"/>
              <w:right w:val="single" w:sz="4" w:space="0" w:color="auto"/>
            </w:tcBorders>
            <w:shd w:val="clear" w:color="000000" w:fill="FFFFFF"/>
            <w:vAlign w:val="center"/>
            <w:hideMark/>
          </w:tcPr>
          <w:p w14:paraId="4EA5BF74" w14:textId="77777777" w:rsidR="00745B47" w:rsidRPr="00745B47" w:rsidRDefault="00745B47" w:rsidP="00745B47">
            <w:pPr>
              <w:jc w:val="right"/>
              <w:rPr>
                <w:rFonts w:ascii="Verdana" w:eastAsia="Times New Roman" w:hAnsi="Verdana" w:cs="Calibri"/>
                <w:b/>
                <w:bCs/>
                <w:color w:val="000000"/>
                <w:sz w:val="16"/>
                <w:szCs w:val="16"/>
                <w:lang w:val="en-GB" w:eastAsia="en-GB"/>
              </w:rPr>
            </w:pPr>
            <w:r w:rsidRPr="00745B47">
              <w:rPr>
                <w:rFonts w:ascii="Verdana" w:eastAsia="Times New Roman" w:hAnsi="Verdana" w:cs="Calibri"/>
                <w:b/>
                <w:bCs/>
                <w:color w:val="000000"/>
                <w:sz w:val="16"/>
                <w:szCs w:val="16"/>
                <w:lang w:val="en-GB" w:eastAsia="en-GB"/>
              </w:rPr>
              <w:t>119,846</w:t>
            </w:r>
          </w:p>
        </w:tc>
      </w:tr>
      <w:tr w:rsidR="00745B47" w:rsidRPr="00745B47" w14:paraId="18089AF7" w14:textId="77777777" w:rsidTr="00514C09">
        <w:trPr>
          <w:trHeight w:val="315"/>
        </w:trPr>
        <w:tc>
          <w:tcPr>
            <w:tcW w:w="3544" w:type="dxa"/>
            <w:tcBorders>
              <w:top w:val="nil"/>
              <w:left w:val="single" w:sz="4" w:space="0" w:color="auto"/>
              <w:bottom w:val="nil"/>
              <w:right w:val="nil"/>
            </w:tcBorders>
            <w:shd w:val="clear" w:color="000000" w:fill="FFFFFF"/>
            <w:vAlign w:val="center"/>
            <w:hideMark/>
          </w:tcPr>
          <w:p w14:paraId="10E21730" w14:textId="77777777" w:rsidR="00745B47" w:rsidRPr="00745B47" w:rsidRDefault="00745B47" w:rsidP="00745B47">
            <w:pPr>
              <w:ind w:firstLineChars="100" w:firstLine="160"/>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xml:space="preserve">Temporary Chief Superintendent </w:t>
            </w:r>
          </w:p>
        </w:tc>
        <w:tc>
          <w:tcPr>
            <w:tcW w:w="1559" w:type="dxa"/>
            <w:tcBorders>
              <w:top w:val="nil"/>
              <w:left w:val="single" w:sz="4" w:space="0" w:color="auto"/>
              <w:bottom w:val="nil"/>
              <w:right w:val="nil"/>
            </w:tcBorders>
            <w:shd w:val="clear" w:color="000000" w:fill="FFFFFF"/>
            <w:vAlign w:val="center"/>
            <w:hideMark/>
          </w:tcPr>
          <w:p w14:paraId="4CA03CEA" w14:textId="77777777" w:rsidR="00745B47" w:rsidRPr="00745B47" w:rsidRDefault="00745B47" w:rsidP="00745B47">
            <w:pPr>
              <w:ind w:firstLineChars="100" w:firstLine="160"/>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14/10/2019</w:t>
            </w:r>
          </w:p>
        </w:tc>
        <w:tc>
          <w:tcPr>
            <w:tcW w:w="1276" w:type="dxa"/>
            <w:tcBorders>
              <w:top w:val="nil"/>
              <w:left w:val="single" w:sz="4" w:space="0" w:color="auto"/>
              <w:bottom w:val="nil"/>
              <w:right w:val="nil"/>
            </w:tcBorders>
            <w:shd w:val="clear" w:color="000000" w:fill="FFFFFF"/>
            <w:vAlign w:val="center"/>
            <w:hideMark/>
          </w:tcPr>
          <w:p w14:paraId="3A4DCADA"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w:t>
            </w:r>
          </w:p>
        </w:tc>
        <w:tc>
          <w:tcPr>
            <w:tcW w:w="1360" w:type="dxa"/>
            <w:tcBorders>
              <w:top w:val="nil"/>
              <w:left w:val="single" w:sz="4" w:space="0" w:color="auto"/>
              <w:bottom w:val="nil"/>
              <w:right w:val="nil"/>
            </w:tcBorders>
            <w:shd w:val="clear" w:color="000000" w:fill="FFFFFF"/>
            <w:noWrap/>
            <w:vAlign w:val="center"/>
            <w:hideMark/>
          </w:tcPr>
          <w:p w14:paraId="556BF1F9"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40,871</w:t>
            </w:r>
          </w:p>
        </w:tc>
        <w:tc>
          <w:tcPr>
            <w:tcW w:w="1481" w:type="dxa"/>
            <w:tcBorders>
              <w:top w:val="nil"/>
              <w:left w:val="single" w:sz="4" w:space="0" w:color="auto"/>
              <w:bottom w:val="nil"/>
              <w:right w:val="single" w:sz="4" w:space="0" w:color="auto"/>
            </w:tcBorders>
            <w:shd w:val="clear" w:color="000000" w:fill="FFFFFF"/>
            <w:vAlign w:val="center"/>
            <w:hideMark/>
          </w:tcPr>
          <w:p w14:paraId="292EC310"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11,561</w:t>
            </w:r>
          </w:p>
        </w:tc>
        <w:tc>
          <w:tcPr>
            <w:tcW w:w="1270" w:type="dxa"/>
            <w:gridSpan w:val="2"/>
            <w:tcBorders>
              <w:top w:val="nil"/>
              <w:left w:val="nil"/>
              <w:bottom w:val="nil"/>
              <w:right w:val="single" w:sz="4" w:space="0" w:color="auto"/>
            </w:tcBorders>
            <w:shd w:val="clear" w:color="000000" w:fill="FFFFFF"/>
            <w:vAlign w:val="center"/>
            <w:hideMark/>
          </w:tcPr>
          <w:p w14:paraId="01FDFBFB"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w:t>
            </w:r>
          </w:p>
        </w:tc>
        <w:tc>
          <w:tcPr>
            <w:tcW w:w="992" w:type="dxa"/>
            <w:tcBorders>
              <w:top w:val="nil"/>
              <w:left w:val="nil"/>
              <w:bottom w:val="nil"/>
              <w:right w:val="single" w:sz="4" w:space="0" w:color="auto"/>
            </w:tcBorders>
            <w:shd w:val="clear" w:color="000000" w:fill="FFFFFF"/>
            <w:vAlign w:val="center"/>
            <w:hideMark/>
          </w:tcPr>
          <w:p w14:paraId="07B88462"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w:t>
            </w:r>
          </w:p>
        </w:tc>
        <w:tc>
          <w:tcPr>
            <w:tcW w:w="1701" w:type="dxa"/>
            <w:gridSpan w:val="2"/>
            <w:tcBorders>
              <w:top w:val="nil"/>
              <w:left w:val="nil"/>
              <w:bottom w:val="nil"/>
              <w:right w:val="single" w:sz="4" w:space="0" w:color="auto"/>
            </w:tcBorders>
            <w:shd w:val="clear" w:color="000000" w:fill="FFFFFF"/>
            <w:vAlign w:val="center"/>
            <w:hideMark/>
          </w:tcPr>
          <w:p w14:paraId="4CBB5FEC"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w:t>
            </w:r>
          </w:p>
        </w:tc>
        <w:tc>
          <w:tcPr>
            <w:tcW w:w="1648" w:type="dxa"/>
            <w:gridSpan w:val="2"/>
            <w:tcBorders>
              <w:top w:val="nil"/>
              <w:left w:val="nil"/>
              <w:bottom w:val="nil"/>
              <w:right w:val="single" w:sz="4" w:space="0" w:color="auto"/>
            </w:tcBorders>
            <w:shd w:val="clear" w:color="000000" w:fill="FFFFFF"/>
            <w:vAlign w:val="center"/>
            <w:hideMark/>
          </w:tcPr>
          <w:p w14:paraId="4B5BB3AC" w14:textId="77777777" w:rsidR="00745B47" w:rsidRPr="00745B47" w:rsidRDefault="00745B47" w:rsidP="00745B47">
            <w:pPr>
              <w:jc w:val="right"/>
              <w:rPr>
                <w:rFonts w:ascii="Verdana" w:eastAsia="Times New Roman" w:hAnsi="Verdana" w:cs="Calibri"/>
                <w:b/>
                <w:bCs/>
                <w:color w:val="000000"/>
                <w:sz w:val="16"/>
                <w:szCs w:val="16"/>
                <w:lang w:val="en-GB" w:eastAsia="en-GB"/>
              </w:rPr>
            </w:pPr>
            <w:r w:rsidRPr="00745B47">
              <w:rPr>
                <w:rFonts w:ascii="Verdana" w:eastAsia="Times New Roman" w:hAnsi="Verdana" w:cs="Calibri"/>
                <w:b/>
                <w:bCs/>
                <w:color w:val="000000"/>
                <w:sz w:val="16"/>
                <w:szCs w:val="16"/>
                <w:lang w:val="en-GB" w:eastAsia="en-GB"/>
              </w:rPr>
              <w:t>52,432</w:t>
            </w:r>
          </w:p>
        </w:tc>
      </w:tr>
      <w:tr w:rsidR="00745B47" w:rsidRPr="00745B47" w14:paraId="54481705" w14:textId="77777777" w:rsidTr="00514C09">
        <w:trPr>
          <w:trHeight w:val="315"/>
        </w:trPr>
        <w:tc>
          <w:tcPr>
            <w:tcW w:w="3544" w:type="dxa"/>
            <w:tcBorders>
              <w:top w:val="nil"/>
              <w:left w:val="single" w:sz="4" w:space="0" w:color="auto"/>
              <w:bottom w:val="nil"/>
              <w:right w:val="nil"/>
            </w:tcBorders>
            <w:shd w:val="clear" w:color="000000" w:fill="FFFFFF"/>
            <w:vAlign w:val="center"/>
            <w:hideMark/>
          </w:tcPr>
          <w:p w14:paraId="1D2DA22A" w14:textId="77777777" w:rsidR="00745B47" w:rsidRPr="00745B47" w:rsidRDefault="00745B47" w:rsidP="00745B47">
            <w:pPr>
              <w:ind w:firstLineChars="100" w:firstLine="160"/>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xml:space="preserve">Temporary Chief Superintendent </w:t>
            </w:r>
          </w:p>
        </w:tc>
        <w:tc>
          <w:tcPr>
            <w:tcW w:w="1559" w:type="dxa"/>
            <w:tcBorders>
              <w:top w:val="nil"/>
              <w:left w:val="single" w:sz="4" w:space="0" w:color="auto"/>
              <w:bottom w:val="nil"/>
              <w:right w:val="nil"/>
            </w:tcBorders>
            <w:shd w:val="clear" w:color="000000" w:fill="FFFFFF"/>
            <w:vAlign w:val="center"/>
            <w:hideMark/>
          </w:tcPr>
          <w:p w14:paraId="7AB2F414" w14:textId="77777777" w:rsidR="00745B47" w:rsidRPr="00745B47" w:rsidRDefault="00745B47" w:rsidP="00745B47">
            <w:pPr>
              <w:ind w:firstLineChars="100" w:firstLine="160"/>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16/12/2019</w:t>
            </w:r>
          </w:p>
        </w:tc>
        <w:tc>
          <w:tcPr>
            <w:tcW w:w="1276" w:type="dxa"/>
            <w:tcBorders>
              <w:top w:val="nil"/>
              <w:left w:val="single" w:sz="4" w:space="0" w:color="auto"/>
              <w:bottom w:val="nil"/>
              <w:right w:val="nil"/>
            </w:tcBorders>
            <w:shd w:val="clear" w:color="000000" w:fill="FFFFFF"/>
            <w:vAlign w:val="center"/>
            <w:hideMark/>
          </w:tcPr>
          <w:p w14:paraId="3E4AA6C4"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w:t>
            </w:r>
          </w:p>
        </w:tc>
        <w:tc>
          <w:tcPr>
            <w:tcW w:w="1360" w:type="dxa"/>
            <w:tcBorders>
              <w:top w:val="nil"/>
              <w:left w:val="single" w:sz="4" w:space="0" w:color="auto"/>
              <w:bottom w:val="nil"/>
              <w:right w:val="nil"/>
            </w:tcBorders>
            <w:shd w:val="clear" w:color="000000" w:fill="FFFFFF"/>
            <w:noWrap/>
            <w:vAlign w:val="center"/>
            <w:hideMark/>
          </w:tcPr>
          <w:p w14:paraId="50EC7EA6"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25,285</w:t>
            </w:r>
          </w:p>
        </w:tc>
        <w:tc>
          <w:tcPr>
            <w:tcW w:w="1481" w:type="dxa"/>
            <w:tcBorders>
              <w:top w:val="nil"/>
              <w:left w:val="single" w:sz="4" w:space="0" w:color="auto"/>
              <w:bottom w:val="nil"/>
              <w:right w:val="single" w:sz="4" w:space="0" w:color="auto"/>
            </w:tcBorders>
            <w:shd w:val="clear" w:color="000000" w:fill="FFFFFF"/>
            <w:vAlign w:val="center"/>
            <w:hideMark/>
          </w:tcPr>
          <w:p w14:paraId="1BC39128"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7,612</w:t>
            </w:r>
          </w:p>
        </w:tc>
        <w:tc>
          <w:tcPr>
            <w:tcW w:w="1270" w:type="dxa"/>
            <w:gridSpan w:val="2"/>
            <w:tcBorders>
              <w:top w:val="nil"/>
              <w:left w:val="nil"/>
              <w:bottom w:val="nil"/>
              <w:right w:val="single" w:sz="4" w:space="0" w:color="auto"/>
            </w:tcBorders>
            <w:shd w:val="clear" w:color="000000" w:fill="FFFFFF"/>
            <w:vAlign w:val="center"/>
            <w:hideMark/>
          </w:tcPr>
          <w:p w14:paraId="38A45FC2"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792</w:t>
            </w:r>
          </w:p>
        </w:tc>
        <w:tc>
          <w:tcPr>
            <w:tcW w:w="992" w:type="dxa"/>
            <w:tcBorders>
              <w:top w:val="nil"/>
              <w:left w:val="nil"/>
              <w:bottom w:val="nil"/>
              <w:right w:val="single" w:sz="4" w:space="0" w:color="auto"/>
            </w:tcBorders>
            <w:shd w:val="clear" w:color="000000" w:fill="FFFFFF"/>
            <w:vAlign w:val="center"/>
            <w:hideMark/>
          </w:tcPr>
          <w:p w14:paraId="14FA601C"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w:t>
            </w:r>
          </w:p>
        </w:tc>
        <w:tc>
          <w:tcPr>
            <w:tcW w:w="1701" w:type="dxa"/>
            <w:gridSpan w:val="2"/>
            <w:tcBorders>
              <w:top w:val="nil"/>
              <w:left w:val="nil"/>
              <w:bottom w:val="nil"/>
              <w:right w:val="single" w:sz="4" w:space="0" w:color="auto"/>
            </w:tcBorders>
            <w:shd w:val="clear" w:color="000000" w:fill="FFFFFF"/>
            <w:vAlign w:val="center"/>
            <w:hideMark/>
          </w:tcPr>
          <w:p w14:paraId="6445C259"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1,627</w:t>
            </w:r>
          </w:p>
        </w:tc>
        <w:tc>
          <w:tcPr>
            <w:tcW w:w="1648" w:type="dxa"/>
            <w:gridSpan w:val="2"/>
            <w:tcBorders>
              <w:top w:val="nil"/>
              <w:left w:val="nil"/>
              <w:bottom w:val="nil"/>
              <w:right w:val="single" w:sz="4" w:space="0" w:color="auto"/>
            </w:tcBorders>
            <w:shd w:val="clear" w:color="000000" w:fill="FFFFFF"/>
            <w:vAlign w:val="center"/>
            <w:hideMark/>
          </w:tcPr>
          <w:p w14:paraId="633DC8AA" w14:textId="77777777" w:rsidR="00745B47" w:rsidRPr="00745B47" w:rsidRDefault="00745B47" w:rsidP="00745B47">
            <w:pPr>
              <w:jc w:val="right"/>
              <w:rPr>
                <w:rFonts w:ascii="Verdana" w:eastAsia="Times New Roman" w:hAnsi="Verdana" w:cs="Calibri"/>
                <w:b/>
                <w:bCs/>
                <w:color w:val="000000"/>
                <w:sz w:val="16"/>
                <w:szCs w:val="16"/>
                <w:lang w:val="en-GB" w:eastAsia="en-GB"/>
              </w:rPr>
            </w:pPr>
            <w:r w:rsidRPr="00745B47">
              <w:rPr>
                <w:rFonts w:ascii="Verdana" w:eastAsia="Times New Roman" w:hAnsi="Verdana" w:cs="Calibri"/>
                <w:b/>
                <w:bCs/>
                <w:color w:val="000000"/>
                <w:sz w:val="16"/>
                <w:szCs w:val="16"/>
                <w:lang w:val="en-GB" w:eastAsia="en-GB"/>
              </w:rPr>
              <w:t>35,316</w:t>
            </w:r>
          </w:p>
        </w:tc>
      </w:tr>
      <w:tr w:rsidR="00745B47" w:rsidRPr="00745B47" w14:paraId="73778DE5" w14:textId="77777777" w:rsidTr="00514C09">
        <w:trPr>
          <w:trHeight w:val="315"/>
        </w:trPr>
        <w:tc>
          <w:tcPr>
            <w:tcW w:w="3544" w:type="dxa"/>
            <w:tcBorders>
              <w:top w:val="nil"/>
              <w:left w:val="single" w:sz="4" w:space="0" w:color="auto"/>
              <w:bottom w:val="nil"/>
              <w:right w:val="nil"/>
            </w:tcBorders>
            <w:shd w:val="clear" w:color="000000" w:fill="FFFFFF"/>
            <w:vAlign w:val="center"/>
            <w:hideMark/>
          </w:tcPr>
          <w:p w14:paraId="6CA7FEEB" w14:textId="77777777" w:rsidR="00745B47" w:rsidRPr="00745B47" w:rsidRDefault="00745B47" w:rsidP="00745B47">
            <w:pPr>
              <w:ind w:firstLineChars="100" w:firstLine="160"/>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xml:space="preserve">Assistant Chief Officer </w:t>
            </w:r>
          </w:p>
        </w:tc>
        <w:tc>
          <w:tcPr>
            <w:tcW w:w="1559" w:type="dxa"/>
            <w:tcBorders>
              <w:top w:val="nil"/>
              <w:left w:val="single" w:sz="4" w:space="0" w:color="auto"/>
              <w:bottom w:val="nil"/>
              <w:right w:val="nil"/>
            </w:tcBorders>
            <w:shd w:val="clear" w:color="000000" w:fill="FFFFFF"/>
            <w:vAlign w:val="center"/>
            <w:hideMark/>
          </w:tcPr>
          <w:p w14:paraId="03EB70FD" w14:textId="77777777" w:rsidR="00745B47" w:rsidRPr="00745B47" w:rsidRDefault="00745B47" w:rsidP="00745B47">
            <w:pPr>
              <w:ind w:firstLineChars="100" w:firstLine="160"/>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27/08/2013</w:t>
            </w:r>
          </w:p>
        </w:tc>
        <w:tc>
          <w:tcPr>
            <w:tcW w:w="1276" w:type="dxa"/>
            <w:tcBorders>
              <w:top w:val="nil"/>
              <w:left w:val="single" w:sz="4" w:space="0" w:color="auto"/>
              <w:bottom w:val="nil"/>
              <w:right w:val="nil"/>
            </w:tcBorders>
            <w:shd w:val="clear" w:color="000000" w:fill="FFFFFF"/>
            <w:vAlign w:val="center"/>
            <w:hideMark/>
          </w:tcPr>
          <w:p w14:paraId="7A5A57DF"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31/12/2019</w:t>
            </w:r>
          </w:p>
        </w:tc>
        <w:tc>
          <w:tcPr>
            <w:tcW w:w="1360" w:type="dxa"/>
            <w:tcBorders>
              <w:top w:val="nil"/>
              <w:left w:val="single" w:sz="4" w:space="0" w:color="auto"/>
              <w:bottom w:val="nil"/>
              <w:right w:val="nil"/>
            </w:tcBorders>
            <w:shd w:val="clear" w:color="000000" w:fill="FFFFFF"/>
            <w:noWrap/>
            <w:vAlign w:val="center"/>
            <w:hideMark/>
          </w:tcPr>
          <w:p w14:paraId="76EA0E87"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113,348</w:t>
            </w:r>
          </w:p>
        </w:tc>
        <w:tc>
          <w:tcPr>
            <w:tcW w:w="1481" w:type="dxa"/>
            <w:tcBorders>
              <w:top w:val="nil"/>
              <w:left w:val="single" w:sz="4" w:space="0" w:color="auto"/>
              <w:bottom w:val="nil"/>
              <w:right w:val="single" w:sz="4" w:space="0" w:color="auto"/>
            </w:tcBorders>
            <w:shd w:val="clear" w:color="000000" w:fill="FFFFFF"/>
            <w:vAlign w:val="center"/>
            <w:hideMark/>
          </w:tcPr>
          <w:p w14:paraId="0C3C4F73"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12,949</w:t>
            </w:r>
          </w:p>
        </w:tc>
        <w:tc>
          <w:tcPr>
            <w:tcW w:w="1270" w:type="dxa"/>
            <w:gridSpan w:val="2"/>
            <w:tcBorders>
              <w:top w:val="nil"/>
              <w:left w:val="nil"/>
              <w:bottom w:val="nil"/>
              <w:right w:val="single" w:sz="4" w:space="0" w:color="auto"/>
            </w:tcBorders>
            <w:shd w:val="clear" w:color="000000" w:fill="FFFFFF"/>
            <w:vAlign w:val="center"/>
            <w:hideMark/>
          </w:tcPr>
          <w:p w14:paraId="00C0B2BE"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w:t>
            </w:r>
          </w:p>
        </w:tc>
        <w:tc>
          <w:tcPr>
            <w:tcW w:w="992" w:type="dxa"/>
            <w:tcBorders>
              <w:top w:val="nil"/>
              <w:left w:val="nil"/>
              <w:bottom w:val="nil"/>
              <w:right w:val="single" w:sz="4" w:space="0" w:color="auto"/>
            </w:tcBorders>
            <w:shd w:val="clear" w:color="000000" w:fill="FFFFFF"/>
            <w:vAlign w:val="center"/>
            <w:hideMark/>
          </w:tcPr>
          <w:p w14:paraId="7B95CCD5"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93,538</w:t>
            </w:r>
          </w:p>
        </w:tc>
        <w:tc>
          <w:tcPr>
            <w:tcW w:w="1701" w:type="dxa"/>
            <w:gridSpan w:val="2"/>
            <w:tcBorders>
              <w:top w:val="nil"/>
              <w:left w:val="nil"/>
              <w:bottom w:val="nil"/>
              <w:right w:val="single" w:sz="4" w:space="0" w:color="auto"/>
            </w:tcBorders>
            <w:shd w:val="clear" w:color="000000" w:fill="FFFFFF"/>
            <w:vAlign w:val="center"/>
            <w:hideMark/>
          </w:tcPr>
          <w:p w14:paraId="3CDFEEDB"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w:t>
            </w:r>
          </w:p>
        </w:tc>
        <w:tc>
          <w:tcPr>
            <w:tcW w:w="1648" w:type="dxa"/>
            <w:gridSpan w:val="2"/>
            <w:tcBorders>
              <w:top w:val="nil"/>
              <w:left w:val="nil"/>
              <w:bottom w:val="nil"/>
              <w:right w:val="single" w:sz="4" w:space="0" w:color="auto"/>
            </w:tcBorders>
            <w:shd w:val="clear" w:color="000000" w:fill="FFFFFF"/>
            <w:vAlign w:val="center"/>
            <w:hideMark/>
          </w:tcPr>
          <w:p w14:paraId="75DB2717" w14:textId="77777777" w:rsidR="00745B47" w:rsidRPr="00745B47" w:rsidRDefault="00745B47" w:rsidP="00745B47">
            <w:pPr>
              <w:jc w:val="right"/>
              <w:rPr>
                <w:rFonts w:ascii="Verdana" w:eastAsia="Times New Roman" w:hAnsi="Verdana" w:cs="Calibri"/>
                <w:b/>
                <w:bCs/>
                <w:color w:val="000000"/>
                <w:sz w:val="16"/>
                <w:szCs w:val="16"/>
                <w:lang w:val="en-GB" w:eastAsia="en-GB"/>
              </w:rPr>
            </w:pPr>
            <w:r w:rsidRPr="00745B47">
              <w:rPr>
                <w:rFonts w:ascii="Verdana" w:eastAsia="Times New Roman" w:hAnsi="Verdana" w:cs="Calibri"/>
                <w:b/>
                <w:bCs/>
                <w:color w:val="000000"/>
                <w:sz w:val="16"/>
                <w:szCs w:val="16"/>
                <w:lang w:val="en-GB" w:eastAsia="en-GB"/>
              </w:rPr>
              <w:t>219,835</w:t>
            </w:r>
          </w:p>
        </w:tc>
      </w:tr>
      <w:tr w:rsidR="00745B47" w:rsidRPr="00745B47" w14:paraId="6B9ECC28" w14:textId="77777777" w:rsidTr="00514C09">
        <w:trPr>
          <w:trHeight w:val="315"/>
        </w:trPr>
        <w:tc>
          <w:tcPr>
            <w:tcW w:w="3544" w:type="dxa"/>
            <w:tcBorders>
              <w:top w:val="nil"/>
              <w:left w:val="single" w:sz="4" w:space="0" w:color="auto"/>
              <w:bottom w:val="nil"/>
              <w:right w:val="nil"/>
            </w:tcBorders>
            <w:shd w:val="clear" w:color="000000" w:fill="FFFFFF"/>
            <w:vAlign w:val="center"/>
            <w:hideMark/>
          </w:tcPr>
          <w:p w14:paraId="4C8B83CD" w14:textId="77777777" w:rsidR="00745B47" w:rsidRPr="00745B47" w:rsidRDefault="00745B47" w:rsidP="00745B47">
            <w:pPr>
              <w:ind w:firstLineChars="100" w:firstLine="160"/>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xml:space="preserve">Head of Finance &amp; Services </w:t>
            </w:r>
          </w:p>
        </w:tc>
        <w:tc>
          <w:tcPr>
            <w:tcW w:w="1559" w:type="dxa"/>
            <w:tcBorders>
              <w:top w:val="nil"/>
              <w:left w:val="single" w:sz="4" w:space="0" w:color="auto"/>
              <w:bottom w:val="nil"/>
              <w:right w:val="nil"/>
            </w:tcBorders>
            <w:shd w:val="clear" w:color="000000" w:fill="FFFFFF"/>
            <w:vAlign w:val="center"/>
            <w:hideMark/>
          </w:tcPr>
          <w:p w14:paraId="1F4C21D2" w14:textId="77777777" w:rsidR="00745B47" w:rsidRPr="00745B47" w:rsidRDefault="00745B47" w:rsidP="00745B47">
            <w:pPr>
              <w:ind w:firstLineChars="100" w:firstLine="160"/>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01/09/2010</w:t>
            </w:r>
          </w:p>
        </w:tc>
        <w:tc>
          <w:tcPr>
            <w:tcW w:w="1276" w:type="dxa"/>
            <w:tcBorders>
              <w:top w:val="nil"/>
              <w:left w:val="single" w:sz="4" w:space="0" w:color="auto"/>
              <w:bottom w:val="nil"/>
              <w:right w:val="nil"/>
            </w:tcBorders>
            <w:shd w:val="clear" w:color="000000" w:fill="FFFFFF"/>
            <w:vAlign w:val="center"/>
            <w:hideMark/>
          </w:tcPr>
          <w:p w14:paraId="46BA40AB"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w:t>
            </w:r>
          </w:p>
        </w:tc>
        <w:tc>
          <w:tcPr>
            <w:tcW w:w="1360" w:type="dxa"/>
            <w:tcBorders>
              <w:top w:val="nil"/>
              <w:left w:val="single" w:sz="4" w:space="0" w:color="auto"/>
              <w:bottom w:val="nil"/>
              <w:right w:val="nil"/>
            </w:tcBorders>
            <w:shd w:val="clear" w:color="000000" w:fill="FFFFFF"/>
            <w:noWrap/>
            <w:vAlign w:val="center"/>
            <w:hideMark/>
          </w:tcPr>
          <w:p w14:paraId="724FAF9E"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99,048</w:t>
            </w:r>
          </w:p>
        </w:tc>
        <w:tc>
          <w:tcPr>
            <w:tcW w:w="1481" w:type="dxa"/>
            <w:tcBorders>
              <w:top w:val="nil"/>
              <w:left w:val="single" w:sz="4" w:space="0" w:color="auto"/>
              <w:bottom w:val="nil"/>
              <w:right w:val="single" w:sz="4" w:space="0" w:color="auto"/>
            </w:tcBorders>
            <w:shd w:val="clear" w:color="000000" w:fill="FFFFFF"/>
            <w:vAlign w:val="center"/>
            <w:hideMark/>
          </w:tcPr>
          <w:p w14:paraId="761135E2"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12,248</w:t>
            </w:r>
          </w:p>
        </w:tc>
        <w:tc>
          <w:tcPr>
            <w:tcW w:w="1270" w:type="dxa"/>
            <w:gridSpan w:val="2"/>
            <w:tcBorders>
              <w:top w:val="nil"/>
              <w:left w:val="nil"/>
              <w:bottom w:val="nil"/>
              <w:right w:val="single" w:sz="4" w:space="0" w:color="auto"/>
            </w:tcBorders>
            <w:shd w:val="clear" w:color="000000" w:fill="FFFFFF"/>
            <w:vAlign w:val="center"/>
            <w:hideMark/>
          </w:tcPr>
          <w:p w14:paraId="0D4D181D"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w:t>
            </w:r>
          </w:p>
        </w:tc>
        <w:tc>
          <w:tcPr>
            <w:tcW w:w="992" w:type="dxa"/>
            <w:tcBorders>
              <w:top w:val="nil"/>
              <w:left w:val="nil"/>
              <w:bottom w:val="nil"/>
              <w:right w:val="single" w:sz="4" w:space="0" w:color="auto"/>
            </w:tcBorders>
            <w:shd w:val="clear" w:color="000000" w:fill="FFFFFF"/>
            <w:vAlign w:val="center"/>
            <w:hideMark/>
          </w:tcPr>
          <w:p w14:paraId="61A2D17F"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 </w:t>
            </w:r>
          </w:p>
        </w:tc>
        <w:tc>
          <w:tcPr>
            <w:tcW w:w="1701" w:type="dxa"/>
            <w:gridSpan w:val="2"/>
            <w:tcBorders>
              <w:top w:val="nil"/>
              <w:left w:val="nil"/>
              <w:bottom w:val="nil"/>
              <w:right w:val="single" w:sz="4" w:space="0" w:color="auto"/>
            </w:tcBorders>
            <w:shd w:val="clear" w:color="000000" w:fill="FFFFFF"/>
            <w:vAlign w:val="center"/>
            <w:hideMark/>
          </w:tcPr>
          <w:p w14:paraId="3E4BE17C" w14:textId="77777777" w:rsidR="00745B47" w:rsidRPr="00745B47" w:rsidRDefault="00745B47" w:rsidP="00745B47">
            <w:pPr>
              <w:jc w:val="center"/>
              <w:rPr>
                <w:rFonts w:ascii="Verdana" w:eastAsia="Times New Roman" w:hAnsi="Verdana" w:cs="Calibri"/>
                <w:color w:val="000000"/>
                <w:sz w:val="16"/>
                <w:szCs w:val="16"/>
                <w:lang w:val="en-GB" w:eastAsia="en-GB"/>
              </w:rPr>
            </w:pPr>
            <w:r w:rsidRPr="00745B47">
              <w:rPr>
                <w:rFonts w:ascii="Verdana" w:eastAsia="Times New Roman" w:hAnsi="Verdana" w:cs="Calibri"/>
                <w:color w:val="000000"/>
                <w:sz w:val="16"/>
                <w:szCs w:val="16"/>
                <w:lang w:val="en-GB" w:eastAsia="en-GB"/>
              </w:rPr>
              <w:t>1,296</w:t>
            </w:r>
          </w:p>
        </w:tc>
        <w:tc>
          <w:tcPr>
            <w:tcW w:w="1648" w:type="dxa"/>
            <w:gridSpan w:val="2"/>
            <w:tcBorders>
              <w:top w:val="nil"/>
              <w:left w:val="nil"/>
              <w:bottom w:val="nil"/>
              <w:right w:val="single" w:sz="4" w:space="0" w:color="auto"/>
            </w:tcBorders>
            <w:shd w:val="clear" w:color="000000" w:fill="FFFFFF"/>
            <w:vAlign w:val="center"/>
            <w:hideMark/>
          </w:tcPr>
          <w:p w14:paraId="00161E8E" w14:textId="77777777" w:rsidR="00745B47" w:rsidRPr="00745B47" w:rsidRDefault="00745B47" w:rsidP="00745B47">
            <w:pPr>
              <w:jc w:val="right"/>
              <w:rPr>
                <w:rFonts w:ascii="Verdana" w:eastAsia="Times New Roman" w:hAnsi="Verdana" w:cs="Calibri"/>
                <w:b/>
                <w:bCs/>
                <w:color w:val="000000"/>
                <w:sz w:val="16"/>
                <w:szCs w:val="16"/>
                <w:lang w:val="en-GB" w:eastAsia="en-GB"/>
              </w:rPr>
            </w:pPr>
            <w:r w:rsidRPr="00745B47">
              <w:rPr>
                <w:rFonts w:ascii="Verdana" w:eastAsia="Times New Roman" w:hAnsi="Verdana" w:cs="Calibri"/>
                <w:b/>
                <w:bCs/>
                <w:color w:val="000000"/>
                <w:sz w:val="16"/>
                <w:szCs w:val="16"/>
                <w:lang w:val="en-GB" w:eastAsia="en-GB"/>
              </w:rPr>
              <w:t>112,592</w:t>
            </w:r>
          </w:p>
        </w:tc>
      </w:tr>
      <w:tr w:rsidR="00745B47" w:rsidRPr="00745B47" w14:paraId="13620EB1" w14:textId="77777777" w:rsidTr="00514C09">
        <w:trPr>
          <w:trHeight w:val="315"/>
        </w:trPr>
        <w:tc>
          <w:tcPr>
            <w:tcW w:w="354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14:paraId="460AF891" w14:textId="77777777" w:rsidR="00745B47" w:rsidRPr="00745B47" w:rsidRDefault="00745B47" w:rsidP="00745B47">
            <w:pPr>
              <w:rPr>
                <w:rFonts w:ascii="Verdana" w:eastAsia="Times New Roman" w:hAnsi="Verdana" w:cs="Calibri"/>
                <w:b/>
                <w:bCs/>
                <w:color w:val="000000"/>
                <w:sz w:val="18"/>
                <w:szCs w:val="18"/>
                <w:lang w:val="en-GB" w:eastAsia="en-GB"/>
              </w:rPr>
            </w:pPr>
            <w:r w:rsidRPr="00745B47">
              <w:rPr>
                <w:rFonts w:ascii="Verdana" w:eastAsia="Times New Roman" w:hAnsi="Verdana" w:cs="Calibri"/>
                <w:b/>
                <w:bCs/>
                <w:color w:val="000000"/>
                <w:sz w:val="18"/>
                <w:szCs w:val="18"/>
                <w:lang w:val="en-GB" w:eastAsia="en-GB"/>
              </w:rPr>
              <w:t>TOTAL CHIEF CONSTABLE</w:t>
            </w:r>
          </w:p>
        </w:tc>
        <w:tc>
          <w:tcPr>
            <w:tcW w:w="1559" w:type="dxa"/>
            <w:vMerge w:val="restart"/>
            <w:tcBorders>
              <w:top w:val="single" w:sz="4" w:space="0" w:color="auto"/>
              <w:left w:val="single" w:sz="4" w:space="0" w:color="auto"/>
              <w:bottom w:val="single" w:sz="4" w:space="0" w:color="000000"/>
              <w:right w:val="nil"/>
            </w:tcBorders>
            <w:shd w:val="clear" w:color="auto" w:fill="auto"/>
            <w:noWrap/>
            <w:vAlign w:val="bottom"/>
            <w:hideMark/>
          </w:tcPr>
          <w:p w14:paraId="2DEEB8A8" w14:textId="77777777" w:rsidR="00745B47" w:rsidRPr="00745B47" w:rsidRDefault="00745B47" w:rsidP="00745B47">
            <w:pPr>
              <w:rPr>
                <w:rFonts w:ascii="Verdana" w:eastAsia="Times New Roman" w:hAnsi="Verdana" w:cs="Calibri"/>
                <w:b/>
                <w:bCs/>
                <w:color w:val="000000"/>
                <w:sz w:val="18"/>
                <w:szCs w:val="18"/>
                <w:lang w:val="en-GB" w:eastAsia="en-GB"/>
              </w:rPr>
            </w:pPr>
            <w:r w:rsidRPr="00745B47">
              <w:rPr>
                <w:rFonts w:ascii="Verdana" w:eastAsia="Times New Roman" w:hAnsi="Verdana" w:cs="Calibri"/>
                <w:b/>
                <w:bCs/>
                <w:color w:val="000000"/>
                <w:sz w:val="18"/>
                <w:szCs w:val="18"/>
                <w:lang w:val="en-GB" w:eastAsia="en-GB"/>
              </w:rPr>
              <w:t> </w:t>
            </w:r>
          </w:p>
        </w:tc>
        <w:tc>
          <w:tcPr>
            <w:tcW w:w="1276" w:type="dxa"/>
            <w:vMerge w:val="restart"/>
            <w:tcBorders>
              <w:top w:val="single" w:sz="4" w:space="0" w:color="auto"/>
              <w:left w:val="single" w:sz="4" w:space="0" w:color="auto"/>
              <w:bottom w:val="single" w:sz="4" w:space="0" w:color="000000"/>
              <w:right w:val="nil"/>
            </w:tcBorders>
            <w:shd w:val="clear" w:color="000000" w:fill="FFFFFF"/>
            <w:noWrap/>
            <w:vAlign w:val="bottom"/>
            <w:hideMark/>
          </w:tcPr>
          <w:p w14:paraId="3A2EC0AD" w14:textId="77777777" w:rsidR="00745B47" w:rsidRPr="00745B47" w:rsidRDefault="00745B47" w:rsidP="00745B47">
            <w:pPr>
              <w:rPr>
                <w:rFonts w:ascii="Verdana" w:eastAsia="Times New Roman" w:hAnsi="Verdana" w:cs="Calibri"/>
                <w:b/>
                <w:bCs/>
                <w:color w:val="000000"/>
                <w:sz w:val="18"/>
                <w:szCs w:val="18"/>
                <w:lang w:val="en-GB" w:eastAsia="en-GB"/>
              </w:rPr>
            </w:pPr>
            <w:r w:rsidRPr="00745B47">
              <w:rPr>
                <w:rFonts w:ascii="Verdana" w:eastAsia="Times New Roman" w:hAnsi="Verdana" w:cs="Calibri"/>
                <w:b/>
                <w:bCs/>
                <w:color w:val="000000"/>
                <w:sz w:val="18"/>
                <w:szCs w:val="18"/>
                <w:lang w:val="en-GB" w:eastAsia="en-GB"/>
              </w:rPr>
              <w:t> </w:t>
            </w:r>
          </w:p>
        </w:tc>
        <w:tc>
          <w:tcPr>
            <w:tcW w:w="1360" w:type="dxa"/>
            <w:vMerge w:val="restart"/>
            <w:tcBorders>
              <w:top w:val="single" w:sz="4" w:space="0" w:color="auto"/>
              <w:left w:val="single" w:sz="4" w:space="0" w:color="auto"/>
              <w:bottom w:val="single" w:sz="4" w:space="0" w:color="000000"/>
              <w:right w:val="nil"/>
            </w:tcBorders>
            <w:shd w:val="clear" w:color="000000" w:fill="FFFFFF"/>
            <w:noWrap/>
            <w:vAlign w:val="bottom"/>
            <w:hideMark/>
          </w:tcPr>
          <w:p w14:paraId="2EA276CE" w14:textId="77777777" w:rsidR="00745B47" w:rsidRPr="00745B47" w:rsidRDefault="00745B47" w:rsidP="00745B47">
            <w:pPr>
              <w:jc w:val="center"/>
              <w:rPr>
                <w:rFonts w:ascii="Verdana" w:eastAsia="Times New Roman" w:hAnsi="Verdana" w:cs="Calibri"/>
                <w:b/>
                <w:bCs/>
                <w:color w:val="000000"/>
                <w:sz w:val="18"/>
                <w:szCs w:val="18"/>
                <w:lang w:val="en-GB" w:eastAsia="en-GB"/>
              </w:rPr>
            </w:pPr>
            <w:r w:rsidRPr="00745B47">
              <w:rPr>
                <w:rFonts w:ascii="Verdana" w:eastAsia="Times New Roman" w:hAnsi="Verdana" w:cs="Calibri"/>
                <w:b/>
                <w:bCs/>
                <w:color w:val="000000"/>
                <w:sz w:val="18"/>
                <w:szCs w:val="18"/>
                <w:lang w:val="en-GB" w:eastAsia="en-GB"/>
              </w:rPr>
              <w:t>1,340,180</w:t>
            </w:r>
          </w:p>
        </w:tc>
        <w:tc>
          <w:tcPr>
            <w:tcW w:w="1481" w:type="dxa"/>
            <w:vMerge w:val="restart"/>
            <w:tcBorders>
              <w:top w:val="single" w:sz="4" w:space="0" w:color="auto"/>
              <w:left w:val="single" w:sz="4" w:space="0" w:color="auto"/>
              <w:bottom w:val="single" w:sz="4" w:space="0" w:color="000000"/>
              <w:right w:val="nil"/>
            </w:tcBorders>
            <w:shd w:val="clear" w:color="000000" w:fill="FFFFFF"/>
            <w:noWrap/>
            <w:vAlign w:val="bottom"/>
            <w:hideMark/>
          </w:tcPr>
          <w:p w14:paraId="29B47B07" w14:textId="77777777" w:rsidR="00745B47" w:rsidRPr="00745B47" w:rsidRDefault="00745B47" w:rsidP="00745B47">
            <w:pPr>
              <w:jc w:val="center"/>
              <w:rPr>
                <w:rFonts w:ascii="Verdana" w:eastAsia="Times New Roman" w:hAnsi="Verdana" w:cs="Calibri"/>
                <w:b/>
                <w:bCs/>
                <w:color w:val="000000"/>
                <w:sz w:val="18"/>
                <w:szCs w:val="18"/>
                <w:lang w:val="en-GB" w:eastAsia="en-GB"/>
              </w:rPr>
            </w:pPr>
            <w:r w:rsidRPr="00745B47">
              <w:rPr>
                <w:rFonts w:ascii="Verdana" w:eastAsia="Times New Roman" w:hAnsi="Verdana" w:cs="Calibri"/>
                <w:b/>
                <w:bCs/>
                <w:color w:val="000000"/>
                <w:sz w:val="18"/>
                <w:szCs w:val="18"/>
                <w:lang w:val="en-GB" w:eastAsia="en-GB"/>
              </w:rPr>
              <w:t>291,858</w:t>
            </w:r>
          </w:p>
        </w:tc>
        <w:tc>
          <w:tcPr>
            <w:tcW w:w="1270" w:type="dxa"/>
            <w:gridSpan w:val="2"/>
            <w:vMerge w:val="restart"/>
            <w:tcBorders>
              <w:top w:val="single" w:sz="4" w:space="0" w:color="auto"/>
              <w:left w:val="single" w:sz="4" w:space="0" w:color="auto"/>
              <w:bottom w:val="single" w:sz="4" w:space="0" w:color="000000"/>
              <w:right w:val="nil"/>
            </w:tcBorders>
            <w:shd w:val="clear" w:color="000000" w:fill="FFFFFF"/>
            <w:noWrap/>
            <w:vAlign w:val="bottom"/>
            <w:hideMark/>
          </w:tcPr>
          <w:p w14:paraId="0BE08C3F" w14:textId="77777777" w:rsidR="00745B47" w:rsidRPr="00745B47" w:rsidRDefault="00745B47" w:rsidP="00745B47">
            <w:pPr>
              <w:jc w:val="center"/>
              <w:rPr>
                <w:rFonts w:ascii="Verdana" w:eastAsia="Times New Roman" w:hAnsi="Verdana" w:cs="Calibri"/>
                <w:b/>
                <w:bCs/>
                <w:color w:val="000000"/>
                <w:sz w:val="18"/>
                <w:szCs w:val="18"/>
                <w:lang w:val="en-GB" w:eastAsia="en-GB"/>
              </w:rPr>
            </w:pPr>
            <w:r w:rsidRPr="00745B47">
              <w:rPr>
                <w:rFonts w:ascii="Verdana" w:eastAsia="Times New Roman" w:hAnsi="Verdana" w:cs="Calibri"/>
                <w:b/>
                <w:bCs/>
                <w:color w:val="000000"/>
                <w:sz w:val="18"/>
                <w:szCs w:val="18"/>
                <w:lang w:val="en-GB" w:eastAsia="en-GB"/>
              </w:rPr>
              <w:t>11,839</w:t>
            </w:r>
          </w:p>
        </w:tc>
        <w:tc>
          <w:tcPr>
            <w:tcW w:w="992" w:type="dxa"/>
            <w:vMerge w:val="restart"/>
            <w:tcBorders>
              <w:top w:val="single" w:sz="4" w:space="0" w:color="auto"/>
              <w:left w:val="single" w:sz="4" w:space="0" w:color="auto"/>
              <w:bottom w:val="single" w:sz="4" w:space="0" w:color="000000"/>
              <w:right w:val="nil"/>
            </w:tcBorders>
            <w:shd w:val="clear" w:color="000000" w:fill="FFFFFF"/>
            <w:noWrap/>
            <w:vAlign w:val="bottom"/>
            <w:hideMark/>
          </w:tcPr>
          <w:p w14:paraId="4070F20D" w14:textId="77777777" w:rsidR="00745B47" w:rsidRPr="00745B47" w:rsidRDefault="00745B47" w:rsidP="00745B47">
            <w:pPr>
              <w:jc w:val="center"/>
              <w:rPr>
                <w:rFonts w:ascii="Verdana" w:eastAsia="Times New Roman" w:hAnsi="Verdana" w:cs="Calibri"/>
                <w:b/>
                <w:bCs/>
                <w:color w:val="000000"/>
                <w:sz w:val="18"/>
                <w:szCs w:val="18"/>
                <w:lang w:val="en-GB" w:eastAsia="en-GB"/>
              </w:rPr>
            </w:pPr>
            <w:r w:rsidRPr="00745B47">
              <w:rPr>
                <w:rFonts w:ascii="Verdana" w:eastAsia="Times New Roman" w:hAnsi="Verdana" w:cs="Calibri"/>
                <w:b/>
                <w:bCs/>
                <w:color w:val="000000"/>
                <w:sz w:val="18"/>
                <w:szCs w:val="18"/>
                <w:lang w:val="en-GB" w:eastAsia="en-GB"/>
              </w:rPr>
              <w:t>93,538</w:t>
            </w:r>
          </w:p>
        </w:tc>
        <w:tc>
          <w:tcPr>
            <w:tcW w:w="1701" w:type="dxa"/>
            <w:gridSpan w:val="2"/>
            <w:vMerge w:val="restart"/>
            <w:tcBorders>
              <w:top w:val="single" w:sz="4" w:space="0" w:color="auto"/>
              <w:left w:val="single" w:sz="4" w:space="0" w:color="auto"/>
              <w:bottom w:val="single" w:sz="4" w:space="0" w:color="000000"/>
              <w:right w:val="nil"/>
            </w:tcBorders>
            <w:shd w:val="clear" w:color="000000" w:fill="FFFFFF"/>
            <w:noWrap/>
            <w:vAlign w:val="bottom"/>
            <w:hideMark/>
          </w:tcPr>
          <w:p w14:paraId="4802BA28" w14:textId="77777777" w:rsidR="00745B47" w:rsidRPr="00745B47" w:rsidRDefault="00745B47" w:rsidP="00745B47">
            <w:pPr>
              <w:jc w:val="center"/>
              <w:rPr>
                <w:rFonts w:ascii="Verdana" w:eastAsia="Times New Roman" w:hAnsi="Verdana" w:cs="Calibri"/>
                <w:b/>
                <w:bCs/>
                <w:color w:val="000000"/>
                <w:sz w:val="18"/>
                <w:szCs w:val="18"/>
                <w:lang w:val="en-GB" w:eastAsia="en-GB"/>
              </w:rPr>
            </w:pPr>
            <w:r w:rsidRPr="00745B47">
              <w:rPr>
                <w:rFonts w:ascii="Verdana" w:eastAsia="Times New Roman" w:hAnsi="Verdana" w:cs="Calibri"/>
                <w:b/>
                <w:bCs/>
                <w:color w:val="000000"/>
                <w:sz w:val="18"/>
                <w:szCs w:val="18"/>
                <w:lang w:val="en-GB" w:eastAsia="en-GB"/>
              </w:rPr>
              <w:t>14,077</w:t>
            </w:r>
          </w:p>
        </w:tc>
        <w:tc>
          <w:tcPr>
            <w:tcW w:w="1648"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14:paraId="2BAC7DC7" w14:textId="77777777" w:rsidR="00745B47" w:rsidRPr="00745B47" w:rsidRDefault="00745B47" w:rsidP="00745B47">
            <w:pPr>
              <w:jc w:val="right"/>
              <w:rPr>
                <w:rFonts w:ascii="Verdana" w:eastAsia="Times New Roman" w:hAnsi="Verdana" w:cs="Calibri"/>
                <w:b/>
                <w:bCs/>
                <w:color w:val="000000"/>
                <w:sz w:val="18"/>
                <w:szCs w:val="18"/>
                <w:lang w:val="en-GB" w:eastAsia="en-GB"/>
              </w:rPr>
            </w:pPr>
            <w:r w:rsidRPr="00745B47">
              <w:rPr>
                <w:rFonts w:ascii="Verdana" w:eastAsia="Times New Roman" w:hAnsi="Verdana" w:cs="Calibri"/>
                <w:b/>
                <w:bCs/>
                <w:color w:val="000000"/>
                <w:sz w:val="18"/>
                <w:szCs w:val="18"/>
                <w:lang w:val="en-GB" w:eastAsia="en-GB"/>
              </w:rPr>
              <w:t>1,751,492</w:t>
            </w:r>
          </w:p>
        </w:tc>
      </w:tr>
      <w:tr w:rsidR="00745B47" w:rsidRPr="00745B47" w14:paraId="756A3489" w14:textId="77777777" w:rsidTr="00514C09">
        <w:trPr>
          <w:trHeight w:val="293"/>
        </w:trPr>
        <w:tc>
          <w:tcPr>
            <w:tcW w:w="3544" w:type="dxa"/>
            <w:vMerge/>
            <w:tcBorders>
              <w:top w:val="single" w:sz="4" w:space="0" w:color="auto"/>
              <w:left w:val="single" w:sz="4" w:space="0" w:color="auto"/>
              <w:bottom w:val="single" w:sz="4" w:space="0" w:color="000000"/>
              <w:right w:val="single" w:sz="4" w:space="0" w:color="auto"/>
            </w:tcBorders>
            <w:vAlign w:val="center"/>
            <w:hideMark/>
          </w:tcPr>
          <w:p w14:paraId="33DA5626" w14:textId="77777777" w:rsidR="00745B47" w:rsidRPr="00745B47" w:rsidRDefault="00745B47" w:rsidP="00745B47">
            <w:pPr>
              <w:rPr>
                <w:rFonts w:ascii="Verdana" w:eastAsia="Times New Roman" w:hAnsi="Verdana" w:cs="Calibri"/>
                <w:b/>
                <w:bCs/>
                <w:color w:val="000000"/>
                <w:sz w:val="18"/>
                <w:szCs w:val="18"/>
                <w:lang w:val="en-GB" w:eastAsia="en-GB"/>
              </w:rPr>
            </w:pPr>
          </w:p>
        </w:tc>
        <w:tc>
          <w:tcPr>
            <w:tcW w:w="1559" w:type="dxa"/>
            <w:vMerge/>
            <w:tcBorders>
              <w:top w:val="single" w:sz="4" w:space="0" w:color="auto"/>
              <w:left w:val="single" w:sz="4" w:space="0" w:color="auto"/>
              <w:bottom w:val="single" w:sz="4" w:space="0" w:color="000000"/>
              <w:right w:val="nil"/>
            </w:tcBorders>
            <w:vAlign w:val="center"/>
            <w:hideMark/>
          </w:tcPr>
          <w:p w14:paraId="5A27ABF9" w14:textId="77777777" w:rsidR="00745B47" w:rsidRPr="00745B47" w:rsidRDefault="00745B47" w:rsidP="00745B47">
            <w:pPr>
              <w:rPr>
                <w:rFonts w:ascii="Verdana" w:eastAsia="Times New Roman" w:hAnsi="Verdana" w:cs="Calibri"/>
                <w:b/>
                <w:bCs/>
                <w:color w:val="000000"/>
                <w:sz w:val="18"/>
                <w:szCs w:val="18"/>
                <w:lang w:val="en-GB" w:eastAsia="en-GB"/>
              </w:rPr>
            </w:pPr>
          </w:p>
        </w:tc>
        <w:tc>
          <w:tcPr>
            <w:tcW w:w="1276" w:type="dxa"/>
            <w:vMerge/>
            <w:tcBorders>
              <w:top w:val="single" w:sz="4" w:space="0" w:color="auto"/>
              <w:left w:val="single" w:sz="4" w:space="0" w:color="auto"/>
              <w:bottom w:val="single" w:sz="4" w:space="0" w:color="000000"/>
              <w:right w:val="nil"/>
            </w:tcBorders>
            <w:vAlign w:val="center"/>
            <w:hideMark/>
          </w:tcPr>
          <w:p w14:paraId="3EFD43D4" w14:textId="77777777" w:rsidR="00745B47" w:rsidRPr="00745B47" w:rsidRDefault="00745B47" w:rsidP="00745B47">
            <w:pPr>
              <w:rPr>
                <w:rFonts w:ascii="Verdana" w:eastAsia="Times New Roman" w:hAnsi="Verdana" w:cs="Calibri"/>
                <w:b/>
                <w:bCs/>
                <w:color w:val="000000"/>
                <w:sz w:val="18"/>
                <w:szCs w:val="18"/>
                <w:lang w:val="en-GB" w:eastAsia="en-GB"/>
              </w:rPr>
            </w:pPr>
          </w:p>
        </w:tc>
        <w:tc>
          <w:tcPr>
            <w:tcW w:w="1360" w:type="dxa"/>
            <w:vMerge/>
            <w:tcBorders>
              <w:top w:val="single" w:sz="4" w:space="0" w:color="auto"/>
              <w:left w:val="single" w:sz="4" w:space="0" w:color="auto"/>
              <w:bottom w:val="single" w:sz="4" w:space="0" w:color="000000"/>
              <w:right w:val="nil"/>
            </w:tcBorders>
            <w:vAlign w:val="center"/>
            <w:hideMark/>
          </w:tcPr>
          <w:p w14:paraId="151FE3BA" w14:textId="77777777" w:rsidR="00745B47" w:rsidRPr="00745B47" w:rsidRDefault="00745B47" w:rsidP="00745B47">
            <w:pPr>
              <w:rPr>
                <w:rFonts w:ascii="Verdana" w:eastAsia="Times New Roman" w:hAnsi="Verdana" w:cs="Calibri"/>
                <w:b/>
                <w:bCs/>
                <w:color w:val="000000"/>
                <w:sz w:val="18"/>
                <w:szCs w:val="18"/>
                <w:lang w:val="en-GB" w:eastAsia="en-GB"/>
              </w:rPr>
            </w:pPr>
          </w:p>
        </w:tc>
        <w:tc>
          <w:tcPr>
            <w:tcW w:w="1481" w:type="dxa"/>
            <w:vMerge/>
            <w:tcBorders>
              <w:top w:val="single" w:sz="4" w:space="0" w:color="auto"/>
              <w:left w:val="single" w:sz="4" w:space="0" w:color="auto"/>
              <w:bottom w:val="single" w:sz="4" w:space="0" w:color="000000"/>
              <w:right w:val="nil"/>
            </w:tcBorders>
            <w:vAlign w:val="center"/>
            <w:hideMark/>
          </w:tcPr>
          <w:p w14:paraId="03700388" w14:textId="77777777" w:rsidR="00745B47" w:rsidRPr="00745B47" w:rsidRDefault="00745B47" w:rsidP="00745B47">
            <w:pPr>
              <w:rPr>
                <w:rFonts w:ascii="Verdana" w:eastAsia="Times New Roman" w:hAnsi="Verdana" w:cs="Calibri"/>
                <w:b/>
                <w:bCs/>
                <w:color w:val="000000"/>
                <w:sz w:val="18"/>
                <w:szCs w:val="18"/>
                <w:lang w:val="en-GB" w:eastAsia="en-GB"/>
              </w:rPr>
            </w:pPr>
          </w:p>
        </w:tc>
        <w:tc>
          <w:tcPr>
            <w:tcW w:w="1270" w:type="dxa"/>
            <w:gridSpan w:val="2"/>
            <w:vMerge/>
            <w:tcBorders>
              <w:top w:val="single" w:sz="4" w:space="0" w:color="auto"/>
              <w:left w:val="single" w:sz="4" w:space="0" w:color="auto"/>
              <w:bottom w:val="single" w:sz="4" w:space="0" w:color="000000"/>
              <w:right w:val="nil"/>
            </w:tcBorders>
            <w:vAlign w:val="center"/>
            <w:hideMark/>
          </w:tcPr>
          <w:p w14:paraId="7B442B47" w14:textId="77777777" w:rsidR="00745B47" w:rsidRPr="00745B47" w:rsidRDefault="00745B47" w:rsidP="00745B47">
            <w:pPr>
              <w:rPr>
                <w:rFonts w:ascii="Verdana" w:eastAsia="Times New Roman" w:hAnsi="Verdana" w:cs="Calibri"/>
                <w:b/>
                <w:bCs/>
                <w:color w:val="000000"/>
                <w:sz w:val="18"/>
                <w:szCs w:val="18"/>
                <w:lang w:val="en-GB" w:eastAsia="en-GB"/>
              </w:rPr>
            </w:pPr>
          </w:p>
        </w:tc>
        <w:tc>
          <w:tcPr>
            <w:tcW w:w="992" w:type="dxa"/>
            <w:vMerge/>
            <w:tcBorders>
              <w:top w:val="single" w:sz="4" w:space="0" w:color="auto"/>
              <w:left w:val="single" w:sz="4" w:space="0" w:color="auto"/>
              <w:bottom w:val="single" w:sz="4" w:space="0" w:color="000000"/>
              <w:right w:val="nil"/>
            </w:tcBorders>
            <w:vAlign w:val="center"/>
            <w:hideMark/>
          </w:tcPr>
          <w:p w14:paraId="013D4FD0" w14:textId="77777777" w:rsidR="00745B47" w:rsidRPr="00745B47" w:rsidRDefault="00745B47" w:rsidP="00745B47">
            <w:pPr>
              <w:rPr>
                <w:rFonts w:ascii="Verdana" w:eastAsia="Times New Roman" w:hAnsi="Verdana" w:cs="Calibri"/>
                <w:b/>
                <w:bCs/>
                <w:color w:val="000000"/>
                <w:sz w:val="18"/>
                <w:szCs w:val="18"/>
                <w:lang w:val="en-GB" w:eastAsia="en-GB"/>
              </w:rPr>
            </w:pPr>
          </w:p>
        </w:tc>
        <w:tc>
          <w:tcPr>
            <w:tcW w:w="1701" w:type="dxa"/>
            <w:gridSpan w:val="2"/>
            <w:vMerge/>
            <w:tcBorders>
              <w:top w:val="single" w:sz="4" w:space="0" w:color="auto"/>
              <w:left w:val="single" w:sz="4" w:space="0" w:color="auto"/>
              <w:bottom w:val="single" w:sz="4" w:space="0" w:color="000000"/>
              <w:right w:val="nil"/>
            </w:tcBorders>
            <w:vAlign w:val="center"/>
            <w:hideMark/>
          </w:tcPr>
          <w:p w14:paraId="282B8C58" w14:textId="77777777" w:rsidR="00745B47" w:rsidRPr="00745B47" w:rsidRDefault="00745B47" w:rsidP="00745B47">
            <w:pPr>
              <w:rPr>
                <w:rFonts w:ascii="Verdana" w:eastAsia="Times New Roman" w:hAnsi="Verdana" w:cs="Calibri"/>
                <w:b/>
                <w:bCs/>
                <w:color w:val="000000"/>
                <w:sz w:val="18"/>
                <w:szCs w:val="18"/>
                <w:lang w:val="en-GB" w:eastAsia="en-GB"/>
              </w:rPr>
            </w:pPr>
          </w:p>
        </w:tc>
        <w:tc>
          <w:tcPr>
            <w:tcW w:w="1648" w:type="dxa"/>
            <w:gridSpan w:val="2"/>
            <w:vMerge/>
            <w:tcBorders>
              <w:top w:val="single" w:sz="4" w:space="0" w:color="auto"/>
              <w:left w:val="single" w:sz="4" w:space="0" w:color="auto"/>
              <w:bottom w:val="single" w:sz="4" w:space="0" w:color="000000"/>
              <w:right w:val="single" w:sz="4" w:space="0" w:color="auto"/>
            </w:tcBorders>
            <w:vAlign w:val="center"/>
            <w:hideMark/>
          </w:tcPr>
          <w:p w14:paraId="29B3E523" w14:textId="77777777" w:rsidR="00745B47" w:rsidRPr="00745B47" w:rsidRDefault="00745B47" w:rsidP="00745B47">
            <w:pPr>
              <w:rPr>
                <w:rFonts w:ascii="Verdana" w:eastAsia="Times New Roman" w:hAnsi="Verdana" w:cs="Calibri"/>
                <w:b/>
                <w:bCs/>
                <w:color w:val="000000"/>
                <w:sz w:val="18"/>
                <w:szCs w:val="18"/>
                <w:lang w:val="en-GB" w:eastAsia="en-GB"/>
              </w:rPr>
            </w:pPr>
          </w:p>
        </w:tc>
      </w:tr>
    </w:tbl>
    <w:p w14:paraId="066E528A" w14:textId="77777777" w:rsidR="00496A86" w:rsidRDefault="00496A86">
      <w:pPr>
        <w:pStyle w:val="Normal0"/>
        <w:spacing w:after="160" w:line="259" w:lineRule="auto"/>
        <w:rPr>
          <w:rFonts w:ascii="Verdana" w:eastAsia="Verdana" w:hAnsi="Verdana" w:cs="Verdana"/>
          <w:sz w:val="22"/>
          <w:szCs w:val="22"/>
          <w:highlight w:val="yellow"/>
          <w:lang w:val="en-GB"/>
        </w:rPr>
      </w:pPr>
    </w:p>
    <w:p w14:paraId="77972BA6" w14:textId="77777777" w:rsidR="00514C09" w:rsidRPr="00E65F27" w:rsidRDefault="00514C09" w:rsidP="00514C09">
      <w:pPr>
        <w:pStyle w:val="Normal0"/>
        <w:jc w:val="both"/>
        <w:rPr>
          <w:rFonts w:ascii="Verdana" w:eastAsia="Times New Roman" w:hAnsi="Verdana" w:cs="Arial"/>
          <w:sz w:val="22"/>
          <w:szCs w:val="22"/>
          <w:lang w:val="en-GB" w:eastAsia="en-GB"/>
        </w:rPr>
      </w:pPr>
      <w:r w:rsidRPr="00E65F27">
        <w:rPr>
          <w:rFonts w:ascii="Verdana" w:eastAsia="Times New Roman" w:hAnsi="Verdana" w:cs="Arial"/>
          <w:sz w:val="22"/>
          <w:szCs w:val="22"/>
          <w:lang w:val="en-GB" w:eastAsia="en-GB"/>
        </w:rPr>
        <w:t>In line with Trade Union (Facility Time Publication Requirements) Regulations 2017 (SI 2017/328) the Chief Constable has an obligation to report annually on paid time off provided to trade union representatives for trade union duties and activities. The following details relate to 2020/21. There were 11 employees who were union officials during the period (6.5 full time equivalents)  The total cost of this facility time was £93,837 which represents 0.11% of the total pay bill.</w:t>
      </w:r>
    </w:p>
    <w:p w14:paraId="7D727517" w14:textId="77777777" w:rsidR="00514C09" w:rsidRPr="00A00ADD" w:rsidRDefault="00514C09" w:rsidP="00514C09">
      <w:pPr>
        <w:rPr>
          <w:rFonts w:eastAsia="Times New Roman" w:cs="Calibri"/>
          <w:b/>
          <w:bCs/>
          <w:color w:val="000000"/>
          <w:sz w:val="18"/>
          <w:szCs w:val="18"/>
          <w:lang w:val="en-GB" w:eastAsia="en-GB"/>
        </w:rPr>
      </w:pPr>
    </w:p>
    <w:p w14:paraId="2B02E1E0" w14:textId="77777777" w:rsidR="00514C09" w:rsidRPr="00514C09" w:rsidRDefault="00514C09" w:rsidP="00514C09">
      <w:pPr>
        <w:pStyle w:val="T1TableStyle"/>
        <w:rPr>
          <w:rFonts w:ascii="Verdana" w:eastAsia="Verdana" w:hAnsi="Verdana" w:cs="Verdana"/>
          <w:b/>
          <w:color w:val="000000"/>
          <w:sz w:val="22"/>
          <w:szCs w:val="22"/>
          <w:lang w:val="en-GB"/>
        </w:rPr>
      </w:pPr>
    </w:p>
    <w:p w14:paraId="28A02538" w14:textId="77777777" w:rsidR="00514C09" w:rsidRPr="00514C09" w:rsidRDefault="00514C09" w:rsidP="00514C09">
      <w:pPr>
        <w:pStyle w:val="T1TableStyle"/>
        <w:rPr>
          <w:rFonts w:ascii="Verdana" w:eastAsia="Verdana" w:hAnsi="Verdana" w:cs="Verdana"/>
          <w:b/>
          <w:color w:val="000000"/>
          <w:sz w:val="22"/>
          <w:szCs w:val="22"/>
          <w:lang w:val="en-GB"/>
        </w:rPr>
      </w:pPr>
    </w:p>
    <w:p w14:paraId="22C09CD4" w14:textId="77777777" w:rsidR="00514C09" w:rsidRPr="00514C09" w:rsidRDefault="00514C09" w:rsidP="00514C09">
      <w:pPr>
        <w:pStyle w:val="T1TableStyle"/>
        <w:rPr>
          <w:rFonts w:ascii="Verdana" w:eastAsia="Verdana" w:hAnsi="Verdana" w:cs="Verdana"/>
          <w:b/>
          <w:color w:val="000000"/>
          <w:sz w:val="22"/>
          <w:szCs w:val="22"/>
          <w:lang w:val="en-GB"/>
        </w:rPr>
      </w:pPr>
      <w:r w:rsidRPr="00514C09">
        <w:rPr>
          <w:rFonts w:ascii="Verdana" w:eastAsia="Verdana" w:hAnsi="Verdana" w:cs="Verdana"/>
          <w:b/>
          <w:color w:val="000000"/>
          <w:sz w:val="22"/>
          <w:szCs w:val="22"/>
          <w:lang w:val="en-GB"/>
        </w:rPr>
        <w:t>Exit Packages</w:t>
      </w:r>
    </w:p>
    <w:p w14:paraId="524D2F6E" w14:textId="77777777" w:rsidR="00514C09" w:rsidRDefault="00514C09" w:rsidP="00514C09">
      <w:pPr>
        <w:pStyle w:val="T1TableStyle"/>
        <w:rPr>
          <w:rFonts w:ascii="Verdana" w:eastAsia="Verdana" w:hAnsi="Verdana" w:cs="Verdana"/>
          <w:b/>
          <w:color w:val="000000"/>
          <w:lang w:val="en-GB"/>
        </w:rPr>
      </w:pPr>
    </w:p>
    <w:p w14:paraId="76217490" w14:textId="77777777" w:rsidR="00514C09" w:rsidRPr="00514C09" w:rsidRDefault="00514C09" w:rsidP="00514C09">
      <w:pPr>
        <w:pStyle w:val="T1TableStyle"/>
        <w:rPr>
          <w:rFonts w:ascii="Verdana" w:eastAsia="Verdana" w:hAnsi="Verdana" w:cs="Verdana"/>
          <w:color w:val="000000"/>
          <w:sz w:val="22"/>
          <w:szCs w:val="22"/>
          <w:lang w:val="en-GB"/>
        </w:rPr>
      </w:pPr>
      <w:r w:rsidRPr="00514C09">
        <w:rPr>
          <w:rFonts w:ascii="Verdana" w:eastAsia="Verdana" w:hAnsi="Verdana" w:cs="Verdana"/>
          <w:color w:val="000000"/>
          <w:sz w:val="22"/>
          <w:szCs w:val="22"/>
          <w:lang w:val="en-GB"/>
        </w:rPr>
        <w:t>The 2020/21 Code requires disclosure of the number and cost of exit packages agreed, including:</w:t>
      </w:r>
    </w:p>
    <w:p w14:paraId="7C819DD6" w14:textId="77777777" w:rsidR="00514C09" w:rsidRPr="00514C09" w:rsidRDefault="00514C09" w:rsidP="00514C09">
      <w:pPr>
        <w:pStyle w:val="T1TableStyle"/>
        <w:rPr>
          <w:rFonts w:ascii="Verdana" w:eastAsia="Verdana" w:hAnsi="Verdana" w:cs="Verdana"/>
          <w:color w:val="000000"/>
          <w:sz w:val="22"/>
          <w:szCs w:val="22"/>
          <w:lang w:val="en-GB"/>
        </w:rPr>
      </w:pPr>
    </w:p>
    <w:p w14:paraId="13911FBE" w14:textId="77777777" w:rsidR="00514C09" w:rsidRPr="00514C09" w:rsidRDefault="00514C09" w:rsidP="00514C09">
      <w:pPr>
        <w:pStyle w:val="T1TableStyle"/>
        <w:numPr>
          <w:ilvl w:val="0"/>
          <w:numId w:val="31"/>
        </w:numPr>
        <w:rPr>
          <w:rFonts w:ascii="Verdana" w:eastAsia="Verdana" w:hAnsi="Verdana" w:cs="Verdana"/>
          <w:color w:val="000000"/>
          <w:sz w:val="22"/>
          <w:szCs w:val="22"/>
          <w:lang w:val="en-GB"/>
        </w:rPr>
      </w:pPr>
      <w:r w:rsidRPr="00514C09">
        <w:rPr>
          <w:rFonts w:ascii="Verdana" w:eastAsia="Verdana" w:hAnsi="Verdana" w:cs="Verdana"/>
          <w:color w:val="000000"/>
          <w:sz w:val="22"/>
          <w:szCs w:val="22"/>
          <w:lang w:val="en-GB"/>
        </w:rPr>
        <w:t>Number of packages agreed (in bands of £29k up to £100k and £50k thereafter)</w:t>
      </w:r>
    </w:p>
    <w:p w14:paraId="417B7F62" w14:textId="77777777" w:rsidR="00514C09" w:rsidRPr="00514C09" w:rsidRDefault="00514C09" w:rsidP="00514C09">
      <w:pPr>
        <w:pStyle w:val="T1TableStyle"/>
        <w:numPr>
          <w:ilvl w:val="0"/>
          <w:numId w:val="31"/>
        </w:numPr>
        <w:rPr>
          <w:rFonts w:ascii="Verdana" w:eastAsia="Verdana" w:hAnsi="Verdana" w:cs="Verdana"/>
          <w:color w:val="000000"/>
          <w:sz w:val="22"/>
          <w:szCs w:val="22"/>
          <w:lang w:val="en-GB"/>
        </w:rPr>
      </w:pPr>
      <w:r w:rsidRPr="00514C09">
        <w:rPr>
          <w:rFonts w:ascii="Verdana" w:eastAsia="Verdana" w:hAnsi="Verdana" w:cs="Verdana"/>
          <w:color w:val="000000"/>
          <w:sz w:val="22"/>
          <w:szCs w:val="22"/>
          <w:lang w:val="en-GB"/>
        </w:rPr>
        <w:t>Analysis between compulsory redundancies and “other” agreed departures</w:t>
      </w:r>
    </w:p>
    <w:p w14:paraId="39D2B7C1" w14:textId="77777777" w:rsidR="00514C09" w:rsidRPr="00514C09" w:rsidRDefault="00514C09" w:rsidP="00514C09">
      <w:pPr>
        <w:pStyle w:val="T1TableStyle"/>
        <w:numPr>
          <w:ilvl w:val="0"/>
          <w:numId w:val="31"/>
        </w:numPr>
        <w:rPr>
          <w:rFonts w:ascii="Verdana" w:eastAsia="Verdana" w:hAnsi="Verdana" w:cs="Verdana"/>
          <w:color w:val="000000"/>
          <w:sz w:val="22"/>
          <w:szCs w:val="22"/>
          <w:lang w:val="en-GB"/>
        </w:rPr>
      </w:pPr>
      <w:r w:rsidRPr="00514C09">
        <w:rPr>
          <w:rFonts w:ascii="Verdana" w:eastAsia="Verdana" w:hAnsi="Verdana" w:cs="Verdana"/>
          <w:color w:val="000000"/>
          <w:sz w:val="22"/>
          <w:szCs w:val="22"/>
          <w:lang w:val="en-GB"/>
        </w:rPr>
        <w:t>Total cost for each band</w:t>
      </w:r>
    </w:p>
    <w:p w14:paraId="63E04931" w14:textId="77777777" w:rsidR="00514C09" w:rsidRDefault="00514C09" w:rsidP="00514C09">
      <w:pPr>
        <w:pStyle w:val="T1TableStyle"/>
        <w:rPr>
          <w:rFonts w:ascii="Verdana" w:eastAsia="Verdana" w:hAnsi="Verdana" w:cs="Verdana"/>
          <w:b/>
          <w:color w:val="000000"/>
          <w:lang w:val="en-GB"/>
        </w:rPr>
      </w:pPr>
    </w:p>
    <w:p w14:paraId="15A52A70" w14:textId="77777777" w:rsidR="00337681" w:rsidRDefault="00337681">
      <w:pPr>
        <w:pStyle w:val="T1TableStyle"/>
        <w:rPr>
          <w:rFonts w:ascii="Verdana" w:eastAsia="Verdana" w:hAnsi="Verdana" w:cs="Verdana"/>
          <w:sz w:val="22"/>
          <w:highlight w:val="yellow"/>
          <w:lang w:val="en-GB"/>
        </w:rPr>
      </w:pPr>
    </w:p>
    <w:p w14:paraId="7C59B791" w14:textId="77777777" w:rsidR="00D8454A" w:rsidRDefault="00D8454A" w:rsidP="00D8454A">
      <w:pPr>
        <w:pStyle w:val="T1TableStyle"/>
        <w:ind w:left="3600"/>
        <w:rPr>
          <w:rFonts w:ascii="Verdana" w:eastAsia="Verdana" w:hAnsi="Verdana" w:cs="Verdana"/>
          <w:sz w:val="22"/>
          <w:highlight w:val="yellow"/>
          <w:lang w:val="en-GB"/>
        </w:rPr>
      </w:pPr>
      <w:r w:rsidRPr="00043A44">
        <w:rPr>
          <w:rFonts w:ascii="Verdana" w:eastAsia="Verdana" w:hAnsi="Verdana" w:cs="Verdana"/>
          <w:b/>
          <w:color w:val="000000"/>
          <w:lang w:val="en-GB"/>
        </w:rPr>
        <w:t>Exit Packages</w:t>
      </w:r>
    </w:p>
    <w:p w14:paraId="18E42E50" w14:textId="77777777" w:rsidR="00D8454A" w:rsidRDefault="00D8454A" w:rsidP="00D8454A">
      <w:pPr>
        <w:pStyle w:val="T1TableStyle"/>
        <w:rPr>
          <w:rFonts w:ascii="Verdana" w:eastAsia="Verdana" w:hAnsi="Verdana" w:cs="Verdana"/>
          <w:sz w:val="22"/>
          <w:highlight w:val="yellow"/>
          <w:lang w:val="en-GB"/>
        </w:rPr>
      </w:pPr>
    </w:p>
    <w:tbl>
      <w:tblPr>
        <w:tblW w:w="0" w:type="auto"/>
        <w:jc w:val="center"/>
        <w:tblLayout w:type="fixed"/>
        <w:tblLook w:val="04A0" w:firstRow="1" w:lastRow="0" w:firstColumn="1" w:lastColumn="0" w:noHBand="0" w:noVBand="1"/>
      </w:tblPr>
      <w:tblGrid>
        <w:gridCol w:w="1980"/>
        <w:gridCol w:w="945"/>
        <w:gridCol w:w="945"/>
        <w:gridCol w:w="1305"/>
        <w:gridCol w:w="1305"/>
      </w:tblGrid>
      <w:tr w:rsidR="00D8454A" w:rsidRPr="00043A44" w14:paraId="72157A99" w14:textId="77777777" w:rsidTr="008932D4">
        <w:trPr>
          <w:trHeight w:val="795"/>
          <w:jc w:val="center"/>
        </w:trPr>
        <w:tc>
          <w:tcPr>
            <w:tcW w:w="1980" w:type="dxa"/>
            <w:shd w:val="clear" w:color="auto" w:fill="auto"/>
            <w:tcMar>
              <w:top w:w="20" w:type="dxa"/>
              <w:left w:w="20" w:type="dxa"/>
              <w:bottom w:w="20" w:type="dxa"/>
              <w:right w:w="20" w:type="dxa"/>
            </w:tcMar>
            <w:vAlign w:val="center"/>
          </w:tcPr>
          <w:p w14:paraId="04D177A0" w14:textId="77777777" w:rsidR="00D8454A" w:rsidRPr="00043A44" w:rsidRDefault="00D8454A" w:rsidP="008932D4">
            <w:pPr>
              <w:pStyle w:val="T1TableStyle"/>
              <w:rPr>
                <w:rFonts w:ascii="Verdana" w:eastAsia="Verdana" w:hAnsi="Verdana" w:cs="Verdana"/>
                <w:b/>
                <w:color w:val="000000"/>
                <w:sz w:val="16"/>
                <w:lang w:val="en-GB"/>
              </w:rPr>
            </w:pPr>
            <w:r w:rsidRPr="00043A44">
              <w:rPr>
                <w:rFonts w:ascii="Verdana" w:eastAsia="Verdana" w:hAnsi="Verdana" w:cs="Verdana"/>
                <w:b/>
                <w:color w:val="000000"/>
                <w:sz w:val="16"/>
                <w:lang w:val="en-GB"/>
              </w:rPr>
              <w:t>Exit package cost band (including special payments)</w:t>
            </w:r>
          </w:p>
        </w:tc>
        <w:tc>
          <w:tcPr>
            <w:tcW w:w="1890" w:type="dxa"/>
            <w:gridSpan w:val="2"/>
            <w:shd w:val="clear" w:color="auto" w:fill="auto"/>
            <w:tcMar>
              <w:top w:w="20" w:type="dxa"/>
              <w:left w:w="20" w:type="dxa"/>
              <w:bottom w:w="20" w:type="dxa"/>
              <w:right w:w="20" w:type="dxa"/>
            </w:tcMar>
            <w:vAlign w:val="center"/>
          </w:tcPr>
          <w:p w14:paraId="72E6F051" w14:textId="77777777" w:rsidR="00D8454A" w:rsidRPr="00043A44" w:rsidRDefault="00D8454A" w:rsidP="008932D4">
            <w:pPr>
              <w:pStyle w:val="T1TableStyle"/>
              <w:jc w:val="center"/>
              <w:rPr>
                <w:rFonts w:ascii="Verdana" w:eastAsia="Verdana" w:hAnsi="Verdana" w:cs="Verdana"/>
                <w:b/>
                <w:color w:val="000000"/>
                <w:sz w:val="16"/>
                <w:lang w:val="en-GB"/>
              </w:rPr>
            </w:pPr>
            <w:r w:rsidRPr="00043A44">
              <w:rPr>
                <w:rFonts w:ascii="Verdana" w:eastAsia="Verdana" w:hAnsi="Verdana" w:cs="Verdana"/>
                <w:b/>
                <w:color w:val="000000"/>
                <w:sz w:val="16"/>
                <w:lang w:val="en-GB"/>
              </w:rPr>
              <w:t>Total number of exit packages by cost band</w:t>
            </w:r>
          </w:p>
        </w:tc>
        <w:tc>
          <w:tcPr>
            <w:tcW w:w="2610" w:type="dxa"/>
            <w:gridSpan w:val="2"/>
            <w:shd w:val="clear" w:color="auto" w:fill="auto"/>
            <w:tcMar>
              <w:top w:w="20" w:type="dxa"/>
              <w:left w:w="20" w:type="dxa"/>
              <w:bottom w:w="20" w:type="dxa"/>
              <w:right w:w="20" w:type="dxa"/>
            </w:tcMar>
            <w:vAlign w:val="center"/>
          </w:tcPr>
          <w:p w14:paraId="209E404D" w14:textId="77777777" w:rsidR="00D8454A" w:rsidRPr="00043A44" w:rsidRDefault="00D8454A" w:rsidP="008932D4">
            <w:pPr>
              <w:pStyle w:val="T1TableStyle"/>
              <w:jc w:val="center"/>
              <w:rPr>
                <w:rFonts w:ascii="Verdana" w:eastAsia="Verdana" w:hAnsi="Verdana" w:cs="Verdana"/>
                <w:b/>
                <w:color w:val="000000"/>
                <w:sz w:val="16"/>
                <w:lang w:val="en-GB"/>
              </w:rPr>
            </w:pPr>
            <w:r w:rsidRPr="00043A44">
              <w:rPr>
                <w:rFonts w:ascii="Verdana" w:eastAsia="Verdana" w:hAnsi="Verdana" w:cs="Verdana"/>
                <w:b/>
                <w:color w:val="000000"/>
                <w:sz w:val="16"/>
                <w:lang w:val="en-GB"/>
              </w:rPr>
              <w:t>Total cost of exit packages in each band (£)</w:t>
            </w:r>
          </w:p>
        </w:tc>
      </w:tr>
      <w:tr w:rsidR="00D8454A" w:rsidRPr="00043A44" w14:paraId="5184329B" w14:textId="77777777" w:rsidTr="008932D4">
        <w:trPr>
          <w:trHeight w:val="210"/>
          <w:jc w:val="center"/>
        </w:trPr>
        <w:tc>
          <w:tcPr>
            <w:tcW w:w="1980" w:type="dxa"/>
            <w:tcBorders>
              <w:bottom w:val="single" w:sz="2" w:space="0" w:color="000000"/>
            </w:tcBorders>
            <w:shd w:val="clear" w:color="auto" w:fill="auto"/>
            <w:tcMar>
              <w:top w:w="20" w:type="dxa"/>
              <w:left w:w="20" w:type="dxa"/>
              <w:bottom w:w="20" w:type="dxa"/>
              <w:right w:w="20" w:type="dxa"/>
            </w:tcMar>
          </w:tcPr>
          <w:p w14:paraId="3D0D3B5D" w14:textId="77777777" w:rsidR="00D8454A" w:rsidRPr="00043A44" w:rsidRDefault="00D8454A" w:rsidP="008932D4">
            <w:pPr>
              <w:pStyle w:val="T1TableStyle"/>
              <w:jc w:val="center"/>
              <w:rPr>
                <w:rFonts w:ascii="Verdana" w:eastAsia="Verdana" w:hAnsi="Verdana" w:cs="Verdana"/>
                <w:b/>
                <w:color w:val="000000"/>
                <w:sz w:val="2"/>
                <w:lang w:val="en-GB"/>
              </w:rPr>
            </w:pPr>
            <w:r w:rsidRPr="00043A44">
              <w:rPr>
                <w:rFonts w:ascii="Verdana" w:eastAsia="Verdana" w:hAnsi="Verdana" w:cs="Verdana"/>
                <w:b/>
                <w:color w:val="000000"/>
                <w:sz w:val="2"/>
                <w:lang w:val="en-GB"/>
              </w:rPr>
              <w:t xml:space="preserve"> </w:t>
            </w:r>
          </w:p>
        </w:tc>
        <w:tc>
          <w:tcPr>
            <w:tcW w:w="945" w:type="dxa"/>
            <w:tcBorders>
              <w:bottom w:val="single" w:sz="2" w:space="0" w:color="000000"/>
            </w:tcBorders>
            <w:shd w:val="clear" w:color="auto" w:fill="auto"/>
            <w:tcMar>
              <w:top w:w="20" w:type="dxa"/>
              <w:left w:w="20" w:type="dxa"/>
              <w:bottom w:w="20" w:type="dxa"/>
              <w:right w:w="20" w:type="dxa"/>
            </w:tcMar>
            <w:vAlign w:val="bottom"/>
          </w:tcPr>
          <w:p w14:paraId="3FAB3B52" w14:textId="77777777" w:rsidR="00D8454A" w:rsidRPr="00043A44" w:rsidRDefault="00D8454A" w:rsidP="008932D4">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2019/20</w:t>
            </w:r>
          </w:p>
        </w:tc>
        <w:tc>
          <w:tcPr>
            <w:tcW w:w="945" w:type="dxa"/>
            <w:tcBorders>
              <w:bottom w:val="single" w:sz="2" w:space="0" w:color="000000"/>
            </w:tcBorders>
            <w:shd w:val="clear" w:color="auto" w:fill="auto"/>
            <w:tcMar>
              <w:top w:w="20" w:type="dxa"/>
              <w:left w:w="20" w:type="dxa"/>
              <w:bottom w:w="20" w:type="dxa"/>
              <w:right w:w="20" w:type="dxa"/>
            </w:tcMar>
            <w:vAlign w:val="bottom"/>
          </w:tcPr>
          <w:p w14:paraId="270F9F25" w14:textId="77777777" w:rsidR="00D8454A" w:rsidRPr="00043A44" w:rsidRDefault="00D8454A" w:rsidP="008932D4">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2020/21</w:t>
            </w:r>
          </w:p>
        </w:tc>
        <w:tc>
          <w:tcPr>
            <w:tcW w:w="1305" w:type="dxa"/>
            <w:tcBorders>
              <w:bottom w:val="single" w:sz="2" w:space="0" w:color="000000"/>
            </w:tcBorders>
            <w:shd w:val="clear" w:color="auto" w:fill="auto"/>
            <w:tcMar>
              <w:top w:w="20" w:type="dxa"/>
              <w:left w:w="20" w:type="dxa"/>
              <w:bottom w:w="20" w:type="dxa"/>
              <w:right w:w="20" w:type="dxa"/>
            </w:tcMar>
            <w:vAlign w:val="bottom"/>
          </w:tcPr>
          <w:p w14:paraId="1D590691" w14:textId="77777777" w:rsidR="00D8454A" w:rsidRPr="00043A44" w:rsidRDefault="00D8454A" w:rsidP="008932D4">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2019/20</w:t>
            </w:r>
          </w:p>
        </w:tc>
        <w:tc>
          <w:tcPr>
            <w:tcW w:w="1305" w:type="dxa"/>
            <w:tcBorders>
              <w:bottom w:val="single" w:sz="2" w:space="0" w:color="000000"/>
            </w:tcBorders>
            <w:shd w:val="clear" w:color="auto" w:fill="auto"/>
            <w:tcMar>
              <w:top w:w="20" w:type="dxa"/>
              <w:left w:w="20" w:type="dxa"/>
              <w:bottom w:w="20" w:type="dxa"/>
              <w:right w:w="20" w:type="dxa"/>
            </w:tcMar>
            <w:vAlign w:val="bottom"/>
          </w:tcPr>
          <w:p w14:paraId="7B5D9E05" w14:textId="77777777" w:rsidR="00D8454A" w:rsidRPr="00043A44" w:rsidRDefault="00D8454A" w:rsidP="008932D4">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2020/21</w:t>
            </w:r>
          </w:p>
        </w:tc>
      </w:tr>
      <w:tr w:rsidR="00D8454A" w:rsidRPr="00043A44" w14:paraId="4B3C2BAA" w14:textId="77777777" w:rsidTr="008932D4">
        <w:trPr>
          <w:trHeight w:val="210"/>
          <w:jc w:val="center"/>
        </w:trPr>
        <w:tc>
          <w:tcPr>
            <w:tcW w:w="1980" w:type="dxa"/>
            <w:shd w:val="clear" w:color="auto" w:fill="auto"/>
            <w:tcMar>
              <w:top w:w="20" w:type="dxa"/>
              <w:left w:w="20" w:type="dxa"/>
              <w:bottom w:w="20" w:type="dxa"/>
              <w:right w:w="20" w:type="dxa"/>
            </w:tcMar>
            <w:vAlign w:val="center"/>
          </w:tcPr>
          <w:p w14:paraId="579649D6" w14:textId="77777777" w:rsidR="00D8454A" w:rsidRPr="00043A44" w:rsidRDefault="00D8454A" w:rsidP="008932D4">
            <w:pPr>
              <w:pStyle w:val="T1TableStyle"/>
              <w:rPr>
                <w:rFonts w:ascii="Verdana" w:eastAsia="Verdana" w:hAnsi="Verdana" w:cs="Verdana"/>
                <w:color w:val="000000"/>
                <w:sz w:val="16"/>
                <w:lang w:val="en-GB"/>
              </w:rPr>
            </w:pPr>
            <w:r w:rsidRPr="00043A44">
              <w:rPr>
                <w:rFonts w:ascii="Verdana" w:eastAsia="Verdana" w:hAnsi="Verdana" w:cs="Verdana"/>
                <w:color w:val="000000"/>
                <w:sz w:val="16"/>
                <w:lang w:val="en-GB"/>
              </w:rPr>
              <w:t>£0-£20,000</w:t>
            </w:r>
          </w:p>
        </w:tc>
        <w:tc>
          <w:tcPr>
            <w:tcW w:w="945" w:type="dxa"/>
            <w:shd w:val="clear" w:color="auto" w:fill="auto"/>
            <w:tcMar>
              <w:top w:w="20" w:type="dxa"/>
              <w:left w:w="20" w:type="dxa"/>
              <w:bottom w:w="20" w:type="dxa"/>
              <w:right w:w="20" w:type="dxa"/>
            </w:tcMar>
          </w:tcPr>
          <w:p w14:paraId="3B9B754D" w14:textId="77777777" w:rsidR="00D8454A" w:rsidRPr="00043A44" w:rsidRDefault="00D8454A" w:rsidP="008932D4">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7</w:t>
            </w:r>
          </w:p>
        </w:tc>
        <w:tc>
          <w:tcPr>
            <w:tcW w:w="945" w:type="dxa"/>
            <w:shd w:val="clear" w:color="auto" w:fill="auto"/>
            <w:tcMar>
              <w:top w:w="20" w:type="dxa"/>
              <w:left w:w="20" w:type="dxa"/>
              <w:bottom w:w="20" w:type="dxa"/>
              <w:right w:w="20" w:type="dxa"/>
            </w:tcMar>
          </w:tcPr>
          <w:p w14:paraId="55EFEDA7" w14:textId="77777777" w:rsidR="00D8454A" w:rsidRPr="00043A44" w:rsidRDefault="00D8454A" w:rsidP="008932D4">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w:t>
            </w:r>
          </w:p>
        </w:tc>
        <w:tc>
          <w:tcPr>
            <w:tcW w:w="1305" w:type="dxa"/>
            <w:shd w:val="clear" w:color="auto" w:fill="auto"/>
            <w:tcMar>
              <w:top w:w="20" w:type="dxa"/>
              <w:left w:w="20" w:type="dxa"/>
              <w:bottom w:w="20" w:type="dxa"/>
              <w:right w:w="20" w:type="dxa"/>
            </w:tcMar>
          </w:tcPr>
          <w:p w14:paraId="707D01F9" w14:textId="77777777" w:rsidR="00D8454A" w:rsidRPr="00043A44" w:rsidRDefault="00D8454A" w:rsidP="008932D4">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75,741</w:t>
            </w:r>
          </w:p>
        </w:tc>
        <w:tc>
          <w:tcPr>
            <w:tcW w:w="1305" w:type="dxa"/>
            <w:shd w:val="clear" w:color="auto" w:fill="auto"/>
            <w:tcMar>
              <w:top w:w="20" w:type="dxa"/>
              <w:left w:w="20" w:type="dxa"/>
              <w:bottom w:w="20" w:type="dxa"/>
              <w:right w:w="20" w:type="dxa"/>
            </w:tcMar>
          </w:tcPr>
          <w:p w14:paraId="06C1934A" w14:textId="77777777" w:rsidR="00D8454A" w:rsidRPr="00043A44" w:rsidRDefault="00D8454A" w:rsidP="008932D4">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21,063</w:t>
            </w:r>
          </w:p>
        </w:tc>
      </w:tr>
      <w:tr w:rsidR="00D8454A" w:rsidRPr="00043A44" w14:paraId="57718E7D" w14:textId="77777777" w:rsidTr="008932D4">
        <w:trPr>
          <w:trHeight w:val="210"/>
          <w:jc w:val="center"/>
        </w:trPr>
        <w:tc>
          <w:tcPr>
            <w:tcW w:w="1980" w:type="dxa"/>
            <w:shd w:val="clear" w:color="auto" w:fill="auto"/>
            <w:tcMar>
              <w:top w:w="20" w:type="dxa"/>
              <w:left w:w="20" w:type="dxa"/>
              <w:bottom w:w="20" w:type="dxa"/>
              <w:right w:w="20" w:type="dxa"/>
            </w:tcMar>
            <w:vAlign w:val="center"/>
          </w:tcPr>
          <w:p w14:paraId="5E63F1EC" w14:textId="77777777" w:rsidR="00D8454A" w:rsidRPr="00043A44" w:rsidRDefault="00D8454A" w:rsidP="008932D4">
            <w:pPr>
              <w:pStyle w:val="T1TableStyle"/>
              <w:rPr>
                <w:rFonts w:ascii="Verdana" w:eastAsia="Verdana" w:hAnsi="Verdana" w:cs="Verdana"/>
                <w:color w:val="000000"/>
                <w:sz w:val="16"/>
                <w:lang w:val="en-GB"/>
              </w:rPr>
            </w:pPr>
            <w:r w:rsidRPr="00043A44">
              <w:rPr>
                <w:rFonts w:ascii="Verdana" w:eastAsia="Verdana" w:hAnsi="Verdana" w:cs="Verdana"/>
                <w:color w:val="000000"/>
                <w:sz w:val="16"/>
                <w:lang w:val="en-GB"/>
              </w:rPr>
              <w:t>£20,001 - £40,000</w:t>
            </w:r>
          </w:p>
        </w:tc>
        <w:tc>
          <w:tcPr>
            <w:tcW w:w="945" w:type="dxa"/>
            <w:shd w:val="clear" w:color="auto" w:fill="auto"/>
            <w:tcMar>
              <w:top w:w="20" w:type="dxa"/>
              <w:left w:w="20" w:type="dxa"/>
              <w:bottom w:w="20" w:type="dxa"/>
              <w:right w:w="20" w:type="dxa"/>
            </w:tcMar>
          </w:tcPr>
          <w:p w14:paraId="3B44CA6B" w14:textId="77777777" w:rsidR="00D8454A" w:rsidRPr="00043A44" w:rsidRDefault="00D8454A" w:rsidP="008932D4">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w:t>
            </w:r>
          </w:p>
        </w:tc>
        <w:tc>
          <w:tcPr>
            <w:tcW w:w="945" w:type="dxa"/>
            <w:shd w:val="clear" w:color="auto" w:fill="auto"/>
            <w:tcMar>
              <w:top w:w="20" w:type="dxa"/>
              <w:left w:w="20" w:type="dxa"/>
              <w:bottom w:w="20" w:type="dxa"/>
              <w:right w:w="20" w:type="dxa"/>
            </w:tcMar>
          </w:tcPr>
          <w:p w14:paraId="591642FC" w14:textId="77777777" w:rsidR="00D8454A" w:rsidRPr="00043A44" w:rsidRDefault="00D8454A" w:rsidP="008932D4">
            <w:pPr>
              <w:pStyle w:val="T1TableStyle"/>
              <w:jc w:val="right"/>
              <w:rPr>
                <w:rFonts w:ascii="Verdana" w:eastAsia="Verdana" w:hAnsi="Verdana" w:cs="Verdana"/>
                <w:color w:val="000000"/>
                <w:sz w:val="16"/>
                <w:lang w:val="en-GB"/>
              </w:rPr>
            </w:pPr>
            <w:r w:rsidRPr="00043A44">
              <w:rPr>
                <w:rFonts w:ascii="Verdana" w:eastAsia="Verdana" w:hAnsi="Verdana" w:cs="Verdana"/>
                <w:color w:val="000000"/>
                <w:sz w:val="16"/>
                <w:lang w:val="en-GB"/>
              </w:rPr>
              <w:t>1</w:t>
            </w:r>
          </w:p>
        </w:tc>
        <w:tc>
          <w:tcPr>
            <w:tcW w:w="1305" w:type="dxa"/>
            <w:shd w:val="clear" w:color="auto" w:fill="auto"/>
            <w:tcMar>
              <w:top w:w="20" w:type="dxa"/>
              <w:left w:w="20" w:type="dxa"/>
              <w:bottom w:w="20" w:type="dxa"/>
              <w:right w:w="20" w:type="dxa"/>
            </w:tcMar>
          </w:tcPr>
          <w:p w14:paraId="4614AEC3" w14:textId="77777777" w:rsidR="00D8454A" w:rsidRPr="00043A44" w:rsidRDefault="00D8454A" w:rsidP="008932D4">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30,770</w:t>
            </w:r>
          </w:p>
        </w:tc>
        <w:tc>
          <w:tcPr>
            <w:tcW w:w="1305" w:type="dxa"/>
            <w:shd w:val="clear" w:color="auto" w:fill="auto"/>
            <w:tcMar>
              <w:top w:w="20" w:type="dxa"/>
              <w:left w:w="20" w:type="dxa"/>
              <w:bottom w:w="20" w:type="dxa"/>
              <w:right w:w="20" w:type="dxa"/>
            </w:tcMar>
          </w:tcPr>
          <w:p w14:paraId="22815A4A" w14:textId="77777777" w:rsidR="00D8454A" w:rsidRPr="00043A44" w:rsidRDefault="00D8454A" w:rsidP="008932D4">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21,155</w:t>
            </w:r>
          </w:p>
        </w:tc>
      </w:tr>
      <w:tr w:rsidR="00D8454A" w:rsidRPr="00043A44" w14:paraId="305C929C" w14:textId="77777777" w:rsidTr="008932D4">
        <w:trPr>
          <w:trHeight w:val="210"/>
          <w:jc w:val="center"/>
        </w:trPr>
        <w:tc>
          <w:tcPr>
            <w:tcW w:w="1980" w:type="dxa"/>
            <w:shd w:val="clear" w:color="auto" w:fill="auto"/>
            <w:tcMar>
              <w:top w:w="20" w:type="dxa"/>
              <w:left w:w="20" w:type="dxa"/>
              <w:bottom w:w="20" w:type="dxa"/>
              <w:right w:w="20" w:type="dxa"/>
            </w:tcMar>
            <w:vAlign w:val="center"/>
          </w:tcPr>
          <w:p w14:paraId="3A7447CC" w14:textId="77777777" w:rsidR="00D8454A" w:rsidRPr="00043A44" w:rsidRDefault="00D8454A" w:rsidP="008932D4">
            <w:pPr>
              <w:pStyle w:val="T1TableStyle"/>
              <w:rPr>
                <w:rFonts w:ascii="Verdana" w:eastAsia="Verdana" w:hAnsi="Verdana" w:cs="Verdana"/>
                <w:color w:val="000000"/>
                <w:sz w:val="16"/>
                <w:lang w:val="en-GB"/>
              </w:rPr>
            </w:pPr>
            <w:r w:rsidRPr="00043A44">
              <w:rPr>
                <w:rFonts w:ascii="Verdana" w:eastAsia="Verdana" w:hAnsi="Verdana" w:cs="Verdana"/>
                <w:color w:val="000000"/>
                <w:sz w:val="16"/>
                <w:lang w:val="en-GB"/>
              </w:rPr>
              <w:t>£40,001 - £60,000</w:t>
            </w:r>
          </w:p>
        </w:tc>
        <w:tc>
          <w:tcPr>
            <w:tcW w:w="945" w:type="dxa"/>
            <w:shd w:val="clear" w:color="auto" w:fill="auto"/>
            <w:tcMar>
              <w:top w:w="20" w:type="dxa"/>
              <w:left w:w="20" w:type="dxa"/>
              <w:bottom w:w="20" w:type="dxa"/>
              <w:right w:w="20" w:type="dxa"/>
            </w:tcMar>
          </w:tcPr>
          <w:p w14:paraId="19F336A7" w14:textId="77777777" w:rsidR="00D8454A" w:rsidRPr="00043A44" w:rsidRDefault="00D8454A" w:rsidP="008932D4">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w:t>
            </w:r>
          </w:p>
        </w:tc>
        <w:tc>
          <w:tcPr>
            <w:tcW w:w="945" w:type="dxa"/>
            <w:shd w:val="clear" w:color="auto" w:fill="auto"/>
            <w:tcMar>
              <w:top w:w="20" w:type="dxa"/>
              <w:left w:w="20" w:type="dxa"/>
              <w:bottom w:w="20" w:type="dxa"/>
              <w:right w:w="20" w:type="dxa"/>
            </w:tcMar>
          </w:tcPr>
          <w:p w14:paraId="22845A78" w14:textId="77777777" w:rsidR="00D8454A" w:rsidRPr="00043A44" w:rsidRDefault="00D8454A" w:rsidP="008932D4">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305" w:type="dxa"/>
            <w:shd w:val="clear" w:color="auto" w:fill="auto"/>
            <w:tcMar>
              <w:top w:w="20" w:type="dxa"/>
              <w:left w:w="20" w:type="dxa"/>
              <w:bottom w:w="20" w:type="dxa"/>
              <w:right w:w="20" w:type="dxa"/>
            </w:tcMar>
          </w:tcPr>
          <w:p w14:paraId="4A8F711B" w14:textId="77777777" w:rsidR="00D8454A" w:rsidRPr="00043A44" w:rsidRDefault="00D8454A" w:rsidP="008932D4">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50,000</w:t>
            </w:r>
          </w:p>
        </w:tc>
        <w:tc>
          <w:tcPr>
            <w:tcW w:w="1305" w:type="dxa"/>
            <w:shd w:val="clear" w:color="auto" w:fill="auto"/>
            <w:tcMar>
              <w:top w:w="20" w:type="dxa"/>
              <w:left w:w="20" w:type="dxa"/>
              <w:bottom w:w="20" w:type="dxa"/>
              <w:right w:w="20" w:type="dxa"/>
            </w:tcMar>
          </w:tcPr>
          <w:p w14:paraId="7BF2E588" w14:textId="77777777" w:rsidR="00D8454A" w:rsidRPr="00043A44" w:rsidRDefault="00D8454A" w:rsidP="008932D4">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r>
      <w:tr w:rsidR="00D8454A" w:rsidRPr="00043A44" w14:paraId="5F6E5C63" w14:textId="77777777" w:rsidTr="008932D4">
        <w:trPr>
          <w:trHeight w:val="210"/>
          <w:jc w:val="center"/>
        </w:trPr>
        <w:tc>
          <w:tcPr>
            <w:tcW w:w="1980" w:type="dxa"/>
            <w:shd w:val="clear" w:color="auto" w:fill="auto"/>
            <w:tcMar>
              <w:top w:w="20" w:type="dxa"/>
              <w:left w:w="20" w:type="dxa"/>
              <w:bottom w:w="20" w:type="dxa"/>
              <w:right w:w="20" w:type="dxa"/>
            </w:tcMar>
            <w:vAlign w:val="center"/>
          </w:tcPr>
          <w:p w14:paraId="6A713C6B" w14:textId="77777777" w:rsidR="00D8454A" w:rsidRPr="00043A44" w:rsidRDefault="00D8454A" w:rsidP="008932D4">
            <w:pPr>
              <w:pStyle w:val="T1TableStyle"/>
              <w:rPr>
                <w:rFonts w:ascii="Verdana" w:eastAsia="Verdana" w:hAnsi="Verdana" w:cs="Verdana"/>
                <w:color w:val="000000"/>
                <w:sz w:val="16"/>
                <w:lang w:val="en-GB"/>
              </w:rPr>
            </w:pPr>
            <w:r w:rsidRPr="00043A44">
              <w:rPr>
                <w:rFonts w:ascii="Verdana" w:eastAsia="Verdana" w:hAnsi="Verdana" w:cs="Verdana"/>
                <w:color w:val="000000"/>
                <w:sz w:val="16"/>
                <w:lang w:val="en-GB"/>
              </w:rPr>
              <w:t>£150000- £200000</w:t>
            </w:r>
          </w:p>
        </w:tc>
        <w:tc>
          <w:tcPr>
            <w:tcW w:w="945" w:type="dxa"/>
            <w:shd w:val="clear" w:color="auto" w:fill="auto"/>
            <w:tcMar>
              <w:top w:w="20" w:type="dxa"/>
              <w:left w:w="20" w:type="dxa"/>
              <w:bottom w:w="20" w:type="dxa"/>
              <w:right w:w="20" w:type="dxa"/>
            </w:tcMar>
          </w:tcPr>
          <w:p w14:paraId="1527B53B" w14:textId="77777777" w:rsidR="00D8454A" w:rsidRPr="00043A44" w:rsidRDefault="00D8454A" w:rsidP="008932D4">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w:t>
            </w:r>
          </w:p>
        </w:tc>
        <w:tc>
          <w:tcPr>
            <w:tcW w:w="945" w:type="dxa"/>
            <w:shd w:val="clear" w:color="auto" w:fill="auto"/>
            <w:tcMar>
              <w:top w:w="20" w:type="dxa"/>
              <w:left w:w="20" w:type="dxa"/>
              <w:bottom w:w="20" w:type="dxa"/>
              <w:right w:w="20" w:type="dxa"/>
            </w:tcMar>
          </w:tcPr>
          <w:p w14:paraId="2F60628A" w14:textId="77777777" w:rsidR="00D8454A" w:rsidRPr="00043A44" w:rsidRDefault="00D8454A" w:rsidP="008932D4">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305" w:type="dxa"/>
            <w:shd w:val="clear" w:color="auto" w:fill="auto"/>
            <w:tcMar>
              <w:top w:w="20" w:type="dxa"/>
              <w:left w:w="20" w:type="dxa"/>
              <w:bottom w:w="20" w:type="dxa"/>
              <w:right w:w="20" w:type="dxa"/>
            </w:tcMar>
          </w:tcPr>
          <w:p w14:paraId="1FB11443" w14:textId="77777777" w:rsidR="00D8454A" w:rsidRPr="00043A44" w:rsidRDefault="00D8454A" w:rsidP="008932D4">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345,656</w:t>
            </w:r>
          </w:p>
        </w:tc>
        <w:tc>
          <w:tcPr>
            <w:tcW w:w="1305" w:type="dxa"/>
            <w:shd w:val="clear" w:color="auto" w:fill="auto"/>
            <w:tcMar>
              <w:top w:w="20" w:type="dxa"/>
              <w:left w:w="20" w:type="dxa"/>
              <w:bottom w:w="20" w:type="dxa"/>
              <w:right w:w="20" w:type="dxa"/>
            </w:tcMar>
          </w:tcPr>
          <w:p w14:paraId="676316CB" w14:textId="77777777" w:rsidR="00D8454A" w:rsidRPr="00043A44" w:rsidRDefault="00D8454A" w:rsidP="008932D4">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r>
      <w:tr w:rsidR="00D8454A" w:rsidRPr="00043A44" w14:paraId="5D43F505" w14:textId="77777777" w:rsidTr="008932D4">
        <w:trPr>
          <w:trHeight w:val="225"/>
          <w:jc w:val="center"/>
        </w:trPr>
        <w:tc>
          <w:tcPr>
            <w:tcW w:w="1980"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14:paraId="27DB185C" w14:textId="77777777" w:rsidR="00D8454A" w:rsidRPr="00043A44" w:rsidRDefault="00D8454A" w:rsidP="008932D4">
            <w:pPr>
              <w:pStyle w:val="T1TableStyle"/>
              <w:rPr>
                <w:rFonts w:ascii="Verdana" w:eastAsia="Verdana" w:hAnsi="Verdana" w:cs="Verdana"/>
                <w:b/>
                <w:color w:val="000000"/>
                <w:sz w:val="16"/>
                <w:lang w:val="en-GB"/>
              </w:rPr>
            </w:pPr>
            <w:r w:rsidRPr="00043A44">
              <w:rPr>
                <w:rFonts w:ascii="Verdana" w:eastAsia="Verdana" w:hAnsi="Verdana" w:cs="Verdana"/>
                <w:b/>
                <w:color w:val="000000"/>
                <w:sz w:val="16"/>
                <w:lang w:val="en-GB"/>
              </w:rPr>
              <w:t>Total</w:t>
            </w:r>
          </w:p>
        </w:tc>
        <w:tc>
          <w:tcPr>
            <w:tcW w:w="945" w:type="dxa"/>
            <w:tcBorders>
              <w:top w:val="single" w:sz="2" w:space="0" w:color="000000"/>
              <w:bottom w:val="single" w:sz="12" w:space="0" w:color="000000"/>
            </w:tcBorders>
            <w:shd w:val="clear" w:color="auto" w:fill="auto"/>
            <w:tcMar>
              <w:top w:w="20" w:type="dxa"/>
              <w:left w:w="20" w:type="dxa"/>
              <w:bottom w:w="20" w:type="dxa"/>
              <w:right w:w="20" w:type="dxa"/>
            </w:tcMar>
          </w:tcPr>
          <w:p w14:paraId="1B424576" w14:textId="77777777" w:rsidR="00D8454A" w:rsidRPr="00043A44" w:rsidRDefault="00D8454A" w:rsidP="008932D4">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11</w:t>
            </w:r>
          </w:p>
        </w:tc>
        <w:tc>
          <w:tcPr>
            <w:tcW w:w="945" w:type="dxa"/>
            <w:tcBorders>
              <w:top w:val="single" w:sz="2" w:space="0" w:color="000000"/>
              <w:bottom w:val="single" w:sz="12" w:space="0" w:color="000000"/>
            </w:tcBorders>
            <w:shd w:val="clear" w:color="auto" w:fill="auto"/>
            <w:tcMar>
              <w:top w:w="20" w:type="dxa"/>
              <w:left w:w="20" w:type="dxa"/>
              <w:bottom w:w="20" w:type="dxa"/>
              <w:right w:w="20" w:type="dxa"/>
            </w:tcMar>
          </w:tcPr>
          <w:p w14:paraId="586F70A5" w14:textId="77777777" w:rsidR="00D8454A" w:rsidRPr="00043A44" w:rsidRDefault="00D8454A" w:rsidP="008932D4">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3</w:t>
            </w:r>
          </w:p>
        </w:tc>
        <w:tc>
          <w:tcPr>
            <w:tcW w:w="1305" w:type="dxa"/>
            <w:tcBorders>
              <w:top w:val="single" w:sz="2" w:space="0" w:color="000000"/>
              <w:bottom w:val="single" w:sz="12" w:space="0" w:color="000000"/>
            </w:tcBorders>
            <w:shd w:val="clear" w:color="auto" w:fill="auto"/>
            <w:tcMar>
              <w:top w:w="20" w:type="dxa"/>
              <w:left w:w="20" w:type="dxa"/>
              <w:bottom w:w="20" w:type="dxa"/>
              <w:right w:w="20" w:type="dxa"/>
            </w:tcMar>
          </w:tcPr>
          <w:p w14:paraId="46414D4C" w14:textId="77777777" w:rsidR="00D8454A" w:rsidRPr="00043A44" w:rsidRDefault="00D8454A" w:rsidP="008932D4">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502,167</w:t>
            </w:r>
          </w:p>
        </w:tc>
        <w:tc>
          <w:tcPr>
            <w:tcW w:w="1305" w:type="dxa"/>
            <w:tcBorders>
              <w:top w:val="single" w:sz="2" w:space="0" w:color="000000"/>
              <w:bottom w:val="single" w:sz="12" w:space="0" w:color="000000"/>
            </w:tcBorders>
            <w:shd w:val="clear" w:color="auto" w:fill="auto"/>
            <w:tcMar>
              <w:top w:w="20" w:type="dxa"/>
              <w:left w:w="20" w:type="dxa"/>
              <w:bottom w:w="20" w:type="dxa"/>
              <w:right w:w="20" w:type="dxa"/>
            </w:tcMar>
          </w:tcPr>
          <w:p w14:paraId="523F30E7" w14:textId="77777777" w:rsidR="00D8454A" w:rsidRPr="00043A44" w:rsidRDefault="00D8454A" w:rsidP="008932D4">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41,218</w:t>
            </w:r>
          </w:p>
        </w:tc>
      </w:tr>
    </w:tbl>
    <w:p w14:paraId="131B9843" w14:textId="77777777" w:rsidR="00F96F86" w:rsidRPr="00514C09" w:rsidRDefault="00F96F86">
      <w:pPr>
        <w:pStyle w:val="T1TableStyle"/>
        <w:rPr>
          <w:rFonts w:ascii="Verdana" w:eastAsia="Verdana" w:hAnsi="Verdana" w:cs="Verdana"/>
          <w:sz w:val="22"/>
          <w:lang w:val="en-GB"/>
        </w:rPr>
      </w:pPr>
    </w:p>
    <w:p w14:paraId="24ACF4D8" w14:textId="77777777" w:rsidR="00F227D9" w:rsidRPr="00514C09" w:rsidRDefault="00F227D9">
      <w:pPr>
        <w:pStyle w:val="T1TableStyle"/>
        <w:rPr>
          <w:rFonts w:ascii="Verdana" w:eastAsia="Verdana" w:hAnsi="Verdana" w:cs="Verdana"/>
          <w:sz w:val="22"/>
          <w:lang w:val="en-GB"/>
        </w:rPr>
      </w:pPr>
    </w:p>
    <w:p w14:paraId="1A39C648" w14:textId="77777777" w:rsidR="00F227D9" w:rsidRPr="00514C09" w:rsidRDefault="00F227D9">
      <w:pPr>
        <w:pStyle w:val="Normal0"/>
        <w:spacing w:after="160" w:line="259" w:lineRule="auto"/>
        <w:rPr>
          <w:rFonts w:ascii="Verdana" w:eastAsia="Verdana" w:hAnsi="Verdana" w:cs="Verdana"/>
          <w:sz w:val="22"/>
          <w:szCs w:val="22"/>
          <w:lang w:val="en-GB"/>
        </w:rPr>
      </w:pPr>
      <w:r w:rsidRPr="00514C09">
        <w:rPr>
          <w:rFonts w:ascii="Verdana" w:eastAsia="Verdana" w:hAnsi="Verdana" w:cs="Verdana"/>
          <w:sz w:val="22"/>
          <w:szCs w:val="22"/>
          <w:lang w:val="en-GB"/>
        </w:rPr>
        <w:t>The numbers and total amounts of exit packages paid to employees were as shown in the table above. All payments were voluntary redundancies.</w:t>
      </w:r>
    </w:p>
    <w:p w14:paraId="69FC3E0B" w14:textId="77777777" w:rsidR="0027176B" w:rsidRDefault="0027176B" w:rsidP="001B66A5">
      <w:pPr>
        <w:pStyle w:val="Normal0"/>
        <w:jc w:val="both"/>
        <w:rPr>
          <w:rFonts w:ascii="Verdana" w:eastAsia="Times New Roman" w:hAnsi="Verdana" w:cs="Arial"/>
          <w:sz w:val="22"/>
          <w:szCs w:val="22"/>
          <w:highlight w:val="yellow"/>
          <w:lang w:val="en-GB" w:eastAsia="en-GB"/>
        </w:rPr>
      </w:pPr>
    </w:p>
    <w:p w14:paraId="0CE52589" w14:textId="77777777" w:rsidR="0027176B" w:rsidRDefault="0027176B" w:rsidP="001B66A5">
      <w:pPr>
        <w:pStyle w:val="Normal0"/>
        <w:jc w:val="both"/>
        <w:rPr>
          <w:rFonts w:ascii="Verdana" w:eastAsia="Times New Roman" w:hAnsi="Verdana" w:cs="Arial"/>
          <w:sz w:val="22"/>
          <w:szCs w:val="22"/>
          <w:highlight w:val="yellow"/>
          <w:lang w:val="en-GB" w:eastAsia="en-GB"/>
        </w:rPr>
      </w:pPr>
    </w:p>
    <w:p w14:paraId="4DDD9DB5" w14:textId="77777777" w:rsidR="0027176B" w:rsidRDefault="0027176B" w:rsidP="001B66A5">
      <w:pPr>
        <w:pStyle w:val="Normal0"/>
        <w:jc w:val="both"/>
        <w:rPr>
          <w:rFonts w:ascii="Verdana" w:eastAsia="Times New Roman" w:hAnsi="Verdana" w:cs="Arial"/>
          <w:sz w:val="22"/>
          <w:szCs w:val="22"/>
          <w:highlight w:val="yellow"/>
          <w:lang w:val="en-GB" w:eastAsia="en-GB"/>
        </w:rPr>
      </w:pPr>
    </w:p>
    <w:p w14:paraId="49F817A6" w14:textId="77777777" w:rsidR="0027176B" w:rsidRDefault="0027176B" w:rsidP="001B66A5">
      <w:pPr>
        <w:pStyle w:val="Normal0"/>
        <w:jc w:val="both"/>
        <w:rPr>
          <w:rFonts w:ascii="Verdana" w:eastAsia="Times New Roman" w:hAnsi="Verdana" w:cs="Arial"/>
          <w:sz w:val="22"/>
          <w:szCs w:val="22"/>
          <w:highlight w:val="yellow"/>
          <w:lang w:val="en-GB" w:eastAsia="en-GB"/>
        </w:rPr>
      </w:pPr>
    </w:p>
    <w:p w14:paraId="4DB00E8D" w14:textId="77777777" w:rsidR="0027176B" w:rsidRDefault="0027176B" w:rsidP="001B66A5">
      <w:pPr>
        <w:pStyle w:val="Normal0"/>
        <w:jc w:val="both"/>
        <w:rPr>
          <w:rFonts w:ascii="Verdana" w:eastAsia="Times New Roman" w:hAnsi="Verdana" w:cs="Arial"/>
          <w:sz w:val="22"/>
          <w:szCs w:val="22"/>
          <w:highlight w:val="yellow"/>
          <w:lang w:val="en-GB" w:eastAsia="en-GB"/>
        </w:rPr>
      </w:pPr>
    </w:p>
    <w:p w14:paraId="762B097E" w14:textId="77777777" w:rsidR="0027176B" w:rsidRDefault="0027176B" w:rsidP="001B66A5">
      <w:pPr>
        <w:pStyle w:val="Normal0"/>
        <w:jc w:val="both"/>
        <w:rPr>
          <w:rFonts w:ascii="Verdana" w:eastAsia="Times New Roman" w:hAnsi="Verdana" w:cs="Arial"/>
          <w:sz w:val="22"/>
          <w:szCs w:val="22"/>
          <w:highlight w:val="yellow"/>
          <w:lang w:val="en-GB" w:eastAsia="en-GB"/>
        </w:rPr>
      </w:pPr>
    </w:p>
    <w:p w14:paraId="6C18118B" w14:textId="77777777" w:rsidR="0027176B" w:rsidRDefault="0027176B" w:rsidP="001B66A5">
      <w:pPr>
        <w:pStyle w:val="Normal0"/>
        <w:jc w:val="both"/>
        <w:rPr>
          <w:rFonts w:ascii="Verdana" w:eastAsia="Times New Roman" w:hAnsi="Verdana" w:cs="Arial"/>
          <w:sz w:val="22"/>
          <w:szCs w:val="22"/>
          <w:highlight w:val="yellow"/>
          <w:lang w:val="en-GB" w:eastAsia="en-GB"/>
        </w:rPr>
      </w:pPr>
    </w:p>
    <w:p w14:paraId="7265FB8D" w14:textId="77777777" w:rsidR="0027176B" w:rsidRDefault="0027176B" w:rsidP="001B66A5">
      <w:pPr>
        <w:pStyle w:val="Normal0"/>
        <w:jc w:val="both"/>
        <w:rPr>
          <w:rFonts w:ascii="Verdana" w:eastAsia="Times New Roman" w:hAnsi="Verdana" w:cs="Arial"/>
          <w:sz w:val="22"/>
          <w:szCs w:val="22"/>
          <w:highlight w:val="yellow"/>
          <w:lang w:val="en-GB" w:eastAsia="en-GB"/>
        </w:rPr>
      </w:pPr>
    </w:p>
    <w:p w14:paraId="4D704C61" w14:textId="77777777" w:rsidR="0027176B" w:rsidRDefault="0027176B" w:rsidP="001B66A5">
      <w:pPr>
        <w:pStyle w:val="Normal0"/>
        <w:jc w:val="both"/>
        <w:rPr>
          <w:rFonts w:ascii="Verdana" w:eastAsia="Times New Roman" w:hAnsi="Verdana" w:cs="Arial"/>
          <w:sz w:val="22"/>
          <w:szCs w:val="22"/>
          <w:highlight w:val="yellow"/>
          <w:lang w:val="en-GB" w:eastAsia="en-GB"/>
        </w:rPr>
      </w:pPr>
    </w:p>
    <w:p w14:paraId="682EFE53" w14:textId="77777777" w:rsidR="0027176B" w:rsidRDefault="0027176B" w:rsidP="001B66A5">
      <w:pPr>
        <w:pStyle w:val="Normal0"/>
        <w:jc w:val="both"/>
        <w:rPr>
          <w:rFonts w:ascii="Verdana" w:eastAsia="Times New Roman" w:hAnsi="Verdana" w:cs="Arial"/>
          <w:sz w:val="22"/>
          <w:szCs w:val="22"/>
          <w:highlight w:val="yellow"/>
          <w:lang w:val="en-GB" w:eastAsia="en-GB"/>
        </w:rPr>
      </w:pPr>
    </w:p>
    <w:p w14:paraId="6DDFB53A" w14:textId="77777777" w:rsidR="0027176B" w:rsidRPr="00DC1077" w:rsidRDefault="0027176B" w:rsidP="001B66A5">
      <w:pPr>
        <w:pStyle w:val="Normal0"/>
        <w:jc w:val="both"/>
        <w:rPr>
          <w:rFonts w:ascii="Verdana" w:eastAsia="Times New Roman" w:hAnsi="Verdana" w:cs="Arial"/>
          <w:sz w:val="22"/>
          <w:szCs w:val="22"/>
          <w:highlight w:val="yellow"/>
          <w:lang w:val="en-GB" w:eastAsia="en-GB"/>
        </w:rPr>
      </w:pPr>
    </w:p>
    <w:p w14:paraId="3A3874AC" w14:textId="77777777" w:rsidR="00F96F86" w:rsidRPr="00DC1077" w:rsidRDefault="00F96F86">
      <w:pPr>
        <w:pStyle w:val="Normal0"/>
        <w:spacing w:after="160" w:line="259" w:lineRule="auto"/>
        <w:rPr>
          <w:rFonts w:ascii="Verdana" w:eastAsia="Verdana" w:hAnsi="Verdana" w:cs="Verdana"/>
          <w:sz w:val="22"/>
          <w:szCs w:val="22"/>
          <w:highlight w:val="yellow"/>
          <w:lang w:val="en-GB"/>
        </w:rPr>
      </w:pPr>
    </w:p>
    <w:p w14:paraId="22E0B50A" w14:textId="77777777" w:rsidR="002A45A6" w:rsidRPr="009B5BC9" w:rsidRDefault="00F227D9" w:rsidP="00F227D9">
      <w:pPr>
        <w:pStyle w:val="Heading1"/>
        <w:spacing w:after="240"/>
        <w:rPr>
          <w:lang w:val="pt-BR"/>
        </w:rPr>
      </w:pPr>
      <w:bookmarkStart w:id="23" w:name="_Toc77095574"/>
      <w:r w:rsidRPr="009B5BC9">
        <w:rPr>
          <w:lang w:val="pt-BR"/>
        </w:rPr>
        <w:t>Note 15 - External Audit Costs</w:t>
      </w:r>
      <w:bookmarkEnd w:id="23"/>
      <w:r w:rsidRPr="009B5BC9">
        <w:rPr>
          <w:lang w:val="pt-BR"/>
        </w:rPr>
        <w:t xml:space="preserve"> </w:t>
      </w:r>
    </w:p>
    <w:p w14:paraId="218E1035" w14:textId="77777777" w:rsidR="00A83F24" w:rsidRPr="00B03A8D" w:rsidRDefault="00A83F24" w:rsidP="00A83F24">
      <w:pPr>
        <w:pStyle w:val="Normal0"/>
        <w:spacing w:after="160"/>
        <w:rPr>
          <w:rFonts w:ascii="Verdana" w:eastAsia="Verdana" w:hAnsi="Verdana" w:cs="Verdana"/>
          <w:sz w:val="22"/>
          <w:szCs w:val="22"/>
          <w:lang w:val="en-GB"/>
        </w:rPr>
      </w:pPr>
      <w:r w:rsidRPr="00B03A8D">
        <w:rPr>
          <w:rFonts w:ascii="Verdana" w:eastAsia="Verdana" w:hAnsi="Verdana" w:cs="Verdana"/>
          <w:sz w:val="22"/>
          <w:szCs w:val="22"/>
          <w:lang w:val="en-GB"/>
        </w:rPr>
        <w:t>The Chief Constable incurred the following costs in relation to the audit of the Statement of Accounts services provided by external auditors to the Chief Constable:</w:t>
      </w:r>
    </w:p>
    <w:p w14:paraId="62109758" w14:textId="77777777" w:rsidR="009B5BC9" w:rsidRPr="009B5BC9" w:rsidRDefault="009B5BC9" w:rsidP="009B5BC9">
      <w:pPr>
        <w:rPr>
          <w:highlight w:val="yellow"/>
          <w:lang w:val="pt-BR"/>
        </w:rPr>
      </w:pPr>
    </w:p>
    <w:tbl>
      <w:tblPr>
        <w:tblW w:w="5578" w:type="dxa"/>
        <w:tblInd w:w="1368" w:type="dxa"/>
        <w:tblLook w:val="04A0" w:firstRow="1" w:lastRow="0" w:firstColumn="1" w:lastColumn="0" w:noHBand="0" w:noVBand="1"/>
      </w:tblPr>
      <w:tblGrid>
        <w:gridCol w:w="1009"/>
        <w:gridCol w:w="3560"/>
        <w:gridCol w:w="1009"/>
      </w:tblGrid>
      <w:tr w:rsidR="009B5BC9" w:rsidRPr="009B5BC9" w14:paraId="41DF84D8" w14:textId="77777777" w:rsidTr="00DF7ACC">
        <w:trPr>
          <w:trHeight w:val="288"/>
        </w:trPr>
        <w:tc>
          <w:tcPr>
            <w:tcW w:w="1009" w:type="dxa"/>
            <w:tcBorders>
              <w:top w:val="nil"/>
              <w:left w:val="nil"/>
              <w:bottom w:val="nil"/>
              <w:right w:val="nil"/>
            </w:tcBorders>
            <w:shd w:val="clear" w:color="000000" w:fill="FFFFFF"/>
            <w:noWrap/>
            <w:vAlign w:val="center"/>
            <w:hideMark/>
          </w:tcPr>
          <w:p w14:paraId="318AFFDC" w14:textId="77777777" w:rsidR="009B5BC9" w:rsidRPr="009B5BC9" w:rsidRDefault="009B5BC9" w:rsidP="009B5BC9">
            <w:pPr>
              <w:jc w:val="center"/>
              <w:rPr>
                <w:rFonts w:ascii="Verdana" w:eastAsia="Times New Roman" w:hAnsi="Verdana" w:cs="Calibri"/>
                <w:b/>
                <w:bCs/>
                <w:color w:val="000000"/>
                <w:sz w:val="16"/>
                <w:szCs w:val="16"/>
                <w:lang w:val="en-GB" w:eastAsia="en-GB"/>
              </w:rPr>
            </w:pPr>
            <w:r w:rsidRPr="009B5BC9">
              <w:rPr>
                <w:rFonts w:ascii="Verdana" w:eastAsia="Times New Roman" w:hAnsi="Verdana" w:cs="Calibri"/>
                <w:b/>
                <w:bCs/>
                <w:color w:val="000000"/>
                <w:sz w:val="16"/>
                <w:szCs w:val="16"/>
                <w:lang w:val="en-GB" w:eastAsia="en-GB"/>
              </w:rPr>
              <w:t>2019/20</w:t>
            </w:r>
          </w:p>
        </w:tc>
        <w:tc>
          <w:tcPr>
            <w:tcW w:w="3560" w:type="dxa"/>
            <w:tcBorders>
              <w:top w:val="nil"/>
              <w:left w:val="nil"/>
              <w:bottom w:val="nil"/>
              <w:right w:val="nil"/>
            </w:tcBorders>
            <w:shd w:val="clear" w:color="000000" w:fill="FFFFFF"/>
            <w:noWrap/>
            <w:vAlign w:val="center"/>
            <w:hideMark/>
          </w:tcPr>
          <w:p w14:paraId="3C865C2F" w14:textId="77777777" w:rsidR="009B5BC9" w:rsidRPr="009B5BC9" w:rsidRDefault="009B5BC9" w:rsidP="009B5BC9">
            <w:pPr>
              <w:ind w:firstLineChars="100" w:firstLine="161"/>
              <w:rPr>
                <w:rFonts w:ascii="Verdana" w:eastAsia="Times New Roman" w:hAnsi="Verdana" w:cs="Calibri"/>
                <w:b/>
                <w:bCs/>
                <w:color w:val="000000"/>
                <w:sz w:val="16"/>
                <w:szCs w:val="16"/>
                <w:lang w:val="en-GB" w:eastAsia="en-GB"/>
              </w:rPr>
            </w:pPr>
            <w:r w:rsidRPr="009B5BC9">
              <w:rPr>
                <w:rFonts w:ascii="Verdana" w:eastAsia="Times New Roman" w:hAnsi="Verdana" w:cs="Calibri"/>
                <w:b/>
                <w:bCs/>
                <w:color w:val="000000"/>
                <w:sz w:val="16"/>
                <w:szCs w:val="16"/>
                <w:lang w:val="en-GB" w:eastAsia="en-GB"/>
              </w:rPr>
              <w:t> </w:t>
            </w:r>
          </w:p>
        </w:tc>
        <w:tc>
          <w:tcPr>
            <w:tcW w:w="1009" w:type="dxa"/>
            <w:tcBorders>
              <w:top w:val="nil"/>
              <w:left w:val="nil"/>
              <w:bottom w:val="nil"/>
              <w:right w:val="nil"/>
            </w:tcBorders>
            <w:shd w:val="clear" w:color="000000" w:fill="FFFFFF"/>
            <w:noWrap/>
            <w:vAlign w:val="center"/>
            <w:hideMark/>
          </w:tcPr>
          <w:p w14:paraId="098B58EF" w14:textId="77777777" w:rsidR="009B5BC9" w:rsidRPr="009B5BC9" w:rsidRDefault="009B5BC9" w:rsidP="009B5BC9">
            <w:pPr>
              <w:jc w:val="center"/>
              <w:rPr>
                <w:rFonts w:ascii="Verdana" w:eastAsia="Times New Roman" w:hAnsi="Verdana" w:cs="Calibri"/>
                <w:b/>
                <w:bCs/>
                <w:color w:val="000000"/>
                <w:sz w:val="16"/>
                <w:szCs w:val="16"/>
                <w:lang w:val="en-GB" w:eastAsia="en-GB"/>
              </w:rPr>
            </w:pPr>
            <w:r w:rsidRPr="009B5BC9">
              <w:rPr>
                <w:rFonts w:ascii="Verdana" w:eastAsia="Times New Roman" w:hAnsi="Verdana" w:cs="Calibri"/>
                <w:b/>
                <w:bCs/>
                <w:color w:val="000000"/>
                <w:sz w:val="16"/>
                <w:szCs w:val="16"/>
                <w:lang w:val="en-GB" w:eastAsia="en-GB"/>
              </w:rPr>
              <w:t>2020/21</w:t>
            </w:r>
          </w:p>
        </w:tc>
      </w:tr>
      <w:tr w:rsidR="009B5BC9" w:rsidRPr="009B5BC9" w14:paraId="4F9C3DF4" w14:textId="77777777" w:rsidTr="00DF7ACC">
        <w:trPr>
          <w:trHeight w:val="300"/>
        </w:trPr>
        <w:tc>
          <w:tcPr>
            <w:tcW w:w="1009" w:type="dxa"/>
            <w:tcBorders>
              <w:top w:val="nil"/>
              <w:left w:val="nil"/>
              <w:bottom w:val="single" w:sz="8" w:space="0" w:color="auto"/>
              <w:right w:val="nil"/>
            </w:tcBorders>
            <w:shd w:val="clear" w:color="000000" w:fill="FFFFFF"/>
            <w:noWrap/>
            <w:vAlign w:val="center"/>
            <w:hideMark/>
          </w:tcPr>
          <w:p w14:paraId="3F6A5FA0" w14:textId="77777777" w:rsidR="009B5BC9" w:rsidRPr="009B5BC9" w:rsidRDefault="009B5BC9" w:rsidP="009B5BC9">
            <w:pPr>
              <w:jc w:val="center"/>
              <w:rPr>
                <w:rFonts w:ascii="Verdana" w:eastAsia="Times New Roman" w:hAnsi="Verdana" w:cs="Calibri"/>
                <w:b/>
                <w:bCs/>
                <w:color w:val="000000"/>
                <w:sz w:val="16"/>
                <w:szCs w:val="16"/>
                <w:lang w:val="en-GB" w:eastAsia="en-GB"/>
              </w:rPr>
            </w:pPr>
            <w:r w:rsidRPr="009B5BC9">
              <w:rPr>
                <w:rFonts w:ascii="Verdana" w:eastAsia="Times New Roman" w:hAnsi="Verdana" w:cs="Calibri"/>
                <w:b/>
                <w:bCs/>
                <w:color w:val="000000"/>
                <w:sz w:val="16"/>
                <w:szCs w:val="16"/>
                <w:lang w:val="en-GB" w:eastAsia="en-GB"/>
              </w:rPr>
              <w:t>£0</w:t>
            </w:r>
          </w:p>
        </w:tc>
        <w:tc>
          <w:tcPr>
            <w:tcW w:w="3560" w:type="dxa"/>
            <w:tcBorders>
              <w:top w:val="nil"/>
              <w:left w:val="nil"/>
              <w:bottom w:val="single" w:sz="8" w:space="0" w:color="auto"/>
              <w:right w:val="nil"/>
            </w:tcBorders>
            <w:shd w:val="clear" w:color="000000" w:fill="FFFFFF"/>
            <w:noWrap/>
            <w:vAlign w:val="center"/>
            <w:hideMark/>
          </w:tcPr>
          <w:p w14:paraId="6EE34D5F" w14:textId="77777777" w:rsidR="009B5BC9" w:rsidRPr="009B5BC9" w:rsidRDefault="009B5BC9" w:rsidP="009B5BC9">
            <w:pPr>
              <w:ind w:firstLineChars="100" w:firstLine="160"/>
              <w:rPr>
                <w:rFonts w:ascii="Verdana" w:eastAsia="Times New Roman" w:hAnsi="Verdana" w:cs="Calibri"/>
                <w:color w:val="000000"/>
                <w:sz w:val="16"/>
                <w:szCs w:val="16"/>
                <w:lang w:val="en-GB" w:eastAsia="en-GB"/>
              </w:rPr>
            </w:pPr>
            <w:r w:rsidRPr="009B5BC9">
              <w:rPr>
                <w:rFonts w:ascii="Verdana" w:eastAsia="Times New Roman" w:hAnsi="Verdana" w:cs="Calibri"/>
                <w:color w:val="000000"/>
                <w:sz w:val="16"/>
                <w:szCs w:val="16"/>
                <w:lang w:val="en-GB" w:eastAsia="en-GB"/>
              </w:rPr>
              <w:t> </w:t>
            </w:r>
          </w:p>
        </w:tc>
        <w:tc>
          <w:tcPr>
            <w:tcW w:w="1009" w:type="dxa"/>
            <w:tcBorders>
              <w:top w:val="nil"/>
              <w:left w:val="nil"/>
              <w:bottom w:val="single" w:sz="8" w:space="0" w:color="auto"/>
              <w:right w:val="nil"/>
            </w:tcBorders>
            <w:shd w:val="clear" w:color="000000" w:fill="FFFFFF"/>
            <w:noWrap/>
            <w:vAlign w:val="center"/>
            <w:hideMark/>
          </w:tcPr>
          <w:p w14:paraId="211C23F5" w14:textId="77777777" w:rsidR="009B5BC9" w:rsidRPr="009B5BC9" w:rsidRDefault="009B5BC9" w:rsidP="009B5BC9">
            <w:pPr>
              <w:jc w:val="center"/>
              <w:rPr>
                <w:rFonts w:ascii="Verdana" w:eastAsia="Times New Roman" w:hAnsi="Verdana" w:cs="Calibri"/>
                <w:b/>
                <w:bCs/>
                <w:color w:val="000000"/>
                <w:sz w:val="16"/>
                <w:szCs w:val="16"/>
                <w:lang w:val="en-GB" w:eastAsia="en-GB"/>
              </w:rPr>
            </w:pPr>
            <w:r w:rsidRPr="009B5BC9">
              <w:rPr>
                <w:rFonts w:ascii="Verdana" w:eastAsia="Times New Roman" w:hAnsi="Verdana" w:cs="Calibri"/>
                <w:b/>
                <w:bCs/>
                <w:color w:val="000000"/>
                <w:sz w:val="16"/>
                <w:szCs w:val="16"/>
                <w:lang w:val="en-GB" w:eastAsia="en-GB"/>
              </w:rPr>
              <w:t>£0</w:t>
            </w:r>
          </w:p>
        </w:tc>
      </w:tr>
      <w:tr w:rsidR="009B5BC9" w:rsidRPr="009B5BC9" w14:paraId="3BE3D156" w14:textId="77777777" w:rsidTr="00514C09">
        <w:trPr>
          <w:trHeight w:val="50"/>
        </w:trPr>
        <w:tc>
          <w:tcPr>
            <w:tcW w:w="1009" w:type="dxa"/>
            <w:tcBorders>
              <w:top w:val="nil"/>
              <w:left w:val="nil"/>
              <w:bottom w:val="nil"/>
              <w:right w:val="nil"/>
            </w:tcBorders>
            <w:shd w:val="clear" w:color="000000" w:fill="FFFFFF"/>
            <w:noWrap/>
            <w:vAlign w:val="center"/>
            <w:hideMark/>
          </w:tcPr>
          <w:p w14:paraId="38018C36" w14:textId="77777777" w:rsidR="009B5BC9" w:rsidRPr="009B5BC9" w:rsidRDefault="009B5BC9" w:rsidP="009B5BC9">
            <w:pPr>
              <w:jc w:val="center"/>
              <w:rPr>
                <w:rFonts w:ascii="Verdana" w:eastAsia="Times New Roman" w:hAnsi="Verdana" w:cs="Calibri"/>
                <w:b/>
                <w:bCs/>
                <w:color w:val="000000"/>
                <w:sz w:val="16"/>
                <w:szCs w:val="16"/>
                <w:lang w:val="en-GB" w:eastAsia="en-GB"/>
              </w:rPr>
            </w:pPr>
            <w:r w:rsidRPr="009B5BC9">
              <w:rPr>
                <w:rFonts w:ascii="Verdana" w:eastAsia="Times New Roman" w:hAnsi="Verdana" w:cs="Calibri"/>
                <w:b/>
                <w:bCs/>
                <w:color w:val="000000"/>
                <w:sz w:val="16"/>
                <w:szCs w:val="16"/>
                <w:lang w:val="en-GB" w:eastAsia="en-GB"/>
              </w:rPr>
              <w:t> </w:t>
            </w:r>
          </w:p>
        </w:tc>
        <w:tc>
          <w:tcPr>
            <w:tcW w:w="3560" w:type="dxa"/>
            <w:tcBorders>
              <w:top w:val="nil"/>
              <w:left w:val="nil"/>
              <w:bottom w:val="nil"/>
              <w:right w:val="nil"/>
            </w:tcBorders>
            <w:shd w:val="clear" w:color="000000" w:fill="FFFFFF"/>
            <w:noWrap/>
            <w:vAlign w:val="center"/>
            <w:hideMark/>
          </w:tcPr>
          <w:p w14:paraId="2E6CD3E7" w14:textId="77777777" w:rsidR="009B5BC9" w:rsidRPr="009B5BC9" w:rsidRDefault="009B5BC9" w:rsidP="009B5BC9">
            <w:pPr>
              <w:ind w:firstLineChars="100" w:firstLine="160"/>
              <w:rPr>
                <w:rFonts w:ascii="Verdana" w:eastAsia="Times New Roman" w:hAnsi="Verdana" w:cs="Calibri"/>
                <w:color w:val="000000"/>
                <w:sz w:val="16"/>
                <w:szCs w:val="16"/>
                <w:lang w:val="en-GB" w:eastAsia="en-GB"/>
              </w:rPr>
            </w:pPr>
            <w:r w:rsidRPr="009B5BC9">
              <w:rPr>
                <w:rFonts w:ascii="Verdana" w:eastAsia="Times New Roman" w:hAnsi="Verdana" w:cs="Calibri"/>
                <w:color w:val="000000"/>
                <w:sz w:val="16"/>
                <w:szCs w:val="16"/>
                <w:lang w:val="en-GB" w:eastAsia="en-GB"/>
              </w:rPr>
              <w:t> </w:t>
            </w:r>
          </w:p>
        </w:tc>
        <w:tc>
          <w:tcPr>
            <w:tcW w:w="1009" w:type="dxa"/>
            <w:tcBorders>
              <w:top w:val="nil"/>
              <w:left w:val="nil"/>
              <w:bottom w:val="nil"/>
              <w:right w:val="nil"/>
            </w:tcBorders>
            <w:shd w:val="clear" w:color="000000" w:fill="FFFFFF"/>
            <w:noWrap/>
            <w:vAlign w:val="center"/>
            <w:hideMark/>
          </w:tcPr>
          <w:p w14:paraId="200A080E" w14:textId="77777777" w:rsidR="009B5BC9" w:rsidRPr="009B5BC9" w:rsidRDefault="009B5BC9" w:rsidP="009B5BC9">
            <w:pPr>
              <w:jc w:val="center"/>
              <w:rPr>
                <w:rFonts w:ascii="Verdana" w:eastAsia="Times New Roman" w:hAnsi="Verdana" w:cs="Calibri"/>
                <w:b/>
                <w:bCs/>
                <w:color w:val="000000"/>
                <w:sz w:val="16"/>
                <w:szCs w:val="16"/>
                <w:lang w:val="en-GB" w:eastAsia="en-GB"/>
              </w:rPr>
            </w:pPr>
            <w:r w:rsidRPr="009B5BC9">
              <w:rPr>
                <w:rFonts w:ascii="Verdana" w:eastAsia="Times New Roman" w:hAnsi="Verdana" w:cs="Calibri"/>
                <w:b/>
                <w:bCs/>
                <w:color w:val="000000"/>
                <w:sz w:val="16"/>
                <w:szCs w:val="16"/>
                <w:lang w:val="en-GB" w:eastAsia="en-GB"/>
              </w:rPr>
              <w:t> </w:t>
            </w:r>
          </w:p>
        </w:tc>
      </w:tr>
      <w:tr w:rsidR="009B5BC9" w:rsidRPr="009B5BC9" w14:paraId="6E23B5F4" w14:textId="77777777" w:rsidTr="00514C09">
        <w:trPr>
          <w:trHeight w:val="70"/>
        </w:trPr>
        <w:tc>
          <w:tcPr>
            <w:tcW w:w="1009" w:type="dxa"/>
            <w:tcBorders>
              <w:top w:val="nil"/>
              <w:left w:val="nil"/>
              <w:bottom w:val="nil"/>
              <w:right w:val="nil"/>
            </w:tcBorders>
            <w:shd w:val="clear" w:color="000000" w:fill="FFFFFF"/>
            <w:noWrap/>
            <w:vAlign w:val="center"/>
            <w:hideMark/>
          </w:tcPr>
          <w:p w14:paraId="2DE29853" w14:textId="77777777" w:rsidR="009B5BC9" w:rsidRPr="009B5BC9" w:rsidRDefault="009B5BC9" w:rsidP="009B5BC9">
            <w:pPr>
              <w:jc w:val="center"/>
              <w:rPr>
                <w:rFonts w:ascii="Verdana" w:eastAsia="Times New Roman" w:hAnsi="Verdana" w:cs="Calibri"/>
                <w:b/>
                <w:bCs/>
                <w:color w:val="000000"/>
                <w:sz w:val="16"/>
                <w:szCs w:val="16"/>
                <w:lang w:val="en-GB" w:eastAsia="en-GB"/>
              </w:rPr>
            </w:pPr>
            <w:r w:rsidRPr="009B5BC9">
              <w:rPr>
                <w:rFonts w:ascii="Verdana" w:eastAsia="Times New Roman" w:hAnsi="Verdana" w:cs="Calibri"/>
                <w:b/>
                <w:bCs/>
                <w:color w:val="000000"/>
                <w:sz w:val="16"/>
                <w:szCs w:val="16"/>
                <w:lang w:val="en-GB" w:eastAsia="en-GB"/>
              </w:rPr>
              <w:t> </w:t>
            </w:r>
          </w:p>
        </w:tc>
        <w:tc>
          <w:tcPr>
            <w:tcW w:w="3560" w:type="dxa"/>
            <w:tcBorders>
              <w:top w:val="nil"/>
              <w:left w:val="nil"/>
              <w:bottom w:val="nil"/>
              <w:right w:val="nil"/>
            </w:tcBorders>
            <w:shd w:val="clear" w:color="000000" w:fill="FFFFFF"/>
            <w:noWrap/>
            <w:vAlign w:val="center"/>
            <w:hideMark/>
          </w:tcPr>
          <w:p w14:paraId="68FA77F3" w14:textId="77777777" w:rsidR="009B5BC9" w:rsidRPr="009B5BC9" w:rsidRDefault="009B5BC9" w:rsidP="009B5BC9">
            <w:pPr>
              <w:ind w:firstLineChars="100" w:firstLine="160"/>
              <w:rPr>
                <w:rFonts w:ascii="Verdana" w:eastAsia="Times New Roman" w:hAnsi="Verdana" w:cs="Calibri"/>
                <w:color w:val="000000"/>
                <w:sz w:val="16"/>
                <w:szCs w:val="16"/>
                <w:lang w:val="en-GB" w:eastAsia="en-GB"/>
              </w:rPr>
            </w:pPr>
            <w:r w:rsidRPr="009B5BC9">
              <w:rPr>
                <w:rFonts w:ascii="Verdana" w:eastAsia="Times New Roman" w:hAnsi="Verdana" w:cs="Calibri"/>
                <w:color w:val="000000"/>
                <w:sz w:val="16"/>
                <w:szCs w:val="16"/>
                <w:lang w:val="en-GB" w:eastAsia="en-GB"/>
              </w:rPr>
              <w:t> </w:t>
            </w:r>
          </w:p>
        </w:tc>
        <w:tc>
          <w:tcPr>
            <w:tcW w:w="1009" w:type="dxa"/>
            <w:tcBorders>
              <w:top w:val="nil"/>
              <w:left w:val="nil"/>
              <w:bottom w:val="nil"/>
              <w:right w:val="nil"/>
            </w:tcBorders>
            <w:shd w:val="clear" w:color="000000" w:fill="FFFFFF"/>
            <w:noWrap/>
            <w:vAlign w:val="center"/>
            <w:hideMark/>
          </w:tcPr>
          <w:p w14:paraId="6BD89046" w14:textId="77777777" w:rsidR="009B5BC9" w:rsidRPr="009B5BC9" w:rsidRDefault="009B5BC9" w:rsidP="009B5BC9">
            <w:pPr>
              <w:jc w:val="center"/>
              <w:rPr>
                <w:rFonts w:ascii="Verdana" w:eastAsia="Times New Roman" w:hAnsi="Verdana" w:cs="Calibri"/>
                <w:b/>
                <w:bCs/>
                <w:color w:val="000000"/>
                <w:sz w:val="16"/>
                <w:szCs w:val="16"/>
                <w:lang w:val="en-GB" w:eastAsia="en-GB"/>
              </w:rPr>
            </w:pPr>
            <w:r w:rsidRPr="009B5BC9">
              <w:rPr>
                <w:rFonts w:ascii="Verdana" w:eastAsia="Times New Roman" w:hAnsi="Verdana" w:cs="Calibri"/>
                <w:b/>
                <w:bCs/>
                <w:color w:val="000000"/>
                <w:sz w:val="16"/>
                <w:szCs w:val="16"/>
                <w:lang w:val="en-GB" w:eastAsia="en-GB"/>
              </w:rPr>
              <w:t> </w:t>
            </w:r>
          </w:p>
        </w:tc>
      </w:tr>
      <w:tr w:rsidR="009B5BC9" w:rsidRPr="009B5BC9" w14:paraId="6B971F51" w14:textId="77777777" w:rsidTr="00DF7ACC">
        <w:trPr>
          <w:trHeight w:val="612"/>
        </w:trPr>
        <w:tc>
          <w:tcPr>
            <w:tcW w:w="1009" w:type="dxa"/>
            <w:tcBorders>
              <w:top w:val="nil"/>
              <w:left w:val="nil"/>
              <w:bottom w:val="nil"/>
              <w:right w:val="nil"/>
            </w:tcBorders>
            <w:shd w:val="clear" w:color="000000" w:fill="FFFFFF"/>
            <w:noWrap/>
            <w:vAlign w:val="center"/>
            <w:hideMark/>
          </w:tcPr>
          <w:p w14:paraId="6B083A77" w14:textId="2F01B149" w:rsidR="009B5BC9" w:rsidRPr="009B5BC9" w:rsidRDefault="009B5BC9" w:rsidP="00514C09">
            <w:pPr>
              <w:ind w:firstLineChars="100" w:firstLine="160"/>
              <w:jc w:val="right"/>
              <w:rPr>
                <w:rFonts w:ascii="Verdana" w:eastAsia="Times New Roman" w:hAnsi="Verdana" w:cs="Calibri"/>
                <w:color w:val="000000"/>
                <w:sz w:val="16"/>
                <w:szCs w:val="16"/>
                <w:lang w:val="en-GB" w:eastAsia="en-GB"/>
              </w:rPr>
            </w:pPr>
            <w:r w:rsidRPr="009B5BC9">
              <w:rPr>
                <w:rFonts w:ascii="Verdana" w:eastAsia="Times New Roman" w:hAnsi="Verdana" w:cs="Calibri"/>
                <w:color w:val="000000"/>
                <w:sz w:val="16"/>
                <w:szCs w:val="16"/>
                <w:lang w:val="en-GB" w:eastAsia="en-GB"/>
              </w:rPr>
              <w:t>11.</w:t>
            </w:r>
            <w:r w:rsidR="00514C09">
              <w:rPr>
                <w:rFonts w:ascii="Verdana" w:eastAsia="Times New Roman" w:hAnsi="Verdana" w:cs="Calibri"/>
                <w:color w:val="000000"/>
                <w:sz w:val="16"/>
                <w:szCs w:val="16"/>
                <w:lang w:val="en-GB" w:eastAsia="en-GB"/>
              </w:rPr>
              <w:t>6</w:t>
            </w:r>
          </w:p>
        </w:tc>
        <w:tc>
          <w:tcPr>
            <w:tcW w:w="3560" w:type="dxa"/>
            <w:tcBorders>
              <w:top w:val="nil"/>
              <w:left w:val="nil"/>
              <w:bottom w:val="nil"/>
              <w:right w:val="nil"/>
            </w:tcBorders>
            <w:shd w:val="clear" w:color="000000" w:fill="FFFFFF"/>
            <w:vAlign w:val="center"/>
            <w:hideMark/>
          </w:tcPr>
          <w:p w14:paraId="35B7C591" w14:textId="77777777" w:rsidR="009B5BC9" w:rsidRPr="009B5BC9" w:rsidRDefault="009B5BC9" w:rsidP="009B5BC9">
            <w:pPr>
              <w:rPr>
                <w:rFonts w:ascii="Verdana" w:eastAsia="Times New Roman" w:hAnsi="Verdana" w:cs="Calibri"/>
                <w:color w:val="000000"/>
                <w:sz w:val="16"/>
                <w:szCs w:val="16"/>
                <w:lang w:val="en-GB" w:eastAsia="en-GB"/>
              </w:rPr>
            </w:pPr>
            <w:r w:rsidRPr="009B5BC9">
              <w:rPr>
                <w:rFonts w:ascii="Verdana" w:eastAsia="Times New Roman" w:hAnsi="Verdana" w:cs="Calibri"/>
                <w:color w:val="000000"/>
                <w:sz w:val="16"/>
                <w:szCs w:val="16"/>
                <w:lang w:val="en-GB" w:eastAsia="en-GB"/>
              </w:rPr>
              <w:t>Fees payable to Ernst &amp; Young with regard to  external audit services carried out by the appointed auditor for the year</w:t>
            </w:r>
          </w:p>
        </w:tc>
        <w:tc>
          <w:tcPr>
            <w:tcW w:w="1009" w:type="dxa"/>
            <w:tcBorders>
              <w:top w:val="nil"/>
              <w:left w:val="nil"/>
              <w:bottom w:val="nil"/>
              <w:right w:val="nil"/>
            </w:tcBorders>
            <w:shd w:val="clear" w:color="000000" w:fill="FFFFFF"/>
            <w:noWrap/>
            <w:vAlign w:val="center"/>
            <w:hideMark/>
          </w:tcPr>
          <w:p w14:paraId="66231986" w14:textId="60A9FE52" w:rsidR="009B5BC9" w:rsidRPr="009B5BC9" w:rsidRDefault="009B5BC9" w:rsidP="00514C09">
            <w:pPr>
              <w:ind w:firstLineChars="100" w:firstLine="160"/>
              <w:jc w:val="right"/>
              <w:rPr>
                <w:rFonts w:ascii="Verdana" w:eastAsia="Times New Roman" w:hAnsi="Verdana" w:cs="Calibri"/>
                <w:color w:val="000000"/>
                <w:sz w:val="16"/>
                <w:szCs w:val="16"/>
                <w:lang w:val="en-GB" w:eastAsia="en-GB"/>
              </w:rPr>
            </w:pPr>
            <w:r w:rsidRPr="009B5BC9">
              <w:rPr>
                <w:rFonts w:ascii="Verdana" w:eastAsia="Times New Roman" w:hAnsi="Verdana" w:cs="Calibri"/>
                <w:color w:val="000000"/>
                <w:sz w:val="16"/>
                <w:szCs w:val="16"/>
                <w:lang w:val="en-GB" w:eastAsia="en-GB"/>
              </w:rPr>
              <w:t>11.</w:t>
            </w:r>
            <w:r w:rsidR="00514C09">
              <w:rPr>
                <w:rFonts w:ascii="Verdana" w:eastAsia="Times New Roman" w:hAnsi="Verdana" w:cs="Calibri"/>
                <w:color w:val="000000"/>
                <w:sz w:val="16"/>
                <w:szCs w:val="16"/>
                <w:lang w:val="en-GB" w:eastAsia="en-GB"/>
              </w:rPr>
              <w:t>6</w:t>
            </w:r>
          </w:p>
        </w:tc>
      </w:tr>
      <w:tr w:rsidR="009B5BC9" w:rsidRPr="009B5BC9" w14:paraId="6D873911" w14:textId="77777777" w:rsidTr="00DF7ACC">
        <w:trPr>
          <w:trHeight w:val="288"/>
        </w:trPr>
        <w:tc>
          <w:tcPr>
            <w:tcW w:w="1009" w:type="dxa"/>
            <w:tcBorders>
              <w:top w:val="nil"/>
              <w:left w:val="nil"/>
              <w:bottom w:val="nil"/>
              <w:right w:val="nil"/>
            </w:tcBorders>
            <w:shd w:val="clear" w:color="000000" w:fill="FFFFFF"/>
            <w:noWrap/>
            <w:vAlign w:val="center"/>
            <w:hideMark/>
          </w:tcPr>
          <w:p w14:paraId="1F994703" w14:textId="77777777" w:rsidR="009B5BC9" w:rsidRPr="009B5BC9" w:rsidRDefault="009B5BC9" w:rsidP="009B5BC9">
            <w:pPr>
              <w:rPr>
                <w:rFonts w:ascii="Verdana" w:eastAsia="Times New Roman" w:hAnsi="Verdana" w:cs="Calibri"/>
                <w:color w:val="000000"/>
                <w:sz w:val="16"/>
                <w:szCs w:val="16"/>
                <w:lang w:val="en-GB" w:eastAsia="en-GB"/>
              </w:rPr>
            </w:pPr>
            <w:r w:rsidRPr="009B5BC9">
              <w:rPr>
                <w:rFonts w:ascii="Verdana" w:eastAsia="Times New Roman" w:hAnsi="Verdana" w:cs="Calibri"/>
                <w:color w:val="000000"/>
                <w:sz w:val="16"/>
                <w:szCs w:val="16"/>
                <w:lang w:val="en-GB" w:eastAsia="en-GB"/>
              </w:rPr>
              <w:t> </w:t>
            </w:r>
          </w:p>
        </w:tc>
        <w:tc>
          <w:tcPr>
            <w:tcW w:w="3560" w:type="dxa"/>
            <w:tcBorders>
              <w:top w:val="nil"/>
              <w:left w:val="nil"/>
              <w:bottom w:val="nil"/>
              <w:right w:val="nil"/>
            </w:tcBorders>
            <w:shd w:val="clear" w:color="000000" w:fill="FFFFFF"/>
            <w:noWrap/>
            <w:vAlign w:val="center"/>
            <w:hideMark/>
          </w:tcPr>
          <w:p w14:paraId="5645F6CF" w14:textId="77777777" w:rsidR="009B5BC9" w:rsidRPr="009B5BC9" w:rsidRDefault="009B5BC9" w:rsidP="009B5BC9">
            <w:pPr>
              <w:ind w:firstLineChars="100" w:firstLine="160"/>
              <w:rPr>
                <w:rFonts w:ascii="Verdana" w:eastAsia="Times New Roman" w:hAnsi="Verdana" w:cs="Calibri"/>
                <w:color w:val="000000"/>
                <w:sz w:val="16"/>
                <w:szCs w:val="16"/>
                <w:lang w:val="en-GB" w:eastAsia="en-GB"/>
              </w:rPr>
            </w:pPr>
            <w:r w:rsidRPr="009B5BC9">
              <w:rPr>
                <w:rFonts w:ascii="Verdana" w:eastAsia="Times New Roman" w:hAnsi="Verdana" w:cs="Calibri"/>
                <w:color w:val="000000"/>
                <w:sz w:val="16"/>
                <w:szCs w:val="16"/>
                <w:lang w:val="en-GB" w:eastAsia="en-GB"/>
              </w:rPr>
              <w:t> </w:t>
            </w:r>
          </w:p>
        </w:tc>
        <w:tc>
          <w:tcPr>
            <w:tcW w:w="1009" w:type="dxa"/>
            <w:tcBorders>
              <w:top w:val="nil"/>
              <w:left w:val="nil"/>
              <w:bottom w:val="nil"/>
              <w:right w:val="nil"/>
            </w:tcBorders>
            <w:shd w:val="clear" w:color="000000" w:fill="FFFFFF"/>
            <w:noWrap/>
            <w:vAlign w:val="center"/>
            <w:hideMark/>
          </w:tcPr>
          <w:p w14:paraId="551A504B" w14:textId="77777777" w:rsidR="009B5BC9" w:rsidRPr="009B5BC9" w:rsidRDefault="009B5BC9" w:rsidP="009B5BC9">
            <w:pPr>
              <w:rPr>
                <w:rFonts w:ascii="Verdana" w:eastAsia="Times New Roman" w:hAnsi="Verdana" w:cs="Calibri"/>
                <w:color w:val="000000"/>
                <w:sz w:val="16"/>
                <w:szCs w:val="16"/>
                <w:lang w:val="en-GB" w:eastAsia="en-GB"/>
              </w:rPr>
            </w:pPr>
            <w:r w:rsidRPr="009B5BC9">
              <w:rPr>
                <w:rFonts w:ascii="Verdana" w:eastAsia="Times New Roman" w:hAnsi="Verdana" w:cs="Calibri"/>
                <w:color w:val="000000"/>
                <w:sz w:val="16"/>
                <w:szCs w:val="16"/>
                <w:lang w:val="en-GB" w:eastAsia="en-GB"/>
              </w:rPr>
              <w:t> </w:t>
            </w:r>
          </w:p>
        </w:tc>
      </w:tr>
      <w:tr w:rsidR="009B5BC9" w:rsidRPr="009B5BC9" w14:paraId="7D7EADDE" w14:textId="77777777" w:rsidTr="00DF7ACC">
        <w:trPr>
          <w:trHeight w:val="288"/>
        </w:trPr>
        <w:tc>
          <w:tcPr>
            <w:tcW w:w="1009" w:type="dxa"/>
            <w:tcBorders>
              <w:top w:val="nil"/>
              <w:left w:val="nil"/>
              <w:bottom w:val="nil"/>
              <w:right w:val="nil"/>
            </w:tcBorders>
            <w:shd w:val="clear" w:color="000000" w:fill="FFFFFF"/>
            <w:noWrap/>
            <w:vAlign w:val="center"/>
            <w:hideMark/>
          </w:tcPr>
          <w:p w14:paraId="77A5299F" w14:textId="77777777" w:rsidR="009B5BC9" w:rsidRPr="009B5BC9" w:rsidRDefault="009B5BC9" w:rsidP="009B5BC9">
            <w:pPr>
              <w:ind w:firstLineChars="100" w:firstLine="160"/>
              <w:jc w:val="right"/>
              <w:rPr>
                <w:rFonts w:ascii="Verdana" w:eastAsia="Times New Roman" w:hAnsi="Verdana" w:cs="Calibri"/>
                <w:color w:val="000000"/>
                <w:sz w:val="16"/>
                <w:szCs w:val="16"/>
                <w:lang w:val="en-GB" w:eastAsia="en-GB"/>
              </w:rPr>
            </w:pPr>
            <w:r w:rsidRPr="009B5BC9">
              <w:rPr>
                <w:rFonts w:ascii="Verdana" w:eastAsia="Times New Roman" w:hAnsi="Verdana" w:cs="Calibri"/>
                <w:color w:val="000000"/>
                <w:sz w:val="16"/>
                <w:szCs w:val="16"/>
                <w:lang w:val="en-GB" w:eastAsia="en-GB"/>
              </w:rPr>
              <w:t>10.7*</w:t>
            </w:r>
          </w:p>
        </w:tc>
        <w:tc>
          <w:tcPr>
            <w:tcW w:w="3560" w:type="dxa"/>
            <w:tcBorders>
              <w:top w:val="nil"/>
              <w:left w:val="nil"/>
              <w:bottom w:val="nil"/>
              <w:right w:val="nil"/>
            </w:tcBorders>
            <w:shd w:val="clear" w:color="000000" w:fill="FFFFFF"/>
            <w:vAlign w:val="center"/>
            <w:hideMark/>
          </w:tcPr>
          <w:p w14:paraId="163AC10F" w14:textId="77777777" w:rsidR="009B5BC9" w:rsidRPr="009B5BC9" w:rsidRDefault="009B5BC9" w:rsidP="009B5BC9">
            <w:pPr>
              <w:rPr>
                <w:rFonts w:ascii="Verdana" w:eastAsia="Times New Roman" w:hAnsi="Verdana" w:cs="Calibri"/>
                <w:color w:val="000000"/>
                <w:sz w:val="16"/>
                <w:szCs w:val="16"/>
                <w:lang w:val="en-GB" w:eastAsia="en-GB"/>
              </w:rPr>
            </w:pPr>
            <w:r w:rsidRPr="009B5BC9">
              <w:rPr>
                <w:rFonts w:ascii="Verdana" w:eastAsia="Times New Roman" w:hAnsi="Verdana" w:cs="Calibri"/>
                <w:color w:val="000000"/>
                <w:sz w:val="16"/>
                <w:szCs w:val="16"/>
                <w:lang w:val="en-GB" w:eastAsia="en-GB"/>
              </w:rPr>
              <w:t>VFM Significant risks</w:t>
            </w:r>
          </w:p>
        </w:tc>
        <w:tc>
          <w:tcPr>
            <w:tcW w:w="1009" w:type="dxa"/>
            <w:tcBorders>
              <w:top w:val="nil"/>
              <w:left w:val="nil"/>
              <w:bottom w:val="nil"/>
              <w:right w:val="nil"/>
            </w:tcBorders>
            <w:shd w:val="clear" w:color="000000" w:fill="FFFFFF"/>
            <w:noWrap/>
            <w:vAlign w:val="center"/>
            <w:hideMark/>
          </w:tcPr>
          <w:p w14:paraId="670D1F82" w14:textId="77777777" w:rsidR="009B5BC9" w:rsidRPr="009B5BC9" w:rsidRDefault="009B5BC9" w:rsidP="009B5BC9">
            <w:pPr>
              <w:ind w:firstLineChars="100" w:firstLine="160"/>
              <w:jc w:val="right"/>
              <w:rPr>
                <w:rFonts w:ascii="Verdana" w:eastAsia="Times New Roman" w:hAnsi="Verdana" w:cs="Calibri"/>
                <w:color w:val="000000"/>
                <w:sz w:val="16"/>
                <w:szCs w:val="16"/>
                <w:lang w:val="en-GB" w:eastAsia="en-GB"/>
              </w:rPr>
            </w:pPr>
            <w:r w:rsidRPr="009B5BC9">
              <w:rPr>
                <w:rFonts w:ascii="Verdana" w:eastAsia="Times New Roman" w:hAnsi="Verdana" w:cs="Calibri"/>
                <w:color w:val="000000"/>
                <w:sz w:val="16"/>
                <w:szCs w:val="16"/>
                <w:lang w:val="en-GB" w:eastAsia="en-GB"/>
              </w:rPr>
              <w:t> </w:t>
            </w:r>
          </w:p>
        </w:tc>
      </w:tr>
      <w:tr w:rsidR="009B5BC9" w:rsidRPr="009B5BC9" w14:paraId="1D9B65CB" w14:textId="77777777" w:rsidTr="00514C09">
        <w:trPr>
          <w:trHeight w:val="70"/>
        </w:trPr>
        <w:tc>
          <w:tcPr>
            <w:tcW w:w="1009" w:type="dxa"/>
            <w:tcBorders>
              <w:top w:val="nil"/>
              <w:left w:val="nil"/>
              <w:bottom w:val="nil"/>
              <w:right w:val="nil"/>
            </w:tcBorders>
            <w:shd w:val="clear" w:color="000000" w:fill="FFFFFF"/>
            <w:noWrap/>
            <w:vAlign w:val="center"/>
            <w:hideMark/>
          </w:tcPr>
          <w:p w14:paraId="7FE11036" w14:textId="77777777" w:rsidR="009B5BC9" w:rsidRPr="009B5BC9" w:rsidRDefault="009B5BC9" w:rsidP="009B5BC9">
            <w:pPr>
              <w:rPr>
                <w:rFonts w:ascii="Verdana" w:eastAsia="Times New Roman" w:hAnsi="Verdana" w:cs="Calibri"/>
                <w:color w:val="000000"/>
                <w:sz w:val="16"/>
                <w:szCs w:val="16"/>
                <w:lang w:val="en-GB" w:eastAsia="en-GB"/>
              </w:rPr>
            </w:pPr>
            <w:r w:rsidRPr="009B5BC9">
              <w:rPr>
                <w:rFonts w:ascii="Verdana" w:eastAsia="Times New Roman" w:hAnsi="Verdana" w:cs="Calibri"/>
                <w:color w:val="000000"/>
                <w:sz w:val="16"/>
                <w:szCs w:val="16"/>
                <w:lang w:val="en-GB" w:eastAsia="en-GB"/>
              </w:rPr>
              <w:t> </w:t>
            </w:r>
          </w:p>
        </w:tc>
        <w:tc>
          <w:tcPr>
            <w:tcW w:w="3560" w:type="dxa"/>
            <w:tcBorders>
              <w:top w:val="nil"/>
              <w:left w:val="nil"/>
              <w:bottom w:val="nil"/>
              <w:right w:val="nil"/>
            </w:tcBorders>
            <w:shd w:val="clear" w:color="000000" w:fill="FFFFFF"/>
            <w:noWrap/>
            <w:vAlign w:val="center"/>
            <w:hideMark/>
          </w:tcPr>
          <w:p w14:paraId="7837DD7A" w14:textId="77777777" w:rsidR="009B5BC9" w:rsidRPr="009B5BC9" w:rsidRDefault="009B5BC9" w:rsidP="009B5BC9">
            <w:pPr>
              <w:ind w:firstLineChars="100" w:firstLine="160"/>
              <w:rPr>
                <w:rFonts w:ascii="Verdana" w:eastAsia="Times New Roman" w:hAnsi="Verdana" w:cs="Calibri"/>
                <w:color w:val="000000"/>
                <w:sz w:val="16"/>
                <w:szCs w:val="16"/>
                <w:lang w:val="en-GB" w:eastAsia="en-GB"/>
              </w:rPr>
            </w:pPr>
            <w:r w:rsidRPr="009B5BC9">
              <w:rPr>
                <w:rFonts w:ascii="Verdana" w:eastAsia="Times New Roman" w:hAnsi="Verdana" w:cs="Calibri"/>
                <w:color w:val="000000"/>
                <w:sz w:val="16"/>
                <w:szCs w:val="16"/>
                <w:lang w:val="en-GB" w:eastAsia="en-GB"/>
              </w:rPr>
              <w:t> </w:t>
            </w:r>
          </w:p>
        </w:tc>
        <w:tc>
          <w:tcPr>
            <w:tcW w:w="1009" w:type="dxa"/>
            <w:tcBorders>
              <w:top w:val="nil"/>
              <w:left w:val="nil"/>
              <w:bottom w:val="nil"/>
              <w:right w:val="nil"/>
            </w:tcBorders>
            <w:shd w:val="clear" w:color="000000" w:fill="FFFFFF"/>
            <w:noWrap/>
            <w:vAlign w:val="center"/>
            <w:hideMark/>
          </w:tcPr>
          <w:p w14:paraId="123886E3" w14:textId="77777777" w:rsidR="009B5BC9" w:rsidRPr="009B5BC9" w:rsidRDefault="009B5BC9" w:rsidP="009B5BC9">
            <w:pPr>
              <w:rPr>
                <w:rFonts w:ascii="Verdana" w:eastAsia="Times New Roman" w:hAnsi="Verdana" w:cs="Calibri"/>
                <w:color w:val="000000"/>
                <w:sz w:val="16"/>
                <w:szCs w:val="16"/>
                <w:lang w:val="en-GB" w:eastAsia="en-GB"/>
              </w:rPr>
            </w:pPr>
            <w:r w:rsidRPr="009B5BC9">
              <w:rPr>
                <w:rFonts w:ascii="Verdana" w:eastAsia="Times New Roman" w:hAnsi="Verdana" w:cs="Calibri"/>
                <w:color w:val="000000"/>
                <w:sz w:val="16"/>
                <w:szCs w:val="16"/>
                <w:lang w:val="en-GB" w:eastAsia="en-GB"/>
              </w:rPr>
              <w:t> </w:t>
            </w:r>
          </w:p>
        </w:tc>
      </w:tr>
      <w:tr w:rsidR="009B5BC9" w:rsidRPr="009B5BC9" w14:paraId="1397B096" w14:textId="77777777" w:rsidTr="00DF7ACC">
        <w:trPr>
          <w:trHeight w:val="300"/>
        </w:trPr>
        <w:tc>
          <w:tcPr>
            <w:tcW w:w="1009" w:type="dxa"/>
            <w:tcBorders>
              <w:top w:val="single" w:sz="8" w:space="0" w:color="auto"/>
              <w:left w:val="nil"/>
              <w:bottom w:val="single" w:sz="8" w:space="0" w:color="auto"/>
              <w:right w:val="nil"/>
            </w:tcBorders>
            <w:shd w:val="clear" w:color="000000" w:fill="FFFFFF"/>
            <w:noWrap/>
            <w:vAlign w:val="center"/>
            <w:hideMark/>
          </w:tcPr>
          <w:p w14:paraId="6D9CE07B" w14:textId="38D27200" w:rsidR="009B5BC9" w:rsidRPr="009B5BC9" w:rsidRDefault="00514C09" w:rsidP="009B5BC9">
            <w:pPr>
              <w:ind w:firstLineChars="100" w:firstLine="161"/>
              <w:jc w:val="right"/>
              <w:rPr>
                <w:rFonts w:ascii="Verdana" w:eastAsia="Times New Roman" w:hAnsi="Verdana" w:cs="Calibri"/>
                <w:b/>
                <w:bCs/>
                <w:color w:val="000000"/>
                <w:sz w:val="16"/>
                <w:szCs w:val="16"/>
                <w:lang w:val="en-GB" w:eastAsia="en-GB"/>
              </w:rPr>
            </w:pPr>
            <w:r>
              <w:rPr>
                <w:rFonts w:ascii="Verdana" w:eastAsia="Times New Roman" w:hAnsi="Verdana" w:cs="Calibri"/>
                <w:b/>
                <w:bCs/>
                <w:color w:val="000000"/>
                <w:sz w:val="16"/>
                <w:szCs w:val="16"/>
                <w:lang w:val="en-GB" w:eastAsia="en-GB"/>
              </w:rPr>
              <w:t>22.3</w:t>
            </w:r>
          </w:p>
        </w:tc>
        <w:tc>
          <w:tcPr>
            <w:tcW w:w="3560" w:type="dxa"/>
            <w:tcBorders>
              <w:top w:val="single" w:sz="8" w:space="0" w:color="auto"/>
              <w:left w:val="nil"/>
              <w:bottom w:val="single" w:sz="8" w:space="0" w:color="auto"/>
              <w:right w:val="nil"/>
            </w:tcBorders>
            <w:shd w:val="clear" w:color="000000" w:fill="FFFFFF"/>
            <w:noWrap/>
            <w:vAlign w:val="center"/>
            <w:hideMark/>
          </w:tcPr>
          <w:p w14:paraId="365CB051" w14:textId="77777777" w:rsidR="009B5BC9" w:rsidRPr="009B5BC9" w:rsidRDefault="009B5BC9" w:rsidP="009B5BC9">
            <w:pPr>
              <w:ind w:firstLineChars="100" w:firstLine="161"/>
              <w:rPr>
                <w:rFonts w:ascii="Verdana" w:eastAsia="Times New Roman" w:hAnsi="Verdana" w:cs="Calibri"/>
                <w:b/>
                <w:bCs/>
                <w:color w:val="000000"/>
                <w:sz w:val="16"/>
                <w:szCs w:val="16"/>
                <w:lang w:val="en-GB" w:eastAsia="en-GB"/>
              </w:rPr>
            </w:pPr>
            <w:r w:rsidRPr="009B5BC9">
              <w:rPr>
                <w:rFonts w:ascii="Verdana" w:eastAsia="Times New Roman" w:hAnsi="Verdana" w:cs="Calibri"/>
                <w:b/>
                <w:bCs/>
                <w:color w:val="000000"/>
                <w:sz w:val="16"/>
                <w:szCs w:val="16"/>
                <w:lang w:val="en-GB" w:eastAsia="en-GB"/>
              </w:rPr>
              <w:t>Total</w:t>
            </w:r>
          </w:p>
        </w:tc>
        <w:tc>
          <w:tcPr>
            <w:tcW w:w="1009" w:type="dxa"/>
            <w:tcBorders>
              <w:top w:val="single" w:sz="8" w:space="0" w:color="auto"/>
              <w:left w:val="nil"/>
              <w:bottom w:val="single" w:sz="8" w:space="0" w:color="auto"/>
              <w:right w:val="nil"/>
            </w:tcBorders>
            <w:shd w:val="clear" w:color="000000" w:fill="FFFFFF"/>
            <w:noWrap/>
            <w:vAlign w:val="center"/>
            <w:hideMark/>
          </w:tcPr>
          <w:p w14:paraId="1CE4E0FB" w14:textId="162C5A87" w:rsidR="009B5BC9" w:rsidRPr="009B5BC9" w:rsidRDefault="00514C09" w:rsidP="009B5BC9">
            <w:pPr>
              <w:ind w:firstLineChars="100" w:firstLine="161"/>
              <w:jc w:val="right"/>
              <w:rPr>
                <w:rFonts w:ascii="Verdana" w:eastAsia="Times New Roman" w:hAnsi="Verdana" w:cs="Calibri"/>
                <w:b/>
                <w:bCs/>
                <w:color w:val="000000"/>
                <w:sz w:val="16"/>
                <w:szCs w:val="16"/>
                <w:lang w:val="en-GB" w:eastAsia="en-GB"/>
              </w:rPr>
            </w:pPr>
            <w:r>
              <w:rPr>
                <w:rFonts w:ascii="Verdana" w:eastAsia="Times New Roman" w:hAnsi="Verdana" w:cs="Calibri"/>
                <w:b/>
                <w:bCs/>
                <w:color w:val="000000"/>
                <w:sz w:val="16"/>
                <w:szCs w:val="16"/>
                <w:lang w:val="en-GB" w:eastAsia="en-GB"/>
              </w:rPr>
              <w:t>11.6</w:t>
            </w:r>
          </w:p>
        </w:tc>
      </w:tr>
    </w:tbl>
    <w:p w14:paraId="3D5E3532" w14:textId="77777777" w:rsidR="009B5BC9" w:rsidRPr="009B5BC9" w:rsidRDefault="009B5BC9" w:rsidP="009B5BC9">
      <w:pPr>
        <w:rPr>
          <w:highlight w:val="yellow"/>
          <w:lang w:val="pt-BR"/>
        </w:rPr>
      </w:pPr>
    </w:p>
    <w:p w14:paraId="256DEE7A" w14:textId="77777777" w:rsidR="00514C09" w:rsidRDefault="00514C09" w:rsidP="00514C09">
      <w:pPr>
        <w:pStyle w:val="Normal0"/>
        <w:rPr>
          <w:rFonts w:ascii="Verdana" w:hAnsi="Verdana" w:cs="Arial"/>
          <w:sz w:val="16"/>
          <w:szCs w:val="16"/>
        </w:rPr>
      </w:pPr>
      <w:r>
        <w:rPr>
          <w:rFonts w:ascii="Verdana" w:hAnsi="Verdana" w:cs="Arial"/>
          <w:sz w:val="16"/>
          <w:szCs w:val="16"/>
        </w:rPr>
        <w:t>*</w:t>
      </w:r>
      <w:r w:rsidRPr="004415BA">
        <w:rPr>
          <w:rFonts w:ascii="Verdana" w:hAnsi="Verdana" w:cs="Arial"/>
          <w:sz w:val="16"/>
          <w:szCs w:val="16"/>
        </w:rPr>
        <w:t xml:space="preserve">The additional </w:t>
      </w:r>
      <w:r>
        <w:rPr>
          <w:rFonts w:ascii="Verdana" w:hAnsi="Verdana" w:cs="Arial"/>
          <w:sz w:val="16"/>
          <w:szCs w:val="16"/>
        </w:rPr>
        <w:t>fee of £10,735 incurred recorded in 2019/20 related to audit work undertaken during 2018/19. This variation was agreed with Chief Officers but required approval from PSAA and was therefore not included within the 2018/19 statutory accounts.</w:t>
      </w:r>
    </w:p>
    <w:p w14:paraId="3E2666B3" w14:textId="77777777" w:rsidR="00355738" w:rsidRPr="00DC1077" w:rsidRDefault="00355738" w:rsidP="00355738">
      <w:pPr>
        <w:rPr>
          <w:highlight w:val="yellow"/>
          <w:lang w:val="pt-BR"/>
        </w:rPr>
      </w:pPr>
    </w:p>
    <w:p w14:paraId="623EB04D" w14:textId="77777777" w:rsidR="00F227D9" w:rsidRPr="00584083" w:rsidRDefault="00F227D9" w:rsidP="00F227D9">
      <w:pPr>
        <w:pStyle w:val="Heading1"/>
        <w:spacing w:after="240"/>
        <w:rPr>
          <w:lang w:val="pt-BR"/>
        </w:rPr>
      </w:pPr>
      <w:bookmarkStart w:id="24" w:name="_Toc77095575"/>
      <w:r w:rsidRPr="00584083">
        <w:rPr>
          <w:lang w:val="pt-BR"/>
        </w:rPr>
        <w:t>Note 16 - Related Parties</w:t>
      </w:r>
      <w:bookmarkEnd w:id="24"/>
      <w:r w:rsidRPr="00584083">
        <w:rPr>
          <w:lang w:val="pt-BR"/>
        </w:rPr>
        <w:t xml:space="preserve"> </w:t>
      </w:r>
    </w:p>
    <w:p w14:paraId="19FE5A8F" w14:textId="77777777" w:rsidR="00F227D9" w:rsidRPr="00584083" w:rsidRDefault="00F227D9" w:rsidP="004856EB">
      <w:pPr>
        <w:pStyle w:val="Normal0"/>
        <w:spacing w:after="160"/>
        <w:jc w:val="both"/>
        <w:rPr>
          <w:rFonts w:ascii="Verdana" w:eastAsia="Verdana" w:hAnsi="Verdana" w:cs="Verdana"/>
          <w:sz w:val="22"/>
          <w:szCs w:val="22"/>
          <w:lang w:val="en-GB"/>
        </w:rPr>
      </w:pPr>
      <w:r w:rsidRPr="00584083">
        <w:rPr>
          <w:rFonts w:ascii="Verdana" w:eastAsia="Verdana" w:hAnsi="Verdana" w:cs="Verdana"/>
          <w:sz w:val="22"/>
          <w:szCs w:val="22"/>
          <w:lang w:val="en-GB"/>
        </w:rPr>
        <w:t>The Chief Constable is required to disclose material transactions with related parties – bodies or individuals that have the potential to control or influence the Chief Constable or to be controlled or influenced by the Chief Constable. Disclosure of these transactions allows readers to assess the extent to which the Chief Constable might have constrained in its ability to operate independently or might have secured the ability to limit another party’s ability to bargain freely with the Chief Constable.</w:t>
      </w:r>
    </w:p>
    <w:p w14:paraId="4DE4D898" w14:textId="77777777" w:rsidR="00050307" w:rsidRPr="00584083" w:rsidRDefault="00F227D9" w:rsidP="004856EB">
      <w:pPr>
        <w:pStyle w:val="Normal0"/>
        <w:spacing w:after="160"/>
        <w:jc w:val="both"/>
        <w:rPr>
          <w:rFonts w:ascii="Verdana" w:eastAsia="Verdana" w:hAnsi="Verdana" w:cs="Verdana"/>
          <w:sz w:val="22"/>
          <w:szCs w:val="22"/>
          <w:lang w:val="en-GB"/>
        </w:rPr>
      </w:pPr>
      <w:r w:rsidRPr="00584083">
        <w:rPr>
          <w:rFonts w:ascii="Verdana" w:eastAsia="Verdana" w:hAnsi="Verdana" w:cs="Verdana"/>
          <w:sz w:val="22"/>
          <w:szCs w:val="22"/>
          <w:lang w:val="en-GB"/>
        </w:rPr>
        <w:t>The Chief Executive of the Police and Crime Commissioner for Surrey has written to all Chief Officers of the Chief Constable to collect this information on behalf of the Group. Responses were received from all recipients of the letter and</w:t>
      </w:r>
      <w:r w:rsidR="00050307" w:rsidRPr="00584083">
        <w:rPr>
          <w:rFonts w:ascii="Verdana" w:eastAsia="Verdana" w:hAnsi="Verdana" w:cs="Verdana"/>
          <w:sz w:val="22"/>
          <w:szCs w:val="22"/>
          <w:lang w:val="en-GB"/>
        </w:rPr>
        <w:t xml:space="preserve"> the following</w:t>
      </w:r>
      <w:r w:rsidRPr="00584083">
        <w:rPr>
          <w:rFonts w:ascii="Verdana" w:eastAsia="Verdana" w:hAnsi="Verdana" w:cs="Verdana"/>
          <w:sz w:val="22"/>
          <w:szCs w:val="22"/>
          <w:lang w:val="en-GB"/>
        </w:rPr>
        <w:t xml:space="preserve"> related party transac</w:t>
      </w:r>
      <w:r w:rsidR="006803CF" w:rsidRPr="00584083">
        <w:rPr>
          <w:rFonts w:ascii="Verdana" w:eastAsia="Verdana" w:hAnsi="Verdana" w:cs="Verdana"/>
          <w:sz w:val="22"/>
          <w:szCs w:val="22"/>
          <w:lang w:val="en-GB"/>
        </w:rPr>
        <w:t>tions are disclosed</w:t>
      </w:r>
      <w:r w:rsidR="00050307" w:rsidRPr="00584083">
        <w:rPr>
          <w:rFonts w:ascii="Verdana" w:eastAsia="Verdana" w:hAnsi="Verdana" w:cs="Verdana"/>
          <w:sz w:val="22"/>
          <w:szCs w:val="22"/>
          <w:lang w:val="en-GB"/>
        </w:rPr>
        <w:t xml:space="preserve"> </w:t>
      </w:r>
      <w:r w:rsidR="006803CF" w:rsidRPr="00584083">
        <w:rPr>
          <w:rFonts w:ascii="Verdana" w:eastAsia="Verdana" w:hAnsi="Verdana" w:cs="Verdana"/>
          <w:sz w:val="22"/>
          <w:szCs w:val="22"/>
          <w:lang w:val="en-GB"/>
        </w:rPr>
        <w:t>for the 20</w:t>
      </w:r>
      <w:r w:rsidR="00584083">
        <w:rPr>
          <w:rFonts w:ascii="Verdana" w:eastAsia="Verdana" w:hAnsi="Verdana" w:cs="Verdana"/>
          <w:sz w:val="22"/>
          <w:szCs w:val="22"/>
          <w:lang w:val="en-GB"/>
        </w:rPr>
        <w:t>20</w:t>
      </w:r>
      <w:r w:rsidRPr="00584083">
        <w:rPr>
          <w:rFonts w:ascii="Verdana" w:eastAsia="Verdana" w:hAnsi="Verdana" w:cs="Verdana"/>
          <w:sz w:val="22"/>
          <w:szCs w:val="22"/>
          <w:lang w:val="en-GB"/>
        </w:rPr>
        <w:t>/</w:t>
      </w:r>
      <w:r w:rsidR="006803CF" w:rsidRPr="00584083">
        <w:rPr>
          <w:rFonts w:ascii="Verdana" w:eastAsia="Verdana" w:hAnsi="Verdana" w:cs="Verdana"/>
          <w:sz w:val="22"/>
          <w:szCs w:val="22"/>
          <w:lang w:val="en-GB"/>
        </w:rPr>
        <w:t>2</w:t>
      </w:r>
      <w:r w:rsidR="00584083">
        <w:rPr>
          <w:rFonts w:ascii="Verdana" w:eastAsia="Verdana" w:hAnsi="Verdana" w:cs="Verdana"/>
          <w:sz w:val="22"/>
          <w:szCs w:val="22"/>
          <w:lang w:val="en-GB"/>
        </w:rPr>
        <w:t>1</w:t>
      </w:r>
      <w:r w:rsidRPr="00584083">
        <w:rPr>
          <w:rFonts w:ascii="Verdana" w:eastAsia="Verdana" w:hAnsi="Verdana" w:cs="Verdana"/>
          <w:sz w:val="22"/>
          <w:szCs w:val="22"/>
          <w:lang w:val="en-GB"/>
        </w:rPr>
        <w:t xml:space="preserve"> year in respect of the </w:t>
      </w:r>
      <w:r w:rsidR="00050307" w:rsidRPr="00584083">
        <w:rPr>
          <w:rFonts w:ascii="Verdana" w:eastAsia="Verdana" w:hAnsi="Verdana" w:cs="Verdana"/>
          <w:sz w:val="22"/>
          <w:szCs w:val="22"/>
          <w:lang w:val="en-GB"/>
        </w:rPr>
        <w:t>Chief Constable</w:t>
      </w:r>
      <w:r w:rsidRPr="00584083">
        <w:rPr>
          <w:rFonts w:ascii="Verdana" w:eastAsia="Verdana" w:hAnsi="Verdana" w:cs="Verdana"/>
          <w:sz w:val="22"/>
          <w:szCs w:val="22"/>
          <w:lang w:val="en-GB"/>
        </w:rPr>
        <w:t xml:space="preserve">. </w:t>
      </w:r>
    </w:p>
    <w:p w14:paraId="5F562558" w14:textId="77777777" w:rsidR="00F227D9" w:rsidRPr="006A00DA" w:rsidRDefault="00F227D9" w:rsidP="004856EB">
      <w:pPr>
        <w:pStyle w:val="Normal0"/>
        <w:spacing w:after="160"/>
        <w:jc w:val="both"/>
        <w:rPr>
          <w:rFonts w:ascii="Verdana" w:eastAsia="Verdana" w:hAnsi="Verdana" w:cs="Verdana"/>
          <w:sz w:val="22"/>
          <w:szCs w:val="22"/>
          <w:lang w:val="en-GB"/>
        </w:rPr>
      </w:pPr>
      <w:r w:rsidRPr="006A00DA">
        <w:rPr>
          <w:rFonts w:ascii="Verdana" w:eastAsia="Verdana" w:hAnsi="Verdana" w:cs="Verdana"/>
          <w:sz w:val="22"/>
          <w:szCs w:val="22"/>
          <w:lang w:val="en-GB"/>
        </w:rPr>
        <w:t xml:space="preserve">Legal services were provided to the Surrey </w:t>
      </w:r>
      <w:r w:rsidRPr="006A00DA">
        <w:rPr>
          <w:rFonts w:ascii="Verdana" w:eastAsia="Verdana" w:hAnsi="Verdana" w:cs="Verdana"/>
          <w:sz w:val="22"/>
          <w:szCs w:val="22"/>
          <w:shd w:val="clear" w:color="auto" w:fill="FFFFFF" w:themeFill="background1"/>
          <w:lang w:val="en-GB"/>
        </w:rPr>
        <w:t>Police Group of circa £</w:t>
      </w:r>
      <w:r w:rsidR="000D4B72" w:rsidRPr="006A00DA">
        <w:rPr>
          <w:rFonts w:ascii="Verdana" w:eastAsia="Verdana" w:hAnsi="Verdana" w:cs="Verdana"/>
          <w:sz w:val="22"/>
          <w:szCs w:val="22"/>
          <w:shd w:val="clear" w:color="auto" w:fill="FFFFFF" w:themeFill="background1"/>
          <w:lang w:val="en-GB"/>
        </w:rPr>
        <w:t>1</w:t>
      </w:r>
      <w:r w:rsidRPr="006A00DA">
        <w:rPr>
          <w:rFonts w:ascii="Verdana" w:eastAsia="Verdana" w:hAnsi="Verdana" w:cs="Verdana"/>
          <w:sz w:val="22"/>
          <w:szCs w:val="22"/>
          <w:shd w:val="clear" w:color="auto" w:fill="FFFFFF" w:themeFill="background1"/>
          <w:lang w:val="en-GB"/>
        </w:rPr>
        <w:t>.</w:t>
      </w:r>
      <w:r w:rsidR="006A00DA" w:rsidRPr="006A00DA">
        <w:rPr>
          <w:rFonts w:ascii="Verdana" w:eastAsia="Verdana" w:hAnsi="Verdana" w:cs="Verdana"/>
          <w:sz w:val="22"/>
          <w:szCs w:val="22"/>
          <w:shd w:val="clear" w:color="auto" w:fill="FFFFFF" w:themeFill="background1"/>
          <w:lang w:val="en-GB"/>
        </w:rPr>
        <w:t>1</w:t>
      </w:r>
      <w:r w:rsidRPr="006A00DA">
        <w:rPr>
          <w:rFonts w:ascii="Verdana" w:eastAsia="Verdana" w:hAnsi="Verdana" w:cs="Verdana"/>
          <w:sz w:val="22"/>
          <w:szCs w:val="22"/>
          <w:shd w:val="clear" w:color="auto" w:fill="FFFFFF" w:themeFill="background1"/>
          <w:lang w:val="en-GB"/>
        </w:rPr>
        <w:t>m (201</w:t>
      </w:r>
      <w:r w:rsidR="00584083" w:rsidRPr="006A00DA">
        <w:rPr>
          <w:rFonts w:ascii="Verdana" w:eastAsia="Verdana" w:hAnsi="Verdana" w:cs="Verdana"/>
          <w:sz w:val="22"/>
          <w:szCs w:val="22"/>
          <w:shd w:val="clear" w:color="auto" w:fill="FFFFFF" w:themeFill="background1"/>
          <w:lang w:val="en-GB"/>
        </w:rPr>
        <w:t>9</w:t>
      </w:r>
      <w:r w:rsidRPr="006A00DA">
        <w:rPr>
          <w:rFonts w:ascii="Verdana" w:eastAsia="Verdana" w:hAnsi="Verdana" w:cs="Verdana"/>
          <w:sz w:val="22"/>
          <w:szCs w:val="22"/>
          <w:shd w:val="clear" w:color="auto" w:fill="FFFFFF" w:themeFill="background1"/>
          <w:lang w:val="en-GB"/>
        </w:rPr>
        <w:t>/</w:t>
      </w:r>
      <w:r w:rsidR="00584083" w:rsidRPr="006A00DA">
        <w:rPr>
          <w:rFonts w:ascii="Verdana" w:eastAsia="Verdana" w:hAnsi="Verdana" w:cs="Verdana"/>
          <w:sz w:val="22"/>
          <w:szCs w:val="22"/>
          <w:shd w:val="clear" w:color="auto" w:fill="FFFFFF" w:themeFill="background1"/>
          <w:lang w:val="en-GB"/>
        </w:rPr>
        <w:t>20</w:t>
      </w:r>
      <w:r w:rsidRPr="006A00DA">
        <w:rPr>
          <w:rFonts w:ascii="Verdana" w:eastAsia="Verdana" w:hAnsi="Verdana" w:cs="Verdana"/>
          <w:sz w:val="22"/>
          <w:szCs w:val="22"/>
          <w:shd w:val="clear" w:color="auto" w:fill="FFFFFF" w:themeFill="background1"/>
          <w:lang w:val="en-GB"/>
        </w:rPr>
        <w:t xml:space="preserve"> £1.</w:t>
      </w:r>
      <w:r w:rsidR="00584083" w:rsidRPr="006A00DA">
        <w:rPr>
          <w:rFonts w:ascii="Verdana" w:eastAsia="Verdana" w:hAnsi="Verdana" w:cs="Verdana"/>
          <w:sz w:val="22"/>
          <w:szCs w:val="22"/>
          <w:shd w:val="clear" w:color="auto" w:fill="FFFFFF" w:themeFill="background1"/>
          <w:lang w:val="en-GB"/>
        </w:rPr>
        <w:t>3</w:t>
      </w:r>
      <w:r w:rsidRPr="006A00DA">
        <w:rPr>
          <w:rFonts w:ascii="Verdana" w:eastAsia="Verdana" w:hAnsi="Verdana" w:cs="Verdana"/>
          <w:sz w:val="22"/>
          <w:szCs w:val="22"/>
          <w:shd w:val="clear" w:color="auto" w:fill="FFFFFF" w:themeFill="background1"/>
          <w:lang w:val="en-GB"/>
        </w:rPr>
        <w:t>m) by</w:t>
      </w:r>
      <w:r w:rsidRPr="006A00DA">
        <w:rPr>
          <w:rFonts w:ascii="Verdana" w:eastAsia="Verdana" w:hAnsi="Verdana" w:cs="Verdana"/>
          <w:sz w:val="22"/>
          <w:szCs w:val="22"/>
          <w:lang w:val="en-GB"/>
        </w:rPr>
        <w:t xml:space="preserve"> Weightmans LLP Solicitor in the normal course of business during the year, Ms Hannah Walsh (Solicitor to the Surrey Police Group from 1 April 2017) is employed by Weightmans LLP.</w:t>
      </w:r>
    </w:p>
    <w:p w14:paraId="06E390EA" w14:textId="77777777" w:rsidR="00F227D9" w:rsidRPr="00514C09" w:rsidRDefault="00F227D9" w:rsidP="004856EB">
      <w:pPr>
        <w:pStyle w:val="Normal0"/>
        <w:spacing w:after="160"/>
        <w:jc w:val="both"/>
        <w:rPr>
          <w:rFonts w:ascii="Verdana" w:eastAsia="Verdana" w:hAnsi="Verdana" w:cs="Verdana"/>
          <w:sz w:val="22"/>
          <w:szCs w:val="22"/>
          <w:lang w:val="en-GB"/>
        </w:rPr>
      </w:pPr>
      <w:r w:rsidRPr="00514C09">
        <w:rPr>
          <w:rFonts w:ascii="Verdana" w:eastAsia="Verdana" w:hAnsi="Verdana" w:cs="Verdana"/>
          <w:sz w:val="22"/>
          <w:szCs w:val="22"/>
          <w:lang w:val="en-GB"/>
        </w:rPr>
        <w:t>Central Government has effective control over the general operations of Chief Constable as it is responsible for providing the statutory framework within which the Chief Constable operates and provides the majority of funding to the Group. Grants received from Central Government by the Group are set out in the Police and the Crime Commissioner for Surrey Group accounts 20</w:t>
      </w:r>
      <w:r w:rsidR="00584083" w:rsidRPr="00514C09">
        <w:rPr>
          <w:rFonts w:ascii="Verdana" w:eastAsia="Verdana" w:hAnsi="Verdana" w:cs="Verdana"/>
          <w:sz w:val="22"/>
          <w:szCs w:val="22"/>
          <w:lang w:val="en-GB"/>
        </w:rPr>
        <w:t>20</w:t>
      </w:r>
      <w:r w:rsidR="006803CF" w:rsidRPr="00514C09">
        <w:rPr>
          <w:rFonts w:ascii="Verdana" w:eastAsia="Verdana" w:hAnsi="Verdana" w:cs="Verdana"/>
          <w:sz w:val="22"/>
          <w:szCs w:val="22"/>
          <w:lang w:val="en-GB"/>
        </w:rPr>
        <w:t>/2</w:t>
      </w:r>
      <w:r w:rsidR="00584083" w:rsidRPr="00514C09">
        <w:rPr>
          <w:rFonts w:ascii="Verdana" w:eastAsia="Verdana" w:hAnsi="Verdana" w:cs="Verdana"/>
          <w:sz w:val="22"/>
          <w:szCs w:val="22"/>
          <w:lang w:val="en-GB"/>
        </w:rPr>
        <w:t>1</w:t>
      </w:r>
      <w:r w:rsidR="006803CF" w:rsidRPr="00514C09">
        <w:rPr>
          <w:rFonts w:ascii="Verdana" w:eastAsia="Verdana" w:hAnsi="Verdana" w:cs="Verdana"/>
          <w:sz w:val="22"/>
          <w:szCs w:val="22"/>
          <w:lang w:val="en-GB"/>
        </w:rPr>
        <w:t>.</w:t>
      </w:r>
    </w:p>
    <w:p w14:paraId="633B22B8" w14:textId="77777777" w:rsidR="00F227D9" w:rsidRPr="00514C09" w:rsidRDefault="00F227D9" w:rsidP="00F227D9">
      <w:pPr>
        <w:pStyle w:val="Normal0"/>
        <w:spacing w:after="160"/>
        <w:rPr>
          <w:rFonts w:ascii="Verdana" w:hAnsi="Verdana"/>
          <w:sz w:val="4"/>
          <w:szCs w:val="4"/>
          <w:lang w:val="pt-BR"/>
        </w:rPr>
      </w:pPr>
    </w:p>
    <w:p w14:paraId="6EAFD225" w14:textId="77777777" w:rsidR="00F227D9" w:rsidRPr="00514C09" w:rsidRDefault="00F227D9" w:rsidP="00F227D9">
      <w:pPr>
        <w:pStyle w:val="Heading1"/>
        <w:spacing w:line="259" w:lineRule="auto"/>
        <w:rPr>
          <w:lang w:val="en-GB"/>
        </w:rPr>
      </w:pPr>
      <w:bookmarkStart w:id="25" w:name="_Toc77095576"/>
      <w:r w:rsidRPr="00514C09">
        <w:rPr>
          <w:lang w:val="en-GB"/>
        </w:rPr>
        <w:t>Note 17 - Defined Benefit Pension Scheme</w:t>
      </w:r>
      <w:bookmarkEnd w:id="25"/>
      <w:r w:rsidRPr="00514C09">
        <w:rPr>
          <w:lang w:val="en-GB"/>
        </w:rPr>
        <w:t xml:space="preserve"> </w:t>
      </w:r>
    </w:p>
    <w:p w14:paraId="6A1DC575" w14:textId="77777777" w:rsidR="00F227D9" w:rsidRPr="00514C09" w:rsidRDefault="00F227D9" w:rsidP="00F227D9">
      <w:pPr>
        <w:pStyle w:val="Normal0"/>
        <w:spacing w:after="160" w:line="259" w:lineRule="auto"/>
        <w:rPr>
          <w:sz w:val="22"/>
          <w:szCs w:val="22"/>
          <w:lang w:val="en-GB"/>
        </w:rPr>
      </w:pPr>
    </w:p>
    <w:p w14:paraId="132D08A0" w14:textId="77777777" w:rsidR="00F227D9" w:rsidRPr="00514C09" w:rsidRDefault="00F227D9" w:rsidP="007C11F3">
      <w:pPr>
        <w:pStyle w:val="Normal0"/>
        <w:spacing w:after="160" w:line="259" w:lineRule="auto"/>
        <w:jc w:val="both"/>
        <w:rPr>
          <w:rFonts w:ascii="Verdana" w:hAnsi="Verdana"/>
          <w:sz w:val="22"/>
          <w:szCs w:val="22"/>
          <w:lang w:val="en-GB"/>
        </w:rPr>
      </w:pPr>
      <w:r w:rsidRPr="00514C09">
        <w:rPr>
          <w:rFonts w:ascii="Verdana" w:eastAsia="Calibri" w:hAnsi="Verdana" w:cs="Arial"/>
          <w:sz w:val="22"/>
          <w:szCs w:val="22"/>
          <w:lang w:val="en-GB"/>
        </w:rPr>
        <w:t xml:space="preserve">As part of the terms and conditions of employment of its officers and other employees, the Group offers retirement benefits. Although these benefits will not actually be payable until employees retire, the </w:t>
      </w:r>
      <w:r w:rsidR="007C11F3" w:rsidRPr="00514C09">
        <w:rPr>
          <w:rFonts w:ascii="Verdana" w:eastAsia="Calibri" w:hAnsi="Verdana" w:cs="Arial"/>
          <w:sz w:val="22"/>
          <w:szCs w:val="22"/>
          <w:lang w:val="en-GB"/>
        </w:rPr>
        <w:t>Chief Constable</w:t>
      </w:r>
      <w:r w:rsidRPr="00514C09">
        <w:rPr>
          <w:rFonts w:ascii="Verdana" w:eastAsia="Calibri" w:hAnsi="Verdana" w:cs="Arial"/>
          <w:sz w:val="22"/>
          <w:szCs w:val="22"/>
          <w:lang w:val="en-GB"/>
        </w:rPr>
        <w:t xml:space="preserve"> has a commitment to make the payments that need to be disclosed at the time that employees earn their future entitlement. These commitments are included in the Chief Constables Accounts and consolidated into the Group Accounts.</w:t>
      </w:r>
      <w:r w:rsidRPr="00514C09">
        <w:rPr>
          <w:rFonts w:ascii="Verdana" w:eastAsia="Calibri" w:hAnsi="Verdana" w:cs="Arial"/>
          <w:sz w:val="22"/>
          <w:szCs w:val="22"/>
          <w:lang w:val="en-GB"/>
        </w:rPr>
        <w:tab/>
      </w:r>
    </w:p>
    <w:p w14:paraId="41B0A3EA" w14:textId="77777777" w:rsidR="00F227D9" w:rsidRPr="00514C09" w:rsidRDefault="00F227D9" w:rsidP="007C11F3">
      <w:pPr>
        <w:pStyle w:val="Normal0"/>
        <w:spacing w:after="160" w:line="259" w:lineRule="auto"/>
        <w:jc w:val="both"/>
        <w:rPr>
          <w:rFonts w:ascii="Verdana" w:hAnsi="Verdana"/>
          <w:sz w:val="22"/>
          <w:szCs w:val="22"/>
          <w:lang w:val="en-GB"/>
        </w:rPr>
      </w:pPr>
      <w:r w:rsidRPr="00514C09">
        <w:rPr>
          <w:rFonts w:ascii="Verdana" w:eastAsia="Calibri" w:hAnsi="Verdana" w:cs="Arial"/>
          <w:sz w:val="22"/>
          <w:szCs w:val="22"/>
          <w:lang w:val="en-GB"/>
        </w:rPr>
        <w:t xml:space="preserve">The </w:t>
      </w:r>
      <w:r w:rsidR="007C11F3" w:rsidRPr="00514C09">
        <w:rPr>
          <w:rFonts w:ascii="Verdana" w:eastAsia="Calibri" w:hAnsi="Verdana" w:cs="Arial"/>
          <w:sz w:val="22"/>
          <w:szCs w:val="22"/>
          <w:lang w:val="en-GB"/>
        </w:rPr>
        <w:t>Chief Constable</w:t>
      </w:r>
      <w:r w:rsidRPr="00514C09">
        <w:rPr>
          <w:rFonts w:ascii="Verdana" w:eastAsia="Calibri" w:hAnsi="Verdana" w:cs="Arial"/>
          <w:sz w:val="22"/>
          <w:szCs w:val="22"/>
          <w:lang w:val="en-GB"/>
        </w:rPr>
        <w:t xml:space="preserve"> participates in separate pension schemes for police staff and police officers:</w:t>
      </w:r>
    </w:p>
    <w:p w14:paraId="308D0DEB" w14:textId="77777777" w:rsidR="00F227D9" w:rsidRPr="00514C09" w:rsidRDefault="00F227D9" w:rsidP="007C11F3">
      <w:pPr>
        <w:pStyle w:val="Normal0"/>
        <w:spacing w:after="160" w:line="259" w:lineRule="auto"/>
        <w:jc w:val="both"/>
        <w:rPr>
          <w:rFonts w:ascii="Verdana" w:hAnsi="Verdana"/>
          <w:sz w:val="22"/>
          <w:szCs w:val="22"/>
          <w:lang w:val="en-GB"/>
        </w:rPr>
      </w:pPr>
      <w:r w:rsidRPr="00514C09">
        <w:rPr>
          <w:rFonts w:ascii="Verdana" w:eastAsia="Calibri" w:hAnsi="Verdana" w:cs="Arial"/>
          <w:sz w:val="22"/>
          <w:szCs w:val="22"/>
          <w:lang w:val="en-GB"/>
        </w:rPr>
        <w:t>•</w:t>
      </w:r>
      <w:r w:rsidRPr="00514C09">
        <w:rPr>
          <w:rFonts w:ascii="Verdana" w:eastAsia="Calibri" w:hAnsi="Verdana" w:cs="Arial"/>
          <w:sz w:val="22"/>
          <w:szCs w:val="22"/>
          <w:lang w:val="en-GB"/>
        </w:rPr>
        <w:tab/>
      </w:r>
      <w:r w:rsidRPr="00514C09">
        <w:rPr>
          <w:rFonts w:ascii="Verdana" w:eastAsia="Calibri" w:hAnsi="Verdana" w:cs="Arial"/>
          <w:b/>
          <w:sz w:val="22"/>
          <w:szCs w:val="22"/>
          <w:lang w:val="en-GB"/>
        </w:rPr>
        <w:t>The Local Government Pension Scheme (LGPS) for police staff employees</w:t>
      </w:r>
      <w:r w:rsidRPr="00514C09">
        <w:rPr>
          <w:rFonts w:ascii="Verdana" w:eastAsia="Calibri" w:hAnsi="Verdana" w:cs="Arial"/>
          <w:sz w:val="22"/>
          <w:szCs w:val="22"/>
          <w:lang w:val="en-GB"/>
        </w:rPr>
        <w:t>, administered locally by Surrey County Council – this is a funded defined benefit scheme, meaning that the Group and employees pay contributions into a fund, calculated at a level intended to balance the pension liabilities with investment assets. Up to 31 March 2014 the scheme was based on final salary but from 1 April 2014 the scheme has been based on career average.</w:t>
      </w:r>
    </w:p>
    <w:p w14:paraId="2E5BB5E8" w14:textId="77777777" w:rsidR="00F227D9" w:rsidRPr="00514C09" w:rsidRDefault="00F227D9" w:rsidP="007C11F3">
      <w:pPr>
        <w:pStyle w:val="Normal0"/>
        <w:spacing w:after="160" w:line="259" w:lineRule="auto"/>
        <w:jc w:val="both"/>
        <w:rPr>
          <w:rFonts w:ascii="Verdana" w:hAnsi="Verdana"/>
          <w:sz w:val="22"/>
          <w:szCs w:val="22"/>
          <w:lang w:val="en-GB"/>
        </w:rPr>
      </w:pPr>
      <w:r w:rsidRPr="00514C09">
        <w:rPr>
          <w:rFonts w:ascii="Verdana" w:eastAsia="Calibri" w:hAnsi="Verdana" w:cs="Arial"/>
          <w:sz w:val="22"/>
          <w:szCs w:val="22"/>
          <w:lang w:val="en-GB"/>
        </w:rPr>
        <w:t>•</w:t>
      </w:r>
      <w:r w:rsidRPr="00514C09">
        <w:rPr>
          <w:rFonts w:ascii="Verdana" w:eastAsia="Calibri" w:hAnsi="Verdana" w:cs="Arial"/>
          <w:sz w:val="22"/>
          <w:szCs w:val="22"/>
          <w:lang w:val="en-GB"/>
        </w:rPr>
        <w:tab/>
      </w:r>
      <w:r w:rsidRPr="00514C09">
        <w:rPr>
          <w:rFonts w:ascii="Verdana" w:eastAsia="Calibri" w:hAnsi="Verdana" w:cs="Arial"/>
          <w:b/>
          <w:sz w:val="22"/>
          <w:szCs w:val="22"/>
          <w:lang w:val="en-GB"/>
        </w:rPr>
        <w:t>The Police Pension Schemes for police officers</w:t>
      </w:r>
      <w:r w:rsidRPr="00514C09">
        <w:rPr>
          <w:rFonts w:ascii="Verdana" w:eastAsia="Calibri" w:hAnsi="Verdana" w:cs="Arial"/>
          <w:sz w:val="22"/>
          <w:szCs w:val="22"/>
          <w:lang w:val="en-GB"/>
        </w:rPr>
        <w:t xml:space="preserve"> – these are unfunded defined benefit final salary scheme, the funding arrangements of which are contained in the Police Pension Fund Regulations 2007 (SI 2007/1932).  The Group and employees pay contributions into the fund during the year, but there is no investment assets built up to meet the pension liabilities and payments as they fall due. The regulations require that if the pension fund does not have enough funds to meet the cost of pensions in any year, the amount required to meet the deficit must be transferred from the Group to the pension fund. Subject to Parliamentary scrutiny and approval, up to 100% of this amount is then recouped by the Group in the form of a top-up grant paid by Central Government. Conversely, if the police pension fund is in surplus for the year, the surplus is required to be transferred from the pension fund to the Group, which in turn is required to pay the amount to central Government. </w:t>
      </w:r>
    </w:p>
    <w:p w14:paraId="0F5E4E57" w14:textId="77777777" w:rsidR="00F227D9" w:rsidRPr="00514C09" w:rsidRDefault="00F227D9" w:rsidP="007C11F3">
      <w:pPr>
        <w:pStyle w:val="Normal0"/>
        <w:spacing w:after="160" w:line="259" w:lineRule="auto"/>
        <w:jc w:val="both"/>
        <w:rPr>
          <w:rFonts w:ascii="Verdana" w:hAnsi="Verdana"/>
          <w:sz w:val="22"/>
          <w:szCs w:val="22"/>
          <w:lang w:val="en-GB"/>
        </w:rPr>
      </w:pPr>
      <w:r w:rsidRPr="00514C09">
        <w:rPr>
          <w:rFonts w:ascii="Verdana" w:eastAsia="Calibri" w:hAnsi="Verdana" w:cs="Arial"/>
          <w:sz w:val="22"/>
          <w:szCs w:val="22"/>
          <w:lang w:val="en-GB"/>
        </w:rPr>
        <w:t>The costs of retirement benefits are recognised in the Net Cost of Services when they are earned by employees, rather than when the benefits are eventually paid as pensions. In accordance with IAS 19 requirements, the amount includes current and past service costs, curtailments and settlements, together with the gains/losses on the police injury pension.  The current service cost and valuation of the Schemes as at 31 March 2020 have been produced by actuaries. The following transactions reflect the total charges in the Chief Constable's Comprehensive Income and Expenditure Statement. Although these benefits will not actually be payable until employees retire, the Group has a commitment to make the payments for those benefits and to disclose them at the time the employee earns them.</w:t>
      </w:r>
    </w:p>
    <w:p w14:paraId="2FF016E7" w14:textId="77777777" w:rsidR="007C11F3" w:rsidRPr="00514C09" w:rsidRDefault="007C11F3" w:rsidP="007C11F3">
      <w:pPr>
        <w:spacing w:after="160" w:line="259" w:lineRule="auto"/>
        <w:rPr>
          <w:rFonts w:ascii="Verdana" w:hAnsi="Verdana"/>
          <w:b/>
          <w:sz w:val="22"/>
          <w:szCs w:val="22"/>
          <w:lang w:val="en-GB"/>
        </w:rPr>
      </w:pPr>
      <w:r w:rsidRPr="00514C09">
        <w:rPr>
          <w:rFonts w:ascii="Verdana" w:eastAsia="Calibri" w:hAnsi="Verdana" w:cs="Arial"/>
          <w:b/>
          <w:sz w:val="22"/>
          <w:szCs w:val="22"/>
          <w:lang w:val="en-GB"/>
        </w:rPr>
        <w:t>McCloud / Sargeant judgement</w:t>
      </w:r>
    </w:p>
    <w:p w14:paraId="28AB77B5" w14:textId="77777777" w:rsidR="007C11F3" w:rsidRPr="00514C09" w:rsidRDefault="007C11F3" w:rsidP="007C11F3">
      <w:pPr>
        <w:spacing w:after="160" w:line="259" w:lineRule="auto"/>
        <w:jc w:val="both"/>
        <w:rPr>
          <w:rFonts w:ascii="Verdana" w:hAnsi="Verdana"/>
          <w:sz w:val="22"/>
          <w:szCs w:val="22"/>
          <w:lang w:val="en-GB"/>
        </w:rPr>
      </w:pPr>
      <w:r w:rsidRPr="00514C09">
        <w:rPr>
          <w:rFonts w:ascii="Verdana" w:eastAsia="Calibri" w:hAnsi="Verdana" w:cs="Arial"/>
          <w:sz w:val="22"/>
          <w:szCs w:val="22"/>
          <w:lang w:val="en-GB"/>
        </w:rPr>
        <w:t>The Chief Constable of Surrey, along with the other Chief Constables and the Home Office, currently has a number of claims lodged against them with the Central London Employment Tribunal.  The claims are in respect of alleged unlawful discrimination arising from the Transitional Provisions in the Police Pension Regulations 2015.</w:t>
      </w:r>
    </w:p>
    <w:p w14:paraId="551C21C9" w14:textId="77777777" w:rsidR="007C11F3" w:rsidRPr="00514C09" w:rsidRDefault="007C11F3" w:rsidP="007C11F3">
      <w:pPr>
        <w:spacing w:after="160" w:line="259" w:lineRule="auto"/>
        <w:jc w:val="both"/>
        <w:rPr>
          <w:rFonts w:ascii="Verdana" w:hAnsi="Verdana"/>
          <w:sz w:val="22"/>
          <w:szCs w:val="22"/>
        </w:rPr>
      </w:pPr>
      <w:r w:rsidRPr="00514C09">
        <w:rPr>
          <w:rFonts w:ascii="Verdana" w:hAnsi="Verdana"/>
          <w:sz w:val="22"/>
          <w:szCs w:val="22"/>
        </w:rPr>
        <w:t>The McCloud and Sargeant judgements concerned the introduction of career average revalued earnings (CARE) pension schemes to replace the former final salary based pension schemes as part of the Hutton recommendation to reform public service pension schemes. Under the changes introduced to each scheme, members were required to transfer to the new schemes from the transition date of the new schemes, this was 1 April 2014 for the police staff scheme (LGPS) and 1 April 2015 for the Police pension scheme.</w:t>
      </w:r>
    </w:p>
    <w:p w14:paraId="3348FD5A" w14:textId="77777777" w:rsidR="007C11F3" w:rsidRDefault="007C11F3" w:rsidP="007C11F3">
      <w:pPr>
        <w:jc w:val="both"/>
        <w:rPr>
          <w:rFonts w:ascii="Verdana" w:hAnsi="Verdana"/>
          <w:sz w:val="22"/>
          <w:szCs w:val="22"/>
        </w:rPr>
      </w:pPr>
      <w:r w:rsidRPr="00514C09">
        <w:rPr>
          <w:rFonts w:ascii="Verdana" w:hAnsi="Verdana"/>
          <w:sz w:val="22"/>
          <w:szCs w:val="22"/>
        </w:rPr>
        <w:t>There was protection provided for older members under each scheme known as ‘transitional protection’. The McCloud and Sargeant judgements have upheld the claimants’ cases that the method of implementation of the new schemes discriminated against younger members. The government was refused leave to appeal the McCloud and Sargeant Judgements on 27 June 2019. This means various parties return to the respective employment tribunals to formulate a remedy which will resolve the age discrimination of the pension changes.</w:t>
      </w:r>
    </w:p>
    <w:p w14:paraId="1DBD7BAC" w14:textId="77777777" w:rsidR="00514C09" w:rsidRDefault="00514C09" w:rsidP="007C11F3">
      <w:pPr>
        <w:jc w:val="both"/>
        <w:rPr>
          <w:rFonts w:ascii="Verdana" w:hAnsi="Verdana"/>
          <w:sz w:val="22"/>
          <w:szCs w:val="22"/>
        </w:rPr>
      </w:pPr>
    </w:p>
    <w:p w14:paraId="15A4D843" w14:textId="77777777" w:rsidR="00514C09" w:rsidRPr="00514C09" w:rsidRDefault="00514C09" w:rsidP="00514C09">
      <w:pPr>
        <w:jc w:val="both"/>
        <w:rPr>
          <w:rFonts w:ascii="Verdana" w:hAnsi="Verdana"/>
          <w:sz w:val="22"/>
          <w:szCs w:val="22"/>
        </w:rPr>
      </w:pPr>
      <w:r w:rsidRPr="00514C09">
        <w:rPr>
          <w:rFonts w:ascii="Verdana" w:hAnsi="Verdana"/>
          <w:sz w:val="22"/>
          <w:szCs w:val="22"/>
        </w:rPr>
        <w:t>In respect of the Police pension schemes, a case management was held in October 2019 resulted in an Order including an interim declaration that claimants are entitled to be treated as if they had been given full transitional protection and had remained in their existing scheme after 1 April 2015. The Government later issued a Ministerial Statement on 25 March 2020 that non-claimants would also be treated in the same way. On 16 July 2020, HM Treasury issued a consultation on transitional arrangements for public sector pensions to eliminate discrimination identified via McCloud/Sargeant cases. This meant that members of the pension scheme on or before 31 March 2012 and on or after 1April to be eligible for the remedy.</w:t>
      </w:r>
    </w:p>
    <w:p w14:paraId="70094E77" w14:textId="77777777" w:rsidR="00514C09" w:rsidRPr="00514C09" w:rsidRDefault="00514C09" w:rsidP="00514C09">
      <w:pPr>
        <w:jc w:val="both"/>
        <w:rPr>
          <w:rFonts w:ascii="Verdana" w:hAnsi="Verdana"/>
          <w:sz w:val="22"/>
          <w:szCs w:val="22"/>
        </w:rPr>
      </w:pPr>
    </w:p>
    <w:p w14:paraId="3014258D" w14:textId="77777777" w:rsidR="00514C09" w:rsidRPr="00514C09" w:rsidRDefault="00514C09" w:rsidP="00514C09">
      <w:pPr>
        <w:jc w:val="both"/>
        <w:rPr>
          <w:rFonts w:ascii="Verdana" w:hAnsi="Verdana"/>
          <w:sz w:val="22"/>
          <w:szCs w:val="22"/>
        </w:rPr>
      </w:pPr>
      <w:r w:rsidRPr="00514C09">
        <w:rPr>
          <w:rFonts w:ascii="Verdana" w:hAnsi="Verdana"/>
          <w:sz w:val="22"/>
          <w:szCs w:val="22"/>
        </w:rPr>
        <w:t xml:space="preserve">On 4 February 2021, HM Treasury issued a response to the consultation confirming remedy arrangement requirements that were set out in the consultation with members being given a choice as to whether they retain benefits from their legacy pension scheme, or their new scheme, during the remedy period of 2015 to 2022 so as not to disadvantage any of those members. This choice will be deferred for members until retirement which creates further uncertainty of impact for employers. The legacy pension schemes will then be removed from April 2022 and replaced by the new pension schemes originally introduced in 2015 as it was only the transitional arrangements that were found to be discriminatory, not the actual new pension schemes. </w:t>
      </w:r>
    </w:p>
    <w:p w14:paraId="0FF16D44" w14:textId="77777777" w:rsidR="00514C09" w:rsidRPr="00514C09" w:rsidRDefault="00514C09" w:rsidP="00514C09">
      <w:pPr>
        <w:jc w:val="both"/>
        <w:rPr>
          <w:rFonts w:ascii="Verdana" w:hAnsi="Verdana"/>
          <w:iCs/>
          <w:sz w:val="22"/>
          <w:szCs w:val="22"/>
        </w:rPr>
      </w:pPr>
    </w:p>
    <w:p w14:paraId="093E3A7F" w14:textId="3BF9716A" w:rsidR="00514C09" w:rsidRDefault="00514C09" w:rsidP="00514C09">
      <w:pPr>
        <w:jc w:val="both"/>
        <w:rPr>
          <w:rFonts w:ascii="Verdana" w:hAnsi="Verdana"/>
          <w:iCs/>
          <w:sz w:val="22"/>
          <w:szCs w:val="22"/>
        </w:rPr>
      </w:pPr>
      <w:r w:rsidRPr="00514C09">
        <w:rPr>
          <w:rFonts w:ascii="Verdana" w:hAnsi="Verdana"/>
          <w:iCs/>
          <w:sz w:val="22"/>
          <w:szCs w:val="22"/>
        </w:rPr>
        <w:t>IAS 19 pension actuarial reports include these impacts and provide for them within the 2020/21 accounts of the PCC Group for both police and staff pension schemes.</w:t>
      </w:r>
    </w:p>
    <w:p w14:paraId="6B80D3AF" w14:textId="77777777" w:rsidR="00514C09" w:rsidRDefault="00514C09" w:rsidP="00514C09">
      <w:pPr>
        <w:jc w:val="both"/>
        <w:rPr>
          <w:rFonts w:ascii="Verdana" w:hAnsi="Verdana"/>
          <w:iCs/>
          <w:sz w:val="22"/>
          <w:szCs w:val="22"/>
        </w:rPr>
      </w:pPr>
    </w:p>
    <w:p w14:paraId="4845DB28" w14:textId="77777777" w:rsidR="00514C09" w:rsidRPr="00514C09" w:rsidRDefault="00514C09" w:rsidP="00514C09">
      <w:pPr>
        <w:jc w:val="both"/>
        <w:rPr>
          <w:rFonts w:ascii="Verdana" w:hAnsi="Verdana"/>
          <w:sz w:val="22"/>
          <w:szCs w:val="22"/>
        </w:rPr>
      </w:pPr>
    </w:p>
    <w:p w14:paraId="122C3DAA" w14:textId="3AF56DAA" w:rsidR="00514C09" w:rsidRDefault="00514C09">
      <w:pPr>
        <w:rPr>
          <w:rFonts w:ascii="Verdana" w:hAnsi="Verdana"/>
          <w:sz w:val="22"/>
          <w:szCs w:val="22"/>
        </w:rPr>
      </w:pPr>
      <w:r>
        <w:rPr>
          <w:rFonts w:ascii="Verdana" w:hAnsi="Verdana"/>
          <w:sz w:val="22"/>
          <w:szCs w:val="22"/>
        </w:rPr>
        <w:br w:type="page"/>
      </w:r>
    </w:p>
    <w:p w14:paraId="747CEE51" w14:textId="77777777" w:rsidR="007C11F3" w:rsidRPr="00514C09" w:rsidRDefault="007C11F3" w:rsidP="007C11F3">
      <w:pPr>
        <w:jc w:val="both"/>
        <w:rPr>
          <w:rFonts w:ascii="Verdana" w:hAnsi="Verdana"/>
          <w:sz w:val="22"/>
          <w:szCs w:val="22"/>
        </w:rPr>
      </w:pPr>
    </w:p>
    <w:tbl>
      <w:tblPr>
        <w:tblW w:w="8361" w:type="pct"/>
        <w:tblLook w:val="04A0" w:firstRow="1" w:lastRow="0" w:firstColumn="1" w:lastColumn="0" w:noHBand="0" w:noVBand="1"/>
      </w:tblPr>
      <w:tblGrid>
        <w:gridCol w:w="1592"/>
        <w:gridCol w:w="2029"/>
        <w:gridCol w:w="2024"/>
        <w:gridCol w:w="3410"/>
        <w:gridCol w:w="1586"/>
        <w:gridCol w:w="1957"/>
        <w:gridCol w:w="2024"/>
        <w:gridCol w:w="5568"/>
        <w:gridCol w:w="5562"/>
      </w:tblGrid>
      <w:tr w:rsidR="00192B82" w:rsidRPr="00192B82" w14:paraId="6CF2C3C2" w14:textId="77777777" w:rsidTr="0091312C">
        <w:trPr>
          <w:gridAfter w:val="2"/>
          <w:wAfter w:w="2161" w:type="pct"/>
          <w:trHeight w:val="302"/>
        </w:trPr>
        <w:tc>
          <w:tcPr>
            <w:tcW w:w="309" w:type="pct"/>
            <w:tcBorders>
              <w:top w:val="nil"/>
              <w:left w:val="nil"/>
              <w:bottom w:val="nil"/>
              <w:right w:val="nil"/>
            </w:tcBorders>
            <w:shd w:val="clear" w:color="auto" w:fill="auto"/>
            <w:noWrap/>
            <w:vAlign w:val="bottom"/>
            <w:hideMark/>
          </w:tcPr>
          <w:p w14:paraId="0A5F2098" w14:textId="77777777" w:rsidR="00192B82" w:rsidRPr="00192B82" w:rsidRDefault="00192B82" w:rsidP="00192B82">
            <w:pPr>
              <w:jc w:val="center"/>
              <w:rPr>
                <w:rFonts w:ascii="Verdana" w:eastAsia="Times New Roman" w:hAnsi="Verdana" w:cs="Calibri"/>
                <w:b/>
                <w:bCs/>
                <w:color w:val="000000"/>
                <w:sz w:val="16"/>
                <w:szCs w:val="16"/>
                <w:lang w:val="en-GB" w:eastAsia="en-GB"/>
              </w:rPr>
            </w:pPr>
          </w:p>
        </w:tc>
        <w:tc>
          <w:tcPr>
            <w:tcW w:w="394" w:type="pct"/>
            <w:tcBorders>
              <w:top w:val="nil"/>
              <w:left w:val="nil"/>
              <w:bottom w:val="nil"/>
              <w:right w:val="nil"/>
            </w:tcBorders>
            <w:shd w:val="clear" w:color="auto" w:fill="auto"/>
            <w:noWrap/>
            <w:vAlign w:val="bottom"/>
            <w:hideMark/>
          </w:tcPr>
          <w:p w14:paraId="7E72269B" w14:textId="77777777" w:rsidR="00192B82" w:rsidRPr="00192B82" w:rsidRDefault="00192B82" w:rsidP="00192B82">
            <w:pPr>
              <w:rPr>
                <w:rFonts w:ascii="Times New Roman" w:eastAsia="Times New Roman" w:hAnsi="Times New Roman" w:cs="Times New Roman"/>
                <w:sz w:val="20"/>
                <w:szCs w:val="20"/>
                <w:lang w:val="en-GB" w:eastAsia="en-GB"/>
              </w:rPr>
            </w:pPr>
          </w:p>
        </w:tc>
        <w:tc>
          <w:tcPr>
            <w:tcW w:w="393" w:type="pct"/>
            <w:tcBorders>
              <w:top w:val="nil"/>
              <w:left w:val="nil"/>
              <w:bottom w:val="nil"/>
              <w:right w:val="nil"/>
            </w:tcBorders>
            <w:shd w:val="clear" w:color="auto" w:fill="auto"/>
            <w:noWrap/>
            <w:vAlign w:val="bottom"/>
            <w:hideMark/>
          </w:tcPr>
          <w:p w14:paraId="7C3FFBC5" w14:textId="77777777" w:rsidR="00192B82" w:rsidRPr="00192B82" w:rsidRDefault="00192B82" w:rsidP="00192B82">
            <w:pPr>
              <w:rPr>
                <w:rFonts w:ascii="Times New Roman" w:eastAsia="Times New Roman" w:hAnsi="Times New Roman" w:cs="Times New Roman"/>
                <w:sz w:val="20"/>
                <w:szCs w:val="20"/>
                <w:lang w:val="en-GB" w:eastAsia="en-GB"/>
              </w:rPr>
            </w:pPr>
          </w:p>
        </w:tc>
        <w:tc>
          <w:tcPr>
            <w:tcW w:w="662" w:type="pct"/>
            <w:tcBorders>
              <w:top w:val="nil"/>
              <w:left w:val="nil"/>
              <w:bottom w:val="nil"/>
              <w:right w:val="nil"/>
            </w:tcBorders>
            <w:shd w:val="clear" w:color="auto" w:fill="auto"/>
            <w:noWrap/>
            <w:vAlign w:val="bottom"/>
            <w:hideMark/>
          </w:tcPr>
          <w:p w14:paraId="3DAAB153" w14:textId="77777777" w:rsidR="00192B82" w:rsidRPr="00192B82" w:rsidRDefault="00192B82" w:rsidP="00192B82">
            <w:pPr>
              <w:rPr>
                <w:rFonts w:ascii="Times New Roman" w:eastAsia="Times New Roman" w:hAnsi="Times New Roman" w:cs="Times New Roman"/>
                <w:sz w:val="20"/>
                <w:szCs w:val="20"/>
                <w:lang w:val="en-GB" w:eastAsia="en-GB"/>
              </w:rPr>
            </w:pPr>
          </w:p>
        </w:tc>
        <w:tc>
          <w:tcPr>
            <w:tcW w:w="308" w:type="pct"/>
            <w:tcBorders>
              <w:top w:val="nil"/>
              <w:left w:val="nil"/>
              <w:bottom w:val="nil"/>
              <w:right w:val="nil"/>
            </w:tcBorders>
            <w:shd w:val="clear" w:color="auto" w:fill="auto"/>
            <w:noWrap/>
            <w:vAlign w:val="bottom"/>
            <w:hideMark/>
          </w:tcPr>
          <w:p w14:paraId="58618143" w14:textId="77777777" w:rsidR="00192B82" w:rsidRPr="00192B82" w:rsidRDefault="00192B82" w:rsidP="00192B82">
            <w:pPr>
              <w:rPr>
                <w:rFonts w:ascii="Times New Roman" w:eastAsia="Times New Roman" w:hAnsi="Times New Roman" w:cs="Times New Roman"/>
                <w:sz w:val="20"/>
                <w:szCs w:val="20"/>
                <w:lang w:val="en-GB" w:eastAsia="en-GB"/>
              </w:rPr>
            </w:pPr>
          </w:p>
        </w:tc>
        <w:tc>
          <w:tcPr>
            <w:tcW w:w="380" w:type="pct"/>
            <w:tcBorders>
              <w:top w:val="nil"/>
              <w:left w:val="nil"/>
              <w:bottom w:val="nil"/>
              <w:right w:val="nil"/>
            </w:tcBorders>
            <w:shd w:val="clear" w:color="auto" w:fill="auto"/>
            <w:noWrap/>
            <w:vAlign w:val="bottom"/>
            <w:hideMark/>
          </w:tcPr>
          <w:p w14:paraId="2FA8C573" w14:textId="77777777" w:rsidR="00192B82" w:rsidRPr="00192B82" w:rsidRDefault="00192B82" w:rsidP="00192B82">
            <w:pPr>
              <w:rPr>
                <w:rFonts w:ascii="Times New Roman" w:eastAsia="Times New Roman" w:hAnsi="Times New Roman" w:cs="Times New Roman"/>
                <w:sz w:val="20"/>
                <w:szCs w:val="20"/>
                <w:lang w:val="en-GB" w:eastAsia="en-GB"/>
              </w:rPr>
            </w:pPr>
          </w:p>
        </w:tc>
        <w:tc>
          <w:tcPr>
            <w:tcW w:w="392" w:type="pct"/>
            <w:tcBorders>
              <w:top w:val="nil"/>
              <w:left w:val="nil"/>
              <w:bottom w:val="nil"/>
              <w:right w:val="nil"/>
            </w:tcBorders>
            <w:shd w:val="clear" w:color="auto" w:fill="auto"/>
            <w:noWrap/>
            <w:vAlign w:val="bottom"/>
            <w:hideMark/>
          </w:tcPr>
          <w:p w14:paraId="78ABAC02" w14:textId="77777777" w:rsidR="00192B82" w:rsidRPr="00192B82" w:rsidRDefault="00192B82" w:rsidP="00192B82">
            <w:pPr>
              <w:rPr>
                <w:rFonts w:ascii="Times New Roman" w:eastAsia="Times New Roman" w:hAnsi="Times New Roman" w:cs="Times New Roman"/>
                <w:sz w:val="20"/>
                <w:szCs w:val="20"/>
                <w:lang w:val="en-GB" w:eastAsia="en-GB"/>
              </w:rPr>
            </w:pPr>
          </w:p>
        </w:tc>
      </w:tr>
      <w:tr w:rsidR="00192B82" w:rsidRPr="00192B82" w14:paraId="1276777B" w14:textId="77777777" w:rsidTr="0091312C">
        <w:trPr>
          <w:gridAfter w:val="2"/>
          <w:wAfter w:w="2161" w:type="pct"/>
          <w:trHeight w:val="214"/>
        </w:trPr>
        <w:tc>
          <w:tcPr>
            <w:tcW w:w="1758" w:type="pct"/>
            <w:gridSpan w:val="4"/>
            <w:tcBorders>
              <w:top w:val="nil"/>
              <w:left w:val="nil"/>
              <w:bottom w:val="nil"/>
              <w:right w:val="nil"/>
            </w:tcBorders>
            <w:shd w:val="clear" w:color="auto" w:fill="auto"/>
            <w:noWrap/>
            <w:vAlign w:val="center"/>
            <w:hideMark/>
          </w:tcPr>
          <w:p w14:paraId="384CCD35" w14:textId="77777777" w:rsidR="00192B82" w:rsidRPr="00192B82" w:rsidRDefault="00192B82" w:rsidP="00192B82">
            <w:pP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Comprehensive Income and Expenditure Statement</w:t>
            </w:r>
          </w:p>
        </w:tc>
        <w:tc>
          <w:tcPr>
            <w:tcW w:w="308" w:type="pct"/>
            <w:tcBorders>
              <w:top w:val="nil"/>
              <w:left w:val="nil"/>
              <w:bottom w:val="nil"/>
              <w:right w:val="nil"/>
            </w:tcBorders>
            <w:shd w:val="clear" w:color="auto" w:fill="auto"/>
            <w:noWrap/>
            <w:vAlign w:val="bottom"/>
            <w:hideMark/>
          </w:tcPr>
          <w:p w14:paraId="75693B19" w14:textId="77777777" w:rsidR="00192B82" w:rsidRPr="00192B82" w:rsidRDefault="00192B82" w:rsidP="00192B82">
            <w:pPr>
              <w:rPr>
                <w:rFonts w:ascii="Verdana" w:eastAsia="Times New Roman" w:hAnsi="Verdana" w:cs="Calibri"/>
                <w:b/>
                <w:bCs/>
                <w:color w:val="000000"/>
                <w:sz w:val="16"/>
                <w:szCs w:val="16"/>
                <w:lang w:val="en-GB" w:eastAsia="en-GB"/>
              </w:rPr>
            </w:pPr>
          </w:p>
        </w:tc>
        <w:tc>
          <w:tcPr>
            <w:tcW w:w="380" w:type="pct"/>
            <w:tcBorders>
              <w:top w:val="nil"/>
              <w:left w:val="nil"/>
              <w:bottom w:val="nil"/>
              <w:right w:val="nil"/>
            </w:tcBorders>
            <w:shd w:val="clear" w:color="auto" w:fill="auto"/>
            <w:noWrap/>
            <w:vAlign w:val="bottom"/>
            <w:hideMark/>
          </w:tcPr>
          <w:p w14:paraId="610D2DE8" w14:textId="77777777" w:rsidR="00192B82" w:rsidRPr="00192B82" w:rsidRDefault="00192B82" w:rsidP="00192B82">
            <w:pPr>
              <w:rPr>
                <w:rFonts w:ascii="Times New Roman" w:eastAsia="Times New Roman" w:hAnsi="Times New Roman" w:cs="Times New Roman"/>
                <w:sz w:val="20"/>
                <w:szCs w:val="20"/>
                <w:lang w:val="en-GB" w:eastAsia="en-GB"/>
              </w:rPr>
            </w:pPr>
          </w:p>
        </w:tc>
        <w:tc>
          <w:tcPr>
            <w:tcW w:w="392" w:type="pct"/>
            <w:tcBorders>
              <w:top w:val="nil"/>
              <w:left w:val="nil"/>
              <w:bottom w:val="nil"/>
              <w:right w:val="nil"/>
            </w:tcBorders>
            <w:shd w:val="clear" w:color="auto" w:fill="auto"/>
            <w:noWrap/>
            <w:vAlign w:val="bottom"/>
            <w:hideMark/>
          </w:tcPr>
          <w:p w14:paraId="51A718FD" w14:textId="77777777" w:rsidR="00192B82" w:rsidRPr="00192B82" w:rsidRDefault="00192B82" w:rsidP="00192B82">
            <w:pPr>
              <w:rPr>
                <w:rFonts w:ascii="Times New Roman" w:eastAsia="Times New Roman" w:hAnsi="Times New Roman" w:cs="Times New Roman"/>
                <w:sz w:val="20"/>
                <w:szCs w:val="20"/>
                <w:lang w:val="en-GB" w:eastAsia="en-GB"/>
              </w:rPr>
            </w:pPr>
          </w:p>
        </w:tc>
      </w:tr>
      <w:tr w:rsidR="00192B82" w:rsidRPr="00192B82" w14:paraId="575B138A" w14:textId="77777777" w:rsidTr="0091312C">
        <w:trPr>
          <w:gridAfter w:val="2"/>
          <w:wAfter w:w="2161" w:type="pct"/>
          <w:trHeight w:val="214"/>
        </w:trPr>
        <w:tc>
          <w:tcPr>
            <w:tcW w:w="703" w:type="pct"/>
            <w:gridSpan w:val="2"/>
            <w:tcBorders>
              <w:top w:val="nil"/>
              <w:left w:val="nil"/>
              <w:bottom w:val="nil"/>
              <w:right w:val="nil"/>
            </w:tcBorders>
            <w:shd w:val="clear" w:color="auto" w:fill="auto"/>
            <w:noWrap/>
            <w:vAlign w:val="center"/>
            <w:hideMark/>
          </w:tcPr>
          <w:p w14:paraId="65D26DCB" w14:textId="77777777" w:rsidR="00192B82" w:rsidRPr="00192B82" w:rsidRDefault="00192B82" w:rsidP="00192B82">
            <w:pPr>
              <w:ind w:firstLineChars="100" w:firstLine="161"/>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Cost of Services</w:t>
            </w:r>
          </w:p>
        </w:tc>
        <w:tc>
          <w:tcPr>
            <w:tcW w:w="393" w:type="pct"/>
            <w:tcBorders>
              <w:top w:val="nil"/>
              <w:left w:val="nil"/>
              <w:bottom w:val="nil"/>
              <w:right w:val="nil"/>
            </w:tcBorders>
            <w:shd w:val="clear" w:color="auto" w:fill="auto"/>
            <w:noWrap/>
            <w:vAlign w:val="center"/>
            <w:hideMark/>
          </w:tcPr>
          <w:p w14:paraId="54CAE2DB" w14:textId="77777777" w:rsidR="00192B82" w:rsidRPr="00192B82" w:rsidRDefault="00192B82" w:rsidP="00192B82">
            <w:pPr>
              <w:ind w:firstLineChars="100" w:firstLine="161"/>
              <w:rPr>
                <w:rFonts w:ascii="Verdana" w:eastAsia="Times New Roman" w:hAnsi="Verdana" w:cs="Calibri"/>
                <w:b/>
                <w:bCs/>
                <w:color w:val="000000"/>
                <w:sz w:val="16"/>
                <w:szCs w:val="16"/>
                <w:lang w:val="en-GB" w:eastAsia="en-GB"/>
              </w:rPr>
            </w:pPr>
          </w:p>
        </w:tc>
        <w:tc>
          <w:tcPr>
            <w:tcW w:w="662" w:type="pct"/>
            <w:tcBorders>
              <w:top w:val="nil"/>
              <w:left w:val="nil"/>
              <w:bottom w:val="nil"/>
              <w:right w:val="nil"/>
            </w:tcBorders>
            <w:shd w:val="clear" w:color="auto" w:fill="auto"/>
            <w:noWrap/>
            <w:vAlign w:val="center"/>
            <w:hideMark/>
          </w:tcPr>
          <w:p w14:paraId="066DCACC" w14:textId="77777777" w:rsidR="00192B82" w:rsidRPr="00192B82" w:rsidRDefault="00192B82" w:rsidP="00192B82">
            <w:pPr>
              <w:rPr>
                <w:rFonts w:ascii="Times New Roman" w:eastAsia="Times New Roman" w:hAnsi="Times New Roman" w:cs="Times New Roman"/>
                <w:sz w:val="20"/>
                <w:szCs w:val="20"/>
                <w:lang w:val="en-GB" w:eastAsia="en-GB"/>
              </w:rPr>
            </w:pPr>
          </w:p>
        </w:tc>
        <w:tc>
          <w:tcPr>
            <w:tcW w:w="308" w:type="pct"/>
            <w:tcBorders>
              <w:top w:val="nil"/>
              <w:left w:val="nil"/>
              <w:bottom w:val="nil"/>
              <w:right w:val="nil"/>
            </w:tcBorders>
            <w:shd w:val="clear" w:color="auto" w:fill="auto"/>
            <w:noWrap/>
            <w:vAlign w:val="center"/>
            <w:hideMark/>
          </w:tcPr>
          <w:p w14:paraId="3D09A26A" w14:textId="77777777" w:rsidR="00192B82" w:rsidRPr="00192B82" w:rsidRDefault="00192B82" w:rsidP="00192B82">
            <w:pPr>
              <w:ind w:firstLineChars="100" w:firstLine="200"/>
              <w:rPr>
                <w:rFonts w:ascii="Times New Roman" w:eastAsia="Times New Roman" w:hAnsi="Times New Roman" w:cs="Times New Roman"/>
                <w:sz w:val="20"/>
                <w:szCs w:val="20"/>
                <w:lang w:val="en-GB" w:eastAsia="en-GB"/>
              </w:rPr>
            </w:pPr>
          </w:p>
        </w:tc>
        <w:tc>
          <w:tcPr>
            <w:tcW w:w="380" w:type="pct"/>
            <w:tcBorders>
              <w:top w:val="nil"/>
              <w:left w:val="nil"/>
              <w:bottom w:val="nil"/>
              <w:right w:val="nil"/>
            </w:tcBorders>
            <w:shd w:val="clear" w:color="auto" w:fill="auto"/>
            <w:noWrap/>
            <w:vAlign w:val="center"/>
            <w:hideMark/>
          </w:tcPr>
          <w:p w14:paraId="35A8A017" w14:textId="77777777" w:rsidR="00192B82" w:rsidRPr="00192B82" w:rsidRDefault="00192B82" w:rsidP="00192B82">
            <w:pPr>
              <w:ind w:firstLineChars="100" w:firstLine="200"/>
              <w:jc w:val="right"/>
              <w:rPr>
                <w:rFonts w:ascii="Times New Roman" w:eastAsia="Times New Roman" w:hAnsi="Times New Roman" w:cs="Times New Roman"/>
                <w:sz w:val="20"/>
                <w:szCs w:val="20"/>
                <w:lang w:val="en-GB" w:eastAsia="en-GB"/>
              </w:rPr>
            </w:pPr>
          </w:p>
        </w:tc>
        <w:tc>
          <w:tcPr>
            <w:tcW w:w="392" w:type="pct"/>
            <w:tcBorders>
              <w:top w:val="nil"/>
              <w:left w:val="nil"/>
              <w:bottom w:val="nil"/>
              <w:right w:val="nil"/>
            </w:tcBorders>
            <w:shd w:val="clear" w:color="auto" w:fill="auto"/>
            <w:noWrap/>
            <w:vAlign w:val="center"/>
            <w:hideMark/>
          </w:tcPr>
          <w:p w14:paraId="21125532" w14:textId="77777777" w:rsidR="00192B82" w:rsidRPr="00192B82" w:rsidRDefault="00192B82" w:rsidP="00192B82">
            <w:pPr>
              <w:rPr>
                <w:rFonts w:ascii="Times New Roman" w:eastAsia="Times New Roman" w:hAnsi="Times New Roman" w:cs="Times New Roman"/>
                <w:sz w:val="20"/>
                <w:szCs w:val="20"/>
                <w:lang w:val="en-GB" w:eastAsia="en-GB"/>
              </w:rPr>
            </w:pPr>
          </w:p>
        </w:tc>
      </w:tr>
      <w:tr w:rsidR="0091312C" w:rsidRPr="00192B82" w14:paraId="6C389B04" w14:textId="72FAAD9E" w:rsidTr="0091312C">
        <w:trPr>
          <w:trHeight w:val="287"/>
        </w:trPr>
        <w:tc>
          <w:tcPr>
            <w:tcW w:w="1096" w:type="pct"/>
            <w:gridSpan w:val="3"/>
            <w:tcBorders>
              <w:top w:val="nil"/>
              <w:left w:val="nil"/>
              <w:bottom w:val="nil"/>
              <w:right w:val="nil"/>
            </w:tcBorders>
            <w:shd w:val="clear" w:color="auto" w:fill="auto"/>
            <w:noWrap/>
            <w:vAlign w:val="center"/>
            <w:hideMark/>
          </w:tcPr>
          <w:p w14:paraId="5C096DB2" w14:textId="367A88A9" w:rsidR="0091312C" w:rsidRPr="0091312C" w:rsidRDefault="0091312C" w:rsidP="0091312C">
            <w:pPr>
              <w:jc w:val="center"/>
              <w:rPr>
                <w:rFonts w:ascii="Verdana" w:eastAsia="Times New Roman" w:hAnsi="Verdana" w:cs="Times New Roman"/>
                <w:b/>
                <w:sz w:val="16"/>
                <w:szCs w:val="16"/>
                <w:lang w:val="en-GB" w:eastAsia="en-GB"/>
              </w:rPr>
            </w:pPr>
            <w:r w:rsidRPr="0091312C">
              <w:rPr>
                <w:rFonts w:ascii="Verdana" w:eastAsia="Times New Roman" w:hAnsi="Verdana" w:cs="Times New Roman"/>
                <w:b/>
                <w:sz w:val="16"/>
                <w:szCs w:val="16"/>
                <w:lang w:val="en-GB" w:eastAsia="en-GB"/>
              </w:rPr>
              <w:t>2019/20</w:t>
            </w:r>
          </w:p>
        </w:tc>
        <w:tc>
          <w:tcPr>
            <w:tcW w:w="662" w:type="pct"/>
            <w:tcBorders>
              <w:top w:val="nil"/>
              <w:left w:val="nil"/>
              <w:bottom w:val="nil"/>
              <w:right w:val="nil"/>
            </w:tcBorders>
            <w:shd w:val="clear" w:color="auto" w:fill="auto"/>
            <w:noWrap/>
            <w:vAlign w:val="center"/>
            <w:hideMark/>
          </w:tcPr>
          <w:p w14:paraId="70C23A53" w14:textId="77777777" w:rsidR="0091312C" w:rsidRPr="0091312C" w:rsidRDefault="0091312C" w:rsidP="0091312C">
            <w:pPr>
              <w:jc w:val="center"/>
              <w:rPr>
                <w:rFonts w:ascii="Verdana" w:eastAsia="Times New Roman" w:hAnsi="Verdana" w:cs="Times New Roman"/>
                <w:b/>
                <w:sz w:val="16"/>
                <w:szCs w:val="16"/>
                <w:lang w:val="en-GB" w:eastAsia="en-GB"/>
              </w:rPr>
            </w:pPr>
          </w:p>
        </w:tc>
        <w:tc>
          <w:tcPr>
            <w:tcW w:w="1081" w:type="pct"/>
            <w:gridSpan w:val="3"/>
            <w:tcBorders>
              <w:top w:val="nil"/>
              <w:left w:val="nil"/>
              <w:bottom w:val="nil"/>
              <w:right w:val="nil"/>
            </w:tcBorders>
            <w:shd w:val="clear" w:color="auto" w:fill="auto"/>
            <w:noWrap/>
            <w:vAlign w:val="center"/>
            <w:hideMark/>
          </w:tcPr>
          <w:p w14:paraId="66447B3C" w14:textId="3DDF8D6C" w:rsidR="0091312C" w:rsidRPr="0091312C" w:rsidRDefault="0091312C" w:rsidP="0091312C">
            <w:pPr>
              <w:jc w:val="center"/>
              <w:rPr>
                <w:rFonts w:ascii="Verdana" w:eastAsia="Times New Roman" w:hAnsi="Verdana" w:cs="Times New Roman"/>
                <w:b/>
                <w:sz w:val="16"/>
                <w:szCs w:val="16"/>
                <w:lang w:val="en-GB" w:eastAsia="en-GB"/>
              </w:rPr>
            </w:pPr>
            <w:r w:rsidRPr="0091312C">
              <w:rPr>
                <w:rFonts w:ascii="Verdana" w:eastAsia="Times New Roman" w:hAnsi="Verdana" w:cs="Times New Roman"/>
                <w:b/>
                <w:sz w:val="16"/>
                <w:szCs w:val="16"/>
                <w:lang w:val="en-GB" w:eastAsia="en-GB"/>
              </w:rPr>
              <w:t>20</w:t>
            </w:r>
            <w:r>
              <w:rPr>
                <w:rFonts w:ascii="Verdana" w:eastAsia="Times New Roman" w:hAnsi="Verdana" w:cs="Times New Roman"/>
                <w:b/>
                <w:sz w:val="16"/>
                <w:szCs w:val="16"/>
                <w:lang w:val="en-GB" w:eastAsia="en-GB"/>
              </w:rPr>
              <w:t>20</w:t>
            </w:r>
            <w:r w:rsidRPr="0091312C">
              <w:rPr>
                <w:rFonts w:ascii="Verdana" w:eastAsia="Times New Roman" w:hAnsi="Verdana" w:cs="Times New Roman"/>
                <w:b/>
                <w:sz w:val="16"/>
                <w:szCs w:val="16"/>
                <w:lang w:val="en-GB" w:eastAsia="en-GB"/>
              </w:rPr>
              <w:t>/2</w:t>
            </w:r>
            <w:r>
              <w:rPr>
                <w:rFonts w:ascii="Verdana" w:eastAsia="Times New Roman" w:hAnsi="Verdana" w:cs="Times New Roman"/>
                <w:b/>
                <w:sz w:val="16"/>
                <w:szCs w:val="16"/>
                <w:lang w:val="en-GB" w:eastAsia="en-GB"/>
              </w:rPr>
              <w:t>1</w:t>
            </w:r>
          </w:p>
        </w:tc>
        <w:tc>
          <w:tcPr>
            <w:tcW w:w="1081" w:type="pct"/>
            <w:vAlign w:val="center"/>
          </w:tcPr>
          <w:p w14:paraId="15E37C7D" w14:textId="77777777" w:rsidR="0091312C" w:rsidRPr="00192B82" w:rsidRDefault="0091312C" w:rsidP="0091312C"/>
        </w:tc>
        <w:tc>
          <w:tcPr>
            <w:tcW w:w="1081" w:type="pct"/>
            <w:vAlign w:val="center"/>
          </w:tcPr>
          <w:p w14:paraId="532B8513" w14:textId="77777777" w:rsidR="0091312C" w:rsidRPr="00192B82" w:rsidRDefault="0091312C" w:rsidP="0091312C"/>
        </w:tc>
      </w:tr>
      <w:tr w:rsidR="0091312C" w:rsidRPr="00192B82" w14:paraId="18F0A49B" w14:textId="77777777" w:rsidTr="0091312C">
        <w:trPr>
          <w:gridAfter w:val="2"/>
          <w:wAfter w:w="2161" w:type="pct"/>
          <w:trHeight w:val="214"/>
        </w:trPr>
        <w:tc>
          <w:tcPr>
            <w:tcW w:w="309" w:type="pct"/>
            <w:tcBorders>
              <w:top w:val="nil"/>
              <w:left w:val="nil"/>
              <w:bottom w:val="nil"/>
              <w:right w:val="nil"/>
            </w:tcBorders>
            <w:shd w:val="clear" w:color="auto" w:fill="auto"/>
            <w:noWrap/>
            <w:vAlign w:val="center"/>
          </w:tcPr>
          <w:p w14:paraId="4366F5B8" w14:textId="77777777" w:rsidR="0091312C" w:rsidRPr="00192B82" w:rsidRDefault="0091312C" w:rsidP="0091312C">
            <w:pPr>
              <w:jc w:val="center"/>
              <w:rPr>
                <w:rFonts w:ascii="Verdana" w:eastAsia="Times New Roman" w:hAnsi="Verdana" w:cs="Calibri"/>
                <w:b/>
                <w:bCs/>
                <w:color w:val="000000"/>
                <w:sz w:val="16"/>
                <w:szCs w:val="16"/>
                <w:lang w:val="en-GB" w:eastAsia="en-GB"/>
              </w:rPr>
            </w:pPr>
          </w:p>
        </w:tc>
        <w:tc>
          <w:tcPr>
            <w:tcW w:w="394" w:type="pct"/>
            <w:tcBorders>
              <w:top w:val="nil"/>
              <w:left w:val="nil"/>
              <w:bottom w:val="nil"/>
              <w:right w:val="nil"/>
            </w:tcBorders>
            <w:shd w:val="clear" w:color="auto" w:fill="auto"/>
            <w:vAlign w:val="center"/>
          </w:tcPr>
          <w:p w14:paraId="5FED68F6" w14:textId="77777777" w:rsidR="0091312C" w:rsidRPr="00192B82" w:rsidRDefault="0091312C" w:rsidP="0091312C">
            <w:pPr>
              <w:jc w:val="center"/>
              <w:rPr>
                <w:rFonts w:ascii="Verdana" w:eastAsia="Times New Roman" w:hAnsi="Verdana" w:cs="Calibri"/>
                <w:b/>
                <w:bCs/>
                <w:color w:val="000000"/>
                <w:sz w:val="16"/>
                <w:szCs w:val="16"/>
                <w:lang w:val="en-GB" w:eastAsia="en-GB"/>
              </w:rPr>
            </w:pPr>
          </w:p>
        </w:tc>
        <w:tc>
          <w:tcPr>
            <w:tcW w:w="393" w:type="pct"/>
            <w:tcBorders>
              <w:top w:val="nil"/>
              <w:left w:val="nil"/>
              <w:bottom w:val="nil"/>
              <w:right w:val="nil"/>
            </w:tcBorders>
            <w:shd w:val="clear" w:color="auto" w:fill="auto"/>
            <w:vAlign w:val="center"/>
          </w:tcPr>
          <w:p w14:paraId="31E08C65" w14:textId="77777777" w:rsidR="0091312C" w:rsidRPr="00192B82" w:rsidRDefault="0091312C" w:rsidP="0091312C">
            <w:pPr>
              <w:jc w:val="center"/>
              <w:rPr>
                <w:rFonts w:ascii="Verdana" w:eastAsia="Times New Roman" w:hAnsi="Verdana" w:cs="Calibri"/>
                <w:b/>
                <w:bCs/>
                <w:color w:val="000000"/>
                <w:sz w:val="16"/>
                <w:szCs w:val="16"/>
                <w:lang w:val="en-GB" w:eastAsia="en-GB"/>
              </w:rPr>
            </w:pPr>
          </w:p>
        </w:tc>
        <w:tc>
          <w:tcPr>
            <w:tcW w:w="662" w:type="pct"/>
            <w:tcBorders>
              <w:top w:val="nil"/>
              <w:left w:val="nil"/>
              <w:bottom w:val="nil"/>
              <w:right w:val="nil"/>
            </w:tcBorders>
            <w:shd w:val="clear" w:color="auto" w:fill="auto"/>
            <w:noWrap/>
            <w:vAlign w:val="center"/>
          </w:tcPr>
          <w:p w14:paraId="0E76CF2B" w14:textId="77777777" w:rsidR="0091312C" w:rsidRPr="00192B82" w:rsidRDefault="0091312C" w:rsidP="0091312C">
            <w:pPr>
              <w:jc w:val="center"/>
              <w:rPr>
                <w:rFonts w:ascii="Verdana" w:eastAsia="Times New Roman" w:hAnsi="Verdana" w:cs="Calibri"/>
                <w:b/>
                <w:bCs/>
                <w:color w:val="000000"/>
                <w:sz w:val="16"/>
                <w:szCs w:val="16"/>
                <w:lang w:val="en-GB" w:eastAsia="en-GB"/>
              </w:rPr>
            </w:pPr>
          </w:p>
        </w:tc>
        <w:tc>
          <w:tcPr>
            <w:tcW w:w="308" w:type="pct"/>
            <w:tcBorders>
              <w:top w:val="nil"/>
              <w:left w:val="nil"/>
              <w:bottom w:val="nil"/>
              <w:right w:val="nil"/>
            </w:tcBorders>
            <w:shd w:val="clear" w:color="auto" w:fill="auto"/>
            <w:noWrap/>
            <w:vAlign w:val="center"/>
          </w:tcPr>
          <w:p w14:paraId="7EF65B3E" w14:textId="77777777" w:rsidR="0091312C" w:rsidRPr="00192B82" w:rsidRDefault="0091312C" w:rsidP="0091312C">
            <w:pPr>
              <w:jc w:val="center"/>
              <w:rPr>
                <w:rFonts w:ascii="Verdana" w:eastAsia="Times New Roman" w:hAnsi="Verdana" w:cs="Calibri"/>
                <w:b/>
                <w:bCs/>
                <w:color w:val="000000"/>
                <w:sz w:val="16"/>
                <w:szCs w:val="16"/>
                <w:lang w:val="en-GB" w:eastAsia="en-GB"/>
              </w:rPr>
            </w:pPr>
          </w:p>
        </w:tc>
        <w:tc>
          <w:tcPr>
            <w:tcW w:w="380" w:type="pct"/>
            <w:tcBorders>
              <w:top w:val="nil"/>
              <w:left w:val="nil"/>
              <w:bottom w:val="nil"/>
              <w:right w:val="nil"/>
            </w:tcBorders>
            <w:shd w:val="clear" w:color="auto" w:fill="auto"/>
            <w:vAlign w:val="center"/>
          </w:tcPr>
          <w:p w14:paraId="4C174352" w14:textId="77777777" w:rsidR="0091312C" w:rsidRPr="00192B82" w:rsidRDefault="0091312C" w:rsidP="0091312C">
            <w:pPr>
              <w:jc w:val="center"/>
              <w:rPr>
                <w:rFonts w:ascii="Verdana" w:eastAsia="Times New Roman" w:hAnsi="Verdana" w:cs="Calibri"/>
                <w:b/>
                <w:bCs/>
                <w:color w:val="000000"/>
                <w:sz w:val="16"/>
                <w:szCs w:val="16"/>
                <w:lang w:val="en-GB" w:eastAsia="en-GB"/>
              </w:rPr>
            </w:pPr>
          </w:p>
        </w:tc>
        <w:tc>
          <w:tcPr>
            <w:tcW w:w="392" w:type="pct"/>
            <w:tcBorders>
              <w:top w:val="nil"/>
              <w:left w:val="nil"/>
              <w:bottom w:val="nil"/>
              <w:right w:val="nil"/>
            </w:tcBorders>
            <w:shd w:val="clear" w:color="auto" w:fill="auto"/>
            <w:vAlign w:val="center"/>
          </w:tcPr>
          <w:p w14:paraId="337E8CE9" w14:textId="77777777" w:rsidR="0091312C" w:rsidRPr="00192B82" w:rsidRDefault="0091312C" w:rsidP="0091312C">
            <w:pPr>
              <w:jc w:val="center"/>
              <w:rPr>
                <w:rFonts w:ascii="Verdana" w:eastAsia="Times New Roman" w:hAnsi="Verdana" w:cs="Calibri"/>
                <w:b/>
                <w:bCs/>
                <w:color w:val="000000"/>
                <w:sz w:val="16"/>
                <w:szCs w:val="16"/>
                <w:lang w:val="en-GB" w:eastAsia="en-GB"/>
              </w:rPr>
            </w:pPr>
          </w:p>
        </w:tc>
      </w:tr>
      <w:tr w:rsidR="0091312C" w:rsidRPr="00192B82" w14:paraId="13B9A242" w14:textId="77777777" w:rsidTr="0091312C">
        <w:trPr>
          <w:gridAfter w:val="2"/>
          <w:wAfter w:w="2161" w:type="pct"/>
          <w:trHeight w:val="214"/>
        </w:trPr>
        <w:tc>
          <w:tcPr>
            <w:tcW w:w="309" w:type="pct"/>
            <w:tcBorders>
              <w:top w:val="nil"/>
              <w:left w:val="nil"/>
              <w:bottom w:val="nil"/>
              <w:right w:val="nil"/>
            </w:tcBorders>
            <w:shd w:val="clear" w:color="auto" w:fill="auto"/>
            <w:noWrap/>
            <w:vAlign w:val="center"/>
            <w:hideMark/>
          </w:tcPr>
          <w:p w14:paraId="529FC9B6" w14:textId="77777777" w:rsidR="0091312C" w:rsidRPr="00192B82" w:rsidRDefault="0091312C" w:rsidP="0091312C">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 xml:space="preserve">CC LGPS </w:t>
            </w:r>
          </w:p>
        </w:tc>
        <w:tc>
          <w:tcPr>
            <w:tcW w:w="394" w:type="pct"/>
            <w:tcBorders>
              <w:top w:val="nil"/>
              <w:left w:val="nil"/>
              <w:bottom w:val="nil"/>
              <w:right w:val="nil"/>
            </w:tcBorders>
            <w:shd w:val="clear" w:color="auto" w:fill="auto"/>
            <w:vAlign w:val="center"/>
            <w:hideMark/>
          </w:tcPr>
          <w:p w14:paraId="570A1C43" w14:textId="77777777" w:rsidR="0091312C" w:rsidRPr="00192B82" w:rsidRDefault="0091312C" w:rsidP="0091312C">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Police Officers</w:t>
            </w:r>
          </w:p>
        </w:tc>
        <w:tc>
          <w:tcPr>
            <w:tcW w:w="393" w:type="pct"/>
            <w:tcBorders>
              <w:top w:val="nil"/>
              <w:left w:val="nil"/>
              <w:bottom w:val="nil"/>
              <w:right w:val="nil"/>
            </w:tcBorders>
            <w:shd w:val="clear" w:color="auto" w:fill="auto"/>
            <w:vAlign w:val="center"/>
            <w:hideMark/>
          </w:tcPr>
          <w:p w14:paraId="39EB2BAE" w14:textId="77777777" w:rsidR="0091312C" w:rsidRPr="00192B82" w:rsidRDefault="0091312C" w:rsidP="0091312C">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Total</w:t>
            </w:r>
          </w:p>
        </w:tc>
        <w:tc>
          <w:tcPr>
            <w:tcW w:w="662" w:type="pct"/>
            <w:tcBorders>
              <w:top w:val="nil"/>
              <w:left w:val="nil"/>
              <w:bottom w:val="nil"/>
              <w:right w:val="nil"/>
            </w:tcBorders>
            <w:shd w:val="clear" w:color="auto" w:fill="auto"/>
            <w:noWrap/>
            <w:vAlign w:val="center"/>
            <w:hideMark/>
          </w:tcPr>
          <w:p w14:paraId="0DF776EC" w14:textId="77777777" w:rsidR="0091312C" w:rsidRPr="00192B82" w:rsidRDefault="0091312C" w:rsidP="0091312C">
            <w:pPr>
              <w:jc w:val="center"/>
              <w:rPr>
                <w:rFonts w:ascii="Verdana" w:eastAsia="Times New Roman" w:hAnsi="Verdana" w:cs="Calibri"/>
                <w:b/>
                <w:bCs/>
                <w:color w:val="000000"/>
                <w:sz w:val="16"/>
                <w:szCs w:val="16"/>
                <w:lang w:val="en-GB" w:eastAsia="en-GB"/>
              </w:rPr>
            </w:pPr>
          </w:p>
        </w:tc>
        <w:tc>
          <w:tcPr>
            <w:tcW w:w="308" w:type="pct"/>
            <w:tcBorders>
              <w:top w:val="nil"/>
              <w:left w:val="nil"/>
              <w:bottom w:val="nil"/>
              <w:right w:val="nil"/>
            </w:tcBorders>
            <w:shd w:val="clear" w:color="auto" w:fill="auto"/>
            <w:noWrap/>
            <w:vAlign w:val="center"/>
            <w:hideMark/>
          </w:tcPr>
          <w:p w14:paraId="699A04DD" w14:textId="77777777" w:rsidR="0091312C" w:rsidRPr="00192B82" w:rsidRDefault="0091312C" w:rsidP="0091312C">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 xml:space="preserve">CC LGPS </w:t>
            </w:r>
          </w:p>
        </w:tc>
        <w:tc>
          <w:tcPr>
            <w:tcW w:w="380" w:type="pct"/>
            <w:tcBorders>
              <w:top w:val="nil"/>
              <w:left w:val="nil"/>
              <w:bottom w:val="nil"/>
              <w:right w:val="nil"/>
            </w:tcBorders>
            <w:shd w:val="clear" w:color="auto" w:fill="auto"/>
            <w:vAlign w:val="center"/>
            <w:hideMark/>
          </w:tcPr>
          <w:p w14:paraId="54B976EA" w14:textId="77777777" w:rsidR="0091312C" w:rsidRPr="00192B82" w:rsidRDefault="0091312C" w:rsidP="0091312C">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Police Officers</w:t>
            </w:r>
          </w:p>
        </w:tc>
        <w:tc>
          <w:tcPr>
            <w:tcW w:w="392" w:type="pct"/>
            <w:tcBorders>
              <w:top w:val="nil"/>
              <w:left w:val="nil"/>
              <w:bottom w:val="nil"/>
              <w:right w:val="nil"/>
            </w:tcBorders>
            <w:shd w:val="clear" w:color="auto" w:fill="auto"/>
            <w:vAlign w:val="center"/>
            <w:hideMark/>
          </w:tcPr>
          <w:p w14:paraId="6A13C6AC" w14:textId="77777777" w:rsidR="0091312C" w:rsidRPr="00192B82" w:rsidRDefault="0091312C" w:rsidP="0091312C">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Total</w:t>
            </w:r>
          </w:p>
        </w:tc>
      </w:tr>
      <w:tr w:rsidR="0091312C" w:rsidRPr="00192B82" w14:paraId="41A78D25" w14:textId="77777777" w:rsidTr="0091312C">
        <w:trPr>
          <w:gridAfter w:val="2"/>
          <w:wAfter w:w="2161" w:type="pct"/>
          <w:trHeight w:val="214"/>
        </w:trPr>
        <w:tc>
          <w:tcPr>
            <w:tcW w:w="309" w:type="pct"/>
            <w:tcBorders>
              <w:top w:val="nil"/>
              <w:left w:val="nil"/>
              <w:bottom w:val="nil"/>
              <w:right w:val="nil"/>
            </w:tcBorders>
            <w:shd w:val="clear" w:color="auto" w:fill="auto"/>
            <w:noWrap/>
            <w:vAlign w:val="center"/>
            <w:hideMark/>
          </w:tcPr>
          <w:p w14:paraId="5392756C" w14:textId="77777777" w:rsidR="0091312C" w:rsidRPr="00192B82" w:rsidRDefault="0091312C" w:rsidP="0091312C">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£000</w:t>
            </w:r>
          </w:p>
        </w:tc>
        <w:tc>
          <w:tcPr>
            <w:tcW w:w="394" w:type="pct"/>
            <w:tcBorders>
              <w:top w:val="nil"/>
              <w:left w:val="nil"/>
              <w:bottom w:val="nil"/>
              <w:right w:val="nil"/>
            </w:tcBorders>
            <w:shd w:val="clear" w:color="auto" w:fill="auto"/>
            <w:noWrap/>
            <w:vAlign w:val="center"/>
            <w:hideMark/>
          </w:tcPr>
          <w:p w14:paraId="34AF99F6" w14:textId="77777777" w:rsidR="0091312C" w:rsidRPr="00192B82" w:rsidRDefault="0091312C" w:rsidP="0091312C">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£000</w:t>
            </w:r>
          </w:p>
        </w:tc>
        <w:tc>
          <w:tcPr>
            <w:tcW w:w="393" w:type="pct"/>
            <w:tcBorders>
              <w:top w:val="nil"/>
              <w:left w:val="nil"/>
              <w:bottom w:val="nil"/>
              <w:right w:val="nil"/>
            </w:tcBorders>
            <w:shd w:val="clear" w:color="auto" w:fill="auto"/>
            <w:noWrap/>
            <w:vAlign w:val="center"/>
            <w:hideMark/>
          </w:tcPr>
          <w:p w14:paraId="4FB23128" w14:textId="77777777" w:rsidR="0091312C" w:rsidRPr="00192B82" w:rsidRDefault="0091312C" w:rsidP="0091312C">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£000</w:t>
            </w:r>
          </w:p>
        </w:tc>
        <w:tc>
          <w:tcPr>
            <w:tcW w:w="662" w:type="pct"/>
            <w:tcBorders>
              <w:top w:val="nil"/>
              <w:left w:val="nil"/>
              <w:bottom w:val="nil"/>
              <w:right w:val="nil"/>
            </w:tcBorders>
            <w:shd w:val="clear" w:color="auto" w:fill="auto"/>
            <w:noWrap/>
            <w:vAlign w:val="center"/>
            <w:hideMark/>
          </w:tcPr>
          <w:p w14:paraId="0214AD9E" w14:textId="77777777" w:rsidR="0091312C" w:rsidRPr="00192B82" w:rsidRDefault="0091312C" w:rsidP="0091312C">
            <w:pPr>
              <w:jc w:val="center"/>
              <w:rPr>
                <w:rFonts w:ascii="Verdana" w:eastAsia="Times New Roman" w:hAnsi="Verdana" w:cs="Calibri"/>
                <w:b/>
                <w:bCs/>
                <w:color w:val="000000"/>
                <w:sz w:val="16"/>
                <w:szCs w:val="16"/>
                <w:lang w:val="en-GB" w:eastAsia="en-GB"/>
              </w:rPr>
            </w:pPr>
          </w:p>
        </w:tc>
        <w:tc>
          <w:tcPr>
            <w:tcW w:w="308" w:type="pct"/>
            <w:tcBorders>
              <w:top w:val="nil"/>
              <w:left w:val="nil"/>
              <w:bottom w:val="nil"/>
              <w:right w:val="nil"/>
            </w:tcBorders>
            <w:shd w:val="clear" w:color="auto" w:fill="auto"/>
            <w:noWrap/>
            <w:vAlign w:val="center"/>
            <w:hideMark/>
          </w:tcPr>
          <w:p w14:paraId="6E5530F5" w14:textId="77777777" w:rsidR="0091312C" w:rsidRPr="00192B82" w:rsidRDefault="0091312C" w:rsidP="0091312C">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£000</w:t>
            </w:r>
          </w:p>
        </w:tc>
        <w:tc>
          <w:tcPr>
            <w:tcW w:w="380" w:type="pct"/>
            <w:tcBorders>
              <w:top w:val="nil"/>
              <w:left w:val="nil"/>
              <w:bottom w:val="nil"/>
              <w:right w:val="nil"/>
            </w:tcBorders>
            <w:shd w:val="clear" w:color="auto" w:fill="auto"/>
            <w:noWrap/>
            <w:vAlign w:val="center"/>
            <w:hideMark/>
          </w:tcPr>
          <w:p w14:paraId="55440770" w14:textId="77777777" w:rsidR="0091312C" w:rsidRPr="00192B82" w:rsidRDefault="0091312C" w:rsidP="0091312C">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£000</w:t>
            </w:r>
          </w:p>
        </w:tc>
        <w:tc>
          <w:tcPr>
            <w:tcW w:w="392" w:type="pct"/>
            <w:tcBorders>
              <w:top w:val="nil"/>
              <w:left w:val="nil"/>
              <w:bottom w:val="nil"/>
              <w:right w:val="nil"/>
            </w:tcBorders>
            <w:shd w:val="clear" w:color="auto" w:fill="auto"/>
            <w:noWrap/>
            <w:vAlign w:val="center"/>
            <w:hideMark/>
          </w:tcPr>
          <w:p w14:paraId="2DDE3BC4" w14:textId="77777777" w:rsidR="0091312C" w:rsidRPr="00192B82" w:rsidRDefault="0091312C" w:rsidP="0091312C">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£000</w:t>
            </w:r>
          </w:p>
        </w:tc>
      </w:tr>
      <w:tr w:rsidR="0091312C" w:rsidRPr="00192B82" w14:paraId="3317E3D0" w14:textId="77777777" w:rsidTr="0091312C">
        <w:trPr>
          <w:gridAfter w:val="2"/>
          <w:wAfter w:w="2161" w:type="pct"/>
          <w:trHeight w:val="214"/>
        </w:trPr>
        <w:tc>
          <w:tcPr>
            <w:tcW w:w="309" w:type="pct"/>
            <w:tcBorders>
              <w:top w:val="nil"/>
              <w:left w:val="nil"/>
              <w:bottom w:val="nil"/>
              <w:right w:val="nil"/>
            </w:tcBorders>
            <w:shd w:val="clear" w:color="auto" w:fill="auto"/>
            <w:noWrap/>
            <w:vAlign w:val="center"/>
            <w:hideMark/>
          </w:tcPr>
          <w:p w14:paraId="53DE8E18" w14:textId="77777777" w:rsidR="0091312C" w:rsidRPr="00192B82" w:rsidRDefault="0091312C" w:rsidP="0091312C">
            <w:pPr>
              <w:jc w:val="center"/>
              <w:rPr>
                <w:rFonts w:ascii="Verdana" w:eastAsia="Times New Roman" w:hAnsi="Verdana" w:cs="Calibri"/>
                <w:b/>
                <w:bCs/>
                <w:color w:val="000000"/>
                <w:sz w:val="16"/>
                <w:szCs w:val="16"/>
                <w:lang w:val="en-GB" w:eastAsia="en-GB"/>
              </w:rPr>
            </w:pPr>
          </w:p>
        </w:tc>
        <w:tc>
          <w:tcPr>
            <w:tcW w:w="394" w:type="pct"/>
            <w:tcBorders>
              <w:top w:val="nil"/>
              <w:left w:val="nil"/>
              <w:bottom w:val="nil"/>
              <w:right w:val="nil"/>
            </w:tcBorders>
            <w:shd w:val="clear" w:color="auto" w:fill="auto"/>
            <w:noWrap/>
            <w:vAlign w:val="center"/>
            <w:hideMark/>
          </w:tcPr>
          <w:p w14:paraId="1BFE1DC4" w14:textId="77777777" w:rsidR="0091312C" w:rsidRPr="00192B82" w:rsidRDefault="0091312C" w:rsidP="0091312C">
            <w:pPr>
              <w:rPr>
                <w:rFonts w:ascii="Times New Roman" w:eastAsia="Times New Roman" w:hAnsi="Times New Roman" w:cs="Times New Roman"/>
                <w:sz w:val="20"/>
                <w:szCs w:val="20"/>
                <w:lang w:val="en-GB" w:eastAsia="en-GB"/>
              </w:rPr>
            </w:pPr>
          </w:p>
        </w:tc>
        <w:tc>
          <w:tcPr>
            <w:tcW w:w="393" w:type="pct"/>
            <w:tcBorders>
              <w:top w:val="nil"/>
              <w:left w:val="nil"/>
              <w:bottom w:val="nil"/>
              <w:right w:val="nil"/>
            </w:tcBorders>
            <w:shd w:val="clear" w:color="auto" w:fill="auto"/>
            <w:noWrap/>
            <w:vAlign w:val="center"/>
            <w:hideMark/>
          </w:tcPr>
          <w:p w14:paraId="7EC8A305" w14:textId="77777777" w:rsidR="0091312C" w:rsidRPr="00192B82" w:rsidRDefault="0091312C" w:rsidP="0091312C">
            <w:pPr>
              <w:rPr>
                <w:rFonts w:ascii="Times New Roman" w:eastAsia="Times New Roman" w:hAnsi="Times New Roman" w:cs="Times New Roman"/>
                <w:sz w:val="20"/>
                <w:szCs w:val="20"/>
                <w:lang w:val="en-GB" w:eastAsia="en-GB"/>
              </w:rPr>
            </w:pPr>
          </w:p>
        </w:tc>
        <w:tc>
          <w:tcPr>
            <w:tcW w:w="662" w:type="pct"/>
            <w:tcBorders>
              <w:top w:val="nil"/>
              <w:left w:val="nil"/>
              <w:bottom w:val="nil"/>
              <w:right w:val="nil"/>
            </w:tcBorders>
            <w:shd w:val="clear" w:color="auto" w:fill="auto"/>
            <w:noWrap/>
            <w:vAlign w:val="center"/>
            <w:hideMark/>
          </w:tcPr>
          <w:p w14:paraId="7222E735" w14:textId="77777777" w:rsidR="0091312C" w:rsidRPr="00192B82" w:rsidRDefault="0091312C" w:rsidP="0091312C">
            <w:pPr>
              <w:rPr>
                <w:rFonts w:ascii="Times New Roman" w:eastAsia="Times New Roman" w:hAnsi="Times New Roman" w:cs="Times New Roman"/>
                <w:sz w:val="20"/>
                <w:szCs w:val="20"/>
                <w:lang w:val="en-GB" w:eastAsia="en-GB"/>
              </w:rPr>
            </w:pPr>
          </w:p>
        </w:tc>
        <w:tc>
          <w:tcPr>
            <w:tcW w:w="308" w:type="pct"/>
            <w:tcBorders>
              <w:top w:val="single" w:sz="4" w:space="0" w:color="auto"/>
              <w:left w:val="nil"/>
              <w:bottom w:val="nil"/>
              <w:right w:val="nil"/>
            </w:tcBorders>
            <w:shd w:val="clear" w:color="auto" w:fill="auto"/>
            <w:noWrap/>
            <w:vAlign w:val="center"/>
            <w:hideMark/>
          </w:tcPr>
          <w:p w14:paraId="400CC7C7" w14:textId="77777777" w:rsidR="0091312C" w:rsidRPr="00192B82" w:rsidRDefault="0091312C" w:rsidP="0091312C">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380" w:type="pct"/>
            <w:tcBorders>
              <w:top w:val="single" w:sz="4" w:space="0" w:color="auto"/>
              <w:left w:val="nil"/>
              <w:bottom w:val="nil"/>
              <w:right w:val="nil"/>
            </w:tcBorders>
            <w:shd w:val="clear" w:color="auto" w:fill="auto"/>
            <w:noWrap/>
            <w:vAlign w:val="center"/>
            <w:hideMark/>
          </w:tcPr>
          <w:p w14:paraId="4558E9F2" w14:textId="77777777" w:rsidR="0091312C" w:rsidRPr="00192B82" w:rsidRDefault="0091312C" w:rsidP="0091312C">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392" w:type="pct"/>
            <w:tcBorders>
              <w:top w:val="single" w:sz="4" w:space="0" w:color="auto"/>
              <w:left w:val="nil"/>
              <w:bottom w:val="nil"/>
              <w:right w:val="nil"/>
            </w:tcBorders>
            <w:shd w:val="clear" w:color="auto" w:fill="auto"/>
            <w:noWrap/>
            <w:vAlign w:val="center"/>
            <w:hideMark/>
          </w:tcPr>
          <w:p w14:paraId="7F13BBC8" w14:textId="77777777" w:rsidR="0091312C" w:rsidRPr="00192B82" w:rsidRDefault="0091312C" w:rsidP="0091312C">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r>
      <w:tr w:rsidR="0091312C" w:rsidRPr="00192B82" w14:paraId="22A869A0" w14:textId="77777777" w:rsidTr="0091312C">
        <w:trPr>
          <w:gridAfter w:val="2"/>
          <w:wAfter w:w="2161" w:type="pct"/>
          <w:trHeight w:val="214"/>
        </w:trPr>
        <w:tc>
          <w:tcPr>
            <w:tcW w:w="309" w:type="pct"/>
            <w:tcBorders>
              <w:top w:val="nil"/>
              <w:left w:val="nil"/>
              <w:bottom w:val="nil"/>
              <w:right w:val="nil"/>
            </w:tcBorders>
            <w:shd w:val="clear" w:color="auto" w:fill="auto"/>
            <w:noWrap/>
            <w:vAlign w:val="center"/>
            <w:hideMark/>
          </w:tcPr>
          <w:p w14:paraId="368B7BA7" w14:textId="77777777" w:rsidR="0091312C" w:rsidRPr="00192B82" w:rsidRDefault="0091312C" w:rsidP="0091312C">
            <w:pPr>
              <w:ind w:firstLineChars="100" w:firstLine="160"/>
              <w:jc w:val="right"/>
              <w:rPr>
                <w:rFonts w:ascii="Verdana" w:eastAsia="Times New Roman" w:hAnsi="Verdana" w:cs="Calibri"/>
                <w:color w:val="000000"/>
                <w:sz w:val="16"/>
                <w:szCs w:val="16"/>
                <w:lang w:val="en-GB" w:eastAsia="en-GB"/>
              </w:rPr>
            </w:pPr>
          </w:p>
        </w:tc>
        <w:tc>
          <w:tcPr>
            <w:tcW w:w="394" w:type="pct"/>
            <w:tcBorders>
              <w:top w:val="nil"/>
              <w:left w:val="nil"/>
              <w:bottom w:val="nil"/>
              <w:right w:val="nil"/>
            </w:tcBorders>
            <w:shd w:val="clear" w:color="auto" w:fill="auto"/>
            <w:noWrap/>
            <w:vAlign w:val="center"/>
            <w:hideMark/>
          </w:tcPr>
          <w:p w14:paraId="20138E63" w14:textId="77777777" w:rsidR="0091312C" w:rsidRPr="00192B82" w:rsidRDefault="0091312C" w:rsidP="0091312C">
            <w:pPr>
              <w:ind w:firstLineChars="100" w:firstLine="200"/>
              <w:jc w:val="right"/>
              <w:rPr>
                <w:rFonts w:ascii="Times New Roman" w:eastAsia="Times New Roman" w:hAnsi="Times New Roman" w:cs="Times New Roman"/>
                <w:sz w:val="20"/>
                <w:szCs w:val="20"/>
                <w:lang w:val="en-GB" w:eastAsia="en-GB"/>
              </w:rPr>
            </w:pPr>
          </w:p>
        </w:tc>
        <w:tc>
          <w:tcPr>
            <w:tcW w:w="393" w:type="pct"/>
            <w:tcBorders>
              <w:top w:val="nil"/>
              <w:left w:val="nil"/>
              <w:bottom w:val="nil"/>
              <w:right w:val="nil"/>
            </w:tcBorders>
            <w:shd w:val="clear" w:color="auto" w:fill="auto"/>
            <w:noWrap/>
            <w:vAlign w:val="center"/>
            <w:hideMark/>
          </w:tcPr>
          <w:p w14:paraId="294A21D7" w14:textId="77777777" w:rsidR="0091312C" w:rsidRPr="00192B82" w:rsidRDefault="0091312C" w:rsidP="0091312C">
            <w:pPr>
              <w:ind w:firstLineChars="100" w:firstLine="200"/>
              <w:jc w:val="right"/>
              <w:rPr>
                <w:rFonts w:ascii="Times New Roman" w:eastAsia="Times New Roman" w:hAnsi="Times New Roman" w:cs="Times New Roman"/>
                <w:sz w:val="20"/>
                <w:szCs w:val="20"/>
                <w:lang w:val="en-GB" w:eastAsia="en-GB"/>
              </w:rPr>
            </w:pPr>
          </w:p>
        </w:tc>
        <w:tc>
          <w:tcPr>
            <w:tcW w:w="662" w:type="pct"/>
            <w:tcBorders>
              <w:top w:val="nil"/>
              <w:left w:val="nil"/>
              <w:bottom w:val="nil"/>
              <w:right w:val="nil"/>
            </w:tcBorders>
            <w:shd w:val="clear" w:color="auto" w:fill="auto"/>
            <w:noWrap/>
            <w:vAlign w:val="center"/>
            <w:hideMark/>
          </w:tcPr>
          <w:p w14:paraId="1C00FF96" w14:textId="77777777" w:rsidR="0091312C" w:rsidRPr="00192B82" w:rsidRDefault="0091312C" w:rsidP="0091312C">
            <w:pPr>
              <w:ind w:firstLineChars="100" w:firstLine="160"/>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Service cost comprising:</w:t>
            </w:r>
          </w:p>
        </w:tc>
        <w:tc>
          <w:tcPr>
            <w:tcW w:w="308" w:type="pct"/>
            <w:tcBorders>
              <w:top w:val="nil"/>
              <w:left w:val="nil"/>
              <w:bottom w:val="nil"/>
              <w:right w:val="nil"/>
            </w:tcBorders>
            <w:shd w:val="clear" w:color="auto" w:fill="auto"/>
            <w:noWrap/>
            <w:vAlign w:val="center"/>
            <w:hideMark/>
          </w:tcPr>
          <w:p w14:paraId="6D59E618" w14:textId="77777777" w:rsidR="0091312C" w:rsidRPr="00192B82" w:rsidRDefault="0091312C" w:rsidP="0091312C">
            <w:pPr>
              <w:ind w:firstLineChars="100" w:firstLine="160"/>
              <w:rPr>
                <w:rFonts w:ascii="Verdana" w:eastAsia="Times New Roman" w:hAnsi="Verdana" w:cs="Calibri"/>
                <w:color w:val="000000"/>
                <w:sz w:val="16"/>
                <w:szCs w:val="16"/>
                <w:lang w:val="en-GB" w:eastAsia="en-GB"/>
              </w:rPr>
            </w:pPr>
          </w:p>
        </w:tc>
        <w:tc>
          <w:tcPr>
            <w:tcW w:w="380" w:type="pct"/>
            <w:tcBorders>
              <w:top w:val="nil"/>
              <w:left w:val="nil"/>
              <w:bottom w:val="nil"/>
              <w:right w:val="nil"/>
            </w:tcBorders>
            <w:shd w:val="clear" w:color="auto" w:fill="auto"/>
            <w:noWrap/>
            <w:vAlign w:val="center"/>
            <w:hideMark/>
          </w:tcPr>
          <w:p w14:paraId="2CDD274C" w14:textId="77777777" w:rsidR="0091312C" w:rsidRPr="00192B82" w:rsidRDefault="0091312C" w:rsidP="0091312C">
            <w:pPr>
              <w:ind w:firstLineChars="100" w:firstLine="200"/>
              <w:jc w:val="right"/>
              <w:rPr>
                <w:rFonts w:ascii="Times New Roman" w:eastAsia="Times New Roman" w:hAnsi="Times New Roman" w:cs="Times New Roman"/>
                <w:sz w:val="20"/>
                <w:szCs w:val="20"/>
                <w:lang w:val="en-GB" w:eastAsia="en-GB"/>
              </w:rPr>
            </w:pPr>
          </w:p>
        </w:tc>
        <w:tc>
          <w:tcPr>
            <w:tcW w:w="392" w:type="pct"/>
            <w:tcBorders>
              <w:top w:val="nil"/>
              <w:left w:val="nil"/>
              <w:bottom w:val="nil"/>
              <w:right w:val="nil"/>
            </w:tcBorders>
            <w:shd w:val="clear" w:color="auto" w:fill="auto"/>
            <w:noWrap/>
            <w:vAlign w:val="center"/>
            <w:hideMark/>
          </w:tcPr>
          <w:p w14:paraId="3B395CC3" w14:textId="77777777" w:rsidR="0091312C" w:rsidRPr="00192B82" w:rsidRDefault="0091312C" w:rsidP="0091312C">
            <w:pPr>
              <w:ind w:firstLineChars="100" w:firstLine="200"/>
              <w:jc w:val="right"/>
              <w:rPr>
                <w:rFonts w:ascii="Times New Roman" w:eastAsia="Times New Roman" w:hAnsi="Times New Roman" w:cs="Times New Roman"/>
                <w:sz w:val="20"/>
                <w:szCs w:val="20"/>
                <w:lang w:val="en-GB" w:eastAsia="en-GB"/>
              </w:rPr>
            </w:pPr>
          </w:p>
        </w:tc>
      </w:tr>
      <w:tr w:rsidR="0091312C" w:rsidRPr="00192B82" w14:paraId="31B17AF1" w14:textId="77777777" w:rsidTr="0091312C">
        <w:trPr>
          <w:gridAfter w:val="2"/>
          <w:wAfter w:w="2161" w:type="pct"/>
          <w:trHeight w:val="214"/>
        </w:trPr>
        <w:tc>
          <w:tcPr>
            <w:tcW w:w="309" w:type="pct"/>
            <w:tcBorders>
              <w:top w:val="nil"/>
              <w:left w:val="nil"/>
              <w:bottom w:val="nil"/>
              <w:right w:val="nil"/>
            </w:tcBorders>
            <w:shd w:val="clear" w:color="auto" w:fill="auto"/>
            <w:noWrap/>
            <w:vAlign w:val="center"/>
            <w:hideMark/>
          </w:tcPr>
          <w:p w14:paraId="31E8EF39" w14:textId="77777777" w:rsidR="0091312C" w:rsidRPr="00192B82" w:rsidRDefault="0091312C" w:rsidP="0091312C">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20,410</w:t>
            </w:r>
          </w:p>
        </w:tc>
        <w:tc>
          <w:tcPr>
            <w:tcW w:w="394" w:type="pct"/>
            <w:tcBorders>
              <w:top w:val="nil"/>
              <w:left w:val="nil"/>
              <w:bottom w:val="nil"/>
              <w:right w:val="nil"/>
            </w:tcBorders>
            <w:shd w:val="clear" w:color="auto" w:fill="auto"/>
            <w:noWrap/>
            <w:vAlign w:val="center"/>
            <w:hideMark/>
          </w:tcPr>
          <w:p w14:paraId="502E3E37" w14:textId="77777777" w:rsidR="0091312C" w:rsidRPr="00192B82" w:rsidRDefault="0091312C" w:rsidP="0091312C">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54,660</w:t>
            </w:r>
          </w:p>
        </w:tc>
        <w:tc>
          <w:tcPr>
            <w:tcW w:w="393" w:type="pct"/>
            <w:tcBorders>
              <w:top w:val="nil"/>
              <w:left w:val="nil"/>
              <w:bottom w:val="nil"/>
              <w:right w:val="nil"/>
            </w:tcBorders>
            <w:shd w:val="clear" w:color="auto" w:fill="auto"/>
            <w:noWrap/>
            <w:vAlign w:val="center"/>
            <w:hideMark/>
          </w:tcPr>
          <w:p w14:paraId="19159C06" w14:textId="77777777" w:rsidR="0091312C" w:rsidRPr="00192B82" w:rsidRDefault="0091312C" w:rsidP="0091312C">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75,070</w:t>
            </w:r>
          </w:p>
        </w:tc>
        <w:tc>
          <w:tcPr>
            <w:tcW w:w="662" w:type="pct"/>
            <w:tcBorders>
              <w:top w:val="nil"/>
              <w:left w:val="nil"/>
              <w:bottom w:val="nil"/>
              <w:right w:val="nil"/>
            </w:tcBorders>
            <w:shd w:val="clear" w:color="auto" w:fill="auto"/>
            <w:noWrap/>
            <w:vAlign w:val="center"/>
            <w:hideMark/>
          </w:tcPr>
          <w:p w14:paraId="6D0F5610" w14:textId="77777777" w:rsidR="0091312C" w:rsidRPr="00192B82" w:rsidRDefault="0091312C" w:rsidP="0091312C">
            <w:pPr>
              <w:ind w:firstLineChars="100" w:firstLine="160"/>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Current service cost</w:t>
            </w:r>
          </w:p>
        </w:tc>
        <w:tc>
          <w:tcPr>
            <w:tcW w:w="308" w:type="pct"/>
            <w:tcBorders>
              <w:top w:val="nil"/>
              <w:left w:val="nil"/>
              <w:bottom w:val="nil"/>
              <w:right w:val="nil"/>
            </w:tcBorders>
            <w:shd w:val="clear" w:color="auto" w:fill="auto"/>
            <w:noWrap/>
            <w:vAlign w:val="center"/>
            <w:hideMark/>
          </w:tcPr>
          <w:p w14:paraId="00659363" w14:textId="77777777" w:rsidR="0091312C" w:rsidRPr="00192B82" w:rsidRDefault="0091312C" w:rsidP="0091312C">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17,786</w:t>
            </w:r>
          </w:p>
        </w:tc>
        <w:tc>
          <w:tcPr>
            <w:tcW w:w="380" w:type="pct"/>
            <w:tcBorders>
              <w:top w:val="nil"/>
              <w:left w:val="nil"/>
              <w:bottom w:val="nil"/>
              <w:right w:val="nil"/>
            </w:tcBorders>
            <w:shd w:val="clear" w:color="auto" w:fill="auto"/>
            <w:noWrap/>
            <w:vAlign w:val="center"/>
            <w:hideMark/>
          </w:tcPr>
          <w:p w14:paraId="53D3DBE9" w14:textId="77777777" w:rsidR="0091312C" w:rsidRPr="00192B82" w:rsidRDefault="0091312C" w:rsidP="0091312C">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53,250</w:t>
            </w:r>
          </w:p>
        </w:tc>
        <w:tc>
          <w:tcPr>
            <w:tcW w:w="392" w:type="pct"/>
            <w:tcBorders>
              <w:top w:val="nil"/>
              <w:left w:val="nil"/>
              <w:bottom w:val="nil"/>
              <w:right w:val="nil"/>
            </w:tcBorders>
            <w:shd w:val="clear" w:color="auto" w:fill="auto"/>
            <w:noWrap/>
            <w:vAlign w:val="center"/>
            <w:hideMark/>
          </w:tcPr>
          <w:p w14:paraId="01A8542A" w14:textId="77777777" w:rsidR="0091312C" w:rsidRPr="00192B82" w:rsidRDefault="0091312C" w:rsidP="0091312C">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71,036</w:t>
            </w:r>
          </w:p>
        </w:tc>
      </w:tr>
      <w:tr w:rsidR="0091312C" w:rsidRPr="00192B82" w14:paraId="0CFD9C8A" w14:textId="77777777" w:rsidTr="0091312C">
        <w:trPr>
          <w:gridAfter w:val="2"/>
          <w:wAfter w:w="2161" w:type="pct"/>
          <w:trHeight w:val="214"/>
        </w:trPr>
        <w:tc>
          <w:tcPr>
            <w:tcW w:w="309" w:type="pct"/>
            <w:tcBorders>
              <w:top w:val="nil"/>
              <w:left w:val="nil"/>
              <w:bottom w:val="nil"/>
              <w:right w:val="nil"/>
            </w:tcBorders>
            <w:shd w:val="clear" w:color="auto" w:fill="auto"/>
            <w:noWrap/>
            <w:vAlign w:val="center"/>
            <w:hideMark/>
          </w:tcPr>
          <w:p w14:paraId="00C6456D" w14:textId="77777777" w:rsidR="0091312C" w:rsidRPr="00192B82" w:rsidRDefault="0091312C" w:rsidP="0091312C">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(1,054)</w:t>
            </w:r>
          </w:p>
        </w:tc>
        <w:tc>
          <w:tcPr>
            <w:tcW w:w="394" w:type="pct"/>
            <w:tcBorders>
              <w:top w:val="nil"/>
              <w:left w:val="nil"/>
              <w:bottom w:val="nil"/>
              <w:right w:val="nil"/>
            </w:tcBorders>
            <w:shd w:val="clear" w:color="auto" w:fill="auto"/>
            <w:noWrap/>
            <w:vAlign w:val="center"/>
            <w:hideMark/>
          </w:tcPr>
          <w:p w14:paraId="5162055B" w14:textId="77777777" w:rsidR="0091312C" w:rsidRPr="00192B82" w:rsidRDefault="0091312C" w:rsidP="0091312C">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(13,950)</w:t>
            </w:r>
          </w:p>
        </w:tc>
        <w:tc>
          <w:tcPr>
            <w:tcW w:w="393" w:type="pct"/>
            <w:tcBorders>
              <w:top w:val="nil"/>
              <w:left w:val="nil"/>
              <w:bottom w:val="nil"/>
              <w:right w:val="nil"/>
            </w:tcBorders>
            <w:shd w:val="clear" w:color="auto" w:fill="auto"/>
            <w:noWrap/>
            <w:vAlign w:val="center"/>
            <w:hideMark/>
          </w:tcPr>
          <w:p w14:paraId="38745056" w14:textId="77777777" w:rsidR="0091312C" w:rsidRPr="00192B82" w:rsidRDefault="0091312C" w:rsidP="0091312C">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(15,004)</w:t>
            </w:r>
          </w:p>
        </w:tc>
        <w:tc>
          <w:tcPr>
            <w:tcW w:w="662" w:type="pct"/>
            <w:tcBorders>
              <w:top w:val="nil"/>
              <w:left w:val="nil"/>
              <w:bottom w:val="nil"/>
              <w:right w:val="nil"/>
            </w:tcBorders>
            <w:shd w:val="clear" w:color="auto" w:fill="auto"/>
            <w:noWrap/>
            <w:vAlign w:val="center"/>
            <w:hideMark/>
          </w:tcPr>
          <w:p w14:paraId="613AB986" w14:textId="77777777" w:rsidR="0091312C" w:rsidRPr="00192B82" w:rsidRDefault="0091312C" w:rsidP="0091312C">
            <w:pPr>
              <w:ind w:firstLineChars="100" w:firstLine="160"/>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Past service cost</w:t>
            </w:r>
          </w:p>
        </w:tc>
        <w:tc>
          <w:tcPr>
            <w:tcW w:w="308" w:type="pct"/>
            <w:tcBorders>
              <w:top w:val="nil"/>
              <w:left w:val="nil"/>
              <w:bottom w:val="nil"/>
              <w:right w:val="nil"/>
            </w:tcBorders>
            <w:shd w:val="clear" w:color="auto" w:fill="auto"/>
            <w:noWrap/>
            <w:vAlign w:val="center"/>
            <w:hideMark/>
          </w:tcPr>
          <w:p w14:paraId="24EC320F" w14:textId="77777777" w:rsidR="0091312C" w:rsidRPr="00192B82" w:rsidRDefault="0091312C" w:rsidP="0091312C">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0</w:t>
            </w:r>
          </w:p>
        </w:tc>
        <w:tc>
          <w:tcPr>
            <w:tcW w:w="380" w:type="pct"/>
            <w:tcBorders>
              <w:top w:val="nil"/>
              <w:left w:val="nil"/>
              <w:bottom w:val="nil"/>
              <w:right w:val="nil"/>
            </w:tcBorders>
            <w:shd w:val="clear" w:color="auto" w:fill="auto"/>
            <w:noWrap/>
            <w:vAlign w:val="center"/>
            <w:hideMark/>
          </w:tcPr>
          <w:p w14:paraId="14491DE7" w14:textId="77777777" w:rsidR="0091312C" w:rsidRPr="00192B82" w:rsidRDefault="0091312C" w:rsidP="0091312C">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0</w:t>
            </w:r>
          </w:p>
        </w:tc>
        <w:tc>
          <w:tcPr>
            <w:tcW w:w="392" w:type="pct"/>
            <w:tcBorders>
              <w:top w:val="nil"/>
              <w:left w:val="nil"/>
              <w:bottom w:val="nil"/>
              <w:right w:val="nil"/>
            </w:tcBorders>
            <w:shd w:val="clear" w:color="auto" w:fill="auto"/>
            <w:noWrap/>
            <w:vAlign w:val="center"/>
            <w:hideMark/>
          </w:tcPr>
          <w:p w14:paraId="540CE016" w14:textId="77777777" w:rsidR="0091312C" w:rsidRPr="00192B82" w:rsidRDefault="0091312C" w:rsidP="0091312C">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0</w:t>
            </w:r>
          </w:p>
        </w:tc>
      </w:tr>
      <w:tr w:rsidR="0091312C" w:rsidRPr="00192B82" w14:paraId="2A68A420" w14:textId="77777777" w:rsidTr="0091312C">
        <w:trPr>
          <w:gridAfter w:val="2"/>
          <w:wAfter w:w="2161" w:type="pct"/>
          <w:trHeight w:val="70"/>
        </w:trPr>
        <w:tc>
          <w:tcPr>
            <w:tcW w:w="309" w:type="pct"/>
            <w:tcBorders>
              <w:top w:val="nil"/>
              <w:left w:val="nil"/>
              <w:bottom w:val="nil"/>
              <w:right w:val="nil"/>
            </w:tcBorders>
            <w:shd w:val="clear" w:color="auto" w:fill="auto"/>
            <w:noWrap/>
            <w:vAlign w:val="center"/>
            <w:hideMark/>
          </w:tcPr>
          <w:p w14:paraId="786B06DD" w14:textId="77777777" w:rsidR="0091312C" w:rsidRPr="00192B82" w:rsidRDefault="0091312C" w:rsidP="0091312C">
            <w:pPr>
              <w:ind w:firstLineChars="100" w:firstLine="160"/>
              <w:jc w:val="right"/>
              <w:rPr>
                <w:rFonts w:ascii="Verdana" w:eastAsia="Times New Roman" w:hAnsi="Verdana" w:cs="Calibri"/>
                <w:color w:val="000000"/>
                <w:sz w:val="16"/>
                <w:szCs w:val="16"/>
                <w:lang w:val="en-GB" w:eastAsia="en-GB"/>
              </w:rPr>
            </w:pPr>
          </w:p>
        </w:tc>
        <w:tc>
          <w:tcPr>
            <w:tcW w:w="394" w:type="pct"/>
            <w:tcBorders>
              <w:top w:val="nil"/>
              <w:left w:val="nil"/>
              <w:bottom w:val="nil"/>
              <w:right w:val="nil"/>
            </w:tcBorders>
            <w:shd w:val="clear" w:color="auto" w:fill="auto"/>
            <w:noWrap/>
            <w:vAlign w:val="center"/>
            <w:hideMark/>
          </w:tcPr>
          <w:p w14:paraId="3CF336FC" w14:textId="77777777" w:rsidR="0091312C" w:rsidRPr="00192B82" w:rsidRDefault="0091312C" w:rsidP="0091312C">
            <w:pPr>
              <w:ind w:firstLineChars="100" w:firstLine="200"/>
              <w:jc w:val="right"/>
              <w:rPr>
                <w:rFonts w:ascii="Times New Roman" w:eastAsia="Times New Roman" w:hAnsi="Times New Roman" w:cs="Times New Roman"/>
                <w:sz w:val="20"/>
                <w:szCs w:val="20"/>
                <w:lang w:val="en-GB" w:eastAsia="en-GB"/>
              </w:rPr>
            </w:pPr>
          </w:p>
        </w:tc>
        <w:tc>
          <w:tcPr>
            <w:tcW w:w="393" w:type="pct"/>
            <w:tcBorders>
              <w:top w:val="nil"/>
              <w:left w:val="nil"/>
              <w:bottom w:val="nil"/>
              <w:right w:val="nil"/>
            </w:tcBorders>
            <w:shd w:val="clear" w:color="auto" w:fill="auto"/>
            <w:noWrap/>
            <w:vAlign w:val="center"/>
            <w:hideMark/>
          </w:tcPr>
          <w:p w14:paraId="59912E33" w14:textId="184C5625" w:rsidR="0091312C" w:rsidRPr="00192B82" w:rsidRDefault="0091312C" w:rsidP="0091312C">
            <w:pPr>
              <w:ind w:firstLineChars="100" w:firstLine="160"/>
              <w:jc w:val="right"/>
              <w:rPr>
                <w:rFonts w:ascii="Verdana" w:eastAsia="Times New Roman" w:hAnsi="Verdana" w:cs="Calibri"/>
                <w:color w:val="000000"/>
                <w:sz w:val="16"/>
                <w:szCs w:val="16"/>
                <w:lang w:val="en-GB" w:eastAsia="en-GB"/>
              </w:rPr>
            </w:pPr>
          </w:p>
        </w:tc>
        <w:tc>
          <w:tcPr>
            <w:tcW w:w="662" w:type="pct"/>
            <w:tcBorders>
              <w:top w:val="nil"/>
              <w:left w:val="nil"/>
              <w:bottom w:val="nil"/>
              <w:right w:val="nil"/>
            </w:tcBorders>
            <w:shd w:val="clear" w:color="auto" w:fill="auto"/>
            <w:noWrap/>
            <w:vAlign w:val="center"/>
            <w:hideMark/>
          </w:tcPr>
          <w:p w14:paraId="31A62D66" w14:textId="77777777" w:rsidR="0091312C" w:rsidRPr="00192B82" w:rsidRDefault="0091312C" w:rsidP="0091312C">
            <w:pPr>
              <w:ind w:firstLineChars="100" w:firstLine="160"/>
              <w:jc w:val="right"/>
              <w:rPr>
                <w:rFonts w:ascii="Verdana" w:eastAsia="Times New Roman" w:hAnsi="Verdana" w:cs="Calibri"/>
                <w:color w:val="000000"/>
                <w:sz w:val="16"/>
                <w:szCs w:val="16"/>
                <w:lang w:val="en-GB" w:eastAsia="en-GB"/>
              </w:rPr>
            </w:pPr>
          </w:p>
        </w:tc>
        <w:tc>
          <w:tcPr>
            <w:tcW w:w="308" w:type="pct"/>
            <w:tcBorders>
              <w:top w:val="nil"/>
              <w:left w:val="nil"/>
              <w:bottom w:val="nil"/>
              <w:right w:val="nil"/>
            </w:tcBorders>
            <w:shd w:val="clear" w:color="auto" w:fill="auto"/>
            <w:noWrap/>
            <w:vAlign w:val="center"/>
            <w:hideMark/>
          </w:tcPr>
          <w:p w14:paraId="4F2877D9" w14:textId="77777777" w:rsidR="0091312C" w:rsidRPr="00192B82" w:rsidRDefault="0091312C" w:rsidP="0091312C">
            <w:pPr>
              <w:ind w:firstLineChars="100" w:firstLine="200"/>
              <w:rPr>
                <w:rFonts w:ascii="Times New Roman" w:eastAsia="Times New Roman" w:hAnsi="Times New Roman" w:cs="Times New Roman"/>
                <w:sz w:val="20"/>
                <w:szCs w:val="20"/>
                <w:lang w:val="en-GB" w:eastAsia="en-GB"/>
              </w:rPr>
            </w:pPr>
          </w:p>
        </w:tc>
        <w:tc>
          <w:tcPr>
            <w:tcW w:w="380" w:type="pct"/>
            <w:tcBorders>
              <w:top w:val="nil"/>
              <w:left w:val="nil"/>
              <w:bottom w:val="nil"/>
              <w:right w:val="nil"/>
            </w:tcBorders>
            <w:shd w:val="clear" w:color="auto" w:fill="auto"/>
            <w:noWrap/>
            <w:vAlign w:val="center"/>
            <w:hideMark/>
          </w:tcPr>
          <w:p w14:paraId="5E8A98D8" w14:textId="77777777" w:rsidR="0091312C" w:rsidRPr="00192B82" w:rsidRDefault="0091312C" w:rsidP="0091312C">
            <w:pPr>
              <w:ind w:firstLineChars="100" w:firstLine="200"/>
              <w:jc w:val="right"/>
              <w:rPr>
                <w:rFonts w:ascii="Times New Roman" w:eastAsia="Times New Roman" w:hAnsi="Times New Roman" w:cs="Times New Roman"/>
                <w:sz w:val="20"/>
                <w:szCs w:val="20"/>
                <w:lang w:val="en-GB" w:eastAsia="en-GB"/>
              </w:rPr>
            </w:pPr>
          </w:p>
        </w:tc>
        <w:tc>
          <w:tcPr>
            <w:tcW w:w="392" w:type="pct"/>
            <w:tcBorders>
              <w:top w:val="nil"/>
              <w:left w:val="nil"/>
              <w:bottom w:val="nil"/>
              <w:right w:val="nil"/>
            </w:tcBorders>
            <w:shd w:val="clear" w:color="auto" w:fill="auto"/>
            <w:noWrap/>
            <w:vAlign w:val="center"/>
            <w:hideMark/>
          </w:tcPr>
          <w:p w14:paraId="06168E95" w14:textId="40D68502" w:rsidR="0091312C" w:rsidRPr="00192B82" w:rsidRDefault="0091312C" w:rsidP="0091312C">
            <w:pPr>
              <w:ind w:firstLineChars="100" w:firstLine="160"/>
              <w:jc w:val="right"/>
              <w:rPr>
                <w:rFonts w:ascii="Verdana" w:eastAsia="Times New Roman" w:hAnsi="Verdana" w:cs="Calibri"/>
                <w:color w:val="000000"/>
                <w:sz w:val="16"/>
                <w:szCs w:val="16"/>
                <w:lang w:val="en-GB" w:eastAsia="en-GB"/>
              </w:rPr>
            </w:pPr>
          </w:p>
        </w:tc>
      </w:tr>
      <w:tr w:rsidR="0091312C" w:rsidRPr="00192B82" w14:paraId="3CE69AAF" w14:textId="77777777" w:rsidTr="0091312C">
        <w:trPr>
          <w:gridAfter w:val="2"/>
          <w:wAfter w:w="2161" w:type="pct"/>
          <w:trHeight w:val="428"/>
        </w:trPr>
        <w:tc>
          <w:tcPr>
            <w:tcW w:w="309" w:type="pct"/>
            <w:tcBorders>
              <w:top w:val="nil"/>
              <w:left w:val="nil"/>
              <w:bottom w:val="nil"/>
              <w:right w:val="nil"/>
            </w:tcBorders>
            <w:shd w:val="clear" w:color="auto" w:fill="auto"/>
            <w:noWrap/>
            <w:vAlign w:val="center"/>
            <w:hideMark/>
          </w:tcPr>
          <w:p w14:paraId="0B6D29BC" w14:textId="77777777" w:rsidR="0091312C" w:rsidRPr="00192B82" w:rsidRDefault="0091312C" w:rsidP="0091312C">
            <w:pPr>
              <w:ind w:firstLineChars="100" w:firstLine="160"/>
              <w:jc w:val="right"/>
              <w:rPr>
                <w:rFonts w:ascii="Verdana" w:eastAsia="Times New Roman" w:hAnsi="Verdana" w:cs="Calibri"/>
                <w:color w:val="000000"/>
                <w:sz w:val="16"/>
                <w:szCs w:val="16"/>
                <w:lang w:val="en-GB" w:eastAsia="en-GB"/>
              </w:rPr>
            </w:pPr>
          </w:p>
        </w:tc>
        <w:tc>
          <w:tcPr>
            <w:tcW w:w="394" w:type="pct"/>
            <w:tcBorders>
              <w:top w:val="nil"/>
              <w:left w:val="nil"/>
              <w:bottom w:val="nil"/>
              <w:right w:val="nil"/>
            </w:tcBorders>
            <w:shd w:val="clear" w:color="auto" w:fill="auto"/>
            <w:noWrap/>
            <w:vAlign w:val="center"/>
            <w:hideMark/>
          </w:tcPr>
          <w:p w14:paraId="75E6B70F" w14:textId="77777777" w:rsidR="0091312C" w:rsidRPr="00192B82" w:rsidRDefault="0091312C" w:rsidP="0091312C">
            <w:pPr>
              <w:ind w:firstLineChars="100" w:firstLine="200"/>
              <w:jc w:val="right"/>
              <w:rPr>
                <w:rFonts w:ascii="Times New Roman" w:eastAsia="Times New Roman" w:hAnsi="Times New Roman" w:cs="Times New Roman"/>
                <w:sz w:val="20"/>
                <w:szCs w:val="20"/>
                <w:lang w:val="en-GB" w:eastAsia="en-GB"/>
              </w:rPr>
            </w:pPr>
          </w:p>
        </w:tc>
        <w:tc>
          <w:tcPr>
            <w:tcW w:w="393" w:type="pct"/>
            <w:tcBorders>
              <w:top w:val="nil"/>
              <w:left w:val="nil"/>
              <w:bottom w:val="nil"/>
              <w:right w:val="nil"/>
            </w:tcBorders>
            <w:shd w:val="clear" w:color="auto" w:fill="auto"/>
            <w:noWrap/>
            <w:vAlign w:val="center"/>
            <w:hideMark/>
          </w:tcPr>
          <w:p w14:paraId="2F09A945" w14:textId="43918635" w:rsidR="0091312C" w:rsidRPr="00192B82" w:rsidRDefault="0091312C" w:rsidP="0091312C">
            <w:pPr>
              <w:ind w:firstLineChars="100" w:firstLine="160"/>
              <w:jc w:val="right"/>
              <w:rPr>
                <w:rFonts w:ascii="Verdana" w:eastAsia="Times New Roman" w:hAnsi="Verdana" w:cs="Calibri"/>
                <w:color w:val="000000"/>
                <w:sz w:val="16"/>
                <w:szCs w:val="16"/>
                <w:lang w:val="en-GB" w:eastAsia="en-GB"/>
              </w:rPr>
            </w:pPr>
          </w:p>
        </w:tc>
        <w:tc>
          <w:tcPr>
            <w:tcW w:w="662" w:type="pct"/>
            <w:tcBorders>
              <w:top w:val="nil"/>
              <w:left w:val="nil"/>
              <w:bottom w:val="nil"/>
              <w:right w:val="nil"/>
            </w:tcBorders>
            <w:shd w:val="clear" w:color="auto" w:fill="auto"/>
            <w:vAlign w:val="center"/>
            <w:hideMark/>
          </w:tcPr>
          <w:p w14:paraId="20AF886C" w14:textId="109D5D86" w:rsidR="0091312C" w:rsidRPr="00192B82" w:rsidRDefault="0091312C" w:rsidP="0091312C">
            <w:pPr>
              <w:ind w:left="181"/>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Financing and Investment Income and Expenditure</w:t>
            </w:r>
          </w:p>
        </w:tc>
        <w:tc>
          <w:tcPr>
            <w:tcW w:w="308" w:type="pct"/>
            <w:tcBorders>
              <w:top w:val="nil"/>
              <w:left w:val="nil"/>
              <w:bottom w:val="nil"/>
              <w:right w:val="nil"/>
            </w:tcBorders>
            <w:shd w:val="clear" w:color="auto" w:fill="auto"/>
            <w:noWrap/>
            <w:vAlign w:val="center"/>
            <w:hideMark/>
          </w:tcPr>
          <w:p w14:paraId="09114E3C" w14:textId="77777777" w:rsidR="0091312C" w:rsidRPr="00192B82" w:rsidRDefault="0091312C" w:rsidP="0091312C">
            <w:pPr>
              <w:ind w:firstLineChars="100" w:firstLine="160"/>
              <w:rPr>
                <w:rFonts w:ascii="Verdana" w:eastAsia="Times New Roman" w:hAnsi="Verdana" w:cs="Calibri"/>
                <w:color w:val="000000"/>
                <w:sz w:val="16"/>
                <w:szCs w:val="16"/>
                <w:lang w:val="en-GB" w:eastAsia="en-GB"/>
              </w:rPr>
            </w:pPr>
          </w:p>
        </w:tc>
        <w:tc>
          <w:tcPr>
            <w:tcW w:w="380" w:type="pct"/>
            <w:tcBorders>
              <w:top w:val="nil"/>
              <w:left w:val="nil"/>
              <w:bottom w:val="nil"/>
              <w:right w:val="nil"/>
            </w:tcBorders>
            <w:shd w:val="clear" w:color="auto" w:fill="auto"/>
            <w:noWrap/>
            <w:vAlign w:val="center"/>
            <w:hideMark/>
          </w:tcPr>
          <w:p w14:paraId="77F313B5" w14:textId="77777777" w:rsidR="0091312C" w:rsidRPr="00192B82" w:rsidRDefault="0091312C" w:rsidP="0091312C">
            <w:pPr>
              <w:ind w:firstLineChars="100" w:firstLine="200"/>
              <w:jc w:val="right"/>
              <w:rPr>
                <w:rFonts w:ascii="Times New Roman" w:eastAsia="Times New Roman" w:hAnsi="Times New Roman" w:cs="Times New Roman"/>
                <w:sz w:val="20"/>
                <w:szCs w:val="20"/>
                <w:lang w:val="en-GB" w:eastAsia="en-GB"/>
              </w:rPr>
            </w:pPr>
          </w:p>
        </w:tc>
        <w:tc>
          <w:tcPr>
            <w:tcW w:w="392" w:type="pct"/>
            <w:tcBorders>
              <w:top w:val="nil"/>
              <w:left w:val="nil"/>
              <w:bottom w:val="nil"/>
              <w:right w:val="nil"/>
            </w:tcBorders>
            <w:shd w:val="clear" w:color="auto" w:fill="auto"/>
            <w:noWrap/>
            <w:vAlign w:val="center"/>
            <w:hideMark/>
          </w:tcPr>
          <w:p w14:paraId="434804A2" w14:textId="00B96AD5" w:rsidR="0091312C" w:rsidRPr="00192B82" w:rsidRDefault="0091312C" w:rsidP="0091312C">
            <w:pPr>
              <w:ind w:firstLineChars="100" w:firstLine="160"/>
              <w:jc w:val="right"/>
              <w:rPr>
                <w:rFonts w:ascii="Verdana" w:eastAsia="Times New Roman" w:hAnsi="Verdana" w:cs="Calibri"/>
                <w:color w:val="000000"/>
                <w:sz w:val="16"/>
                <w:szCs w:val="16"/>
                <w:lang w:val="en-GB" w:eastAsia="en-GB"/>
              </w:rPr>
            </w:pPr>
          </w:p>
        </w:tc>
      </w:tr>
      <w:tr w:rsidR="0091312C" w:rsidRPr="00192B82" w14:paraId="4E7AB279" w14:textId="77777777" w:rsidTr="0091312C">
        <w:trPr>
          <w:gridAfter w:val="2"/>
          <w:wAfter w:w="2161" w:type="pct"/>
          <w:trHeight w:val="70"/>
        </w:trPr>
        <w:tc>
          <w:tcPr>
            <w:tcW w:w="309" w:type="pct"/>
            <w:tcBorders>
              <w:top w:val="nil"/>
              <w:left w:val="nil"/>
              <w:bottom w:val="nil"/>
              <w:right w:val="nil"/>
            </w:tcBorders>
            <w:shd w:val="clear" w:color="auto" w:fill="auto"/>
            <w:noWrap/>
            <w:vAlign w:val="center"/>
            <w:hideMark/>
          </w:tcPr>
          <w:p w14:paraId="75C911A0" w14:textId="77777777" w:rsidR="0091312C" w:rsidRPr="00192B82" w:rsidRDefault="0091312C" w:rsidP="0091312C">
            <w:pPr>
              <w:ind w:firstLineChars="100" w:firstLine="160"/>
              <w:jc w:val="right"/>
              <w:rPr>
                <w:rFonts w:ascii="Verdana" w:eastAsia="Times New Roman" w:hAnsi="Verdana" w:cs="Calibri"/>
                <w:color w:val="000000"/>
                <w:sz w:val="16"/>
                <w:szCs w:val="16"/>
                <w:lang w:val="en-GB" w:eastAsia="en-GB"/>
              </w:rPr>
            </w:pPr>
          </w:p>
        </w:tc>
        <w:tc>
          <w:tcPr>
            <w:tcW w:w="394" w:type="pct"/>
            <w:tcBorders>
              <w:top w:val="nil"/>
              <w:left w:val="nil"/>
              <w:bottom w:val="nil"/>
              <w:right w:val="nil"/>
            </w:tcBorders>
            <w:shd w:val="clear" w:color="auto" w:fill="auto"/>
            <w:noWrap/>
            <w:vAlign w:val="center"/>
            <w:hideMark/>
          </w:tcPr>
          <w:p w14:paraId="3DB6101A" w14:textId="77777777" w:rsidR="0091312C" w:rsidRPr="00192B82" w:rsidRDefault="0091312C" w:rsidP="0091312C">
            <w:pPr>
              <w:ind w:firstLineChars="100" w:firstLine="200"/>
              <w:jc w:val="right"/>
              <w:rPr>
                <w:rFonts w:ascii="Times New Roman" w:eastAsia="Times New Roman" w:hAnsi="Times New Roman" w:cs="Times New Roman"/>
                <w:sz w:val="20"/>
                <w:szCs w:val="20"/>
                <w:lang w:val="en-GB" w:eastAsia="en-GB"/>
              </w:rPr>
            </w:pPr>
          </w:p>
        </w:tc>
        <w:tc>
          <w:tcPr>
            <w:tcW w:w="393" w:type="pct"/>
            <w:tcBorders>
              <w:top w:val="nil"/>
              <w:left w:val="nil"/>
              <w:bottom w:val="nil"/>
              <w:right w:val="nil"/>
            </w:tcBorders>
            <w:shd w:val="clear" w:color="auto" w:fill="auto"/>
            <w:noWrap/>
            <w:vAlign w:val="center"/>
            <w:hideMark/>
          </w:tcPr>
          <w:p w14:paraId="0C947B5B" w14:textId="77777777" w:rsidR="0091312C" w:rsidRPr="00192B82" w:rsidRDefault="0091312C" w:rsidP="0091312C">
            <w:pPr>
              <w:ind w:firstLineChars="100" w:firstLine="200"/>
              <w:jc w:val="right"/>
              <w:rPr>
                <w:rFonts w:ascii="Times New Roman" w:eastAsia="Times New Roman" w:hAnsi="Times New Roman" w:cs="Times New Roman"/>
                <w:sz w:val="20"/>
                <w:szCs w:val="20"/>
                <w:lang w:val="en-GB" w:eastAsia="en-GB"/>
              </w:rPr>
            </w:pPr>
          </w:p>
        </w:tc>
        <w:tc>
          <w:tcPr>
            <w:tcW w:w="662" w:type="pct"/>
            <w:tcBorders>
              <w:top w:val="nil"/>
              <w:left w:val="nil"/>
              <w:bottom w:val="nil"/>
              <w:right w:val="nil"/>
            </w:tcBorders>
            <w:shd w:val="clear" w:color="auto" w:fill="auto"/>
            <w:noWrap/>
            <w:vAlign w:val="center"/>
            <w:hideMark/>
          </w:tcPr>
          <w:p w14:paraId="374D1798" w14:textId="77777777" w:rsidR="0091312C" w:rsidRPr="00192B82" w:rsidRDefault="0091312C" w:rsidP="0091312C">
            <w:pPr>
              <w:ind w:firstLineChars="100" w:firstLine="200"/>
              <w:jc w:val="right"/>
              <w:rPr>
                <w:rFonts w:ascii="Times New Roman" w:eastAsia="Times New Roman" w:hAnsi="Times New Roman" w:cs="Times New Roman"/>
                <w:sz w:val="20"/>
                <w:szCs w:val="20"/>
                <w:lang w:val="en-GB" w:eastAsia="en-GB"/>
              </w:rPr>
            </w:pPr>
          </w:p>
        </w:tc>
        <w:tc>
          <w:tcPr>
            <w:tcW w:w="308" w:type="pct"/>
            <w:tcBorders>
              <w:top w:val="nil"/>
              <w:left w:val="nil"/>
              <w:bottom w:val="nil"/>
              <w:right w:val="nil"/>
            </w:tcBorders>
            <w:shd w:val="clear" w:color="auto" w:fill="auto"/>
            <w:noWrap/>
            <w:vAlign w:val="center"/>
            <w:hideMark/>
          </w:tcPr>
          <w:p w14:paraId="238EEB47" w14:textId="77777777" w:rsidR="0091312C" w:rsidRPr="00192B82" w:rsidRDefault="0091312C" w:rsidP="0091312C">
            <w:pPr>
              <w:ind w:firstLineChars="100" w:firstLine="200"/>
              <w:rPr>
                <w:rFonts w:ascii="Times New Roman" w:eastAsia="Times New Roman" w:hAnsi="Times New Roman" w:cs="Times New Roman"/>
                <w:sz w:val="20"/>
                <w:szCs w:val="20"/>
                <w:lang w:val="en-GB" w:eastAsia="en-GB"/>
              </w:rPr>
            </w:pPr>
          </w:p>
        </w:tc>
        <w:tc>
          <w:tcPr>
            <w:tcW w:w="380" w:type="pct"/>
            <w:tcBorders>
              <w:top w:val="nil"/>
              <w:left w:val="nil"/>
              <w:bottom w:val="nil"/>
              <w:right w:val="nil"/>
            </w:tcBorders>
            <w:shd w:val="clear" w:color="auto" w:fill="auto"/>
            <w:noWrap/>
            <w:vAlign w:val="center"/>
            <w:hideMark/>
          </w:tcPr>
          <w:p w14:paraId="3CE4BA17" w14:textId="77777777" w:rsidR="0091312C" w:rsidRPr="00192B82" w:rsidRDefault="0091312C" w:rsidP="0091312C">
            <w:pPr>
              <w:ind w:firstLineChars="100" w:firstLine="200"/>
              <w:jc w:val="right"/>
              <w:rPr>
                <w:rFonts w:ascii="Times New Roman" w:eastAsia="Times New Roman" w:hAnsi="Times New Roman" w:cs="Times New Roman"/>
                <w:sz w:val="20"/>
                <w:szCs w:val="20"/>
                <w:lang w:val="en-GB" w:eastAsia="en-GB"/>
              </w:rPr>
            </w:pPr>
          </w:p>
        </w:tc>
        <w:tc>
          <w:tcPr>
            <w:tcW w:w="392" w:type="pct"/>
            <w:tcBorders>
              <w:top w:val="nil"/>
              <w:left w:val="nil"/>
              <w:bottom w:val="nil"/>
              <w:right w:val="nil"/>
            </w:tcBorders>
            <w:shd w:val="clear" w:color="auto" w:fill="auto"/>
            <w:noWrap/>
            <w:vAlign w:val="center"/>
            <w:hideMark/>
          </w:tcPr>
          <w:p w14:paraId="2DC3E025" w14:textId="77777777" w:rsidR="0091312C" w:rsidRPr="00192B82" w:rsidRDefault="0091312C" w:rsidP="0091312C">
            <w:pPr>
              <w:ind w:firstLineChars="100" w:firstLine="200"/>
              <w:jc w:val="right"/>
              <w:rPr>
                <w:rFonts w:ascii="Times New Roman" w:eastAsia="Times New Roman" w:hAnsi="Times New Roman" w:cs="Times New Roman"/>
                <w:sz w:val="20"/>
                <w:szCs w:val="20"/>
                <w:lang w:val="en-GB" w:eastAsia="en-GB"/>
              </w:rPr>
            </w:pPr>
          </w:p>
        </w:tc>
      </w:tr>
      <w:tr w:rsidR="0091312C" w:rsidRPr="00192B82" w14:paraId="4AA84773" w14:textId="77777777" w:rsidTr="0091312C">
        <w:trPr>
          <w:gridAfter w:val="2"/>
          <w:wAfter w:w="2161" w:type="pct"/>
          <w:trHeight w:val="214"/>
        </w:trPr>
        <w:tc>
          <w:tcPr>
            <w:tcW w:w="309" w:type="pct"/>
            <w:tcBorders>
              <w:top w:val="nil"/>
              <w:left w:val="nil"/>
              <w:bottom w:val="nil"/>
              <w:right w:val="nil"/>
            </w:tcBorders>
            <w:shd w:val="clear" w:color="auto" w:fill="auto"/>
            <w:noWrap/>
            <w:vAlign w:val="center"/>
            <w:hideMark/>
          </w:tcPr>
          <w:p w14:paraId="541DAD4A" w14:textId="77777777" w:rsidR="0091312C" w:rsidRPr="00192B82" w:rsidRDefault="0091312C" w:rsidP="0091312C">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4,154</w:t>
            </w:r>
          </w:p>
        </w:tc>
        <w:tc>
          <w:tcPr>
            <w:tcW w:w="394" w:type="pct"/>
            <w:tcBorders>
              <w:top w:val="nil"/>
              <w:left w:val="nil"/>
              <w:bottom w:val="nil"/>
              <w:right w:val="nil"/>
            </w:tcBorders>
            <w:shd w:val="clear" w:color="auto" w:fill="auto"/>
            <w:noWrap/>
            <w:vAlign w:val="center"/>
            <w:hideMark/>
          </w:tcPr>
          <w:p w14:paraId="118DC7DA" w14:textId="77777777" w:rsidR="0091312C" w:rsidRPr="00192B82" w:rsidRDefault="0091312C" w:rsidP="0091312C">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48,960</w:t>
            </w:r>
          </w:p>
        </w:tc>
        <w:tc>
          <w:tcPr>
            <w:tcW w:w="393" w:type="pct"/>
            <w:tcBorders>
              <w:top w:val="nil"/>
              <w:left w:val="nil"/>
              <w:bottom w:val="nil"/>
              <w:right w:val="nil"/>
            </w:tcBorders>
            <w:shd w:val="clear" w:color="auto" w:fill="auto"/>
            <w:noWrap/>
            <w:vAlign w:val="center"/>
            <w:hideMark/>
          </w:tcPr>
          <w:p w14:paraId="0738B31E" w14:textId="77777777" w:rsidR="0091312C" w:rsidRPr="00192B82" w:rsidRDefault="0091312C" w:rsidP="0091312C">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53,114</w:t>
            </w:r>
          </w:p>
        </w:tc>
        <w:tc>
          <w:tcPr>
            <w:tcW w:w="662" w:type="pct"/>
            <w:tcBorders>
              <w:top w:val="nil"/>
              <w:left w:val="nil"/>
              <w:bottom w:val="nil"/>
              <w:right w:val="nil"/>
            </w:tcBorders>
            <w:shd w:val="clear" w:color="auto" w:fill="auto"/>
            <w:noWrap/>
            <w:vAlign w:val="center"/>
            <w:hideMark/>
          </w:tcPr>
          <w:p w14:paraId="253C2CDD" w14:textId="77777777" w:rsidR="0091312C" w:rsidRPr="00192B82" w:rsidRDefault="0091312C" w:rsidP="0091312C">
            <w:pPr>
              <w:ind w:firstLineChars="100" w:firstLine="160"/>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Net interest expense</w:t>
            </w:r>
          </w:p>
        </w:tc>
        <w:tc>
          <w:tcPr>
            <w:tcW w:w="308" w:type="pct"/>
            <w:tcBorders>
              <w:top w:val="nil"/>
              <w:left w:val="nil"/>
              <w:bottom w:val="nil"/>
              <w:right w:val="nil"/>
            </w:tcBorders>
            <w:shd w:val="clear" w:color="auto" w:fill="auto"/>
            <w:noWrap/>
            <w:vAlign w:val="center"/>
            <w:hideMark/>
          </w:tcPr>
          <w:p w14:paraId="1091DF26" w14:textId="77777777" w:rsidR="0091312C" w:rsidRPr="00192B82" w:rsidRDefault="0091312C" w:rsidP="0091312C">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3,077</w:t>
            </w:r>
          </w:p>
        </w:tc>
        <w:tc>
          <w:tcPr>
            <w:tcW w:w="380" w:type="pct"/>
            <w:tcBorders>
              <w:top w:val="nil"/>
              <w:left w:val="nil"/>
              <w:bottom w:val="nil"/>
              <w:right w:val="nil"/>
            </w:tcBorders>
            <w:shd w:val="clear" w:color="auto" w:fill="auto"/>
            <w:noWrap/>
            <w:vAlign w:val="center"/>
            <w:hideMark/>
          </w:tcPr>
          <w:p w14:paraId="472A6582" w14:textId="77777777" w:rsidR="0091312C" w:rsidRPr="00192B82" w:rsidRDefault="0091312C" w:rsidP="0091312C">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42,820</w:t>
            </w:r>
          </w:p>
        </w:tc>
        <w:tc>
          <w:tcPr>
            <w:tcW w:w="392" w:type="pct"/>
            <w:tcBorders>
              <w:top w:val="nil"/>
              <w:left w:val="nil"/>
              <w:bottom w:val="nil"/>
              <w:right w:val="nil"/>
            </w:tcBorders>
            <w:shd w:val="clear" w:color="auto" w:fill="auto"/>
            <w:noWrap/>
            <w:vAlign w:val="center"/>
            <w:hideMark/>
          </w:tcPr>
          <w:p w14:paraId="4085089D" w14:textId="77777777" w:rsidR="0091312C" w:rsidRPr="00192B82" w:rsidRDefault="0091312C" w:rsidP="0091312C">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45,897</w:t>
            </w:r>
          </w:p>
        </w:tc>
      </w:tr>
      <w:tr w:rsidR="0091312C" w:rsidRPr="00192B82" w14:paraId="06588B38" w14:textId="77777777" w:rsidTr="0091312C">
        <w:trPr>
          <w:gridAfter w:val="2"/>
          <w:wAfter w:w="2161" w:type="pct"/>
          <w:trHeight w:val="70"/>
        </w:trPr>
        <w:tc>
          <w:tcPr>
            <w:tcW w:w="309" w:type="pct"/>
            <w:tcBorders>
              <w:top w:val="nil"/>
              <w:left w:val="nil"/>
              <w:bottom w:val="nil"/>
              <w:right w:val="nil"/>
            </w:tcBorders>
            <w:shd w:val="clear" w:color="auto" w:fill="auto"/>
            <w:noWrap/>
            <w:vAlign w:val="center"/>
            <w:hideMark/>
          </w:tcPr>
          <w:p w14:paraId="34C9ED81" w14:textId="77777777" w:rsidR="0091312C" w:rsidRPr="00192B82" w:rsidRDefault="0091312C" w:rsidP="0091312C">
            <w:pPr>
              <w:ind w:firstLineChars="100" w:firstLine="160"/>
              <w:jc w:val="right"/>
              <w:rPr>
                <w:rFonts w:ascii="Verdana" w:eastAsia="Times New Roman" w:hAnsi="Verdana" w:cs="Calibri"/>
                <w:color w:val="000000"/>
                <w:sz w:val="16"/>
                <w:szCs w:val="16"/>
                <w:lang w:val="en-GB" w:eastAsia="en-GB"/>
              </w:rPr>
            </w:pPr>
          </w:p>
        </w:tc>
        <w:tc>
          <w:tcPr>
            <w:tcW w:w="394" w:type="pct"/>
            <w:tcBorders>
              <w:top w:val="nil"/>
              <w:left w:val="nil"/>
              <w:bottom w:val="nil"/>
              <w:right w:val="nil"/>
            </w:tcBorders>
            <w:shd w:val="clear" w:color="auto" w:fill="auto"/>
            <w:noWrap/>
            <w:vAlign w:val="center"/>
            <w:hideMark/>
          </w:tcPr>
          <w:p w14:paraId="41A948D4" w14:textId="77777777" w:rsidR="0091312C" w:rsidRPr="00192B82" w:rsidRDefault="0091312C" w:rsidP="0091312C">
            <w:pPr>
              <w:ind w:firstLineChars="100" w:firstLine="200"/>
              <w:jc w:val="right"/>
              <w:rPr>
                <w:rFonts w:ascii="Times New Roman" w:eastAsia="Times New Roman" w:hAnsi="Times New Roman" w:cs="Times New Roman"/>
                <w:sz w:val="20"/>
                <w:szCs w:val="20"/>
                <w:lang w:val="en-GB" w:eastAsia="en-GB"/>
              </w:rPr>
            </w:pPr>
          </w:p>
        </w:tc>
        <w:tc>
          <w:tcPr>
            <w:tcW w:w="393" w:type="pct"/>
            <w:tcBorders>
              <w:top w:val="nil"/>
              <w:left w:val="nil"/>
              <w:bottom w:val="nil"/>
              <w:right w:val="nil"/>
            </w:tcBorders>
            <w:shd w:val="clear" w:color="auto" w:fill="auto"/>
            <w:noWrap/>
            <w:vAlign w:val="center"/>
            <w:hideMark/>
          </w:tcPr>
          <w:p w14:paraId="165BB420" w14:textId="77777777" w:rsidR="0091312C" w:rsidRPr="00192B82" w:rsidRDefault="0091312C" w:rsidP="0091312C">
            <w:pPr>
              <w:ind w:firstLineChars="100" w:firstLine="200"/>
              <w:jc w:val="right"/>
              <w:rPr>
                <w:rFonts w:ascii="Times New Roman" w:eastAsia="Times New Roman" w:hAnsi="Times New Roman" w:cs="Times New Roman"/>
                <w:sz w:val="20"/>
                <w:szCs w:val="20"/>
                <w:lang w:val="en-GB" w:eastAsia="en-GB"/>
              </w:rPr>
            </w:pPr>
          </w:p>
        </w:tc>
        <w:tc>
          <w:tcPr>
            <w:tcW w:w="662" w:type="pct"/>
            <w:tcBorders>
              <w:top w:val="nil"/>
              <w:left w:val="nil"/>
              <w:bottom w:val="nil"/>
              <w:right w:val="nil"/>
            </w:tcBorders>
            <w:shd w:val="clear" w:color="auto" w:fill="auto"/>
            <w:noWrap/>
            <w:vAlign w:val="center"/>
            <w:hideMark/>
          </w:tcPr>
          <w:p w14:paraId="5719F190" w14:textId="77777777" w:rsidR="0091312C" w:rsidRPr="00192B82" w:rsidRDefault="0091312C" w:rsidP="0091312C">
            <w:pPr>
              <w:ind w:firstLineChars="100" w:firstLine="200"/>
              <w:jc w:val="right"/>
              <w:rPr>
                <w:rFonts w:ascii="Times New Roman" w:eastAsia="Times New Roman" w:hAnsi="Times New Roman" w:cs="Times New Roman"/>
                <w:sz w:val="20"/>
                <w:szCs w:val="20"/>
                <w:lang w:val="en-GB" w:eastAsia="en-GB"/>
              </w:rPr>
            </w:pPr>
          </w:p>
        </w:tc>
        <w:tc>
          <w:tcPr>
            <w:tcW w:w="308" w:type="pct"/>
            <w:tcBorders>
              <w:top w:val="nil"/>
              <w:left w:val="nil"/>
              <w:bottom w:val="nil"/>
              <w:right w:val="nil"/>
            </w:tcBorders>
            <w:shd w:val="clear" w:color="auto" w:fill="auto"/>
            <w:noWrap/>
            <w:vAlign w:val="center"/>
            <w:hideMark/>
          </w:tcPr>
          <w:p w14:paraId="1954F529" w14:textId="77777777" w:rsidR="0091312C" w:rsidRPr="00192B82" w:rsidRDefault="0091312C" w:rsidP="0091312C">
            <w:pPr>
              <w:ind w:firstLineChars="100" w:firstLine="200"/>
              <w:rPr>
                <w:rFonts w:ascii="Times New Roman" w:eastAsia="Times New Roman" w:hAnsi="Times New Roman" w:cs="Times New Roman"/>
                <w:sz w:val="20"/>
                <w:szCs w:val="20"/>
                <w:lang w:val="en-GB" w:eastAsia="en-GB"/>
              </w:rPr>
            </w:pPr>
          </w:p>
        </w:tc>
        <w:tc>
          <w:tcPr>
            <w:tcW w:w="380" w:type="pct"/>
            <w:tcBorders>
              <w:top w:val="nil"/>
              <w:left w:val="nil"/>
              <w:bottom w:val="nil"/>
              <w:right w:val="nil"/>
            </w:tcBorders>
            <w:shd w:val="clear" w:color="auto" w:fill="auto"/>
            <w:noWrap/>
            <w:vAlign w:val="center"/>
            <w:hideMark/>
          </w:tcPr>
          <w:p w14:paraId="6B4DE32F" w14:textId="77777777" w:rsidR="0091312C" w:rsidRPr="00192B82" w:rsidRDefault="0091312C" w:rsidP="0091312C">
            <w:pPr>
              <w:ind w:firstLineChars="100" w:firstLine="200"/>
              <w:jc w:val="right"/>
              <w:rPr>
                <w:rFonts w:ascii="Times New Roman" w:eastAsia="Times New Roman" w:hAnsi="Times New Roman" w:cs="Times New Roman"/>
                <w:sz w:val="20"/>
                <w:szCs w:val="20"/>
                <w:lang w:val="en-GB" w:eastAsia="en-GB"/>
              </w:rPr>
            </w:pPr>
          </w:p>
        </w:tc>
        <w:tc>
          <w:tcPr>
            <w:tcW w:w="392" w:type="pct"/>
            <w:tcBorders>
              <w:top w:val="nil"/>
              <w:left w:val="nil"/>
              <w:bottom w:val="nil"/>
              <w:right w:val="nil"/>
            </w:tcBorders>
            <w:shd w:val="clear" w:color="auto" w:fill="auto"/>
            <w:noWrap/>
            <w:vAlign w:val="center"/>
            <w:hideMark/>
          </w:tcPr>
          <w:p w14:paraId="2611723E" w14:textId="77777777" w:rsidR="0091312C" w:rsidRPr="00192B82" w:rsidRDefault="0091312C" w:rsidP="0091312C">
            <w:pPr>
              <w:ind w:firstLineChars="100" w:firstLine="200"/>
              <w:jc w:val="right"/>
              <w:rPr>
                <w:rFonts w:ascii="Times New Roman" w:eastAsia="Times New Roman" w:hAnsi="Times New Roman" w:cs="Times New Roman"/>
                <w:sz w:val="20"/>
                <w:szCs w:val="20"/>
                <w:lang w:val="en-GB" w:eastAsia="en-GB"/>
              </w:rPr>
            </w:pPr>
          </w:p>
        </w:tc>
      </w:tr>
      <w:tr w:rsidR="0091312C" w:rsidRPr="00192B82" w14:paraId="65F21167" w14:textId="77777777" w:rsidTr="0091312C">
        <w:trPr>
          <w:gridAfter w:val="2"/>
          <w:wAfter w:w="2161" w:type="pct"/>
          <w:trHeight w:val="60"/>
        </w:trPr>
        <w:tc>
          <w:tcPr>
            <w:tcW w:w="309" w:type="pct"/>
            <w:tcBorders>
              <w:top w:val="single" w:sz="4" w:space="0" w:color="auto"/>
              <w:left w:val="nil"/>
              <w:bottom w:val="single" w:sz="8" w:space="0" w:color="auto"/>
              <w:right w:val="nil"/>
            </w:tcBorders>
            <w:shd w:val="clear" w:color="auto" w:fill="auto"/>
            <w:noWrap/>
            <w:vAlign w:val="center"/>
            <w:hideMark/>
          </w:tcPr>
          <w:p w14:paraId="0DE19CE4" w14:textId="77777777" w:rsidR="0091312C" w:rsidRPr="00192B82" w:rsidRDefault="0091312C" w:rsidP="0091312C">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23,510</w:t>
            </w:r>
          </w:p>
        </w:tc>
        <w:tc>
          <w:tcPr>
            <w:tcW w:w="394" w:type="pct"/>
            <w:tcBorders>
              <w:top w:val="single" w:sz="4" w:space="0" w:color="auto"/>
              <w:left w:val="nil"/>
              <w:bottom w:val="single" w:sz="8" w:space="0" w:color="auto"/>
              <w:right w:val="nil"/>
            </w:tcBorders>
            <w:shd w:val="clear" w:color="auto" w:fill="auto"/>
            <w:noWrap/>
            <w:vAlign w:val="center"/>
            <w:hideMark/>
          </w:tcPr>
          <w:p w14:paraId="234C9D7D" w14:textId="77777777" w:rsidR="0091312C" w:rsidRPr="00192B82" w:rsidRDefault="0091312C" w:rsidP="0091312C">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89,670</w:t>
            </w:r>
          </w:p>
        </w:tc>
        <w:tc>
          <w:tcPr>
            <w:tcW w:w="393" w:type="pct"/>
            <w:tcBorders>
              <w:top w:val="single" w:sz="4" w:space="0" w:color="auto"/>
              <w:left w:val="nil"/>
              <w:bottom w:val="single" w:sz="8" w:space="0" w:color="auto"/>
              <w:right w:val="nil"/>
            </w:tcBorders>
            <w:shd w:val="clear" w:color="auto" w:fill="auto"/>
            <w:noWrap/>
            <w:vAlign w:val="center"/>
            <w:hideMark/>
          </w:tcPr>
          <w:p w14:paraId="4D4282E6" w14:textId="77777777" w:rsidR="0091312C" w:rsidRPr="00192B82" w:rsidRDefault="0091312C" w:rsidP="0091312C">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113,180</w:t>
            </w:r>
          </w:p>
        </w:tc>
        <w:tc>
          <w:tcPr>
            <w:tcW w:w="662" w:type="pct"/>
            <w:tcBorders>
              <w:top w:val="single" w:sz="4" w:space="0" w:color="auto"/>
              <w:left w:val="nil"/>
              <w:bottom w:val="single" w:sz="8" w:space="0" w:color="auto"/>
              <w:right w:val="nil"/>
            </w:tcBorders>
            <w:shd w:val="clear" w:color="auto" w:fill="auto"/>
            <w:vAlign w:val="center"/>
            <w:hideMark/>
          </w:tcPr>
          <w:p w14:paraId="0BA49E21" w14:textId="77777777" w:rsidR="0091312C" w:rsidRPr="00192B82" w:rsidRDefault="0091312C" w:rsidP="0091312C">
            <w:pPr>
              <w:ind w:firstLineChars="100" w:firstLine="161"/>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Total charged to Surplus and Deficit on Provision of Services</w:t>
            </w:r>
          </w:p>
        </w:tc>
        <w:tc>
          <w:tcPr>
            <w:tcW w:w="308" w:type="pct"/>
            <w:tcBorders>
              <w:top w:val="single" w:sz="4" w:space="0" w:color="auto"/>
              <w:left w:val="nil"/>
              <w:bottom w:val="single" w:sz="8" w:space="0" w:color="auto"/>
              <w:right w:val="nil"/>
            </w:tcBorders>
            <w:shd w:val="clear" w:color="auto" w:fill="auto"/>
            <w:noWrap/>
            <w:vAlign w:val="center"/>
            <w:hideMark/>
          </w:tcPr>
          <w:p w14:paraId="45531308" w14:textId="77777777" w:rsidR="0091312C" w:rsidRPr="00192B82" w:rsidRDefault="0091312C" w:rsidP="0091312C">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20,863</w:t>
            </w:r>
          </w:p>
        </w:tc>
        <w:tc>
          <w:tcPr>
            <w:tcW w:w="380" w:type="pct"/>
            <w:tcBorders>
              <w:top w:val="single" w:sz="4" w:space="0" w:color="auto"/>
              <w:left w:val="nil"/>
              <w:bottom w:val="single" w:sz="8" w:space="0" w:color="auto"/>
              <w:right w:val="nil"/>
            </w:tcBorders>
            <w:shd w:val="clear" w:color="auto" w:fill="auto"/>
            <w:noWrap/>
            <w:vAlign w:val="center"/>
            <w:hideMark/>
          </w:tcPr>
          <w:p w14:paraId="1F0DF8D8" w14:textId="77777777" w:rsidR="0091312C" w:rsidRPr="00192B82" w:rsidRDefault="0091312C" w:rsidP="0091312C">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96,070</w:t>
            </w:r>
          </w:p>
        </w:tc>
        <w:tc>
          <w:tcPr>
            <w:tcW w:w="392" w:type="pct"/>
            <w:tcBorders>
              <w:top w:val="single" w:sz="4" w:space="0" w:color="auto"/>
              <w:left w:val="nil"/>
              <w:bottom w:val="single" w:sz="8" w:space="0" w:color="auto"/>
              <w:right w:val="nil"/>
            </w:tcBorders>
            <w:shd w:val="clear" w:color="auto" w:fill="auto"/>
            <w:noWrap/>
            <w:vAlign w:val="center"/>
            <w:hideMark/>
          </w:tcPr>
          <w:p w14:paraId="76102F43" w14:textId="77777777" w:rsidR="0091312C" w:rsidRPr="00192B82" w:rsidRDefault="0091312C" w:rsidP="0091312C">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116,933</w:t>
            </w:r>
          </w:p>
        </w:tc>
      </w:tr>
    </w:tbl>
    <w:p w14:paraId="12928432" w14:textId="77777777" w:rsidR="00C06223" w:rsidRDefault="00C06223">
      <w:pPr>
        <w:pStyle w:val="Normal0"/>
        <w:spacing w:after="160" w:line="259" w:lineRule="auto"/>
        <w:rPr>
          <w:noProof/>
          <w:highlight w:val="yellow"/>
          <w:lang w:val="en-GB" w:eastAsia="en-GB"/>
        </w:rPr>
      </w:pPr>
    </w:p>
    <w:tbl>
      <w:tblPr>
        <w:tblW w:w="14665" w:type="dxa"/>
        <w:tblLook w:val="04A0" w:firstRow="1" w:lastRow="0" w:firstColumn="1" w:lastColumn="0" w:noHBand="0" w:noVBand="1"/>
      </w:tblPr>
      <w:tblGrid>
        <w:gridCol w:w="1703"/>
        <w:gridCol w:w="1994"/>
        <w:gridCol w:w="1967"/>
        <w:gridCol w:w="3420"/>
        <w:gridCol w:w="1696"/>
        <w:gridCol w:w="1970"/>
        <w:gridCol w:w="1915"/>
      </w:tblGrid>
      <w:tr w:rsidR="00192B82" w:rsidRPr="00192B82" w14:paraId="7193D16B" w14:textId="77777777" w:rsidTr="00514C09">
        <w:trPr>
          <w:trHeight w:val="220"/>
        </w:trPr>
        <w:tc>
          <w:tcPr>
            <w:tcW w:w="5664" w:type="dxa"/>
            <w:gridSpan w:val="3"/>
            <w:tcBorders>
              <w:top w:val="nil"/>
              <w:left w:val="nil"/>
              <w:bottom w:val="nil"/>
              <w:right w:val="nil"/>
            </w:tcBorders>
            <w:shd w:val="clear" w:color="000000" w:fill="FFFFFF"/>
            <w:noWrap/>
            <w:vAlign w:val="center"/>
            <w:hideMark/>
          </w:tcPr>
          <w:p w14:paraId="19E63B99" w14:textId="77777777" w:rsidR="00192B82" w:rsidRPr="00192B82" w:rsidRDefault="00192B82" w:rsidP="00192B82">
            <w:pP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Other post-employment benefits charged to the Comprehensive Income and Expenditure Statement</w:t>
            </w:r>
          </w:p>
        </w:tc>
        <w:tc>
          <w:tcPr>
            <w:tcW w:w="3420" w:type="dxa"/>
            <w:tcBorders>
              <w:top w:val="nil"/>
              <w:left w:val="nil"/>
              <w:bottom w:val="nil"/>
              <w:right w:val="nil"/>
            </w:tcBorders>
            <w:shd w:val="clear" w:color="auto" w:fill="auto"/>
            <w:noWrap/>
            <w:vAlign w:val="center"/>
            <w:hideMark/>
          </w:tcPr>
          <w:p w14:paraId="3089105C" w14:textId="77777777" w:rsidR="00192B82" w:rsidRPr="00192B82" w:rsidRDefault="00192B82" w:rsidP="00192B82">
            <w:pPr>
              <w:rPr>
                <w:rFonts w:ascii="Verdana" w:eastAsia="Times New Roman" w:hAnsi="Verdana" w:cs="Calibri"/>
                <w:b/>
                <w:bCs/>
                <w:color w:val="000000"/>
                <w:sz w:val="16"/>
                <w:szCs w:val="16"/>
                <w:lang w:val="en-GB" w:eastAsia="en-GB"/>
              </w:rPr>
            </w:pPr>
          </w:p>
        </w:tc>
        <w:tc>
          <w:tcPr>
            <w:tcW w:w="1696" w:type="dxa"/>
            <w:tcBorders>
              <w:top w:val="nil"/>
              <w:left w:val="nil"/>
              <w:bottom w:val="nil"/>
              <w:right w:val="nil"/>
            </w:tcBorders>
            <w:shd w:val="clear" w:color="000000" w:fill="FFFFFF"/>
            <w:noWrap/>
            <w:vAlign w:val="center"/>
            <w:hideMark/>
          </w:tcPr>
          <w:p w14:paraId="1545609B" w14:textId="77777777" w:rsidR="00192B82" w:rsidRPr="00192B82" w:rsidRDefault="00192B82" w:rsidP="00192B82">
            <w:pPr>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1970" w:type="dxa"/>
            <w:tcBorders>
              <w:top w:val="nil"/>
              <w:left w:val="nil"/>
              <w:bottom w:val="nil"/>
              <w:right w:val="nil"/>
            </w:tcBorders>
            <w:shd w:val="clear" w:color="000000" w:fill="FFFFFF"/>
            <w:noWrap/>
            <w:vAlign w:val="center"/>
            <w:hideMark/>
          </w:tcPr>
          <w:p w14:paraId="2197E337" w14:textId="77777777" w:rsidR="00192B82" w:rsidRPr="00192B82" w:rsidRDefault="00192B82" w:rsidP="00192B82">
            <w:pPr>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1915" w:type="dxa"/>
            <w:tcBorders>
              <w:top w:val="nil"/>
              <w:left w:val="nil"/>
              <w:bottom w:val="nil"/>
              <w:right w:val="nil"/>
            </w:tcBorders>
            <w:shd w:val="clear" w:color="000000" w:fill="FFFFFF"/>
            <w:noWrap/>
            <w:vAlign w:val="center"/>
            <w:hideMark/>
          </w:tcPr>
          <w:p w14:paraId="5AF484B4" w14:textId="77777777" w:rsidR="00192B82" w:rsidRPr="00192B82" w:rsidRDefault="00192B82" w:rsidP="00192B82">
            <w:pPr>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r>
      <w:tr w:rsidR="00192B82" w:rsidRPr="00192B82" w14:paraId="695FFBF3" w14:textId="77777777" w:rsidTr="00514C09">
        <w:trPr>
          <w:trHeight w:val="220"/>
        </w:trPr>
        <w:tc>
          <w:tcPr>
            <w:tcW w:w="1703" w:type="dxa"/>
            <w:tcBorders>
              <w:top w:val="nil"/>
              <w:left w:val="nil"/>
              <w:bottom w:val="nil"/>
              <w:right w:val="nil"/>
            </w:tcBorders>
            <w:shd w:val="clear" w:color="000000" w:fill="FFFFFF"/>
            <w:noWrap/>
            <w:vAlign w:val="center"/>
            <w:hideMark/>
          </w:tcPr>
          <w:p w14:paraId="4ED5E284" w14:textId="77777777" w:rsidR="00192B82" w:rsidRPr="00192B82" w:rsidRDefault="00192B82" w:rsidP="00192B82">
            <w:pP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 </w:t>
            </w:r>
          </w:p>
        </w:tc>
        <w:tc>
          <w:tcPr>
            <w:tcW w:w="1994" w:type="dxa"/>
            <w:tcBorders>
              <w:top w:val="nil"/>
              <w:left w:val="nil"/>
              <w:bottom w:val="nil"/>
              <w:right w:val="nil"/>
            </w:tcBorders>
            <w:shd w:val="clear" w:color="000000" w:fill="FFFFFF"/>
            <w:vAlign w:val="center"/>
            <w:hideMark/>
          </w:tcPr>
          <w:p w14:paraId="7E5FCA7A" w14:textId="77777777" w:rsidR="00192B82" w:rsidRPr="00192B82" w:rsidRDefault="00192B82" w:rsidP="00192B82">
            <w:pP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 </w:t>
            </w:r>
          </w:p>
        </w:tc>
        <w:tc>
          <w:tcPr>
            <w:tcW w:w="1967" w:type="dxa"/>
            <w:tcBorders>
              <w:top w:val="nil"/>
              <w:left w:val="nil"/>
              <w:bottom w:val="nil"/>
              <w:right w:val="nil"/>
            </w:tcBorders>
            <w:shd w:val="clear" w:color="000000" w:fill="FFFFFF"/>
            <w:vAlign w:val="center"/>
            <w:hideMark/>
          </w:tcPr>
          <w:p w14:paraId="3BE79312" w14:textId="77777777" w:rsidR="00192B82" w:rsidRPr="00192B82" w:rsidRDefault="00192B82" w:rsidP="00192B82">
            <w:pP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 </w:t>
            </w:r>
          </w:p>
        </w:tc>
        <w:tc>
          <w:tcPr>
            <w:tcW w:w="3420" w:type="dxa"/>
            <w:tcBorders>
              <w:top w:val="nil"/>
              <w:left w:val="nil"/>
              <w:bottom w:val="nil"/>
              <w:right w:val="nil"/>
            </w:tcBorders>
            <w:shd w:val="clear" w:color="auto" w:fill="auto"/>
            <w:noWrap/>
            <w:vAlign w:val="center"/>
            <w:hideMark/>
          </w:tcPr>
          <w:p w14:paraId="3E01F0FB" w14:textId="77777777" w:rsidR="00192B82" w:rsidRPr="00192B82" w:rsidRDefault="00192B82" w:rsidP="00192B82">
            <w:pPr>
              <w:rPr>
                <w:rFonts w:ascii="Verdana" w:eastAsia="Times New Roman" w:hAnsi="Verdana" w:cs="Calibri"/>
                <w:b/>
                <w:bCs/>
                <w:color w:val="000000"/>
                <w:sz w:val="16"/>
                <w:szCs w:val="16"/>
                <w:lang w:val="en-GB" w:eastAsia="en-GB"/>
              </w:rPr>
            </w:pPr>
          </w:p>
        </w:tc>
        <w:tc>
          <w:tcPr>
            <w:tcW w:w="1696" w:type="dxa"/>
            <w:tcBorders>
              <w:top w:val="nil"/>
              <w:left w:val="nil"/>
              <w:bottom w:val="nil"/>
              <w:right w:val="nil"/>
            </w:tcBorders>
            <w:shd w:val="clear" w:color="000000" w:fill="FFFFFF"/>
            <w:noWrap/>
            <w:vAlign w:val="center"/>
            <w:hideMark/>
          </w:tcPr>
          <w:p w14:paraId="6B86A60C" w14:textId="77777777" w:rsidR="00192B82" w:rsidRPr="00192B82" w:rsidRDefault="00192B82" w:rsidP="00192B82">
            <w:pPr>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1970" w:type="dxa"/>
            <w:tcBorders>
              <w:top w:val="nil"/>
              <w:left w:val="nil"/>
              <w:bottom w:val="nil"/>
              <w:right w:val="nil"/>
            </w:tcBorders>
            <w:shd w:val="clear" w:color="000000" w:fill="FFFFFF"/>
            <w:noWrap/>
            <w:vAlign w:val="center"/>
            <w:hideMark/>
          </w:tcPr>
          <w:p w14:paraId="279D0489" w14:textId="77777777" w:rsidR="00192B82" w:rsidRPr="00192B82" w:rsidRDefault="00192B82" w:rsidP="00192B82">
            <w:pPr>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1915" w:type="dxa"/>
            <w:tcBorders>
              <w:top w:val="nil"/>
              <w:left w:val="nil"/>
              <w:bottom w:val="nil"/>
              <w:right w:val="nil"/>
            </w:tcBorders>
            <w:shd w:val="clear" w:color="000000" w:fill="FFFFFF"/>
            <w:noWrap/>
            <w:vAlign w:val="center"/>
            <w:hideMark/>
          </w:tcPr>
          <w:p w14:paraId="4DC3BE15" w14:textId="77777777" w:rsidR="00192B82" w:rsidRPr="00192B82" w:rsidRDefault="00192B82" w:rsidP="00192B82">
            <w:pPr>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r>
      <w:tr w:rsidR="00192B82" w:rsidRPr="00192B82" w14:paraId="10AD7492" w14:textId="77777777" w:rsidTr="00514C09">
        <w:trPr>
          <w:trHeight w:val="220"/>
        </w:trPr>
        <w:tc>
          <w:tcPr>
            <w:tcW w:w="1703" w:type="dxa"/>
            <w:tcBorders>
              <w:top w:val="nil"/>
              <w:left w:val="nil"/>
              <w:bottom w:val="nil"/>
              <w:right w:val="nil"/>
            </w:tcBorders>
            <w:shd w:val="clear" w:color="000000" w:fill="FFFFFF"/>
            <w:noWrap/>
            <w:vAlign w:val="center"/>
            <w:hideMark/>
          </w:tcPr>
          <w:p w14:paraId="22518EB1"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£000</w:t>
            </w:r>
          </w:p>
        </w:tc>
        <w:tc>
          <w:tcPr>
            <w:tcW w:w="1994" w:type="dxa"/>
            <w:tcBorders>
              <w:top w:val="nil"/>
              <w:left w:val="nil"/>
              <w:bottom w:val="nil"/>
              <w:right w:val="nil"/>
            </w:tcBorders>
            <w:shd w:val="clear" w:color="000000" w:fill="FFFFFF"/>
            <w:noWrap/>
            <w:vAlign w:val="center"/>
            <w:hideMark/>
          </w:tcPr>
          <w:p w14:paraId="2DDBE7FB"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£000</w:t>
            </w:r>
          </w:p>
        </w:tc>
        <w:tc>
          <w:tcPr>
            <w:tcW w:w="1967" w:type="dxa"/>
            <w:tcBorders>
              <w:top w:val="nil"/>
              <w:left w:val="nil"/>
              <w:bottom w:val="nil"/>
              <w:right w:val="nil"/>
            </w:tcBorders>
            <w:shd w:val="clear" w:color="000000" w:fill="FFFFFF"/>
            <w:noWrap/>
            <w:vAlign w:val="center"/>
            <w:hideMark/>
          </w:tcPr>
          <w:p w14:paraId="685F4D31"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£000</w:t>
            </w:r>
          </w:p>
        </w:tc>
        <w:tc>
          <w:tcPr>
            <w:tcW w:w="3420" w:type="dxa"/>
            <w:tcBorders>
              <w:top w:val="nil"/>
              <w:left w:val="nil"/>
              <w:bottom w:val="nil"/>
              <w:right w:val="nil"/>
            </w:tcBorders>
            <w:shd w:val="clear" w:color="000000" w:fill="FFFFFF"/>
            <w:noWrap/>
            <w:vAlign w:val="center"/>
            <w:hideMark/>
          </w:tcPr>
          <w:p w14:paraId="2B2135CE"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 </w:t>
            </w:r>
          </w:p>
        </w:tc>
        <w:tc>
          <w:tcPr>
            <w:tcW w:w="1696" w:type="dxa"/>
            <w:tcBorders>
              <w:top w:val="nil"/>
              <w:left w:val="nil"/>
              <w:bottom w:val="nil"/>
              <w:right w:val="nil"/>
            </w:tcBorders>
            <w:shd w:val="clear" w:color="000000" w:fill="FFFFFF"/>
            <w:noWrap/>
            <w:vAlign w:val="center"/>
            <w:hideMark/>
          </w:tcPr>
          <w:p w14:paraId="3419F3FB"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£000</w:t>
            </w:r>
          </w:p>
        </w:tc>
        <w:tc>
          <w:tcPr>
            <w:tcW w:w="1970" w:type="dxa"/>
            <w:tcBorders>
              <w:top w:val="nil"/>
              <w:left w:val="nil"/>
              <w:bottom w:val="nil"/>
              <w:right w:val="nil"/>
            </w:tcBorders>
            <w:shd w:val="clear" w:color="000000" w:fill="FFFFFF"/>
            <w:noWrap/>
            <w:vAlign w:val="center"/>
            <w:hideMark/>
          </w:tcPr>
          <w:p w14:paraId="62B1BD59"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£000</w:t>
            </w:r>
          </w:p>
        </w:tc>
        <w:tc>
          <w:tcPr>
            <w:tcW w:w="1915" w:type="dxa"/>
            <w:tcBorders>
              <w:top w:val="nil"/>
              <w:left w:val="nil"/>
              <w:bottom w:val="nil"/>
              <w:right w:val="nil"/>
            </w:tcBorders>
            <w:shd w:val="clear" w:color="000000" w:fill="FFFFFF"/>
            <w:noWrap/>
            <w:vAlign w:val="center"/>
            <w:hideMark/>
          </w:tcPr>
          <w:p w14:paraId="57B9DF04"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£000</w:t>
            </w:r>
          </w:p>
        </w:tc>
      </w:tr>
      <w:tr w:rsidR="00192B82" w:rsidRPr="00192B82" w14:paraId="4BABCC3E" w14:textId="77777777" w:rsidTr="00514C09">
        <w:trPr>
          <w:trHeight w:val="662"/>
        </w:trPr>
        <w:tc>
          <w:tcPr>
            <w:tcW w:w="1703" w:type="dxa"/>
            <w:tcBorders>
              <w:top w:val="single" w:sz="4" w:space="0" w:color="auto"/>
              <w:left w:val="nil"/>
              <w:bottom w:val="nil"/>
              <w:right w:val="nil"/>
            </w:tcBorders>
            <w:shd w:val="clear" w:color="000000" w:fill="FFFFFF"/>
            <w:noWrap/>
            <w:vAlign w:val="center"/>
            <w:hideMark/>
          </w:tcPr>
          <w:p w14:paraId="695DCFE4"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1994" w:type="dxa"/>
            <w:tcBorders>
              <w:top w:val="single" w:sz="4" w:space="0" w:color="auto"/>
              <w:left w:val="nil"/>
              <w:bottom w:val="nil"/>
              <w:right w:val="nil"/>
            </w:tcBorders>
            <w:shd w:val="clear" w:color="000000" w:fill="FFFFFF"/>
            <w:noWrap/>
            <w:vAlign w:val="center"/>
            <w:hideMark/>
          </w:tcPr>
          <w:p w14:paraId="4EFD4946"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1967" w:type="dxa"/>
            <w:tcBorders>
              <w:top w:val="single" w:sz="4" w:space="0" w:color="auto"/>
              <w:left w:val="nil"/>
              <w:bottom w:val="nil"/>
              <w:right w:val="nil"/>
            </w:tcBorders>
            <w:shd w:val="clear" w:color="000000" w:fill="FFFFFF"/>
            <w:noWrap/>
            <w:vAlign w:val="center"/>
            <w:hideMark/>
          </w:tcPr>
          <w:p w14:paraId="65F0EE66"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3420" w:type="dxa"/>
            <w:tcBorders>
              <w:top w:val="single" w:sz="4" w:space="0" w:color="auto"/>
              <w:left w:val="nil"/>
              <w:bottom w:val="nil"/>
              <w:right w:val="nil"/>
            </w:tcBorders>
            <w:shd w:val="clear" w:color="000000" w:fill="FFFFFF"/>
            <w:vAlign w:val="center"/>
            <w:hideMark/>
          </w:tcPr>
          <w:p w14:paraId="66F6B570" w14:textId="77777777" w:rsidR="00192B82" w:rsidRPr="00192B82" w:rsidRDefault="00192B82" w:rsidP="00192B82">
            <w:pPr>
              <w:ind w:firstLineChars="100" w:firstLine="160"/>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Re-measurement of the net defined benefit liability comprising:</w:t>
            </w:r>
          </w:p>
        </w:tc>
        <w:tc>
          <w:tcPr>
            <w:tcW w:w="1696" w:type="dxa"/>
            <w:tcBorders>
              <w:top w:val="single" w:sz="4" w:space="0" w:color="auto"/>
              <w:left w:val="nil"/>
              <w:bottom w:val="nil"/>
              <w:right w:val="nil"/>
            </w:tcBorders>
            <w:shd w:val="clear" w:color="000000" w:fill="FFFFFF"/>
            <w:noWrap/>
            <w:vAlign w:val="center"/>
            <w:hideMark/>
          </w:tcPr>
          <w:p w14:paraId="219B8998"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1970" w:type="dxa"/>
            <w:tcBorders>
              <w:top w:val="single" w:sz="4" w:space="0" w:color="auto"/>
              <w:left w:val="nil"/>
              <w:bottom w:val="nil"/>
              <w:right w:val="nil"/>
            </w:tcBorders>
            <w:shd w:val="clear" w:color="000000" w:fill="FFFFFF"/>
            <w:noWrap/>
            <w:vAlign w:val="center"/>
            <w:hideMark/>
          </w:tcPr>
          <w:p w14:paraId="66FA4204"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1915" w:type="dxa"/>
            <w:tcBorders>
              <w:top w:val="single" w:sz="4" w:space="0" w:color="auto"/>
              <w:left w:val="nil"/>
              <w:bottom w:val="nil"/>
              <w:right w:val="nil"/>
            </w:tcBorders>
            <w:shd w:val="clear" w:color="000000" w:fill="FFFFFF"/>
            <w:noWrap/>
            <w:vAlign w:val="center"/>
            <w:hideMark/>
          </w:tcPr>
          <w:p w14:paraId="29C37D54"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r>
      <w:tr w:rsidR="00192B82" w:rsidRPr="00192B82" w14:paraId="479AA645" w14:textId="77777777" w:rsidTr="00514C09">
        <w:trPr>
          <w:trHeight w:val="883"/>
        </w:trPr>
        <w:tc>
          <w:tcPr>
            <w:tcW w:w="1703" w:type="dxa"/>
            <w:tcBorders>
              <w:top w:val="nil"/>
              <w:left w:val="nil"/>
              <w:bottom w:val="nil"/>
              <w:right w:val="nil"/>
            </w:tcBorders>
            <w:shd w:val="clear" w:color="000000" w:fill="FFFFFF"/>
            <w:noWrap/>
            <w:vAlign w:val="center"/>
            <w:hideMark/>
          </w:tcPr>
          <w:p w14:paraId="218D6A91"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41,563</w:t>
            </w:r>
          </w:p>
        </w:tc>
        <w:tc>
          <w:tcPr>
            <w:tcW w:w="1994" w:type="dxa"/>
            <w:tcBorders>
              <w:top w:val="nil"/>
              <w:left w:val="nil"/>
              <w:bottom w:val="nil"/>
              <w:right w:val="nil"/>
            </w:tcBorders>
            <w:shd w:val="clear" w:color="000000" w:fill="FFFFFF"/>
            <w:noWrap/>
            <w:vAlign w:val="center"/>
            <w:hideMark/>
          </w:tcPr>
          <w:p w14:paraId="493E0488"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0</w:t>
            </w:r>
          </w:p>
        </w:tc>
        <w:tc>
          <w:tcPr>
            <w:tcW w:w="1967" w:type="dxa"/>
            <w:tcBorders>
              <w:top w:val="nil"/>
              <w:left w:val="nil"/>
              <w:bottom w:val="nil"/>
              <w:right w:val="nil"/>
            </w:tcBorders>
            <w:shd w:val="clear" w:color="000000" w:fill="FFFFFF"/>
            <w:noWrap/>
            <w:vAlign w:val="center"/>
            <w:hideMark/>
          </w:tcPr>
          <w:p w14:paraId="6B40B6A9"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41,563</w:t>
            </w:r>
          </w:p>
        </w:tc>
        <w:tc>
          <w:tcPr>
            <w:tcW w:w="3420" w:type="dxa"/>
            <w:tcBorders>
              <w:top w:val="nil"/>
              <w:left w:val="nil"/>
              <w:bottom w:val="nil"/>
              <w:right w:val="nil"/>
            </w:tcBorders>
            <w:shd w:val="clear" w:color="000000" w:fill="FFFFFF"/>
            <w:vAlign w:val="center"/>
            <w:hideMark/>
          </w:tcPr>
          <w:p w14:paraId="2CAC68C2" w14:textId="77777777" w:rsidR="00192B82" w:rsidRPr="00192B82" w:rsidRDefault="00192B82" w:rsidP="00192B82">
            <w:pPr>
              <w:ind w:firstLineChars="100" w:firstLine="160"/>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Return on plan assets (excluding the amount included in the net interest expense)</w:t>
            </w:r>
          </w:p>
        </w:tc>
        <w:tc>
          <w:tcPr>
            <w:tcW w:w="1696" w:type="dxa"/>
            <w:tcBorders>
              <w:top w:val="nil"/>
              <w:left w:val="nil"/>
              <w:bottom w:val="nil"/>
              <w:right w:val="nil"/>
            </w:tcBorders>
            <w:shd w:val="clear" w:color="000000" w:fill="FFFFFF"/>
            <w:noWrap/>
            <w:vAlign w:val="center"/>
            <w:hideMark/>
          </w:tcPr>
          <w:p w14:paraId="6D3B9B96"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(72,255)</w:t>
            </w:r>
          </w:p>
        </w:tc>
        <w:tc>
          <w:tcPr>
            <w:tcW w:w="1970" w:type="dxa"/>
            <w:tcBorders>
              <w:top w:val="nil"/>
              <w:left w:val="nil"/>
              <w:bottom w:val="nil"/>
              <w:right w:val="nil"/>
            </w:tcBorders>
            <w:shd w:val="clear" w:color="000000" w:fill="FFFFFF"/>
            <w:noWrap/>
            <w:vAlign w:val="center"/>
            <w:hideMark/>
          </w:tcPr>
          <w:p w14:paraId="22CCC3C7"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0</w:t>
            </w:r>
          </w:p>
        </w:tc>
        <w:tc>
          <w:tcPr>
            <w:tcW w:w="1915" w:type="dxa"/>
            <w:tcBorders>
              <w:top w:val="nil"/>
              <w:left w:val="nil"/>
              <w:bottom w:val="nil"/>
              <w:right w:val="nil"/>
            </w:tcBorders>
            <w:shd w:val="clear" w:color="000000" w:fill="FFFFFF"/>
            <w:noWrap/>
            <w:vAlign w:val="center"/>
            <w:hideMark/>
          </w:tcPr>
          <w:p w14:paraId="247F6D8E"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(72,255)</w:t>
            </w:r>
          </w:p>
        </w:tc>
      </w:tr>
      <w:tr w:rsidR="00192B82" w:rsidRPr="00192B82" w14:paraId="128D6146" w14:textId="77777777" w:rsidTr="00514C09">
        <w:trPr>
          <w:trHeight w:val="441"/>
        </w:trPr>
        <w:tc>
          <w:tcPr>
            <w:tcW w:w="1703" w:type="dxa"/>
            <w:tcBorders>
              <w:top w:val="nil"/>
              <w:left w:val="nil"/>
              <w:bottom w:val="nil"/>
              <w:right w:val="nil"/>
            </w:tcBorders>
            <w:shd w:val="clear" w:color="000000" w:fill="FFFFFF"/>
            <w:noWrap/>
            <w:vAlign w:val="center"/>
            <w:hideMark/>
          </w:tcPr>
          <w:p w14:paraId="6ED53803"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(26,633)</w:t>
            </w:r>
          </w:p>
        </w:tc>
        <w:tc>
          <w:tcPr>
            <w:tcW w:w="1994" w:type="dxa"/>
            <w:tcBorders>
              <w:top w:val="nil"/>
              <w:left w:val="nil"/>
              <w:bottom w:val="nil"/>
              <w:right w:val="nil"/>
            </w:tcBorders>
            <w:shd w:val="clear" w:color="000000" w:fill="FFFFFF"/>
            <w:noWrap/>
            <w:vAlign w:val="center"/>
            <w:hideMark/>
          </w:tcPr>
          <w:p w14:paraId="04D2B1F8"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(33,160)</w:t>
            </w:r>
          </w:p>
        </w:tc>
        <w:tc>
          <w:tcPr>
            <w:tcW w:w="1967" w:type="dxa"/>
            <w:tcBorders>
              <w:top w:val="nil"/>
              <w:left w:val="nil"/>
              <w:bottom w:val="nil"/>
              <w:right w:val="nil"/>
            </w:tcBorders>
            <w:shd w:val="clear" w:color="000000" w:fill="FFFFFF"/>
            <w:noWrap/>
            <w:vAlign w:val="center"/>
            <w:hideMark/>
          </w:tcPr>
          <w:p w14:paraId="220239B5"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(59,793)</w:t>
            </w:r>
          </w:p>
        </w:tc>
        <w:tc>
          <w:tcPr>
            <w:tcW w:w="3420" w:type="dxa"/>
            <w:tcBorders>
              <w:top w:val="nil"/>
              <w:left w:val="nil"/>
              <w:bottom w:val="nil"/>
              <w:right w:val="nil"/>
            </w:tcBorders>
            <w:shd w:val="clear" w:color="000000" w:fill="FFFFFF"/>
            <w:vAlign w:val="center"/>
            <w:hideMark/>
          </w:tcPr>
          <w:p w14:paraId="4A6C9A96" w14:textId="77777777" w:rsidR="00192B82" w:rsidRPr="00192B82" w:rsidRDefault="00192B82" w:rsidP="00192B82">
            <w:pPr>
              <w:ind w:firstLineChars="100" w:firstLine="160"/>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Actuarial gains and losses - experience</w:t>
            </w:r>
          </w:p>
        </w:tc>
        <w:tc>
          <w:tcPr>
            <w:tcW w:w="1696" w:type="dxa"/>
            <w:tcBorders>
              <w:top w:val="nil"/>
              <w:left w:val="nil"/>
              <w:bottom w:val="nil"/>
              <w:right w:val="nil"/>
            </w:tcBorders>
            <w:shd w:val="clear" w:color="000000" w:fill="FFFFFF"/>
            <w:noWrap/>
            <w:vAlign w:val="center"/>
            <w:hideMark/>
          </w:tcPr>
          <w:p w14:paraId="4373516C"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(4,322)</w:t>
            </w:r>
          </w:p>
        </w:tc>
        <w:tc>
          <w:tcPr>
            <w:tcW w:w="1970" w:type="dxa"/>
            <w:tcBorders>
              <w:top w:val="nil"/>
              <w:left w:val="nil"/>
              <w:bottom w:val="nil"/>
              <w:right w:val="nil"/>
            </w:tcBorders>
            <w:shd w:val="clear" w:color="000000" w:fill="FFFFFF"/>
            <w:noWrap/>
            <w:vAlign w:val="center"/>
            <w:hideMark/>
          </w:tcPr>
          <w:p w14:paraId="3A076969"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(219,050)</w:t>
            </w:r>
          </w:p>
        </w:tc>
        <w:tc>
          <w:tcPr>
            <w:tcW w:w="1915" w:type="dxa"/>
            <w:tcBorders>
              <w:top w:val="nil"/>
              <w:left w:val="nil"/>
              <w:bottom w:val="nil"/>
              <w:right w:val="nil"/>
            </w:tcBorders>
            <w:shd w:val="clear" w:color="000000" w:fill="FFFFFF"/>
            <w:noWrap/>
            <w:vAlign w:val="center"/>
            <w:hideMark/>
          </w:tcPr>
          <w:p w14:paraId="4963BE6E"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(223,372)</w:t>
            </w:r>
          </w:p>
        </w:tc>
      </w:tr>
      <w:tr w:rsidR="00192B82" w:rsidRPr="00192B82" w14:paraId="0E2EBF69" w14:textId="77777777" w:rsidTr="00514C09">
        <w:trPr>
          <w:trHeight w:val="70"/>
        </w:trPr>
        <w:tc>
          <w:tcPr>
            <w:tcW w:w="1703" w:type="dxa"/>
            <w:tcBorders>
              <w:top w:val="nil"/>
              <w:left w:val="nil"/>
              <w:bottom w:val="nil"/>
              <w:right w:val="nil"/>
            </w:tcBorders>
            <w:shd w:val="clear" w:color="000000" w:fill="FFFFFF"/>
            <w:noWrap/>
            <w:vAlign w:val="center"/>
            <w:hideMark/>
          </w:tcPr>
          <w:p w14:paraId="54D96FB4"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1994" w:type="dxa"/>
            <w:tcBorders>
              <w:top w:val="nil"/>
              <w:left w:val="nil"/>
              <w:bottom w:val="nil"/>
              <w:right w:val="nil"/>
            </w:tcBorders>
            <w:shd w:val="clear" w:color="000000" w:fill="FFFFFF"/>
            <w:noWrap/>
            <w:vAlign w:val="center"/>
            <w:hideMark/>
          </w:tcPr>
          <w:p w14:paraId="349F2BDA"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1967" w:type="dxa"/>
            <w:tcBorders>
              <w:top w:val="nil"/>
              <w:left w:val="nil"/>
              <w:bottom w:val="nil"/>
              <w:right w:val="nil"/>
            </w:tcBorders>
            <w:shd w:val="clear" w:color="000000" w:fill="FFFFFF"/>
            <w:noWrap/>
            <w:vAlign w:val="center"/>
            <w:hideMark/>
          </w:tcPr>
          <w:p w14:paraId="59620D68"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3420" w:type="dxa"/>
            <w:tcBorders>
              <w:top w:val="nil"/>
              <w:left w:val="nil"/>
              <w:bottom w:val="nil"/>
              <w:right w:val="nil"/>
            </w:tcBorders>
            <w:shd w:val="clear" w:color="000000" w:fill="FFFFFF"/>
            <w:noWrap/>
            <w:vAlign w:val="center"/>
            <w:hideMark/>
          </w:tcPr>
          <w:p w14:paraId="21A92600" w14:textId="77777777" w:rsidR="00192B82" w:rsidRPr="00192B82" w:rsidRDefault="00192B82" w:rsidP="00192B82">
            <w:pPr>
              <w:ind w:firstLineChars="100" w:firstLine="160"/>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1696" w:type="dxa"/>
            <w:tcBorders>
              <w:top w:val="nil"/>
              <w:left w:val="nil"/>
              <w:bottom w:val="nil"/>
              <w:right w:val="nil"/>
            </w:tcBorders>
            <w:shd w:val="clear" w:color="000000" w:fill="FFFFFF"/>
            <w:noWrap/>
            <w:vAlign w:val="center"/>
            <w:hideMark/>
          </w:tcPr>
          <w:p w14:paraId="712391F5"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1970" w:type="dxa"/>
            <w:tcBorders>
              <w:top w:val="nil"/>
              <w:left w:val="nil"/>
              <w:bottom w:val="nil"/>
              <w:right w:val="nil"/>
            </w:tcBorders>
            <w:shd w:val="clear" w:color="000000" w:fill="FFFFFF"/>
            <w:noWrap/>
            <w:vAlign w:val="center"/>
            <w:hideMark/>
          </w:tcPr>
          <w:p w14:paraId="7CA35A89"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1915" w:type="dxa"/>
            <w:tcBorders>
              <w:top w:val="nil"/>
              <w:left w:val="nil"/>
              <w:bottom w:val="nil"/>
              <w:right w:val="nil"/>
            </w:tcBorders>
            <w:shd w:val="clear" w:color="000000" w:fill="FFFFFF"/>
            <w:noWrap/>
            <w:vAlign w:val="center"/>
            <w:hideMark/>
          </w:tcPr>
          <w:p w14:paraId="21D547C3"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r>
      <w:tr w:rsidR="00192B82" w:rsidRPr="00192B82" w14:paraId="71FF4350" w14:textId="77777777" w:rsidTr="00514C09">
        <w:trPr>
          <w:trHeight w:val="70"/>
        </w:trPr>
        <w:tc>
          <w:tcPr>
            <w:tcW w:w="1703" w:type="dxa"/>
            <w:tcBorders>
              <w:top w:val="nil"/>
              <w:left w:val="nil"/>
              <w:bottom w:val="nil"/>
              <w:right w:val="nil"/>
            </w:tcBorders>
            <w:shd w:val="clear" w:color="000000" w:fill="FFFFFF"/>
            <w:noWrap/>
            <w:vAlign w:val="center"/>
            <w:hideMark/>
          </w:tcPr>
          <w:p w14:paraId="3271E222"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(54,522)</w:t>
            </w:r>
          </w:p>
        </w:tc>
        <w:tc>
          <w:tcPr>
            <w:tcW w:w="1994" w:type="dxa"/>
            <w:tcBorders>
              <w:top w:val="nil"/>
              <w:left w:val="nil"/>
              <w:bottom w:val="nil"/>
              <w:right w:val="nil"/>
            </w:tcBorders>
            <w:shd w:val="clear" w:color="000000" w:fill="FFFFFF"/>
            <w:noWrap/>
            <w:vAlign w:val="center"/>
            <w:hideMark/>
          </w:tcPr>
          <w:p w14:paraId="55FCF4A9"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(61,100)</w:t>
            </w:r>
          </w:p>
        </w:tc>
        <w:tc>
          <w:tcPr>
            <w:tcW w:w="1967" w:type="dxa"/>
            <w:tcBorders>
              <w:top w:val="nil"/>
              <w:left w:val="nil"/>
              <w:bottom w:val="nil"/>
              <w:right w:val="nil"/>
            </w:tcBorders>
            <w:shd w:val="clear" w:color="000000" w:fill="FFFFFF"/>
            <w:noWrap/>
            <w:vAlign w:val="center"/>
            <w:hideMark/>
          </w:tcPr>
          <w:p w14:paraId="6442EE14"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(115,622)</w:t>
            </w:r>
          </w:p>
        </w:tc>
        <w:tc>
          <w:tcPr>
            <w:tcW w:w="3420" w:type="dxa"/>
            <w:tcBorders>
              <w:top w:val="nil"/>
              <w:left w:val="nil"/>
              <w:bottom w:val="nil"/>
              <w:right w:val="nil"/>
            </w:tcBorders>
            <w:shd w:val="clear" w:color="000000" w:fill="FFFFFF"/>
            <w:vAlign w:val="center"/>
            <w:hideMark/>
          </w:tcPr>
          <w:p w14:paraId="76B46AAD" w14:textId="77777777" w:rsidR="00192B82" w:rsidRPr="00192B82" w:rsidRDefault="00192B82" w:rsidP="00192B82">
            <w:pPr>
              <w:ind w:firstLineChars="100" w:firstLine="160"/>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Actuarial gains and losses -arising on changes in demographic assumptions</w:t>
            </w:r>
          </w:p>
        </w:tc>
        <w:tc>
          <w:tcPr>
            <w:tcW w:w="1696" w:type="dxa"/>
            <w:tcBorders>
              <w:top w:val="nil"/>
              <w:left w:val="nil"/>
              <w:bottom w:val="nil"/>
              <w:right w:val="nil"/>
            </w:tcBorders>
            <w:shd w:val="clear" w:color="000000" w:fill="FFFFFF"/>
            <w:noWrap/>
            <w:vAlign w:val="center"/>
            <w:hideMark/>
          </w:tcPr>
          <w:p w14:paraId="026D60E5"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7,087</w:t>
            </w:r>
          </w:p>
        </w:tc>
        <w:tc>
          <w:tcPr>
            <w:tcW w:w="1970" w:type="dxa"/>
            <w:tcBorders>
              <w:top w:val="nil"/>
              <w:left w:val="nil"/>
              <w:bottom w:val="nil"/>
              <w:right w:val="nil"/>
            </w:tcBorders>
            <w:shd w:val="clear" w:color="000000" w:fill="FFFFFF"/>
            <w:noWrap/>
            <w:vAlign w:val="center"/>
            <w:hideMark/>
          </w:tcPr>
          <w:p w14:paraId="392ACFFD"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0</w:t>
            </w:r>
          </w:p>
        </w:tc>
        <w:tc>
          <w:tcPr>
            <w:tcW w:w="1915" w:type="dxa"/>
            <w:tcBorders>
              <w:top w:val="nil"/>
              <w:left w:val="nil"/>
              <w:bottom w:val="nil"/>
              <w:right w:val="nil"/>
            </w:tcBorders>
            <w:shd w:val="clear" w:color="000000" w:fill="FFFFFF"/>
            <w:noWrap/>
            <w:vAlign w:val="center"/>
            <w:hideMark/>
          </w:tcPr>
          <w:p w14:paraId="3A79E97D"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7,087</w:t>
            </w:r>
          </w:p>
        </w:tc>
      </w:tr>
      <w:tr w:rsidR="00192B82" w:rsidRPr="00192B82" w14:paraId="77F1C45D" w14:textId="77777777" w:rsidTr="00514C09">
        <w:trPr>
          <w:trHeight w:val="70"/>
        </w:trPr>
        <w:tc>
          <w:tcPr>
            <w:tcW w:w="1703" w:type="dxa"/>
            <w:tcBorders>
              <w:top w:val="nil"/>
              <w:left w:val="nil"/>
              <w:bottom w:val="nil"/>
              <w:right w:val="nil"/>
            </w:tcBorders>
            <w:shd w:val="clear" w:color="000000" w:fill="FFFFFF"/>
            <w:noWrap/>
            <w:vAlign w:val="center"/>
            <w:hideMark/>
          </w:tcPr>
          <w:p w14:paraId="68C64B45"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1994" w:type="dxa"/>
            <w:tcBorders>
              <w:top w:val="nil"/>
              <w:left w:val="nil"/>
              <w:bottom w:val="nil"/>
              <w:right w:val="nil"/>
            </w:tcBorders>
            <w:shd w:val="clear" w:color="000000" w:fill="FFFFFF"/>
            <w:noWrap/>
            <w:vAlign w:val="center"/>
            <w:hideMark/>
          </w:tcPr>
          <w:p w14:paraId="1A4295F9"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1967" w:type="dxa"/>
            <w:tcBorders>
              <w:top w:val="nil"/>
              <w:left w:val="nil"/>
              <w:bottom w:val="nil"/>
              <w:right w:val="nil"/>
            </w:tcBorders>
            <w:shd w:val="clear" w:color="000000" w:fill="FFFFFF"/>
            <w:noWrap/>
            <w:vAlign w:val="center"/>
            <w:hideMark/>
          </w:tcPr>
          <w:p w14:paraId="07802742"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3420" w:type="dxa"/>
            <w:tcBorders>
              <w:top w:val="nil"/>
              <w:left w:val="nil"/>
              <w:bottom w:val="nil"/>
              <w:right w:val="nil"/>
            </w:tcBorders>
            <w:shd w:val="clear" w:color="000000" w:fill="FFFFFF"/>
            <w:vAlign w:val="center"/>
            <w:hideMark/>
          </w:tcPr>
          <w:p w14:paraId="5A6ED27C" w14:textId="77777777" w:rsidR="00192B82" w:rsidRPr="00192B82" w:rsidRDefault="00192B82" w:rsidP="00192B82">
            <w:pPr>
              <w:ind w:firstLineChars="100" w:firstLine="160"/>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1696" w:type="dxa"/>
            <w:tcBorders>
              <w:top w:val="nil"/>
              <w:left w:val="nil"/>
              <w:bottom w:val="nil"/>
              <w:right w:val="nil"/>
            </w:tcBorders>
            <w:shd w:val="clear" w:color="000000" w:fill="FFFFFF"/>
            <w:noWrap/>
            <w:vAlign w:val="center"/>
            <w:hideMark/>
          </w:tcPr>
          <w:p w14:paraId="688DD222"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1970" w:type="dxa"/>
            <w:tcBorders>
              <w:top w:val="nil"/>
              <w:left w:val="nil"/>
              <w:bottom w:val="nil"/>
              <w:right w:val="nil"/>
            </w:tcBorders>
            <w:shd w:val="clear" w:color="000000" w:fill="FFFFFF"/>
            <w:noWrap/>
            <w:vAlign w:val="center"/>
            <w:hideMark/>
          </w:tcPr>
          <w:p w14:paraId="23C3628E"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1915" w:type="dxa"/>
            <w:tcBorders>
              <w:top w:val="nil"/>
              <w:left w:val="nil"/>
              <w:bottom w:val="nil"/>
              <w:right w:val="nil"/>
            </w:tcBorders>
            <w:shd w:val="clear" w:color="000000" w:fill="FFFFFF"/>
            <w:noWrap/>
            <w:vAlign w:val="center"/>
            <w:hideMark/>
          </w:tcPr>
          <w:p w14:paraId="19A8B343"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r>
      <w:tr w:rsidR="00192B82" w:rsidRPr="00192B82" w14:paraId="3972EC16" w14:textId="77777777" w:rsidTr="00514C09">
        <w:trPr>
          <w:trHeight w:val="70"/>
        </w:trPr>
        <w:tc>
          <w:tcPr>
            <w:tcW w:w="1703" w:type="dxa"/>
            <w:tcBorders>
              <w:top w:val="nil"/>
              <w:left w:val="nil"/>
              <w:bottom w:val="nil"/>
              <w:right w:val="nil"/>
            </w:tcBorders>
            <w:shd w:val="clear" w:color="000000" w:fill="FFFFFF"/>
            <w:noWrap/>
            <w:vAlign w:val="center"/>
            <w:hideMark/>
          </w:tcPr>
          <w:p w14:paraId="11071860"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(11,095)</w:t>
            </w:r>
          </w:p>
        </w:tc>
        <w:tc>
          <w:tcPr>
            <w:tcW w:w="1994" w:type="dxa"/>
            <w:tcBorders>
              <w:top w:val="nil"/>
              <w:left w:val="nil"/>
              <w:bottom w:val="nil"/>
              <w:right w:val="nil"/>
            </w:tcBorders>
            <w:shd w:val="clear" w:color="000000" w:fill="FFFFFF"/>
            <w:noWrap/>
            <w:vAlign w:val="center"/>
            <w:hideMark/>
          </w:tcPr>
          <w:p w14:paraId="583EE6A0"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(46,900)</w:t>
            </w:r>
          </w:p>
        </w:tc>
        <w:tc>
          <w:tcPr>
            <w:tcW w:w="1967" w:type="dxa"/>
            <w:tcBorders>
              <w:top w:val="nil"/>
              <w:left w:val="nil"/>
              <w:bottom w:val="nil"/>
              <w:right w:val="nil"/>
            </w:tcBorders>
            <w:shd w:val="clear" w:color="000000" w:fill="FFFFFF"/>
            <w:noWrap/>
            <w:vAlign w:val="center"/>
            <w:hideMark/>
          </w:tcPr>
          <w:p w14:paraId="00227A78"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(57,995)</w:t>
            </w:r>
          </w:p>
        </w:tc>
        <w:tc>
          <w:tcPr>
            <w:tcW w:w="3420" w:type="dxa"/>
            <w:tcBorders>
              <w:top w:val="nil"/>
              <w:left w:val="nil"/>
              <w:bottom w:val="nil"/>
              <w:right w:val="nil"/>
            </w:tcBorders>
            <w:shd w:val="clear" w:color="000000" w:fill="FFFFFF"/>
            <w:vAlign w:val="center"/>
            <w:hideMark/>
          </w:tcPr>
          <w:p w14:paraId="45C1081D" w14:textId="77777777" w:rsidR="00192B82" w:rsidRPr="00192B82" w:rsidRDefault="00192B82" w:rsidP="00192B82">
            <w:pPr>
              <w:ind w:firstLineChars="100" w:firstLine="160"/>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Actuarial gains and losses -arising on changes in financial assumptions</w:t>
            </w:r>
          </w:p>
        </w:tc>
        <w:tc>
          <w:tcPr>
            <w:tcW w:w="1696" w:type="dxa"/>
            <w:tcBorders>
              <w:top w:val="nil"/>
              <w:left w:val="nil"/>
              <w:bottom w:val="nil"/>
              <w:right w:val="nil"/>
            </w:tcBorders>
            <w:shd w:val="clear" w:color="000000" w:fill="FFFFFF"/>
            <w:noWrap/>
            <w:vAlign w:val="center"/>
            <w:hideMark/>
          </w:tcPr>
          <w:p w14:paraId="1961150F"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146,210</w:t>
            </w:r>
          </w:p>
        </w:tc>
        <w:tc>
          <w:tcPr>
            <w:tcW w:w="1970" w:type="dxa"/>
            <w:tcBorders>
              <w:top w:val="nil"/>
              <w:left w:val="nil"/>
              <w:bottom w:val="nil"/>
              <w:right w:val="nil"/>
            </w:tcBorders>
            <w:shd w:val="clear" w:color="000000" w:fill="FFFFFF"/>
            <w:noWrap/>
            <w:vAlign w:val="center"/>
            <w:hideMark/>
          </w:tcPr>
          <w:p w14:paraId="3C719E1E"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222,190</w:t>
            </w:r>
          </w:p>
        </w:tc>
        <w:tc>
          <w:tcPr>
            <w:tcW w:w="1915" w:type="dxa"/>
            <w:tcBorders>
              <w:top w:val="nil"/>
              <w:left w:val="nil"/>
              <w:bottom w:val="nil"/>
              <w:right w:val="nil"/>
            </w:tcBorders>
            <w:shd w:val="clear" w:color="000000" w:fill="FFFFFF"/>
            <w:noWrap/>
            <w:vAlign w:val="center"/>
            <w:hideMark/>
          </w:tcPr>
          <w:p w14:paraId="6DCBAB2E"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368,400</w:t>
            </w:r>
          </w:p>
        </w:tc>
      </w:tr>
      <w:tr w:rsidR="00192B82" w:rsidRPr="00192B82" w14:paraId="42F84DB1" w14:textId="77777777" w:rsidTr="00514C09">
        <w:trPr>
          <w:trHeight w:val="70"/>
        </w:trPr>
        <w:tc>
          <w:tcPr>
            <w:tcW w:w="1703" w:type="dxa"/>
            <w:tcBorders>
              <w:top w:val="nil"/>
              <w:left w:val="nil"/>
              <w:bottom w:val="nil"/>
              <w:right w:val="nil"/>
            </w:tcBorders>
            <w:shd w:val="clear" w:color="000000" w:fill="FFFFFF"/>
            <w:noWrap/>
            <w:vAlign w:val="center"/>
            <w:hideMark/>
          </w:tcPr>
          <w:p w14:paraId="08D7E2E2"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1994" w:type="dxa"/>
            <w:tcBorders>
              <w:top w:val="nil"/>
              <w:left w:val="nil"/>
              <w:bottom w:val="nil"/>
              <w:right w:val="nil"/>
            </w:tcBorders>
            <w:shd w:val="clear" w:color="000000" w:fill="FFFFFF"/>
            <w:noWrap/>
            <w:vAlign w:val="center"/>
            <w:hideMark/>
          </w:tcPr>
          <w:p w14:paraId="5D27B83D"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1967" w:type="dxa"/>
            <w:tcBorders>
              <w:top w:val="nil"/>
              <w:left w:val="nil"/>
              <w:bottom w:val="nil"/>
              <w:right w:val="nil"/>
            </w:tcBorders>
            <w:shd w:val="clear" w:color="000000" w:fill="FFFFFF"/>
            <w:noWrap/>
            <w:vAlign w:val="center"/>
            <w:hideMark/>
          </w:tcPr>
          <w:p w14:paraId="57D3E895"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3420" w:type="dxa"/>
            <w:tcBorders>
              <w:top w:val="nil"/>
              <w:left w:val="nil"/>
              <w:bottom w:val="nil"/>
              <w:right w:val="nil"/>
            </w:tcBorders>
            <w:shd w:val="clear" w:color="000000" w:fill="FFFFFF"/>
            <w:noWrap/>
            <w:vAlign w:val="center"/>
            <w:hideMark/>
          </w:tcPr>
          <w:p w14:paraId="778E6F99" w14:textId="77777777" w:rsidR="00192B82" w:rsidRPr="00192B82" w:rsidRDefault="00192B82" w:rsidP="00192B82">
            <w:pPr>
              <w:ind w:firstLineChars="100" w:firstLine="160"/>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1696" w:type="dxa"/>
            <w:tcBorders>
              <w:top w:val="nil"/>
              <w:left w:val="nil"/>
              <w:bottom w:val="nil"/>
              <w:right w:val="nil"/>
            </w:tcBorders>
            <w:shd w:val="clear" w:color="000000" w:fill="FFFFFF"/>
            <w:noWrap/>
            <w:vAlign w:val="center"/>
            <w:hideMark/>
          </w:tcPr>
          <w:p w14:paraId="2E5C27C2"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1970" w:type="dxa"/>
            <w:tcBorders>
              <w:top w:val="nil"/>
              <w:left w:val="nil"/>
              <w:bottom w:val="nil"/>
              <w:right w:val="nil"/>
            </w:tcBorders>
            <w:shd w:val="clear" w:color="000000" w:fill="FFFFFF"/>
            <w:noWrap/>
            <w:vAlign w:val="center"/>
            <w:hideMark/>
          </w:tcPr>
          <w:p w14:paraId="206E1BF7"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1915" w:type="dxa"/>
            <w:tcBorders>
              <w:top w:val="nil"/>
              <w:left w:val="nil"/>
              <w:bottom w:val="nil"/>
              <w:right w:val="nil"/>
            </w:tcBorders>
            <w:shd w:val="clear" w:color="000000" w:fill="FFFFFF"/>
            <w:noWrap/>
            <w:vAlign w:val="center"/>
            <w:hideMark/>
          </w:tcPr>
          <w:p w14:paraId="3B338814"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r>
      <w:tr w:rsidR="00192B82" w:rsidRPr="00192B82" w14:paraId="67744C70" w14:textId="77777777" w:rsidTr="00514C09">
        <w:trPr>
          <w:trHeight w:val="60"/>
        </w:trPr>
        <w:tc>
          <w:tcPr>
            <w:tcW w:w="1703" w:type="dxa"/>
            <w:tcBorders>
              <w:top w:val="single" w:sz="4" w:space="0" w:color="auto"/>
              <w:left w:val="nil"/>
              <w:bottom w:val="single" w:sz="8" w:space="0" w:color="auto"/>
              <w:right w:val="nil"/>
            </w:tcBorders>
            <w:shd w:val="clear" w:color="000000" w:fill="FFFFFF"/>
            <w:noWrap/>
            <w:vAlign w:val="center"/>
            <w:hideMark/>
          </w:tcPr>
          <w:p w14:paraId="4AC964C1" w14:textId="77777777" w:rsidR="00192B82" w:rsidRPr="00192B82" w:rsidRDefault="00192B82" w:rsidP="00192B82">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(50,687)</w:t>
            </w:r>
          </w:p>
        </w:tc>
        <w:tc>
          <w:tcPr>
            <w:tcW w:w="1994" w:type="dxa"/>
            <w:tcBorders>
              <w:top w:val="single" w:sz="4" w:space="0" w:color="auto"/>
              <w:left w:val="nil"/>
              <w:bottom w:val="single" w:sz="8" w:space="0" w:color="auto"/>
              <w:right w:val="nil"/>
            </w:tcBorders>
            <w:shd w:val="clear" w:color="000000" w:fill="FFFFFF"/>
            <w:noWrap/>
            <w:vAlign w:val="center"/>
            <w:hideMark/>
          </w:tcPr>
          <w:p w14:paraId="2B2B17B5" w14:textId="77777777" w:rsidR="00192B82" w:rsidRPr="00192B82" w:rsidRDefault="00192B82" w:rsidP="00192B82">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(141,160)</w:t>
            </w:r>
          </w:p>
        </w:tc>
        <w:tc>
          <w:tcPr>
            <w:tcW w:w="1967" w:type="dxa"/>
            <w:tcBorders>
              <w:top w:val="single" w:sz="4" w:space="0" w:color="auto"/>
              <w:left w:val="nil"/>
              <w:bottom w:val="single" w:sz="8" w:space="0" w:color="auto"/>
              <w:right w:val="nil"/>
            </w:tcBorders>
            <w:shd w:val="clear" w:color="000000" w:fill="FFFFFF"/>
            <w:noWrap/>
            <w:vAlign w:val="center"/>
            <w:hideMark/>
          </w:tcPr>
          <w:p w14:paraId="2F393B32" w14:textId="77777777" w:rsidR="00192B82" w:rsidRPr="00192B82" w:rsidRDefault="00192B82" w:rsidP="00192B82">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(191,847)</w:t>
            </w:r>
          </w:p>
        </w:tc>
        <w:tc>
          <w:tcPr>
            <w:tcW w:w="3420" w:type="dxa"/>
            <w:tcBorders>
              <w:top w:val="single" w:sz="4" w:space="0" w:color="auto"/>
              <w:left w:val="nil"/>
              <w:bottom w:val="single" w:sz="8" w:space="0" w:color="auto"/>
              <w:right w:val="nil"/>
            </w:tcBorders>
            <w:shd w:val="clear" w:color="000000" w:fill="FFFFFF"/>
            <w:vAlign w:val="center"/>
            <w:hideMark/>
          </w:tcPr>
          <w:p w14:paraId="41A0A8BB" w14:textId="77777777" w:rsidR="00192B82" w:rsidRPr="00192B82" w:rsidRDefault="00192B82" w:rsidP="00192B82">
            <w:pPr>
              <w:ind w:firstLineChars="100" w:firstLine="161"/>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Total charged to Surplus and Deficit on Provision of Services</w:t>
            </w:r>
          </w:p>
        </w:tc>
        <w:tc>
          <w:tcPr>
            <w:tcW w:w="1696" w:type="dxa"/>
            <w:tcBorders>
              <w:top w:val="single" w:sz="4" w:space="0" w:color="auto"/>
              <w:left w:val="nil"/>
              <w:bottom w:val="single" w:sz="8" w:space="0" w:color="auto"/>
              <w:right w:val="nil"/>
            </w:tcBorders>
            <w:shd w:val="clear" w:color="000000" w:fill="FFFFFF"/>
            <w:noWrap/>
            <w:vAlign w:val="center"/>
            <w:hideMark/>
          </w:tcPr>
          <w:p w14:paraId="4B75F748" w14:textId="77777777" w:rsidR="00192B82" w:rsidRPr="00192B82" w:rsidRDefault="00192B82" w:rsidP="00192B82">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76,720</w:t>
            </w:r>
          </w:p>
        </w:tc>
        <w:tc>
          <w:tcPr>
            <w:tcW w:w="1970" w:type="dxa"/>
            <w:tcBorders>
              <w:top w:val="single" w:sz="4" w:space="0" w:color="auto"/>
              <w:left w:val="nil"/>
              <w:bottom w:val="single" w:sz="8" w:space="0" w:color="auto"/>
              <w:right w:val="nil"/>
            </w:tcBorders>
            <w:shd w:val="clear" w:color="000000" w:fill="FFFFFF"/>
            <w:noWrap/>
            <w:vAlign w:val="center"/>
            <w:hideMark/>
          </w:tcPr>
          <w:p w14:paraId="079C6DD6" w14:textId="77777777" w:rsidR="00192B82" w:rsidRPr="00192B82" w:rsidRDefault="00192B82" w:rsidP="00192B82">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3,140</w:t>
            </w:r>
          </w:p>
        </w:tc>
        <w:tc>
          <w:tcPr>
            <w:tcW w:w="1915" w:type="dxa"/>
            <w:tcBorders>
              <w:top w:val="single" w:sz="4" w:space="0" w:color="auto"/>
              <w:left w:val="nil"/>
              <w:bottom w:val="single" w:sz="8" w:space="0" w:color="auto"/>
              <w:right w:val="nil"/>
            </w:tcBorders>
            <w:shd w:val="clear" w:color="000000" w:fill="FFFFFF"/>
            <w:noWrap/>
            <w:vAlign w:val="center"/>
            <w:hideMark/>
          </w:tcPr>
          <w:p w14:paraId="172E54B4" w14:textId="77777777" w:rsidR="00192B82" w:rsidRPr="00192B82" w:rsidRDefault="00192B82" w:rsidP="00192B82">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79,860</w:t>
            </w:r>
          </w:p>
        </w:tc>
      </w:tr>
      <w:tr w:rsidR="00192B82" w:rsidRPr="00192B82" w14:paraId="3477688D" w14:textId="77777777" w:rsidTr="00514C09">
        <w:trPr>
          <w:trHeight w:val="50"/>
        </w:trPr>
        <w:tc>
          <w:tcPr>
            <w:tcW w:w="1703" w:type="dxa"/>
            <w:tcBorders>
              <w:top w:val="nil"/>
              <w:left w:val="nil"/>
              <w:bottom w:val="nil"/>
              <w:right w:val="nil"/>
            </w:tcBorders>
            <w:shd w:val="clear" w:color="000000" w:fill="FFFFFF"/>
            <w:noWrap/>
            <w:vAlign w:val="bottom"/>
            <w:hideMark/>
          </w:tcPr>
          <w:p w14:paraId="73A556BA" w14:textId="77777777" w:rsidR="00192B82" w:rsidRPr="00514C09" w:rsidRDefault="00192B82" w:rsidP="00192B82">
            <w:pPr>
              <w:rPr>
                <w:rFonts w:ascii="Calibri" w:eastAsia="Times New Roman" w:hAnsi="Calibri" w:cs="Calibri"/>
                <w:color w:val="000000"/>
                <w:sz w:val="4"/>
                <w:szCs w:val="4"/>
                <w:lang w:val="en-GB" w:eastAsia="en-GB"/>
              </w:rPr>
            </w:pPr>
            <w:r w:rsidRPr="00514C09">
              <w:rPr>
                <w:rFonts w:ascii="Calibri" w:eastAsia="Times New Roman" w:hAnsi="Calibri" w:cs="Calibri"/>
                <w:color w:val="000000"/>
                <w:sz w:val="4"/>
                <w:szCs w:val="4"/>
                <w:lang w:val="en-GB" w:eastAsia="en-GB"/>
              </w:rPr>
              <w:t> </w:t>
            </w:r>
          </w:p>
        </w:tc>
        <w:tc>
          <w:tcPr>
            <w:tcW w:w="1994" w:type="dxa"/>
            <w:tcBorders>
              <w:top w:val="nil"/>
              <w:left w:val="nil"/>
              <w:bottom w:val="nil"/>
              <w:right w:val="nil"/>
            </w:tcBorders>
            <w:shd w:val="clear" w:color="000000" w:fill="FFFFFF"/>
            <w:noWrap/>
            <w:vAlign w:val="bottom"/>
            <w:hideMark/>
          </w:tcPr>
          <w:p w14:paraId="28FD08F2" w14:textId="77777777" w:rsidR="00192B82" w:rsidRPr="00514C09" w:rsidRDefault="00192B82" w:rsidP="00192B82">
            <w:pPr>
              <w:rPr>
                <w:rFonts w:ascii="Calibri" w:eastAsia="Times New Roman" w:hAnsi="Calibri" w:cs="Calibri"/>
                <w:color w:val="000000"/>
                <w:sz w:val="4"/>
                <w:szCs w:val="4"/>
                <w:lang w:val="en-GB" w:eastAsia="en-GB"/>
              </w:rPr>
            </w:pPr>
            <w:r w:rsidRPr="00514C09">
              <w:rPr>
                <w:rFonts w:ascii="Calibri" w:eastAsia="Times New Roman" w:hAnsi="Calibri" w:cs="Calibri"/>
                <w:color w:val="000000"/>
                <w:sz w:val="4"/>
                <w:szCs w:val="4"/>
                <w:lang w:val="en-GB" w:eastAsia="en-GB"/>
              </w:rPr>
              <w:t> </w:t>
            </w:r>
          </w:p>
        </w:tc>
        <w:tc>
          <w:tcPr>
            <w:tcW w:w="1967" w:type="dxa"/>
            <w:tcBorders>
              <w:top w:val="nil"/>
              <w:left w:val="nil"/>
              <w:bottom w:val="nil"/>
              <w:right w:val="nil"/>
            </w:tcBorders>
            <w:shd w:val="clear" w:color="000000" w:fill="FFFFFF"/>
            <w:noWrap/>
            <w:vAlign w:val="bottom"/>
            <w:hideMark/>
          </w:tcPr>
          <w:p w14:paraId="0E4CEAA2" w14:textId="77777777" w:rsidR="00192B82" w:rsidRPr="00514C09" w:rsidRDefault="00192B82" w:rsidP="00192B82">
            <w:pPr>
              <w:rPr>
                <w:rFonts w:ascii="Calibri" w:eastAsia="Times New Roman" w:hAnsi="Calibri" w:cs="Calibri"/>
                <w:color w:val="000000"/>
                <w:sz w:val="4"/>
                <w:szCs w:val="4"/>
                <w:lang w:val="en-GB" w:eastAsia="en-GB"/>
              </w:rPr>
            </w:pPr>
            <w:r w:rsidRPr="00514C09">
              <w:rPr>
                <w:rFonts w:ascii="Calibri" w:eastAsia="Times New Roman" w:hAnsi="Calibri" w:cs="Calibri"/>
                <w:color w:val="000000"/>
                <w:sz w:val="4"/>
                <w:szCs w:val="4"/>
                <w:lang w:val="en-GB" w:eastAsia="en-GB"/>
              </w:rPr>
              <w:t> </w:t>
            </w:r>
          </w:p>
        </w:tc>
        <w:tc>
          <w:tcPr>
            <w:tcW w:w="3420" w:type="dxa"/>
            <w:tcBorders>
              <w:top w:val="nil"/>
              <w:left w:val="nil"/>
              <w:bottom w:val="nil"/>
              <w:right w:val="nil"/>
            </w:tcBorders>
            <w:shd w:val="clear" w:color="000000" w:fill="FFFFFF"/>
            <w:noWrap/>
            <w:vAlign w:val="bottom"/>
            <w:hideMark/>
          </w:tcPr>
          <w:p w14:paraId="37D1FD9A" w14:textId="77777777" w:rsidR="00192B82" w:rsidRPr="00514C09" w:rsidRDefault="00192B82" w:rsidP="00192B82">
            <w:pPr>
              <w:rPr>
                <w:rFonts w:ascii="Calibri" w:eastAsia="Times New Roman" w:hAnsi="Calibri" w:cs="Calibri"/>
                <w:color w:val="000000"/>
                <w:sz w:val="4"/>
                <w:szCs w:val="4"/>
                <w:lang w:val="en-GB" w:eastAsia="en-GB"/>
              </w:rPr>
            </w:pPr>
            <w:r w:rsidRPr="00514C09">
              <w:rPr>
                <w:rFonts w:ascii="Calibri" w:eastAsia="Times New Roman" w:hAnsi="Calibri" w:cs="Calibri"/>
                <w:color w:val="000000"/>
                <w:sz w:val="4"/>
                <w:szCs w:val="4"/>
                <w:lang w:val="en-GB" w:eastAsia="en-GB"/>
              </w:rPr>
              <w:t> </w:t>
            </w:r>
          </w:p>
        </w:tc>
        <w:tc>
          <w:tcPr>
            <w:tcW w:w="1696" w:type="dxa"/>
            <w:tcBorders>
              <w:top w:val="nil"/>
              <w:left w:val="nil"/>
              <w:bottom w:val="nil"/>
              <w:right w:val="nil"/>
            </w:tcBorders>
            <w:shd w:val="clear" w:color="000000" w:fill="FFFFFF"/>
            <w:noWrap/>
            <w:vAlign w:val="bottom"/>
            <w:hideMark/>
          </w:tcPr>
          <w:p w14:paraId="0DFAD1FE" w14:textId="77777777" w:rsidR="00192B82" w:rsidRPr="00514C09" w:rsidRDefault="00192B82" w:rsidP="00192B82">
            <w:pPr>
              <w:rPr>
                <w:rFonts w:ascii="Calibri" w:eastAsia="Times New Roman" w:hAnsi="Calibri" w:cs="Calibri"/>
                <w:color w:val="000000"/>
                <w:sz w:val="4"/>
                <w:szCs w:val="4"/>
                <w:lang w:val="en-GB" w:eastAsia="en-GB"/>
              </w:rPr>
            </w:pPr>
            <w:r w:rsidRPr="00514C09">
              <w:rPr>
                <w:rFonts w:ascii="Calibri" w:eastAsia="Times New Roman" w:hAnsi="Calibri" w:cs="Calibri"/>
                <w:color w:val="000000"/>
                <w:sz w:val="4"/>
                <w:szCs w:val="4"/>
                <w:lang w:val="en-GB" w:eastAsia="en-GB"/>
              </w:rPr>
              <w:t> </w:t>
            </w:r>
          </w:p>
        </w:tc>
        <w:tc>
          <w:tcPr>
            <w:tcW w:w="1970" w:type="dxa"/>
            <w:tcBorders>
              <w:top w:val="nil"/>
              <w:left w:val="nil"/>
              <w:bottom w:val="nil"/>
              <w:right w:val="nil"/>
            </w:tcBorders>
            <w:shd w:val="clear" w:color="000000" w:fill="FFFFFF"/>
            <w:noWrap/>
            <w:vAlign w:val="bottom"/>
            <w:hideMark/>
          </w:tcPr>
          <w:p w14:paraId="6A56B6F7" w14:textId="77777777" w:rsidR="00192B82" w:rsidRPr="00514C09" w:rsidRDefault="00192B82" w:rsidP="00192B82">
            <w:pPr>
              <w:rPr>
                <w:rFonts w:ascii="Calibri" w:eastAsia="Times New Roman" w:hAnsi="Calibri" w:cs="Calibri"/>
                <w:color w:val="000000"/>
                <w:sz w:val="4"/>
                <w:szCs w:val="4"/>
                <w:lang w:val="en-GB" w:eastAsia="en-GB"/>
              </w:rPr>
            </w:pPr>
            <w:r w:rsidRPr="00514C09">
              <w:rPr>
                <w:rFonts w:ascii="Calibri" w:eastAsia="Times New Roman" w:hAnsi="Calibri" w:cs="Calibri"/>
                <w:color w:val="000000"/>
                <w:sz w:val="4"/>
                <w:szCs w:val="4"/>
                <w:lang w:val="en-GB" w:eastAsia="en-GB"/>
              </w:rPr>
              <w:t> </w:t>
            </w:r>
          </w:p>
        </w:tc>
        <w:tc>
          <w:tcPr>
            <w:tcW w:w="1915" w:type="dxa"/>
            <w:tcBorders>
              <w:top w:val="nil"/>
              <w:left w:val="nil"/>
              <w:bottom w:val="nil"/>
              <w:right w:val="nil"/>
            </w:tcBorders>
            <w:shd w:val="clear" w:color="000000" w:fill="FFFFFF"/>
            <w:noWrap/>
            <w:vAlign w:val="bottom"/>
            <w:hideMark/>
          </w:tcPr>
          <w:p w14:paraId="1BB61CB1" w14:textId="77777777" w:rsidR="00192B82" w:rsidRPr="00514C09" w:rsidRDefault="00192B82" w:rsidP="00192B82">
            <w:pPr>
              <w:rPr>
                <w:rFonts w:ascii="Calibri" w:eastAsia="Times New Roman" w:hAnsi="Calibri" w:cs="Calibri"/>
                <w:color w:val="000000"/>
                <w:sz w:val="4"/>
                <w:szCs w:val="4"/>
                <w:lang w:val="en-GB" w:eastAsia="en-GB"/>
              </w:rPr>
            </w:pPr>
            <w:r w:rsidRPr="00514C09">
              <w:rPr>
                <w:rFonts w:ascii="Calibri" w:eastAsia="Times New Roman" w:hAnsi="Calibri" w:cs="Calibri"/>
                <w:color w:val="000000"/>
                <w:sz w:val="4"/>
                <w:szCs w:val="4"/>
                <w:lang w:val="en-GB" w:eastAsia="en-GB"/>
              </w:rPr>
              <w:t> </w:t>
            </w:r>
          </w:p>
        </w:tc>
      </w:tr>
      <w:tr w:rsidR="00192B82" w:rsidRPr="00192B82" w14:paraId="323EBC9E" w14:textId="77777777" w:rsidTr="00514C09">
        <w:trPr>
          <w:trHeight w:val="60"/>
        </w:trPr>
        <w:tc>
          <w:tcPr>
            <w:tcW w:w="1703" w:type="dxa"/>
            <w:tcBorders>
              <w:top w:val="single" w:sz="4" w:space="0" w:color="auto"/>
              <w:left w:val="nil"/>
              <w:bottom w:val="single" w:sz="8" w:space="0" w:color="auto"/>
              <w:right w:val="nil"/>
            </w:tcBorders>
            <w:shd w:val="clear" w:color="000000" w:fill="FFFFFF"/>
            <w:noWrap/>
            <w:vAlign w:val="center"/>
            <w:hideMark/>
          </w:tcPr>
          <w:p w14:paraId="63F2B02E" w14:textId="77777777" w:rsidR="00192B82" w:rsidRPr="00192B82" w:rsidRDefault="00192B82" w:rsidP="00192B82">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(27,177)</w:t>
            </w:r>
          </w:p>
        </w:tc>
        <w:tc>
          <w:tcPr>
            <w:tcW w:w="1994" w:type="dxa"/>
            <w:tcBorders>
              <w:top w:val="single" w:sz="4" w:space="0" w:color="auto"/>
              <w:left w:val="nil"/>
              <w:bottom w:val="single" w:sz="8" w:space="0" w:color="auto"/>
              <w:right w:val="nil"/>
            </w:tcBorders>
            <w:shd w:val="clear" w:color="000000" w:fill="FFFFFF"/>
            <w:noWrap/>
            <w:vAlign w:val="center"/>
            <w:hideMark/>
          </w:tcPr>
          <w:p w14:paraId="705DAF12" w14:textId="77777777" w:rsidR="00192B82" w:rsidRPr="00192B82" w:rsidRDefault="00192B82" w:rsidP="00192B82">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(51,490)</w:t>
            </w:r>
          </w:p>
        </w:tc>
        <w:tc>
          <w:tcPr>
            <w:tcW w:w="1967" w:type="dxa"/>
            <w:tcBorders>
              <w:top w:val="single" w:sz="4" w:space="0" w:color="auto"/>
              <w:left w:val="nil"/>
              <w:bottom w:val="single" w:sz="8" w:space="0" w:color="auto"/>
              <w:right w:val="nil"/>
            </w:tcBorders>
            <w:shd w:val="clear" w:color="000000" w:fill="FFFFFF"/>
            <w:noWrap/>
            <w:vAlign w:val="center"/>
            <w:hideMark/>
          </w:tcPr>
          <w:p w14:paraId="551247FD" w14:textId="77777777" w:rsidR="00192B82" w:rsidRPr="00192B82" w:rsidRDefault="00192B82" w:rsidP="00192B82">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(78,667)</w:t>
            </w:r>
          </w:p>
        </w:tc>
        <w:tc>
          <w:tcPr>
            <w:tcW w:w="3420" w:type="dxa"/>
            <w:tcBorders>
              <w:top w:val="single" w:sz="4" w:space="0" w:color="auto"/>
              <w:left w:val="nil"/>
              <w:bottom w:val="single" w:sz="8" w:space="0" w:color="auto"/>
              <w:right w:val="nil"/>
            </w:tcBorders>
            <w:shd w:val="clear" w:color="000000" w:fill="FFFFFF"/>
            <w:vAlign w:val="center"/>
            <w:hideMark/>
          </w:tcPr>
          <w:p w14:paraId="396097E4" w14:textId="38FC3C61" w:rsidR="00192B82" w:rsidRPr="00192B82" w:rsidRDefault="00192B82" w:rsidP="00514C09">
            <w:pPr>
              <w:ind w:firstLineChars="100" w:firstLine="161"/>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 xml:space="preserve">Total charged to the </w:t>
            </w:r>
            <w:r w:rsidR="00514C09">
              <w:rPr>
                <w:rFonts w:ascii="Verdana" w:eastAsia="Times New Roman" w:hAnsi="Verdana" w:cs="Calibri"/>
                <w:b/>
                <w:bCs/>
                <w:color w:val="000000"/>
                <w:sz w:val="16"/>
                <w:szCs w:val="16"/>
                <w:lang w:val="en-GB" w:eastAsia="en-GB"/>
              </w:rPr>
              <w:t>CIES</w:t>
            </w:r>
          </w:p>
        </w:tc>
        <w:tc>
          <w:tcPr>
            <w:tcW w:w="1696" w:type="dxa"/>
            <w:tcBorders>
              <w:top w:val="single" w:sz="4" w:space="0" w:color="auto"/>
              <w:left w:val="nil"/>
              <w:bottom w:val="single" w:sz="8" w:space="0" w:color="auto"/>
              <w:right w:val="nil"/>
            </w:tcBorders>
            <w:shd w:val="clear" w:color="000000" w:fill="FFFFFF"/>
            <w:noWrap/>
            <w:vAlign w:val="center"/>
            <w:hideMark/>
          </w:tcPr>
          <w:p w14:paraId="49AFDDA5" w14:textId="77777777" w:rsidR="00192B82" w:rsidRPr="00192B82" w:rsidRDefault="00192B82" w:rsidP="00192B82">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97,583</w:t>
            </w:r>
          </w:p>
        </w:tc>
        <w:tc>
          <w:tcPr>
            <w:tcW w:w="1970" w:type="dxa"/>
            <w:tcBorders>
              <w:top w:val="single" w:sz="4" w:space="0" w:color="auto"/>
              <w:left w:val="nil"/>
              <w:bottom w:val="single" w:sz="8" w:space="0" w:color="auto"/>
              <w:right w:val="nil"/>
            </w:tcBorders>
            <w:shd w:val="clear" w:color="000000" w:fill="FFFFFF"/>
            <w:noWrap/>
            <w:vAlign w:val="center"/>
            <w:hideMark/>
          </w:tcPr>
          <w:p w14:paraId="7AD6D848" w14:textId="77777777" w:rsidR="00192B82" w:rsidRPr="00192B82" w:rsidRDefault="00192B82" w:rsidP="00192B82">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99,210</w:t>
            </w:r>
          </w:p>
        </w:tc>
        <w:tc>
          <w:tcPr>
            <w:tcW w:w="1915" w:type="dxa"/>
            <w:tcBorders>
              <w:top w:val="single" w:sz="4" w:space="0" w:color="auto"/>
              <w:left w:val="nil"/>
              <w:bottom w:val="single" w:sz="8" w:space="0" w:color="auto"/>
              <w:right w:val="nil"/>
            </w:tcBorders>
            <w:shd w:val="clear" w:color="000000" w:fill="FFFFFF"/>
            <w:noWrap/>
            <w:vAlign w:val="center"/>
            <w:hideMark/>
          </w:tcPr>
          <w:p w14:paraId="1F343E17" w14:textId="77777777" w:rsidR="00192B82" w:rsidRPr="00192B82" w:rsidRDefault="00192B82" w:rsidP="00192B82">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196,793</w:t>
            </w:r>
          </w:p>
        </w:tc>
      </w:tr>
    </w:tbl>
    <w:p w14:paraId="2BD6BF15" w14:textId="77777777" w:rsidR="00192B82" w:rsidRPr="00DC1077" w:rsidRDefault="00192B82">
      <w:pPr>
        <w:pStyle w:val="Normal0"/>
        <w:spacing w:after="160" w:line="259" w:lineRule="auto"/>
        <w:rPr>
          <w:rFonts w:ascii="Verdana" w:eastAsia="Calibri" w:hAnsi="Verdana" w:cs="Arial"/>
          <w:sz w:val="22"/>
          <w:szCs w:val="22"/>
          <w:highlight w:val="yellow"/>
          <w:lang w:val="en-GB"/>
        </w:rPr>
      </w:pPr>
    </w:p>
    <w:p w14:paraId="686D5F9E" w14:textId="77777777" w:rsidR="00DA1BE1" w:rsidRDefault="00DA1BE1">
      <w:pPr>
        <w:pStyle w:val="Normal0"/>
        <w:spacing w:after="160" w:line="259" w:lineRule="auto"/>
        <w:rPr>
          <w:rFonts w:ascii="Verdana" w:eastAsia="Calibri" w:hAnsi="Verdana" w:cs="Arial"/>
          <w:sz w:val="22"/>
          <w:szCs w:val="22"/>
          <w:highlight w:val="yellow"/>
          <w:lang w:val="en-GB"/>
        </w:rPr>
      </w:pPr>
    </w:p>
    <w:tbl>
      <w:tblPr>
        <w:tblW w:w="14928" w:type="dxa"/>
        <w:tblLook w:val="04A0" w:firstRow="1" w:lastRow="0" w:firstColumn="1" w:lastColumn="0" w:noHBand="0" w:noVBand="1"/>
      </w:tblPr>
      <w:tblGrid>
        <w:gridCol w:w="1784"/>
        <w:gridCol w:w="2001"/>
        <w:gridCol w:w="1980"/>
        <w:gridCol w:w="3481"/>
        <w:gridCol w:w="1662"/>
        <w:gridCol w:w="2020"/>
        <w:gridCol w:w="2000"/>
      </w:tblGrid>
      <w:tr w:rsidR="00192B82" w:rsidRPr="00192B82" w14:paraId="336002A5" w14:textId="77777777" w:rsidTr="00514C09">
        <w:trPr>
          <w:trHeight w:val="220"/>
        </w:trPr>
        <w:tc>
          <w:tcPr>
            <w:tcW w:w="5765" w:type="dxa"/>
            <w:gridSpan w:val="3"/>
            <w:tcBorders>
              <w:top w:val="nil"/>
              <w:left w:val="nil"/>
              <w:bottom w:val="nil"/>
              <w:right w:val="nil"/>
            </w:tcBorders>
            <w:shd w:val="clear" w:color="000000" w:fill="FFFFFF"/>
            <w:noWrap/>
            <w:vAlign w:val="center"/>
            <w:hideMark/>
          </w:tcPr>
          <w:p w14:paraId="46FA2C2E"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2019/20</w:t>
            </w:r>
          </w:p>
        </w:tc>
        <w:tc>
          <w:tcPr>
            <w:tcW w:w="3481" w:type="dxa"/>
            <w:tcBorders>
              <w:top w:val="nil"/>
              <w:left w:val="nil"/>
              <w:bottom w:val="nil"/>
              <w:right w:val="nil"/>
            </w:tcBorders>
            <w:shd w:val="clear" w:color="000000" w:fill="FFFFFF"/>
            <w:noWrap/>
            <w:vAlign w:val="center"/>
            <w:hideMark/>
          </w:tcPr>
          <w:p w14:paraId="067DBD40" w14:textId="77777777" w:rsidR="00192B82" w:rsidRPr="00192B82" w:rsidRDefault="00192B82" w:rsidP="00192B82">
            <w:pP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 </w:t>
            </w:r>
          </w:p>
        </w:tc>
        <w:tc>
          <w:tcPr>
            <w:tcW w:w="5682" w:type="dxa"/>
            <w:gridSpan w:val="3"/>
            <w:tcBorders>
              <w:top w:val="nil"/>
              <w:left w:val="nil"/>
              <w:bottom w:val="nil"/>
              <w:right w:val="nil"/>
            </w:tcBorders>
            <w:shd w:val="clear" w:color="000000" w:fill="FFFFFF"/>
            <w:noWrap/>
            <w:vAlign w:val="center"/>
            <w:hideMark/>
          </w:tcPr>
          <w:p w14:paraId="20D2003E"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2020/21</w:t>
            </w:r>
          </w:p>
        </w:tc>
      </w:tr>
      <w:tr w:rsidR="00192B82" w:rsidRPr="00192B82" w14:paraId="73857A2A" w14:textId="77777777" w:rsidTr="00514C09">
        <w:trPr>
          <w:trHeight w:val="156"/>
        </w:trPr>
        <w:tc>
          <w:tcPr>
            <w:tcW w:w="1784" w:type="dxa"/>
            <w:tcBorders>
              <w:top w:val="nil"/>
              <w:left w:val="nil"/>
              <w:bottom w:val="nil"/>
              <w:right w:val="nil"/>
            </w:tcBorders>
            <w:shd w:val="clear" w:color="000000" w:fill="FFFFFF"/>
            <w:noWrap/>
            <w:vAlign w:val="center"/>
            <w:hideMark/>
          </w:tcPr>
          <w:p w14:paraId="05524FA8"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 xml:space="preserve">CC LGPS </w:t>
            </w:r>
          </w:p>
        </w:tc>
        <w:tc>
          <w:tcPr>
            <w:tcW w:w="2001" w:type="dxa"/>
            <w:tcBorders>
              <w:top w:val="nil"/>
              <w:left w:val="nil"/>
              <w:bottom w:val="nil"/>
              <w:right w:val="nil"/>
            </w:tcBorders>
            <w:shd w:val="clear" w:color="000000" w:fill="FFFFFF"/>
            <w:vAlign w:val="center"/>
            <w:hideMark/>
          </w:tcPr>
          <w:p w14:paraId="41C6A018"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Police Officers</w:t>
            </w:r>
          </w:p>
        </w:tc>
        <w:tc>
          <w:tcPr>
            <w:tcW w:w="1980" w:type="dxa"/>
            <w:tcBorders>
              <w:top w:val="nil"/>
              <w:left w:val="nil"/>
              <w:bottom w:val="nil"/>
              <w:right w:val="nil"/>
            </w:tcBorders>
            <w:shd w:val="clear" w:color="000000" w:fill="FFFFFF"/>
            <w:vAlign w:val="center"/>
            <w:hideMark/>
          </w:tcPr>
          <w:p w14:paraId="7BF89E2B"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Total</w:t>
            </w:r>
          </w:p>
        </w:tc>
        <w:tc>
          <w:tcPr>
            <w:tcW w:w="3481" w:type="dxa"/>
            <w:tcBorders>
              <w:top w:val="nil"/>
              <w:left w:val="nil"/>
              <w:bottom w:val="nil"/>
              <w:right w:val="nil"/>
            </w:tcBorders>
            <w:shd w:val="clear" w:color="000000" w:fill="FFFFFF"/>
            <w:noWrap/>
            <w:vAlign w:val="center"/>
            <w:hideMark/>
          </w:tcPr>
          <w:p w14:paraId="0BD8D594" w14:textId="77777777" w:rsidR="00192B82" w:rsidRPr="00192B82" w:rsidRDefault="00192B82" w:rsidP="00192B82">
            <w:pP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 </w:t>
            </w:r>
          </w:p>
        </w:tc>
        <w:tc>
          <w:tcPr>
            <w:tcW w:w="1662" w:type="dxa"/>
            <w:tcBorders>
              <w:top w:val="nil"/>
              <w:left w:val="nil"/>
              <w:bottom w:val="nil"/>
              <w:right w:val="nil"/>
            </w:tcBorders>
            <w:shd w:val="clear" w:color="000000" w:fill="FFFFFF"/>
            <w:noWrap/>
            <w:vAlign w:val="center"/>
            <w:hideMark/>
          </w:tcPr>
          <w:p w14:paraId="18864F48"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 xml:space="preserve">CC LGPS </w:t>
            </w:r>
          </w:p>
        </w:tc>
        <w:tc>
          <w:tcPr>
            <w:tcW w:w="2020" w:type="dxa"/>
            <w:tcBorders>
              <w:top w:val="nil"/>
              <w:left w:val="nil"/>
              <w:bottom w:val="nil"/>
              <w:right w:val="nil"/>
            </w:tcBorders>
            <w:shd w:val="clear" w:color="000000" w:fill="FFFFFF"/>
            <w:vAlign w:val="center"/>
            <w:hideMark/>
          </w:tcPr>
          <w:p w14:paraId="739C3FB1"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Police Officers</w:t>
            </w:r>
          </w:p>
        </w:tc>
        <w:tc>
          <w:tcPr>
            <w:tcW w:w="1998" w:type="dxa"/>
            <w:tcBorders>
              <w:top w:val="nil"/>
              <w:left w:val="nil"/>
              <w:bottom w:val="nil"/>
              <w:right w:val="nil"/>
            </w:tcBorders>
            <w:shd w:val="clear" w:color="000000" w:fill="FFFFFF"/>
            <w:vAlign w:val="center"/>
            <w:hideMark/>
          </w:tcPr>
          <w:p w14:paraId="4C444E87"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Total</w:t>
            </w:r>
          </w:p>
        </w:tc>
      </w:tr>
      <w:tr w:rsidR="00192B82" w:rsidRPr="00192B82" w14:paraId="1BE6E691" w14:textId="77777777" w:rsidTr="00514C09">
        <w:trPr>
          <w:trHeight w:val="156"/>
        </w:trPr>
        <w:tc>
          <w:tcPr>
            <w:tcW w:w="5765" w:type="dxa"/>
            <w:gridSpan w:val="3"/>
            <w:tcBorders>
              <w:top w:val="nil"/>
              <w:left w:val="nil"/>
              <w:bottom w:val="nil"/>
              <w:right w:val="nil"/>
            </w:tcBorders>
            <w:shd w:val="clear" w:color="000000" w:fill="FFFFFF"/>
            <w:noWrap/>
            <w:vAlign w:val="bottom"/>
            <w:hideMark/>
          </w:tcPr>
          <w:p w14:paraId="62AC9764" w14:textId="77777777" w:rsidR="00192B82" w:rsidRPr="00192B82" w:rsidRDefault="00192B82" w:rsidP="00192B82">
            <w:pP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Movement in Reserves Statement</w:t>
            </w:r>
          </w:p>
        </w:tc>
        <w:tc>
          <w:tcPr>
            <w:tcW w:w="3481" w:type="dxa"/>
            <w:tcBorders>
              <w:top w:val="nil"/>
              <w:left w:val="nil"/>
              <w:bottom w:val="nil"/>
              <w:right w:val="nil"/>
            </w:tcBorders>
            <w:shd w:val="clear" w:color="auto" w:fill="auto"/>
            <w:noWrap/>
            <w:vAlign w:val="bottom"/>
            <w:hideMark/>
          </w:tcPr>
          <w:p w14:paraId="1238B42B" w14:textId="77777777" w:rsidR="00192B82" w:rsidRPr="00192B82" w:rsidRDefault="00192B82" w:rsidP="00192B82">
            <w:pPr>
              <w:rPr>
                <w:rFonts w:ascii="Verdana" w:eastAsia="Times New Roman" w:hAnsi="Verdana" w:cs="Calibri"/>
                <w:b/>
                <w:bCs/>
                <w:color w:val="000000"/>
                <w:sz w:val="16"/>
                <w:szCs w:val="16"/>
                <w:lang w:val="en-GB" w:eastAsia="en-GB"/>
              </w:rPr>
            </w:pPr>
          </w:p>
        </w:tc>
        <w:tc>
          <w:tcPr>
            <w:tcW w:w="1662" w:type="dxa"/>
            <w:tcBorders>
              <w:top w:val="nil"/>
              <w:left w:val="nil"/>
              <w:bottom w:val="nil"/>
              <w:right w:val="nil"/>
            </w:tcBorders>
            <w:shd w:val="clear" w:color="000000" w:fill="FFFFFF"/>
            <w:noWrap/>
            <w:vAlign w:val="bottom"/>
            <w:hideMark/>
          </w:tcPr>
          <w:p w14:paraId="24648B1F" w14:textId="77777777" w:rsidR="00192B82" w:rsidRPr="00192B82" w:rsidRDefault="00192B82" w:rsidP="00192B82">
            <w:pPr>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2020" w:type="dxa"/>
            <w:tcBorders>
              <w:top w:val="nil"/>
              <w:left w:val="nil"/>
              <w:bottom w:val="nil"/>
              <w:right w:val="nil"/>
            </w:tcBorders>
            <w:shd w:val="clear" w:color="000000" w:fill="FFFFFF"/>
            <w:noWrap/>
            <w:vAlign w:val="bottom"/>
            <w:hideMark/>
          </w:tcPr>
          <w:p w14:paraId="4039F243" w14:textId="77777777" w:rsidR="00192B82" w:rsidRPr="00192B82" w:rsidRDefault="00192B82" w:rsidP="00192B82">
            <w:pPr>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1998" w:type="dxa"/>
            <w:tcBorders>
              <w:top w:val="nil"/>
              <w:left w:val="nil"/>
              <w:bottom w:val="nil"/>
              <w:right w:val="nil"/>
            </w:tcBorders>
            <w:shd w:val="clear" w:color="000000" w:fill="FFFFFF"/>
            <w:noWrap/>
            <w:vAlign w:val="bottom"/>
            <w:hideMark/>
          </w:tcPr>
          <w:p w14:paraId="0A0FD18E" w14:textId="77777777" w:rsidR="00192B82" w:rsidRPr="00192B82" w:rsidRDefault="00192B82" w:rsidP="00192B82">
            <w:pPr>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r>
      <w:tr w:rsidR="00192B82" w:rsidRPr="00192B82" w14:paraId="045E4289" w14:textId="77777777" w:rsidTr="00514C09">
        <w:trPr>
          <w:trHeight w:val="156"/>
        </w:trPr>
        <w:tc>
          <w:tcPr>
            <w:tcW w:w="1784" w:type="dxa"/>
            <w:tcBorders>
              <w:top w:val="nil"/>
              <w:left w:val="nil"/>
              <w:bottom w:val="nil"/>
              <w:right w:val="nil"/>
            </w:tcBorders>
            <w:shd w:val="clear" w:color="000000" w:fill="FFFFFF"/>
            <w:noWrap/>
            <w:vAlign w:val="bottom"/>
            <w:hideMark/>
          </w:tcPr>
          <w:p w14:paraId="04280213" w14:textId="77777777" w:rsidR="00192B82" w:rsidRPr="00192B82" w:rsidRDefault="00192B82" w:rsidP="00192B82">
            <w:pPr>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2001" w:type="dxa"/>
            <w:tcBorders>
              <w:top w:val="nil"/>
              <w:left w:val="nil"/>
              <w:bottom w:val="nil"/>
              <w:right w:val="nil"/>
            </w:tcBorders>
            <w:shd w:val="clear" w:color="000000" w:fill="FFFFFF"/>
            <w:noWrap/>
            <w:vAlign w:val="bottom"/>
            <w:hideMark/>
          </w:tcPr>
          <w:p w14:paraId="0DE44BA0" w14:textId="77777777" w:rsidR="00192B82" w:rsidRPr="00192B82" w:rsidRDefault="00192B82" w:rsidP="00192B82">
            <w:pPr>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1980" w:type="dxa"/>
            <w:tcBorders>
              <w:top w:val="nil"/>
              <w:left w:val="nil"/>
              <w:bottom w:val="nil"/>
              <w:right w:val="nil"/>
            </w:tcBorders>
            <w:shd w:val="clear" w:color="000000" w:fill="FFFFFF"/>
            <w:noWrap/>
            <w:vAlign w:val="bottom"/>
            <w:hideMark/>
          </w:tcPr>
          <w:p w14:paraId="0A35FFDC" w14:textId="77777777" w:rsidR="00192B82" w:rsidRPr="00192B82" w:rsidRDefault="00192B82" w:rsidP="00192B82">
            <w:pPr>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3481" w:type="dxa"/>
            <w:tcBorders>
              <w:top w:val="nil"/>
              <w:left w:val="nil"/>
              <w:bottom w:val="nil"/>
              <w:right w:val="nil"/>
            </w:tcBorders>
            <w:shd w:val="clear" w:color="000000" w:fill="FFFFFF"/>
            <w:noWrap/>
            <w:vAlign w:val="bottom"/>
            <w:hideMark/>
          </w:tcPr>
          <w:p w14:paraId="54A56061" w14:textId="77777777" w:rsidR="00192B82" w:rsidRPr="00192B82" w:rsidRDefault="00192B82" w:rsidP="00192B82">
            <w:pP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 </w:t>
            </w:r>
          </w:p>
        </w:tc>
        <w:tc>
          <w:tcPr>
            <w:tcW w:w="1662" w:type="dxa"/>
            <w:tcBorders>
              <w:top w:val="nil"/>
              <w:left w:val="nil"/>
              <w:bottom w:val="nil"/>
              <w:right w:val="nil"/>
            </w:tcBorders>
            <w:shd w:val="clear" w:color="000000" w:fill="FFFFFF"/>
            <w:noWrap/>
            <w:vAlign w:val="bottom"/>
            <w:hideMark/>
          </w:tcPr>
          <w:p w14:paraId="676F51B0" w14:textId="77777777" w:rsidR="00192B82" w:rsidRPr="00192B82" w:rsidRDefault="00192B82" w:rsidP="00192B82">
            <w:pPr>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2020" w:type="dxa"/>
            <w:tcBorders>
              <w:top w:val="nil"/>
              <w:left w:val="nil"/>
              <w:bottom w:val="nil"/>
              <w:right w:val="nil"/>
            </w:tcBorders>
            <w:shd w:val="clear" w:color="000000" w:fill="FFFFFF"/>
            <w:noWrap/>
            <w:vAlign w:val="bottom"/>
            <w:hideMark/>
          </w:tcPr>
          <w:p w14:paraId="349DAEB8" w14:textId="77777777" w:rsidR="00192B82" w:rsidRPr="00192B82" w:rsidRDefault="00192B82" w:rsidP="00192B82">
            <w:pPr>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1998" w:type="dxa"/>
            <w:tcBorders>
              <w:top w:val="nil"/>
              <w:left w:val="nil"/>
              <w:bottom w:val="nil"/>
              <w:right w:val="nil"/>
            </w:tcBorders>
            <w:shd w:val="clear" w:color="000000" w:fill="FFFFFF"/>
            <w:noWrap/>
            <w:vAlign w:val="bottom"/>
            <w:hideMark/>
          </w:tcPr>
          <w:p w14:paraId="2044A442" w14:textId="77777777" w:rsidR="00192B82" w:rsidRPr="00192B82" w:rsidRDefault="00192B82" w:rsidP="00192B82">
            <w:pPr>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r>
      <w:tr w:rsidR="00192B82" w:rsidRPr="00192B82" w14:paraId="1906721D" w14:textId="77777777" w:rsidTr="00514C09">
        <w:trPr>
          <w:trHeight w:val="156"/>
        </w:trPr>
        <w:tc>
          <w:tcPr>
            <w:tcW w:w="1784" w:type="dxa"/>
            <w:tcBorders>
              <w:top w:val="nil"/>
              <w:left w:val="nil"/>
              <w:bottom w:val="single" w:sz="4" w:space="0" w:color="auto"/>
              <w:right w:val="nil"/>
            </w:tcBorders>
            <w:shd w:val="clear" w:color="000000" w:fill="FFFFFF"/>
            <w:noWrap/>
            <w:vAlign w:val="center"/>
            <w:hideMark/>
          </w:tcPr>
          <w:p w14:paraId="2F2B2AFB"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£000</w:t>
            </w:r>
          </w:p>
        </w:tc>
        <w:tc>
          <w:tcPr>
            <w:tcW w:w="2001" w:type="dxa"/>
            <w:tcBorders>
              <w:top w:val="nil"/>
              <w:left w:val="nil"/>
              <w:bottom w:val="single" w:sz="4" w:space="0" w:color="auto"/>
              <w:right w:val="nil"/>
            </w:tcBorders>
            <w:shd w:val="clear" w:color="000000" w:fill="FFFFFF"/>
            <w:noWrap/>
            <w:vAlign w:val="center"/>
            <w:hideMark/>
          </w:tcPr>
          <w:p w14:paraId="261CB547"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£000</w:t>
            </w:r>
          </w:p>
        </w:tc>
        <w:tc>
          <w:tcPr>
            <w:tcW w:w="1980" w:type="dxa"/>
            <w:tcBorders>
              <w:top w:val="nil"/>
              <w:left w:val="nil"/>
              <w:bottom w:val="single" w:sz="4" w:space="0" w:color="auto"/>
              <w:right w:val="nil"/>
            </w:tcBorders>
            <w:shd w:val="clear" w:color="000000" w:fill="FFFFFF"/>
            <w:noWrap/>
            <w:vAlign w:val="center"/>
            <w:hideMark/>
          </w:tcPr>
          <w:p w14:paraId="36633352"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£000</w:t>
            </w:r>
          </w:p>
        </w:tc>
        <w:tc>
          <w:tcPr>
            <w:tcW w:w="3481" w:type="dxa"/>
            <w:tcBorders>
              <w:top w:val="nil"/>
              <w:left w:val="nil"/>
              <w:bottom w:val="single" w:sz="4" w:space="0" w:color="auto"/>
              <w:right w:val="nil"/>
            </w:tcBorders>
            <w:shd w:val="clear" w:color="000000" w:fill="FFFFFF"/>
            <w:noWrap/>
            <w:vAlign w:val="center"/>
            <w:hideMark/>
          </w:tcPr>
          <w:p w14:paraId="16B4920E"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 </w:t>
            </w:r>
          </w:p>
        </w:tc>
        <w:tc>
          <w:tcPr>
            <w:tcW w:w="1662" w:type="dxa"/>
            <w:tcBorders>
              <w:top w:val="nil"/>
              <w:left w:val="nil"/>
              <w:bottom w:val="single" w:sz="4" w:space="0" w:color="auto"/>
              <w:right w:val="nil"/>
            </w:tcBorders>
            <w:shd w:val="clear" w:color="000000" w:fill="FFFFFF"/>
            <w:noWrap/>
            <w:vAlign w:val="center"/>
            <w:hideMark/>
          </w:tcPr>
          <w:p w14:paraId="2853DE95"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£000</w:t>
            </w:r>
          </w:p>
        </w:tc>
        <w:tc>
          <w:tcPr>
            <w:tcW w:w="2020" w:type="dxa"/>
            <w:tcBorders>
              <w:top w:val="nil"/>
              <w:left w:val="nil"/>
              <w:bottom w:val="single" w:sz="4" w:space="0" w:color="auto"/>
              <w:right w:val="nil"/>
            </w:tcBorders>
            <w:shd w:val="clear" w:color="000000" w:fill="FFFFFF"/>
            <w:noWrap/>
            <w:vAlign w:val="center"/>
            <w:hideMark/>
          </w:tcPr>
          <w:p w14:paraId="348EB626"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£000</w:t>
            </w:r>
          </w:p>
        </w:tc>
        <w:tc>
          <w:tcPr>
            <w:tcW w:w="1998" w:type="dxa"/>
            <w:tcBorders>
              <w:top w:val="nil"/>
              <w:left w:val="nil"/>
              <w:bottom w:val="single" w:sz="4" w:space="0" w:color="auto"/>
              <w:right w:val="nil"/>
            </w:tcBorders>
            <w:shd w:val="clear" w:color="000000" w:fill="FFFFFF"/>
            <w:noWrap/>
            <w:vAlign w:val="center"/>
            <w:hideMark/>
          </w:tcPr>
          <w:p w14:paraId="61EE963C"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£000</w:t>
            </w:r>
          </w:p>
        </w:tc>
      </w:tr>
      <w:tr w:rsidR="00192B82" w:rsidRPr="00192B82" w14:paraId="2FD8431D" w14:textId="77777777" w:rsidTr="00514C09">
        <w:trPr>
          <w:trHeight w:val="625"/>
        </w:trPr>
        <w:tc>
          <w:tcPr>
            <w:tcW w:w="1784" w:type="dxa"/>
            <w:tcBorders>
              <w:top w:val="nil"/>
              <w:left w:val="nil"/>
              <w:bottom w:val="nil"/>
              <w:right w:val="nil"/>
            </w:tcBorders>
            <w:shd w:val="clear" w:color="000000" w:fill="FFFFFF"/>
            <w:noWrap/>
            <w:vAlign w:val="center"/>
            <w:hideMark/>
          </w:tcPr>
          <w:p w14:paraId="27546EBF"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(23,510)</w:t>
            </w:r>
          </w:p>
        </w:tc>
        <w:tc>
          <w:tcPr>
            <w:tcW w:w="2001" w:type="dxa"/>
            <w:tcBorders>
              <w:top w:val="nil"/>
              <w:left w:val="nil"/>
              <w:bottom w:val="nil"/>
              <w:right w:val="nil"/>
            </w:tcBorders>
            <w:shd w:val="clear" w:color="000000" w:fill="FFFFFF"/>
            <w:noWrap/>
            <w:vAlign w:val="center"/>
            <w:hideMark/>
          </w:tcPr>
          <w:p w14:paraId="6D294F4E"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(89,670)</w:t>
            </w:r>
          </w:p>
        </w:tc>
        <w:tc>
          <w:tcPr>
            <w:tcW w:w="1980" w:type="dxa"/>
            <w:tcBorders>
              <w:top w:val="nil"/>
              <w:left w:val="nil"/>
              <w:bottom w:val="nil"/>
              <w:right w:val="nil"/>
            </w:tcBorders>
            <w:shd w:val="clear" w:color="000000" w:fill="FFFFFF"/>
            <w:noWrap/>
            <w:vAlign w:val="center"/>
            <w:hideMark/>
          </w:tcPr>
          <w:p w14:paraId="64D44CD5"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(113,180)</w:t>
            </w:r>
          </w:p>
        </w:tc>
        <w:tc>
          <w:tcPr>
            <w:tcW w:w="3481" w:type="dxa"/>
            <w:tcBorders>
              <w:top w:val="nil"/>
              <w:left w:val="nil"/>
              <w:bottom w:val="nil"/>
              <w:right w:val="nil"/>
            </w:tcBorders>
            <w:shd w:val="clear" w:color="000000" w:fill="FFFFFF"/>
            <w:vAlign w:val="center"/>
            <w:hideMark/>
          </w:tcPr>
          <w:p w14:paraId="3F947DFE" w14:textId="77777777" w:rsidR="00192B82" w:rsidRPr="00192B82" w:rsidRDefault="00192B82" w:rsidP="00192B82">
            <w:pPr>
              <w:ind w:firstLineChars="100" w:firstLine="160"/>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Reversal of net charges made to the Surplus or Deficit on the Provision of Services</w:t>
            </w:r>
          </w:p>
        </w:tc>
        <w:tc>
          <w:tcPr>
            <w:tcW w:w="1662" w:type="dxa"/>
            <w:tcBorders>
              <w:top w:val="nil"/>
              <w:left w:val="nil"/>
              <w:bottom w:val="nil"/>
              <w:right w:val="nil"/>
            </w:tcBorders>
            <w:shd w:val="clear" w:color="000000" w:fill="FFFFFF"/>
            <w:noWrap/>
            <w:vAlign w:val="center"/>
            <w:hideMark/>
          </w:tcPr>
          <w:p w14:paraId="3EB2415B"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(20,863)</w:t>
            </w:r>
          </w:p>
        </w:tc>
        <w:tc>
          <w:tcPr>
            <w:tcW w:w="2020" w:type="dxa"/>
            <w:tcBorders>
              <w:top w:val="nil"/>
              <w:left w:val="nil"/>
              <w:bottom w:val="nil"/>
              <w:right w:val="nil"/>
            </w:tcBorders>
            <w:shd w:val="clear" w:color="000000" w:fill="FFFFFF"/>
            <w:noWrap/>
            <w:vAlign w:val="center"/>
            <w:hideMark/>
          </w:tcPr>
          <w:p w14:paraId="57820FDB"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(96,070)</w:t>
            </w:r>
          </w:p>
        </w:tc>
        <w:tc>
          <w:tcPr>
            <w:tcW w:w="1998" w:type="dxa"/>
            <w:tcBorders>
              <w:top w:val="nil"/>
              <w:left w:val="nil"/>
              <w:bottom w:val="nil"/>
              <w:right w:val="nil"/>
            </w:tcBorders>
            <w:shd w:val="clear" w:color="000000" w:fill="FFFFFF"/>
            <w:noWrap/>
            <w:vAlign w:val="center"/>
            <w:hideMark/>
          </w:tcPr>
          <w:p w14:paraId="33A72F8F"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(116,933)</w:t>
            </w:r>
          </w:p>
        </w:tc>
      </w:tr>
      <w:tr w:rsidR="00192B82" w:rsidRPr="00192B82" w14:paraId="0544A55A" w14:textId="77777777" w:rsidTr="00514C09">
        <w:trPr>
          <w:trHeight w:val="70"/>
        </w:trPr>
        <w:tc>
          <w:tcPr>
            <w:tcW w:w="1784" w:type="dxa"/>
            <w:tcBorders>
              <w:top w:val="nil"/>
              <w:left w:val="nil"/>
              <w:bottom w:val="nil"/>
              <w:right w:val="nil"/>
            </w:tcBorders>
            <w:shd w:val="clear" w:color="000000" w:fill="FFFFFF"/>
            <w:noWrap/>
            <w:vAlign w:val="center"/>
            <w:hideMark/>
          </w:tcPr>
          <w:p w14:paraId="169371ED"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2001" w:type="dxa"/>
            <w:tcBorders>
              <w:top w:val="nil"/>
              <w:left w:val="nil"/>
              <w:bottom w:val="nil"/>
              <w:right w:val="nil"/>
            </w:tcBorders>
            <w:shd w:val="clear" w:color="000000" w:fill="FFFFFF"/>
            <w:noWrap/>
            <w:vAlign w:val="center"/>
            <w:hideMark/>
          </w:tcPr>
          <w:p w14:paraId="31864207"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1980" w:type="dxa"/>
            <w:tcBorders>
              <w:top w:val="nil"/>
              <w:left w:val="nil"/>
              <w:bottom w:val="nil"/>
              <w:right w:val="nil"/>
            </w:tcBorders>
            <w:shd w:val="clear" w:color="000000" w:fill="FFFFFF"/>
            <w:noWrap/>
            <w:vAlign w:val="center"/>
            <w:hideMark/>
          </w:tcPr>
          <w:p w14:paraId="069FD17A"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3481" w:type="dxa"/>
            <w:tcBorders>
              <w:top w:val="nil"/>
              <w:left w:val="nil"/>
              <w:bottom w:val="nil"/>
              <w:right w:val="nil"/>
            </w:tcBorders>
            <w:shd w:val="clear" w:color="000000" w:fill="FFFFFF"/>
            <w:noWrap/>
            <w:vAlign w:val="center"/>
            <w:hideMark/>
          </w:tcPr>
          <w:p w14:paraId="3C33DB03" w14:textId="77777777" w:rsidR="00192B82" w:rsidRPr="00192B82" w:rsidRDefault="00192B82" w:rsidP="00192B82">
            <w:pPr>
              <w:ind w:firstLineChars="100" w:firstLine="160"/>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1662" w:type="dxa"/>
            <w:tcBorders>
              <w:top w:val="nil"/>
              <w:left w:val="nil"/>
              <w:bottom w:val="nil"/>
              <w:right w:val="nil"/>
            </w:tcBorders>
            <w:shd w:val="clear" w:color="000000" w:fill="FFFFFF"/>
            <w:noWrap/>
            <w:vAlign w:val="center"/>
            <w:hideMark/>
          </w:tcPr>
          <w:p w14:paraId="2C65C394"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2020" w:type="dxa"/>
            <w:tcBorders>
              <w:top w:val="nil"/>
              <w:left w:val="nil"/>
              <w:bottom w:val="nil"/>
              <w:right w:val="nil"/>
            </w:tcBorders>
            <w:shd w:val="clear" w:color="000000" w:fill="FFFFFF"/>
            <w:noWrap/>
            <w:vAlign w:val="center"/>
            <w:hideMark/>
          </w:tcPr>
          <w:p w14:paraId="570CD52A"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1998" w:type="dxa"/>
            <w:tcBorders>
              <w:top w:val="nil"/>
              <w:left w:val="nil"/>
              <w:bottom w:val="nil"/>
              <w:right w:val="nil"/>
            </w:tcBorders>
            <w:shd w:val="clear" w:color="000000" w:fill="FFFFFF"/>
            <w:noWrap/>
            <w:vAlign w:val="center"/>
            <w:hideMark/>
          </w:tcPr>
          <w:p w14:paraId="225A8247"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r>
      <w:tr w:rsidR="00192B82" w:rsidRPr="00192B82" w14:paraId="79463AD6" w14:textId="77777777" w:rsidTr="00514C09">
        <w:trPr>
          <w:trHeight w:val="625"/>
        </w:trPr>
        <w:tc>
          <w:tcPr>
            <w:tcW w:w="1784" w:type="dxa"/>
            <w:tcBorders>
              <w:top w:val="nil"/>
              <w:left w:val="nil"/>
              <w:bottom w:val="nil"/>
              <w:right w:val="nil"/>
            </w:tcBorders>
            <w:shd w:val="clear" w:color="000000" w:fill="FFFFFF"/>
            <w:noWrap/>
            <w:vAlign w:val="center"/>
            <w:hideMark/>
          </w:tcPr>
          <w:p w14:paraId="35883314"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2001" w:type="dxa"/>
            <w:tcBorders>
              <w:top w:val="nil"/>
              <w:left w:val="nil"/>
              <w:bottom w:val="nil"/>
              <w:right w:val="nil"/>
            </w:tcBorders>
            <w:shd w:val="clear" w:color="000000" w:fill="FFFFFF"/>
            <w:noWrap/>
            <w:vAlign w:val="center"/>
            <w:hideMark/>
          </w:tcPr>
          <w:p w14:paraId="451C67BF"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1980" w:type="dxa"/>
            <w:tcBorders>
              <w:top w:val="nil"/>
              <w:left w:val="nil"/>
              <w:bottom w:val="nil"/>
              <w:right w:val="nil"/>
            </w:tcBorders>
            <w:shd w:val="clear" w:color="000000" w:fill="FFFFFF"/>
            <w:noWrap/>
            <w:vAlign w:val="center"/>
            <w:hideMark/>
          </w:tcPr>
          <w:p w14:paraId="6DC4F049"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3481" w:type="dxa"/>
            <w:tcBorders>
              <w:top w:val="nil"/>
              <w:left w:val="nil"/>
              <w:bottom w:val="nil"/>
              <w:right w:val="nil"/>
            </w:tcBorders>
            <w:shd w:val="clear" w:color="000000" w:fill="FFFFFF"/>
            <w:vAlign w:val="center"/>
            <w:hideMark/>
          </w:tcPr>
          <w:p w14:paraId="374321EC" w14:textId="77777777" w:rsidR="00192B82" w:rsidRPr="00192B82" w:rsidRDefault="00192B82" w:rsidP="00192B82">
            <w:pPr>
              <w:ind w:firstLineChars="100" w:firstLine="160"/>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Actual amount charged against the general fund balance for pensions in the year:</w:t>
            </w:r>
          </w:p>
        </w:tc>
        <w:tc>
          <w:tcPr>
            <w:tcW w:w="1662" w:type="dxa"/>
            <w:tcBorders>
              <w:top w:val="nil"/>
              <w:left w:val="nil"/>
              <w:bottom w:val="nil"/>
              <w:right w:val="nil"/>
            </w:tcBorders>
            <w:shd w:val="clear" w:color="000000" w:fill="FFFFFF"/>
            <w:noWrap/>
            <w:vAlign w:val="center"/>
            <w:hideMark/>
          </w:tcPr>
          <w:p w14:paraId="257928E3"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2020" w:type="dxa"/>
            <w:tcBorders>
              <w:top w:val="nil"/>
              <w:left w:val="nil"/>
              <w:bottom w:val="nil"/>
              <w:right w:val="nil"/>
            </w:tcBorders>
            <w:shd w:val="clear" w:color="000000" w:fill="FFFFFF"/>
            <w:noWrap/>
            <w:vAlign w:val="center"/>
            <w:hideMark/>
          </w:tcPr>
          <w:p w14:paraId="34225140"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1998" w:type="dxa"/>
            <w:tcBorders>
              <w:top w:val="nil"/>
              <w:left w:val="nil"/>
              <w:bottom w:val="nil"/>
              <w:right w:val="nil"/>
            </w:tcBorders>
            <w:shd w:val="clear" w:color="000000" w:fill="FFFFFF"/>
            <w:noWrap/>
            <w:vAlign w:val="center"/>
            <w:hideMark/>
          </w:tcPr>
          <w:p w14:paraId="2393D45A"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r>
      <w:tr w:rsidR="00192B82" w:rsidRPr="00192B82" w14:paraId="4E679D80" w14:textId="77777777" w:rsidTr="00514C09">
        <w:trPr>
          <w:trHeight w:val="70"/>
        </w:trPr>
        <w:tc>
          <w:tcPr>
            <w:tcW w:w="1784" w:type="dxa"/>
            <w:tcBorders>
              <w:top w:val="nil"/>
              <w:left w:val="nil"/>
              <w:bottom w:val="nil"/>
              <w:right w:val="nil"/>
            </w:tcBorders>
            <w:shd w:val="clear" w:color="000000" w:fill="FFFFFF"/>
            <w:noWrap/>
            <w:vAlign w:val="center"/>
            <w:hideMark/>
          </w:tcPr>
          <w:p w14:paraId="164C2226"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2001" w:type="dxa"/>
            <w:tcBorders>
              <w:top w:val="nil"/>
              <w:left w:val="nil"/>
              <w:bottom w:val="nil"/>
              <w:right w:val="nil"/>
            </w:tcBorders>
            <w:shd w:val="clear" w:color="000000" w:fill="FFFFFF"/>
            <w:noWrap/>
            <w:vAlign w:val="center"/>
            <w:hideMark/>
          </w:tcPr>
          <w:p w14:paraId="01C6CFC5"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1980" w:type="dxa"/>
            <w:tcBorders>
              <w:top w:val="nil"/>
              <w:left w:val="nil"/>
              <w:bottom w:val="nil"/>
              <w:right w:val="nil"/>
            </w:tcBorders>
            <w:shd w:val="clear" w:color="000000" w:fill="FFFFFF"/>
            <w:noWrap/>
            <w:vAlign w:val="center"/>
            <w:hideMark/>
          </w:tcPr>
          <w:p w14:paraId="431D6260"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3481" w:type="dxa"/>
            <w:tcBorders>
              <w:top w:val="nil"/>
              <w:left w:val="nil"/>
              <w:bottom w:val="nil"/>
              <w:right w:val="nil"/>
            </w:tcBorders>
            <w:shd w:val="clear" w:color="000000" w:fill="FFFFFF"/>
            <w:noWrap/>
            <w:vAlign w:val="center"/>
            <w:hideMark/>
          </w:tcPr>
          <w:p w14:paraId="5953E45A" w14:textId="77777777" w:rsidR="00192B82" w:rsidRPr="00192B82" w:rsidRDefault="00192B82" w:rsidP="00192B82">
            <w:pPr>
              <w:ind w:firstLineChars="100" w:firstLine="160"/>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1662" w:type="dxa"/>
            <w:tcBorders>
              <w:top w:val="nil"/>
              <w:left w:val="nil"/>
              <w:bottom w:val="nil"/>
              <w:right w:val="nil"/>
            </w:tcBorders>
            <w:shd w:val="clear" w:color="000000" w:fill="FFFFFF"/>
            <w:noWrap/>
            <w:vAlign w:val="center"/>
            <w:hideMark/>
          </w:tcPr>
          <w:p w14:paraId="026C3B9F"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2020" w:type="dxa"/>
            <w:tcBorders>
              <w:top w:val="nil"/>
              <w:left w:val="nil"/>
              <w:bottom w:val="nil"/>
              <w:right w:val="nil"/>
            </w:tcBorders>
            <w:shd w:val="clear" w:color="000000" w:fill="FFFFFF"/>
            <w:noWrap/>
            <w:vAlign w:val="center"/>
            <w:hideMark/>
          </w:tcPr>
          <w:p w14:paraId="0D37FDF5"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1998" w:type="dxa"/>
            <w:tcBorders>
              <w:top w:val="nil"/>
              <w:left w:val="nil"/>
              <w:bottom w:val="nil"/>
              <w:right w:val="nil"/>
            </w:tcBorders>
            <w:shd w:val="clear" w:color="000000" w:fill="FFFFFF"/>
            <w:noWrap/>
            <w:vAlign w:val="center"/>
            <w:hideMark/>
          </w:tcPr>
          <w:p w14:paraId="38166684"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r>
      <w:tr w:rsidR="00192B82" w:rsidRPr="00192B82" w14:paraId="6CD059C1" w14:textId="77777777" w:rsidTr="00514C09">
        <w:trPr>
          <w:trHeight w:val="312"/>
        </w:trPr>
        <w:tc>
          <w:tcPr>
            <w:tcW w:w="1784" w:type="dxa"/>
            <w:tcBorders>
              <w:top w:val="nil"/>
              <w:left w:val="nil"/>
              <w:bottom w:val="nil"/>
              <w:right w:val="nil"/>
            </w:tcBorders>
            <w:shd w:val="clear" w:color="000000" w:fill="FFFFFF"/>
            <w:noWrap/>
            <w:vAlign w:val="center"/>
            <w:hideMark/>
          </w:tcPr>
          <w:p w14:paraId="781213F5"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9,724</w:t>
            </w:r>
          </w:p>
        </w:tc>
        <w:tc>
          <w:tcPr>
            <w:tcW w:w="2001" w:type="dxa"/>
            <w:tcBorders>
              <w:top w:val="nil"/>
              <w:left w:val="nil"/>
              <w:bottom w:val="nil"/>
              <w:right w:val="nil"/>
            </w:tcBorders>
            <w:shd w:val="clear" w:color="000000" w:fill="FFFFFF"/>
            <w:noWrap/>
            <w:vAlign w:val="center"/>
            <w:hideMark/>
          </w:tcPr>
          <w:p w14:paraId="6894A3C0"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40,570</w:t>
            </w:r>
          </w:p>
        </w:tc>
        <w:tc>
          <w:tcPr>
            <w:tcW w:w="1980" w:type="dxa"/>
            <w:tcBorders>
              <w:top w:val="nil"/>
              <w:left w:val="nil"/>
              <w:bottom w:val="nil"/>
              <w:right w:val="nil"/>
            </w:tcBorders>
            <w:shd w:val="clear" w:color="000000" w:fill="FFFFFF"/>
            <w:noWrap/>
            <w:vAlign w:val="center"/>
            <w:hideMark/>
          </w:tcPr>
          <w:p w14:paraId="295ADF6F"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50,294</w:t>
            </w:r>
          </w:p>
        </w:tc>
        <w:tc>
          <w:tcPr>
            <w:tcW w:w="3481" w:type="dxa"/>
            <w:tcBorders>
              <w:top w:val="nil"/>
              <w:left w:val="nil"/>
              <w:bottom w:val="nil"/>
              <w:right w:val="nil"/>
            </w:tcBorders>
            <w:shd w:val="clear" w:color="000000" w:fill="FFFFFF"/>
            <w:vAlign w:val="center"/>
            <w:hideMark/>
          </w:tcPr>
          <w:p w14:paraId="1E3A6145" w14:textId="77777777" w:rsidR="00192B82" w:rsidRPr="00192B82" w:rsidRDefault="00192B82" w:rsidP="00192B82">
            <w:pPr>
              <w:ind w:firstLineChars="100" w:firstLine="160"/>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Employers' contributions payable to scheme</w:t>
            </w:r>
          </w:p>
        </w:tc>
        <w:tc>
          <w:tcPr>
            <w:tcW w:w="1662" w:type="dxa"/>
            <w:tcBorders>
              <w:top w:val="nil"/>
              <w:left w:val="nil"/>
              <w:bottom w:val="nil"/>
              <w:right w:val="nil"/>
            </w:tcBorders>
            <w:shd w:val="clear" w:color="000000" w:fill="FFFFFF"/>
            <w:noWrap/>
            <w:vAlign w:val="center"/>
            <w:hideMark/>
          </w:tcPr>
          <w:p w14:paraId="40B25388" w14:textId="6B05D0C0" w:rsidR="00192B82" w:rsidRPr="00192B82" w:rsidRDefault="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10,9</w:t>
            </w:r>
            <w:r w:rsidR="00C53179">
              <w:rPr>
                <w:rFonts w:ascii="Verdana" w:eastAsia="Times New Roman" w:hAnsi="Verdana" w:cs="Calibri"/>
                <w:color w:val="000000"/>
                <w:sz w:val="16"/>
                <w:szCs w:val="16"/>
                <w:lang w:val="en-GB" w:eastAsia="en-GB"/>
              </w:rPr>
              <w:t>42</w:t>
            </w:r>
          </w:p>
        </w:tc>
        <w:tc>
          <w:tcPr>
            <w:tcW w:w="2020" w:type="dxa"/>
            <w:tcBorders>
              <w:top w:val="nil"/>
              <w:left w:val="nil"/>
              <w:bottom w:val="nil"/>
              <w:right w:val="nil"/>
            </w:tcBorders>
            <w:shd w:val="clear" w:color="000000" w:fill="FFFFFF"/>
            <w:noWrap/>
            <w:vAlign w:val="center"/>
            <w:hideMark/>
          </w:tcPr>
          <w:p w14:paraId="143B5C7B" w14:textId="59265487" w:rsidR="00192B82" w:rsidRPr="00192B82" w:rsidRDefault="00C53179" w:rsidP="00192B82">
            <w:pPr>
              <w:ind w:firstLineChars="100" w:firstLine="160"/>
              <w:jc w:val="right"/>
              <w:rPr>
                <w:rFonts w:ascii="Verdana" w:eastAsia="Times New Roman" w:hAnsi="Verdana" w:cs="Calibri"/>
                <w:color w:val="000000"/>
                <w:sz w:val="16"/>
                <w:szCs w:val="16"/>
                <w:lang w:val="en-GB" w:eastAsia="en-GB"/>
              </w:rPr>
            </w:pPr>
            <w:r>
              <w:rPr>
                <w:rFonts w:ascii="Verdana" w:eastAsia="Times New Roman" w:hAnsi="Verdana" w:cs="Calibri"/>
                <w:color w:val="000000"/>
                <w:sz w:val="16"/>
                <w:szCs w:val="16"/>
                <w:lang w:val="en-GB" w:eastAsia="en-GB"/>
              </w:rPr>
              <w:t>38,360</w:t>
            </w:r>
          </w:p>
        </w:tc>
        <w:tc>
          <w:tcPr>
            <w:tcW w:w="1998" w:type="dxa"/>
            <w:tcBorders>
              <w:top w:val="nil"/>
              <w:left w:val="nil"/>
              <w:bottom w:val="nil"/>
              <w:right w:val="nil"/>
            </w:tcBorders>
            <w:shd w:val="clear" w:color="000000" w:fill="FFFFFF"/>
            <w:noWrap/>
            <w:vAlign w:val="center"/>
            <w:hideMark/>
          </w:tcPr>
          <w:p w14:paraId="44578684" w14:textId="2E85A5C5" w:rsidR="00192B82" w:rsidRPr="00192B82" w:rsidRDefault="00C53179" w:rsidP="00192B82">
            <w:pPr>
              <w:ind w:firstLineChars="100" w:firstLine="160"/>
              <w:jc w:val="right"/>
              <w:rPr>
                <w:rFonts w:ascii="Verdana" w:eastAsia="Times New Roman" w:hAnsi="Verdana" w:cs="Calibri"/>
                <w:color w:val="000000"/>
                <w:sz w:val="16"/>
                <w:szCs w:val="16"/>
                <w:lang w:val="en-GB" w:eastAsia="en-GB"/>
              </w:rPr>
            </w:pPr>
            <w:r>
              <w:rPr>
                <w:rFonts w:ascii="Verdana" w:eastAsia="Times New Roman" w:hAnsi="Verdana" w:cs="Calibri"/>
                <w:color w:val="000000"/>
                <w:sz w:val="16"/>
                <w:szCs w:val="16"/>
                <w:lang w:val="en-GB" w:eastAsia="en-GB"/>
              </w:rPr>
              <w:t>49,302</w:t>
            </w:r>
          </w:p>
        </w:tc>
      </w:tr>
      <w:tr w:rsidR="00192B82" w:rsidRPr="00192B82" w14:paraId="164E3E3B" w14:textId="77777777" w:rsidTr="00514C09">
        <w:trPr>
          <w:trHeight w:val="70"/>
        </w:trPr>
        <w:tc>
          <w:tcPr>
            <w:tcW w:w="1784" w:type="dxa"/>
            <w:tcBorders>
              <w:top w:val="nil"/>
              <w:left w:val="nil"/>
              <w:bottom w:val="nil"/>
              <w:right w:val="nil"/>
            </w:tcBorders>
            <w:shd w:val="clear" w:color="000000" w:fill="FFFFFF"/>
            <w:noWrap/>
            <w:vAlign w:val="center"/>
            <w:hideMark/>
          </w:tcPr>
          <w:p w14:paraId="10103F39"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2001" w:type="dxa"/>
            <w:tcBorders>
              <w:top w:val="nil"/>
              <w:left w:val="nil"/>
              <w:bottom w:val="nil"/>
              <w:right w:val="nil"/>
            </w:tcBorders>
            <w:shd w:val="clear" w:color="000000" w:fill="FFFFFF"/>
            <w:noWrap/>
            <w:vAlign w:val="center"/>
            <w:hideMark/>
          </w:tcPr>
          <w:p w14:paraId="5A5615CB"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1980" w:type="dxa"/>
            <w:tcBorders>
              <w:top w:val="nil"/>
              <w:left w:val="nil"/>
              <w:bottom w:val="nil"/>
              <w:right w:val="nil"/>
            </w:tcBorders>
            <w:shd w:val="clear" w:color="000000" w:fill="FFFFFF"/>
            <w:noWrap/>
            <w:vAlign w:val="center"/>
            <w:hideMark/>
          </w:tcPr>
          <w:p w14:paraId="338EED68"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3481" w:type="dxa"/>
            <w:tcBorders>
              <w:top w:val="nil"/>
              <w:left w:val="nil"/>
              <w:bottom w:val="nil"/>
              <w:right w:val="nil"/>
            </w:tcBorders>
            <w:shd w:val="clear" w:color="000000" w:fill="FFFFFF"/>
            <w:noWrap/>
            <w:vAlign w:val="center"/>
            <w:hideMark/>
          </w:tcPr>
          <w:p w14:paraId="0D366E66" w14:textId="77777777" w:rsidR="00192B82" w:rsidRPr="00192B82" w:rsidRDefault="00192B82" w:rsidP="00192B82">
            <w:pPr>
              <w:ind w:firstLineChars="100" w:firstLine="160"/>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1662" w:type="dxa"/>
            <w:tcBorders>
              <w:top w:val="nil"/>
              <w:left w:val="nil"/>
              <w:bottom w:val="nil"/>
              <w:right w:val="nil"/>
            </w:tcBorders>
            <w:shd w:val="clear" w:color="000000" w:fill="FFFFFF"/>
            <w:noWrap/>
            <w:vAlign w:val="center"/>
            <w:hideMark/>
          </w:tcPr>
          <w:p w14:paraId="7C35FAB2"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2020" w:type="dxa"/>
            <w:tcBorders>
              <w:top w:val="nil"/>
              <w:left w:val="nil"/>
              <w:bottom w:val="nil"/>
              <w:right w:val="nil"/>
            </w:tcBorders>
            <w:shd w:val="clear" w:color="000000" w:fill="FFFFFF"/>
            <w:noWrap/>
            <w:vAlign w:val="center"/>
            <w:hideMark/>
          </w:tcPr>
          <w:p w14:paraId="3DDF6EFB"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1998" w:type="dxa"/>
            <w:tcBorders>
              <w:top w:val="nil"/>
              <w:left w:val="nil"/>
              <w:bottom w:val="nil"/>
              <w:right w:val="nil"/>
            </w:tcBorders>
            <w:shd w:val="clear" w:color="000000" w:fill="FFFFFF"/>
            <w:noWrap/>
            <w:vAlign w:val="center"/>
            <w:hideMark/>
          </w:tcPr>
          <w:p w14:paraId="3FB177D0"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r>
      <w:tr w:rsidR="00192B82" w:rsidRPr="00192B82" w14:paraId="0AC02F5D" w14:textId="77777777" w:rsidTr="00514C09">
        <w:trPr>
          <w:trHeight w:val="165"/>
        </w:trPr>
        <w:tc>
          <w:tcPr>
            <w:tcW w:w="1784" w:type="dxa"/>
            <w:tcBorders>
              <w:top w:val="single" w:sz="4" w:space="0" w:color="auto"/>
              <w:left w:val="nil"/>
              <w:bottom w:val="single" w:sz="8" w:space="0" w:color="auto"/>
              <w:right w:val="nil"/>
            </w:tcBorders>
            <w:shd w:val="clear" w:color="000000" w:fill="FFFFFF"/>
            <w:noWrap/>
            <w:vAlign w:val="center"/>
            <w:hideMark/>
          </w:tcPr>
          <w:p w14:paraId="52B624D7" w14:textId="77777777" w:rsidR="00192B82" w:rsidRPr="00192B82" w:rsidRDefault="00192B82" w:rsidP="00192B82">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(13,786)</w:t>
            </w:r>
          </w:p>
        </w:tc>
        <w:tc>
          <w:tcPr>
            <w:tcW w:w="2001" w:type="dxa"/>
            <w:tcBorders>
              <w:top w:val="single" w:sz="4" w:space="0" w:color="auto"/>
              <w:left w:val="nil"/>
              <w:bottom w:val="single" w:sz="8" w:space="0" w:color="auto"/>
              <w:right w:val="nil"/>
            </w:tcBorders>
            <w:shd w:val="clear" w:color="000000" w:fill="FFFFFF"/>
            <w:noWrap/>
            <w:vAlign w:val="center"/>
            <w:hideMark/>
          </w:tcPr>
          <w:p w14:paraId="30B029EB" w14:textId="77777777" w:rsidR="00192B82" w:rsidRPr="00192B82" w:rsidRDefault="00192B82" w:rsidP="00192B82">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(49,100)</w:t>
            </w:r>
          </w:p>
        </w:tc>
        <w:tc>
          <w:tcPr>
            <w:tcW w:w="1980" w:type="dxa"/>
            <w:tcBorders>
              <w:top w:val="single" w:sz="4" w:space="0" w:color="auto"/>
              <w:left w:val="nil"/>
              <w:bottom w:val="single" w:sz="8" w:space="0" w:color="auto"/>
              <w:right w:val="nil"/>
            </w:tcBorders>
            <w:shd w:val="clear" w:color="000000" w:fill="FFFFFF"/>
            <w:noWrap/>
            <w:vAlign w:val="center"/>
            <w:hideMark/>
          </w:tcPr>
          <w:p w14:paraId="7144DFBB" w14:textId="77777777" w:rsidR="00192B82" w:rsidRPr="00192B82" w:rsidRDefault="00192B82" w:rsidP="00192B82">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(62,886)</w:t>
            </w:r>
          </w:p>
        </w:tc>
        <w:tc>
          <w:tcPr>
            <w:tcW w:w="3481" w:type="dxa"/>
            <w:tcBorders>
              <w:top w:val="single" w:sz="4" w:space="0" w:color="auto"/>
              <w:left w:val="nil"/>
              <w:bottom w:val="single" w:sz="8" w:space="0" w:color="auto"/>
              <w:right w:val="nil"/>
            </w:tcBorders>
            <w:shd w:val="clear" w:color="000000" w:fill="FFFFFF"/>
            <w:vAlign w:val="center"/>
            <w:hideMark/>
          </w:tcPr>
          <w:p w14:paraId="7A47EE15" w14:textId="77777777" w:rsidR="00192B82" w:rsidRPr="00192B82" w:rsidRDefault="00192B82" w:rsidP="00192B82">
            <w:pPr>
              <w:ind w:firstLineChars="100" w:firstLine="161"/>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 </w:t>
            </w:r>
          </w:p>
        </w:tc>
        <w:tc>
          <w:tcPr>
            <w:tcW w:w="1662" w:type="dxa"/>
            <w:tcBorders>
              <w:top w:val="single" w:sz="4" w:space="0" w:color="auto"/>
              <w:left w:val="nil"/>
              <w:bottom w:val="single" w:sz="8" w:space="0" w:color="auto"/>
              <w:right w:val="nil"/>
            </w:tcBorders>
            <w:shd w:val="clear" w:color="000000" w:fill="FFFFFF"/>
            <w:noWrap/>
            <w:vAlign w:val="center"/>
            <w:hideMark/>
          </w:tcPr>
          <w:p w14:paraId="3485A439" w14:textId="58355187" w:rsidR="00192B82" w:rsidRPr="00192B82" w:rsidRDefault="00192B82" w:rsidP="00192B82">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(9,9</w:t>
            </w:r>
            <w:r w:rsidR="00C53179">
              <w:rPr>
                <w:rFonts w:ascii="Verdana" w:eastAsia="Times New Roman" w:hAnsi="Verdana" w:cs="Calibri"/>
                <w:b/>
                <w:bCs/>
                <w:color w:val="000000"/>
                <w:sz w:val="16"/>
                <w:szCs w:val="16"/>
                <w:lang w:val="en-GB" w:eastAsia="en-GB"/>
              </w:rPr>
              <w:t>21</w:t>
            </w:r>
            <w:r w:rsidRPr="00192B82">
              <w:rPr>
                <w:rFonts w:ascii="Verdana" w:eastAsia="Times New Roman" w:hAnsi="Verdana" w:cs="Calibri"/>
                <w:b/>
                <w:bCs/>
                <w:color w:val="000000"/>
                <w:sz w:val="16"/>
                <w:szCs w:val="16"/>
                <w:lang w:val="en-GB" w:eastAsia="en-GB"/>
              </w:rPr>
              <w:t>)</w:t>
            </w:r>
          </w:p>
        </w:tc>
        <w:tc>
          <w:tcPr>
            <w:tcW w:w="2020" w:type="dxa"/>
            <w:tcBorders>
              <w:top w:val="single" w:sz="4" w:space="0" w:color="auto"/>
              <w:left w:val="nil"/>
              <w:bottom w:val="single" w:sz="8" w:space="0" w:color="auto"/>
              <w:right w:val="nil"/>
            </w:tcBorders>
            <w:shd w:val="clear" w:color="000000" w:fill="FFFFFF"/>
            <w:noWrap/>
            <w:vAlign w:val="center"/>
            <w:hideMark/>
          </w:tcPr>
          <w:p w14:paraId="05F9FDA5" w14:textId="10859584" w:rsidR="00192B82" w:rsidRPr="00192B82" w:rsidRDefault="00192B82" w:rsidP="00192B82">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(5</w:t>
            </w:r>
            <w:r w:rsidR="00C53179">
              <w:rPr>
                <w:rFonts w:ascii="Verdana" w:eastAsia="Times New Roman" w:hAnsi="Verdana" w:cs="Calibri"/>
                <w:b/>
                <w:bCs/>
                <w:color w:val="000000"/>
                <w:sz w:val="16"/>
                <w:szCs w:val="16"/>
                <w:lang w:val="en-GB" w:eastAsia="en-GB"/>
              </w:rPr>
              <w:t>7,710</w:t>
            </w:r>
            <w:r w:rsidRPr="00192B82">
              <w:rPr>
                <w:rFonts w:ascii="Verdana" w:eastAsia="Times New Roman" w:hAnsi="Verdana" w:cs="Calibri"/>
                <w:b/>
                <w:bCs/>
                <w:color w:val="000000"/>
                <w:sz w:val="16"/>
                <w:szCs w:val="16"/>
                <w:lang w:val="en-GB" w:eastAsia="en-GB"/>
              </w:rPr>
              <w:t>)</w:t>
            </w:r>
          </w:p>
        </w:tc>
        <w:tc>
          <w:tcPr>
            <w:tcW w:w="1998" w:type="dxa"/>
            <w:tcBorders>
              <w:top w:val="single" w:sz="4" w:space="0" w:color="auto"/>
              <w:left w:val="nil"/>
              <w:bottom w:val="single" w:sz="8" w:space="0" w:color="auto"/>
              <w:right w:val="nil"/>
            </w:tcBorders>
            <w:shd w:val="clear" w:color="000000" w:fill="FFFFFF"/>
            <w:noWrap/>
            <w:vAlign w:val="center"/>
            <w:hideMark/>
          </w:tcPr>
          <w:p w14:paraId="62845BBC" w14:textId="6FC5AAE3" w:rsidR="00192B82" w:rsidRPr="00192B82" w:rsidRDefault="00192B82" w:rsidP="00192B82">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(6</w:t>
            </w:r>
            <w:r w:rsidR="00C53179">
              <w:rPr>
                <w:rFonts w:ascii="Verdana" w:eastAsia="Times New Roman" w:hAnsi="Verdana" w:cs="Calibri"/>
                <w:b/>
                <w:bCs/>
                <w:color w:val="000000"/>
                <w:sz w:val="16"/>
                <w:szCs w:val="16"/>
                <w:lang w:val="en-GB" w:eastAsia="en-GB"/>
              </w:rPr>
              <w:t>7,631</w:t>
            </w:r>
            <w:r w:rsidRPr="00192B82">
              <w:rPr>
                <w:rFonts w:ascii="Verdana" w:eastAsia="Times New Roman" w:hAnsi="Verdana" w:cs="Calibri"/>
                <w:b/>
                <w:bCs/>
                <w:color w:val="000000"/>
                <w:sz w:val="16"/>
                <w:szCs w:val="16"/>
                <w:lang w:val="en-GB" w:eastAsia="en-GB"/>
              </w:rPr>
              <w:t>)</w:t>
            </w:r>
          </w:p>
        </w:tc>
      </w:tr>
    </w:tbl>
    <w:p w14:paraId="4EA1C216" w14:textId="77777777" w:rsidR="00F227D9" w:rsidRPr="00DC1077" w:rsidRDefault="00F227D9">
      <w:pPr>
        <w:pStyle w:val="Normal0"/>
        <w:spacing w:after="160" w:line="259" w:lineRule="auto"/>
        <w:rPr>
          <w:rFonts w:ascii="Verdana" w:hAnsi="Verdana"/>
          <w:sz w:val="22"/>
          <w:szCs w:val="22"/>
          <w:highlight w:val="yellow"/>
          <w:lang w:val="en-GB"/>
        </w:rPr>
      </w:pPr>
    </w:p>
    <w:tbl>
      <w:tblPr>
        <w:tblW w:w="5000" w:type="pct"/>
        <w:tblLook w:val="04A0" w:firstRow="1" w:lastRow="0" w:firstColumn="1" w:lastColumn="0" w:noHBand="0" w:noVBand="1"/>
      </w:tblPr>
      <w:tblGrid>
        <w:gridCol w:w="1762"/>
        <w:gridCol w:w="2003"/>
        <w:gridCol w:w="2003"/>
        <w:gridCol w:w="3462"/>
        <w:gridCol w:w="1762"/>
        <w:gridCol w:w="2204"/>
        <w:gridCol w:w="2204"/>
      </w:tblGrid>
      <w:tr w:rsidR="00192B82" w:rsidRPr="00192B82" w14:paraId="6F4F3EB9" w14:textId="77777777" w:rsidTr="00764626">
        <w:trPr>
          <w:trHeight w:val="288"/>
        </w:trPr>
        <w:tc>
          <w:tcPr>
            <w:tcW w:w="1929" w:type="pct"/>
            <w:gridSpan w:val="3"/>
            <w:tcBorders>
              <w:top w:val="nil"/>
              <w:left w:val="nil"/>
              <w:bottom w:val="nil"/>
              <w:right w:val="nil"/>
            </w:tcBorders>
            <w:shd w:val="clear" w:color="000000" w:fill="FFFFFF"/>
            <w:noWrap/>
            <w:vAlign w:val="center"/>
            <w:hideMark/>
          </w:tcPr>
          <w:p w14:paraId="2E9FA441"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2019/20</w:t>
            </w:r>
          </w:p>
        </w:tc>
        <w:tc>
          <w:tcPr>
            <w:tcW w:w="1143" w:type="pct"/>
            <w:tcBorders>
              <w:top w:val="nil"/>
              <w:left w:val="nil"/>
              <w:bottom w:val="nil"/>
              <w:right w:val="nil"/>
            </w:tcBorders>
            <w:shd w:val="clear" w:color="000000" w:fill="FFFFFF"/>
            <w:noWrap/>
            <w:vAlign w:val="center"/>
            <w:hideMark/>
          </w:tcPr>
          <w:p w14:paraId="3D6D186C" w14:textId="77777777" w:rsidR="00192B82" w:rsidRPr="00192B82" w:rsidRDefault="00192B82" w:rsidP="00192B82">
            <w:pP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 </w:t>
            </w:r>
          </w:p>
        </w:tc>
        <w:tc>
          <w:tcPr>
            <w:tcW w:w="1928" w:type="pct"/>
            <w:gridSpan w:val="3"/>
            <w:tcBorders>
              <w:top w:val="nil"/>
              <w:left w:val="nil"/>
              <w:bottom w:val="nil"/>
              <w:right w:val="nil"/>
            </w:tcBorders>
            <w:shd w:val="clear" w:color="000000" w:fill="FFFFFF"/>
            <w:noWrap/>
            <w:vAlign w:val="center"/>
            <w:hideMark/>
          </w:tcPr>
          <w:p w14:paraId="1D4EB3AA"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2020/21</w:t>
            </w:r>
          </w:p>
        </w:tc>
      </w:tr>
      <w:tr w:rsidR="00192B82" w:rsidRPr="00192B82" w14:paraId="78C34A08" w14:textId="77777777" w:rsidTr="00764626">
        <w:trPr>
          <w:trHeight w:val="612"/>
        </w:trPr>
        <w:tc>
          <w:tcPr>
            <w:tcW w:w="591" w:type="pct"/>
            <w:tcBorders>
              <w:top w:val="nil"/>
              <w:left w:val="nil"/>
              <w:bottom w:val="nil"/>
              <w:right w:val="nil"/>
            </w:tcBorders>
            <w:shd w:val="clear" w:color="000000" w:fill="FFFFFF"/>
            <w:noWrap/>
            <w:vAlign w:val="center"/>
            <w:hideMark/>
          </w:tcPr>
          <w:p w14:paraId="4E26215D" w14:textId="77777777" w:rsidR="00192B82" w:rsidRPr="00192B82" w:rsidRDefault="00192B82" w:rsidP="00192B82">
            <w:pP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 </w:t>
            </w:r>
          </w:p>
        </w:tc>
        <w:tc>
          <w:tcPr>
            <w:tcW w:w="669" w:type="pct"/>
            <w:tcBorders>
              <w:top w:val="nil"/>
              <w:left w:val="nil"/>
              <w:bottom w:val="nil"/>
              <w:right w:val="nil"/>
            </w:tcBorders>
            <w:shd w:val="clear" w:color="000000" w:fill="FFFFFF"/>
            <w:noWrap/>
            <w:vAlign w:val="center"/>
            <w:hideMark/>
          </w:tcPr>
          <w:p w14:paraId="27DAC4D4" w14:textId="77777777" w:rsidR="00192B82" w:rsidRPr="00192B82" w:rsidRDefault="00192B82" w:rsidP="00192B82">
            <w:pP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 </w:t>
            </w:r>
          </w:p>
        </w:tc>
        <w:tc>
          <w:tcPr>
            <w:tcW w:w="669" w:type="pct"/>
            <w:tcBorders>
              <w:top w:val="nil"/>
              <w:left w:val="nil"/>
              <w:bottom w:val="nil"/>
              <w:right w:val="nil"/>
            </w:tcBorders>
            <w:shd w:val="clear" w:color="000000" w:fill="FFFFFF"/>
            <w:noWrap/>
            <w:vAlign w:val="center"/>
            <w:hideMark/>
          </w:tcPr>
          <w:p w14:paraId="0EBDBCE7" w14:textId="77777777" w:rsidR="00192B82" w:rsidRPr="00192B82" w:rsidRDefault="00192B82" w:rsidP="00192B82">
            <w:pP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 </w:t>
            </w:r>
          </w:p>
        </w:tc>
        <w:tc>
          <w:tcPr>
            <w:tcW w:w="1143" w:type="pct"/>
            <w:tcBorders>
              <w:top w:val="nil"/>
              <w:left w:val="nil"/>
              <w:bottom w:val="nil"/>
              <w:right w:val="nil"/>
            </w:tcBorders>
            <w:shd w:val="clear" w:color="000000" w:fill="FFFFFF"/>
            <w:vAlign w:val="center"/>
            <w:hideMark/>
          </w:tcPr>
          <w:p w14:paraId="2004B320" w14:textId="77777777" w:rsidR="00192B82" w:rsidRPr="00192B82" w:rsidRDefault="00192B82" w:rsidP="00192B82">
            <w:pP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Pensions Assets and Liabilities Recognised in the Balance Sheet</w:t>
            </w:r>
          </w:p>
        </w:tc>
        <w:tc>
          <w:tcPr>
            <w:tcW w:w="591" w:type="pct"/>
            <w:tcBorders>
              <w:top w:val="nil"/>
              <w:left w:val="nil"/>
              <w:bottom w:val="nil"/>
              <w:right w:val="nil"/>
            </w:tcBorders>
            <w:shd w:val="clear" w:color="auto" w:fill="auto"/>
            <w:noWrap/>
            <w:vAlign w:val="center"/>
            <w:hideMark/>
          </w:tcPr>
          <w:p w14:paraId="6F5897DB" w14:textId="77777777" w:rsidR="00192B82" w:rsidRPr="00192B82" w:rsidRDefault="00192B82" w:rsidP="00192B82">
            <w:pPr>
              <w:rPr>
                <w:rFonts w:ascii="Verdana" w:eastAsia="Times New Roman" w:hAnsi="Verdana" w:cs="Calibri"/>
                <w:b/>
                <w:bCs/>
                <w:color w:val="000000"/>
                <w:sz w:val="16"/>
                <w:szCs w:val="16"/>
                <w:lang w:val="en-GB" w:eastAsia="en-GB"/>
              </w:rPr>
            </w:pPr>
          </w:p>
        </w:tc>
        <w:tc>
          <w:tcPr>
            <w:tcW w:w="669" w:type="pct"/>
            <w:tcBorders>
              <w:top w:val="nil"/>
              <w:left w:val="nil"/>
              <w:bottom w:val="nil"/>
              <w:right w:val="nil"/>
            </w:tcBorders>
            <w:shd w:val="clear" w:color="000000" w:fill="FFFFFF"/>
            <w:noWrap/>
            <w:vAlign w:val="center"/>
            <w:hideMark/>
          </w:tcPr>
          <w:p w14:paraId="34C6A678" w14:textId="77777777" w:rsidR="00192B82" w:rsidRPr="00192B82" w:rsidRDefault="00192B82" w:rsidP="00192B82">
            <w:pP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 </w:t>
            </w:r>
          </w:p>
        </w:tc>
        <w:tc>
          <w:tcPr>
            <w:tcW w:w="668" w:type="pct"/>
            <w:tcBorders>
              <w:top w:val="nil"/>
              <w:left w:val="nil"/>
              <w:bottom w:val="nil"/>
              <w:right w:val="nil"/>
            </w:tcBorders>
            <w:shd w:val="clear" w:color="000000" w:fill="FFFFFF"/>
            <w:noWrap/>
            <w:vAlign w:val="center"/>
            <w:hideMark/>
          </w:tcPr>
          <w:p w14:paraId="43ED1173" w14:textId="77777777" w:rsidR="00192B82" w:rsidRPr="00192B82" w:rsidRDefault="00192B82" w:rsidP="00192B82">
            <w:pP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 </w:t>
            </w:r>
          </w:p>
        </w:tc>
      </w:tr>
      <w:tr w:rsidR="00192B82" w:rsidRPr="00192B82" w14:paraId="1B62DAD7" w14:textId="77777777" w:rsidTr="00764626">
        <w:trPr>
          <w:trHeight w:val="204"/>
        </w:trPr>
        <w:tc>
          <w:tcPr>
            <w:tcW w:w="591" w:type="pct"/>
            <w:tcBorders>
              <w:top w:val="nil"/>
              <w:left w:val="nil"/>
              <w:bottom w:val="nil"/>
              <w:right w:val="nil"/>
            </w:tcBorders>
            <w:shd w:val="clear" w:color="000000" w:fill="FFFFFF"/>
            <w:noWrap/>
            <w:vAlign w:val="center"/>
            <w:hideMark/>
          </w:tcPr>
          <w:p w14:paraId="76FC0C44"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 xml:space="preserve">LGPS </w:t>
            </w:r>
          </w:p>
        </w:tc>
        <w:tc>
          <w:tcPr>
            <w:tcW w:w="669" w:type="pct"/>
            <w:tcBorders>
              <w:top w:val="nil"/>
              <w:left w:val="nil"/>
              <w:bottom w:val="nil"/>
              <w:right w:val="nil"/>
            </w:tcBorders>
            <w:shd w:val="clear" w:color="000000" w:fill="FFFFFF"/>
            <w:vAlign w:val="center"/>
            <w:hideMark/>
          </w:tcPr>
          <w:p w14:paraId="3E6F742E"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Police Officers</w:t>
            </w:r>
          </w:p>
        </w:tc>
        <w:tc>
          <w:tcPr>
            <w:tcW w:w="669" w:type="pct"/>
            <w:tcBorders>
              <w:top w:val="nil"/>
              <w:left w:val="nil"/>
              <w:bottom w:val="nil"/>
              <w:right w:val="nil"/>
            </w:tcBorders>
            <w:shd w:val="clear" w:color="000000" w:fill="FFFFFF"/>
            <w:vAlign w:val="center"/>
            <w:hideMark/>
          </w:tcPr>
          <w:p w14:paraId="54C8DCB4"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Total</w:t>
            </w:r>
          </w:p>
        </w:tc>
        <w:tc>
          <w:tcPr>
            <w:tcW w:w="1143" w:type="pct"/>
            <w:tcBorders>
              <w:top w:val="nil"/>
              <w:left w:val="nil"/>
              <w:bottom w:val="nil"/>
              <w:right w:val="nil"/>
            </w:tcBorders>
            <w:shd w:val="clear" w:color="000000" w:fill="FFFFFF"/>
            <w:noWrap/>
            <w:vAlign w:val="center"/>
            <w:hideMark/>
          </w:tcPr>
          <w:p w14:paraId="38C7D6FC" w14:textId="77777777" w:rsidR="00192B82" w:rsidRPr="00192B82" w:rsidRDefault="00192B82" w:rsidP="00192B82">
            <w:pP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 </w:t>
            </w:r>
          </w:p>
        </w:tc>
        <w:tc>
          <w:tcPr>
            <w:tcW w:w="591" w:type="pct"/>
            <w:tcBorders>
              <w:top w:val="nil"/>
              <w:left w:val="nil"/>
              <w:bottom w:val="nil"/>
              <w:right w:val="nil"/>
            </w:tcBorders>
            <w:shd w:val="clear" w:color="000000" w:fill="FFFFFF"/>
            <w:noWrap/>
            <w:vAlign w:val="center"/>
            <w:hideMark/>
          </w:tcPr>
          <w:p w14:paraId="658F431B"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 xml:space="preserve">LGPS </w:t>
            </w:r>
          </w:p>
        </w:tc>
        <w:tc>
          <w:tcPr>
            <w:tcW w:w="669" w:type="pct"/>
            <w:tcBorders>
              <w:top w:val="nil"/>
              <w:left w:val="nil"/>
              <w:bottom w:val="nil"/>
              <w:right w:val="nil"/>
            </w:tcBorders>
            <w:shd w:val="clear" w:color="000000" w:fill="FFFFFF"/>
            <w:vAlign w:val="center"/>
            <w:hideMark/>
          </w:tcPr>
          <w:p w14:paraId="440E608A"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Police Officers</w:t>
            </w:r>
          </w:p>
        </w:tc>
        <w:tc>
          <w:tcPr>
            <w:tcW w:w="668" w:type="pct"/>
            <w:tcBorders>
              <w:top w:val="nil"/>
              <w:left w:val="nil"/>
              <w:bottom w:val="nil"/>
              <w:right w:val="nil"/>
            </w:tcBorders>
            <w:shd w:val="clear" w:color="000000" w:fill="FFFFFF"/>
            <w:vAlign w:val="center"/>
            <w:hideMark/>
          </w:tcPr>
          <w:p w14:paraId="769A6007"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Total</w:t>
            </w:r>
          </w:p>
        </w:tc>
      </w:tr>
      <w:tr w:rsidR="00192B82" w:rsidRPr="00192B82" w14:paraId="3DF5B0C1" w14:textId="77777777" w:rsidTr="00764626">
        <w:trPr>
          <w:trHeight w:val="204"/>
        </w:trPr>
        <w:tc>
          <w:tcPr>
            <w:tcW w:w="591" w:type="pct"/>
            <w:tcBorders>
              <w:top w:val="nil"/>
              <w:left w:val="nil"/>
              <w:bottom w:val="nil"/>
              <w:right w:val="nil"/>
            </w:tcBorders>
            <w:shd w:val="clear" w:color="000000" w:fill="FFFFFF"/>
            <w:noWrap/>
            <w:vAlign w:val="bottom"/>
            <w:hideMark/>
          </w:tcPr>
          <w:p w14:paraId="3A722BF8" w14:textId="77777777" w:rsidR="00192B82" w:rsidRPr="00192B82" w:rsidRDefault="00192B82" w:rsidP="00192B82">
            <w:pPr>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9" w:type="pct"/>
            <w:tcBorders>
              <w:top w:val="nil"/>
              <w:left w:val="nil"/>
              <w:bottom w:val="nil"/>
              <w:right w:val="nil"/>
            </w:tcBorders>
            <w:shd w:val="clear" w:color="000000" w:fill="FFFFFF"/>
            <w:noWrap/>
            <w:vAlign w:val="bottom"/>
            <w:hideMark/>
          </w:tcPr>
          <w:p w14:paraId="490D95F8" w14:textId="77777777" w:rsidR="00192B82" w:rsidRPr="00192B82" w:rsidRDefault="00192B82" w:rsidP="00192B82">
            <w:pPr>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9" w:type="pct"/>
            <w:tcBorders>
              <w:top w:val="nil"/>
              <w:left w:val="nil"/>
              <w:bottom w:val="nil"/>
              <w:right w:val="nil"/>
            </w:tcBorders>
            <w:shd w:val="clear" w:color="000000" w:fill="FFFFFF"/>
            <w:noWrap/>
            <w:vAlign w:val="bottom"/>
            <w:hideMark/>
          </w:tcPr>
          <w:p w14:paraId="293F32DF" w14:textId="77777777" w:rsidR="00192B82" w:rsidRPr="00192B82" w:rsidRDefault="00192B82" w:rsidP="00192B82">
            <w:pPr>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1143" w:type="pct"/>
            <w:tcBorders>
              <w:top w:val="nil"/>
              <w:left w:val="nil"/>
              <w:bottom w:val="nil"/>
              <w:right w:val="nil"/>
            </w:tcBorders>
            <w:shd w:val="clear" w:color="000000" w:fill="FFFFFF"/>
            <w:noWrap/>
            <w:vAlign w:val="bottom"/>
            <w:hideMark/>
          </w:tcPr>
          <w:p w14:paraId="788F5E70" w14:textId="77777777" w:rsidR="00192B82" w:rsidRPr="00192B82" w:rsidRDefault="00192B82" w:rsidP="00192B82">
            <w:pP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 </w:t>
            </w:r>
          </w:p>
        </w:tc>
        <w:tc>
          <w:tcPr>
            <w:tcW w:w="591" w:type="pct"/>
            <w:tcBorders>
              <w:top w:val="nil"/>
              <w:left w:val="nil"/>
              <w:bottom w:val="nil"/>
              <w:right w:val="nil"/>
            </w:tcBorders>
            <w:shd w:val="clear" w:color="000000" w:fill="FFFFFF"/>
            <w:noWrap/>
            <w:vAlign w:val="bottom"/>
            <w:hideMark/>
          </w:tcPr>
          <w:p w14:paraId="2F26EF31" w14:textId="77777777" w:rsidR="00192B82" w:rsidRPr="00192B82" w:rsidRDefault="00192B82" w:rsidP="00192B82">
            <w:pPr>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9" w:type="pct"/>
            <w:tcBorders>
              <w:top w:val="nil"/>
              <w:left w:val="nil"/>
              <w:bottom w:val="nil"/>
              <w:right w:val="nil"/>
            </w:tcBorders>
            <w:shd w:val="clear" w:color="000000" w:fill="FFFFFF"/>
            <w:noWrap/>
            <w:vAlign w:val="bottom"/>
            <w:hideMark/>
          </w:tcPr>
          <w:p w14:paraId="03B2F210" w14:textId="77777777" w:rsidR="00192B82" w:rsidRPr="00192B82" w:rsidRDefault="00192B82" w:rsidP="00192B82">
            <w:pPr>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8" w:type="pct"/>
            <w:tcBorders>
              <w:top w:val="nil"/>
              <w:left w:val="nil"/>
              <w:bottom w:val="nil"/>
              <w:right w:val="nil"/>
            </w:tcBorders>
            <w:shd w:val="clear" w:color="000000" w:fill="FFFFFF"/>
            <w:noWrap/>
            <w:vAlign w:val="bottom"/>
            <w:hideMark/>
          </w:tcPr>
          <w:p w14:paraId="02FCF954" w14:textId="77777777" w:rsidR="00192B82" w:rsidRPr="00192B82" w:rsidRDefault="00192B82" w:rsidP="00192B82">
            <w:pPr>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r>
      <w:tr w:rsidR="00192B82" w:rsidRPr="00192B82" w14:paraId="6BFC13FF" w14:textId="77777777" w:rsidTr="00764626">
        <w:trPr>
          <w:trHeight w:val="204"/>
        </w:trPr>
        <w:tc>
          <w:tcPr>
            <w:tcW w:w="591" w:type="pct"/>
            <w:tcBorders>
              <w:top w:val="nil"/>
              <w:left w:val="nil"/>
              <w:bottom w:val="single" w:sz="4" w:space="0" w:color="auto"/>
              <w:right w:val="nil"/>
            </w:tcBorders>
            <w:shd w:val="clear" w:color="000000" w:fill="FFFFFF"/>
            <w:noWrap/>
            <w:vAlign w:val="center"/>
            <w:hideMark/>
          </w:tcPr>
          <w:p w14:paraId="158AC086"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£000</w:t>
            </w:r>
          </w:p>
        </w:tc>
        <w:tc>
          <w:tcPr>
            <w:tcW w:w="669" w:type="pct"/>
            <w:tcBorders>
              <w:top w:val="nil"/>
              <w:left w:val="nil"/>
              <w:bottom w:val="single" w:sz="4" w:space="0" w:color="auto"/>
              <w:right w:val="nil"/>
            </w:tcBorders>
            <w:shd w:val="clear" w:color="000000" w:fill="FFFFFF"/>
            <w:noWrap/>
            <w:vAlign w:val="center"/>
            <w:hideMark/>
          </w:tcPr>
          <w:p w14:paraId="07088816"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£000</w:t>
            </w:r>
          </w:p>
        </w:tc>
        <w:tc>
          <w:tcPr>
            <w:tcW w:w="669" w:type="pct"/>
            <w:tcBorders>
              <w:top w:val="nil"/>
              <w:left w:val="nil"/>
              <w:bottom w:val="single" w:sz="4" w:space="0" w:color="auto"/>
              <w:right w:val="nil"/>
            </w:tcBorders>
            <w:shd w:val="clear" w:color="000000" w:fill="FFFFFF"/>
            <w:noWrap/>
            <w:vAlign w:val="center"/>
            <w:hideMark/>
          </w:tcPr>
          <w:p w14:paraId="6D595854"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£000</w:t>
            </w:r>
          </w:p>
        </w:tc>
        <w:tc>
          <w:tcPr>
            <w:tcW w:w="1143" w:type="pct"/>
            <w:tcBorders>
              <w:top w:val="nil"/>
              <w:left w:val="nil"/>
              <w:bottom w:val="single" w:sz="4" w:space="0" w:color="auto"/>
              <w:right w:val="nil"/>
            </w:tcBorders>
            <w:shd w:val="clear" w:color="000000" w:fill="FFFFFF"/>
            <w:noWrap/>
            <w:vAlign w:val="center"/>
            <w:hideMark/>
          </w:tcPr>
          <w:p w14:paraId="179E9264"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 </w:t>
            </w:r>
          </w:p>
        </w:tc>
        <w:tc>
          <w:tcPr>
            <w:tcW w:w="591" w:type="pct"/>
            <w:tcBorders>
              <w:top w:val="nil"/>
              <w:left w:val="nil"/>
              <w:bottom w:val="single" w:sz="4" w:space="0" w:color="auto"/>
              <w:right w:val="nil"/>
            </w:tcBorders>
            <w:shd w:val="clear" w:color="000000" w:fill="FFFFFF"/>
            <w:noWrap/>
            <w:vAlign w:val="center"/>
            <w:hideMark/>
          </w:tcPr>
          <w:p w14:paraId="3962D42E"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£000</w:t>
            </w:r>
          </w:p>
        </w:tc>
        <w:tc>
          <w:tcPr>
            <w:tcW w:w="669" w:type="pct"/>
            <w:tcBorders>
              <w:top w:val="nil"/>
              <w:left w:val="nil"/>
              <w:bottom w:val="single" w:sz="4" w:space="0" w:color="auto"/>
              <w:right w:val="nil"/>
            </w:tcBorders>
            <w:shd w:val="clear" w:color="000000" w:fill="FFFFFF"/>
            <w:noWrap/>
            <w:vAlign w:val="center"/>
            <w:hideMark/>
          </w:tcPr>
          <w:p w14:paraId="1F72B7FD"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£000</w:t>
            </w:r>
          </w:p>
        </w:tc>
        <w:tc>
          <w:tcPr>
            <w:tcW w:w="668" w:type="pct"/>
            <w:tcBorders>
              <w:top w:val="nil"/>
              <w:left w:val="nil"/>
              <w:bottom w:val="single" w:sz="4" w:space="0" w:color="auto"/>
              <w:right w:val="nil"/>
            </w:tcBorders>
            <w:shd w:val="clear" w:color="000000" w:fill="FFFFFF"/>
            <w:noWrap/>
            <w:vAlign w:val="center"/>
            <w:hideMark/>
          </w:tcPr>
          <w:p w14:paraId="0F091F22"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£000</w:t>
            </w:r>
          </w:p>
        </w:tc>
      </w:tr>
      <w:tr w:rsidR="00192B82" w:rsidRPr="00192B82" w14:paraId="63E5A7F5" w14:textId="77777777" w:rsidTr="00764626">
        <w:trPr>
          <w:trHeight w:val="408"/>
        </w:trPr>
        <w:tc>
          <w:tcPr>
            <w:tcW w:w="591" w:type="pct"/>
            <w:tcBorders>
              <w:top w:val="nil"/>
              <w:left w:val="nil"/>
              <w:bottom w:val="nil"/>
              <w:right w:val="nil"/>
            </w:tcBorders>
            <w:shd w:val="clear" w:color="000000" w:fill="FFFFFF"/>
            <w:noWrap/>
            <w:vAlign w:val="center"/>
            <w:hideMark/>
          </w:tcPr>
          <w:p w14:paraId="409803C4"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(403,072)</w:t>
            </w:r>
          </w:p>
        </w:tc>
        <w:tc>
          <w:tcPr>
            <w:tcW w:w="669" w:type="pct"/>
            <w:tcBorders>
              <w:top w:val="nil"/>
              <w:left w:val="nil"/>
              <w:bottom w:val="nil"/>
              <w:right w:val="nil"/>
            </w:tcBorders>
            <w:shd w:val="clear" w:color="000000" w:fill="FFFFFF"/>
            <w:noWrap/>
            <w:vAlign w:val="center"/>
            <w:hideMark/>
          </w:tcPr>
          <w:p w14:paraId="22D53FDC"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(1,896,060)</w:t>
            </w:r>
          </w:p>
        </w:tc>
        <w:tc>
          <w:tcPr>
            <w:tcW w:w="669" w:type="pct"/>
            <w:tcBorders>
              <w:top w:val="nil"/>
              <w:left w:val="nil"/>
              <w:bottom w:val="nil"/>
              <w:right w:val="nil"/>
            </w:tcBorders>
            <w:shd w:val="clear" w:color="000000" w:fill="FFFFFF"/>
            <w:noWrap/>
            <w:vAlign w:val="center"/>
            <w:hideMark/>
          </w:tcPr>
          <w:p w14:paraId="69FFA39A"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(2,299,132)</w:t>
            </w:r>
          </w:p>
        </w:tc>
        <w:tc>
          <w:tcPr>
            <w:tcW w:w="1143" w:type="pct"/>
            <w:tcBorders>
              <w:top w:val="nil"/>
              <w:left w:val="nil"/>
              <w:bottom w:val="nil"/>
              <w:right w:val="nil"/>
            </w:tcBorders>
            <w:shd w:val="clear" w:color="000000" w:fill="FFFFFF"/>
            <w:vAlign w:val="center"/>
            <w:hideMark/>
          </w:tcPr>
          <w:p w14:paraId="0F342C21" w14:textId="327A0916" w:rsidR="00192B82" w:rsidRPr="00192B82" w:rsidRDefault="00764626" w:rsidP="00192B82">
            <w:pPr>
              <w:ind w:firstLineChars="100" w:firstLine="160"/>
              <w:rPr>
                <w:rFonts w:ascii="Verdana" w:eastAsia="Times New Roman" w:hAnsi="Verdana" w:cs="Calibri"/>
                <w:color w:val="000000"/>
                <w:sz w:val="16"/>
                <w:szCs w:val="16"/>
                <w:lang w:val="en-GB" w:eastAsia="en-GB"/>
              </w:rPr>
            </w:pPr>
            <w:r>
              <w:rPr>
                <w:rFonts w:ascii="Verdana" w:eastAsia="Times New Roman" w:hAnsi="Verdana" w:cs="Calibri"/>
                <w:color w:val="000000"/>
                <w:sz w:val="16"/>
                <w:szCs w:val="16"/>
                <w:lang w:val="en-GB" w:eastAsia="en-GB"/>
              </w:rPr>
              <w:t>Present value of the defin</w:t>
            </w:r>
            <w:r w:rsidR="00192B82" w:rsidRPr="00192B82">
              <w:rPr>
                <w:rFonts w:ascii="Verdana" w:eastAsia="Times New Roman" w:hAnsi="Verdana" w:cs="Calibri"/>
                <w:color w:val="000000"/>
                <w:sz w:val="16"/>
                <w:szCs w:val="16"/>
                <w:lang w:val="en-GB" w:eastAsia="en-GB"/>
              </w:rPr>
              <w:t>ed obligation</w:t>
            </w:r>
          </w:p>
        </w:tc>
        <w:tc>
          <w:tcPr>
            <w:tcW w:w="591" w:type="pct"/>
            <w:tcBorders>
              <w:top w:val="nil"/>
              <w:left w:val="nil"/>
              <w:bottom w:val="nil"/>
              <w:right w:val="nil"/>
            </w:tcBorders>
            <w:shd w:val="clear" w:color="000000" w:fill="FFFFFF"/>
            <w:noWrap/>
            <w:vAlign w:val="center"/>
            <w:hideMark/>
          </w:tcPr>
          <w:p w14:paraId="5F8DB804"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(575,908)</w:t>
            </w:r>
          </w:p>
        </w:tc>
        <w:tc>
          <w:tcPr>
            <w:tcW w:w="669" w:type="pct"/>
            <w:tcBorders>
              <w:top w:val="nil"/>
              <w:left w:val="nil"/>
              <w:bottom w:val="nil"/>
              <w:right w:val="nil"/>
            </w:tcBorders>
            <w:shd w:val="clear" w:color="000000" w:fill="FFFFFF"/>
            <w:noWrap/>
            <w:vAlign w:val="center"/>
            <w:hideMark/>
          </w:tcPr>
          <w:p w14:paraId="5AD95CF9" w14:textId="0D39C0AD" w:rsidR="00192B82" w:rsidRPr="00192B82" w:rsidRDefault="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(1,</w:t>
            </w:r>
            <w:r w:rsidR="00A94DE1">
              <w:rPr>
                <w:rFonts w:ascii="Verdana" w:eastAsia="Times New Roman" w:hAnsi="Verdana" w:cs="Calibri"/>
                <w:color w:val="000000"/>
                <w:sz w:val="16"/>
                <w:szCs w:val="16"/>
                <w:lang w:val="en-GB" w:eastAsia="en-GB"/>
              </w:rPr>
              <w:t>956,910</w:t>
            </w:r>
            <w:r w:rsidRPr="00192B82">
              <w:rPr>
                <w:rFonts w:ascii="Verdana" w:eastAsia="Times New Roman" w:hAnsi="Verdana" w:cs="Calibri"/>
                <w:color w:val="000000"/>
                <w:sz w:val="16"/>
                <w:szCs w:val="16"/>
                <w:lang w:val="en-GB" w:eastAsia="en-GB"/>
              </w:rPr>
              <w:t>)</w:t>
            </w:r>
          </w:p>
        </w:tc>
        <w:tc>
          <w:tcPr>
            <w:tcW w:w="668" w:type="pct"/>
            <w:tcBorders>
              <w:top w:val="nil"/>
              <w:left w:val="nil"/>
              <w:bottom w:val="nil"/>
              <w:right w:val="nil"/>
            </w:tcBorders>
            <w:shd w:val="clear" w:color="000000" w:fill="FFFFFF"/>
            <w:noWrap/>
            <w:vAlign w:val="center"/>
            <w:hideMark/>
          </w:tcPr>
          <w:p w14:paraId="5FD0AF65" w14:textId="7BA16A36" w:rsidR="00192B82" w:rsidRPr="00192B82" w:rsidRDefault="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(2,</w:t>
            </w:r>
            <w:r w:rsidR="00A94DE1">
              <w:rPr>
                <w:rFonts w:ascii="Verdana" w:eastAsia="Times New Roman" w:hAnsi="Verdana" w:cs="Calibri"/>
                <w:color w:val="000000"/>
                <w:sz w:val="16"/>
                <w:szCs w:val="16"/>
                <w:lang w:val="en-GB" w:eastAsia="en-GB"/>
              </w:rPr>
              <w:t>532,818</w:t>
            </w:r>
            <w:r w:rsidRPr="00192B82">
              <w:rPr>
                <w:rFonts w:ascii="Verdana" w:eastAsia="Times New Roman" w:hAnsi="Verdana" w:cs="Calibri"/>
                <w:color w:val="000000"/>
                <w:sz w:val="16"/>
                <w:szCs w:val="16"/>
                <w:lang w:val="en-GB" w:eastAsia="en-GB"/>
              </w:rPr>
              <w:t>)</w:t>
            </w:r>
          </w:p>
        </w:tc>
      </w:tr>
      <w:tr w:rsidR="00192B82" w:rsidRPr="00192B82" w14:paraId="5B6A6A48" w14:textId="77777777" w:rsidTr="00764626">
        <w:trPr>
          <w:trHeight w:val="70"/>
        </w:trPr>
        <w:tc>
          <w:tcPr>
            <w:tcW w:w="591" w:type="pct"/>
            <w:tcBorders>
              <w:top w:val="nil"/>
              <w:left w:val="nil"/>
              <w:bottom w:val="nil"/>
              <w:right w:val="nil"/>
            </w:tcBorders>
            <w:shd w:val="clear" w:color="000000" w:fill="FFFFFF"/>
            <w:noWrap/>
            <w:vAlign w:val="center"/>
            <w:hideMark/>
          </w:tcPr>
          <w:p w14:paraId="40780E94"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272,577</w:t>
            </w:r>
          </w:p>
        </w:tc>
        <w:tc>
          <w:tcPr>
            <w:tcW w:w="669" w:type="pct"/>
            <w:tcBorders>
              <w:top w:val="nil"/>
              <w:left w:val="nil"/>
              <w:bottom w:val="nil"/>
              <w:right w:val="nil"/>
            </w:tcBorders>
            <w:shd w:val="clear" w:color="000000" w:fill="FFFFFF"/>
            <w:noWrap/>
            <w:vAlign w:val="center"/>
            <w:hideMark/>
          </w:tcPr>
          <w:p w14:paraId="58D42459"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0</w:t>
            </w:r>
          </w:p>
        </w:tc>
        <w:tc>
          <w:tcPr>
            <w:tcW w:w="669" w:type="pct"/>
            <w:tcBorders>
              <w:top w:val="nil"/>
              <w:left w:val="nil"/>
              <w:bottom w:val="nil"/>
              <w:right w:val="nil"/>
            </w:tcBorders>
            <w:shd w:val="clear" w:color="000000" w:fill="FFFFFF"/>
            <w:noWrap/>
            <w:vAlign w:val="center"/>
            <w:hideMark/>
          </w:tcPr>
          <w:p w14:paraId="5D834957"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272,577</w:t>
            </w:r>
          </w:p>
        </w:tc>
        <w:tc>
          <w:tcPr>
            <w:tcW w:w="1143" w:type="pct"/>
            <w:tcBorders>
              <w:top w:val="nil"/>
              <w:left w:val="nil"/>
              <w:bottom w:val="nil"/>
              <w:right w:val="nil"/>
            </w:tcBorders>
            <w:shd w:val="clear" w:color="000000" w:fill="FFFFFF"/>
            <w:noWrap/>
            <w:vAlign w:val="center"/>
            <w:hideMark/>
          </w:tcPr>
          <w:p w14:paraId="10A174BC" w14:textId="77777777" w:rsidR="00192B82" w:rsidRPr="00192B82" w:rsidRDefault="00192B82" w:rsidP="00192B82">
            <w:pPr>
              <w:ind w:firstLineChars="100" w:firstLine="160"/>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Fair value of plan assets</w:t>
            </w:r>
          </w:p>
        </w:tc>
        <w:tc>
          <w:tcPr>
            <w:tcW w:w="591" w:type="pct"/>
            <w:tcBorders>
              <w:top w:val="nil"/>
              <w:left w:val="nil"/>
              <w:bottom w:val="nil"/>
              <w:right w:val="nil"/>
            </w:tcBorders>
            <w:shd w:val="clear" w:color="000000" w:fill="FFFFFF"/>
            <w:noWrap/>
            <w:vAlign w:val="center"/>
            <w:hideMark/>
          </w:tcPr>
          <w:p w14:paraId="1D0819E1"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358,772</w:t>
            </w:r>
          </w:p>
        </w:tc>
        <w:tc>
          <w:tcPr>
            <w:tcW w:w="669" w:type="pct"/>
            <w:tcBorders>
              <w:top w:val="nil"/>
              <w:left w:val="nil"/>
              <w:bottom w:val="nil"/>
              <w:right w:val="nil"/>
            </w:tcBorders>
            <w:shd w:val="clear" w:color="000000" w:fill="FFFFFF"/>
            <w:noWrap/>
            <w:vAlign w:val="center"/>
            <w:hideMark/>
          </w:tcPr>
          <w:p w14:paraId="5AD58E73"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0</w:t>
            </w:r>
          </w:p>
        </w:tc>
        <w:tc>
          <w:tcPr>
            <w:tcW w:w="668" w:type="pct"/>
            <w:tcBorders>
              <w:top w:val="nil"/>
              <w:left w:val="nil"/>
              <w:bottom w:val="nil"/>
              <w:right w:val="nil"/>
            </w:tcBorders>
            <w:shd w:val="clear" w:color="000000" w:fill="FFFFFF"/>
            <w:noWrap/>
            <w:vAlign w:val="center"/>
            <w:hideMark/>
          </w:tcPr>
          <w:p w14:paraId="4DC6B714"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358,772</w:t>
            </w:r>
          </w:p>
        </w:tc>
      </w:tr>
      <w:tr w:rsidR="00192B82" w:rsidRPr="00192B82" w14:paraId="50AD2590" w14:textId="77777777" w:rsidTr="00764626">
        <w:trPr>
          <w:trHeight w:val="70"/>
        </w:trPr>
        <w:tc>
          <w:tcPr>
            <w:tcW w:w="591" w:type="pct"/>
            <w:tcBorders>
              <w:top w:val="nil"/>
              <w:left w:val="nil"/>
              <w:bottom w:val="nil"/>
              <w:right w:val="nil"/>
            </w:tcBorders>
            <w:shd w:val="clear" w:color="000000" w:fill="FFFFFF"/>
            <w:noWrap/>
            <w:vAlign w:val="center"/>
            <w:hideMark/>
          </w:tcPr>
          <w:p w14:paraId="1C7C3B34"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9" w:type="pct"/>
            <w:tcBorders>
              <w:top w:val="nil"/>
              <w:left w:val="nil"/>
              <w:bottom w:val="nil"/>
              <w:right w:val="nil"/>
            </w:tcBorders>
            <w:shd w:val="clear" w:color="000000" w:fill="FFFFFF"/>
            <w:noWrap/>
            <w:vAlign w:val="center"/>
            <w:hideMark/>
          </w:tcPr>
          <w:p w14:paraId="64F7F4B5"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9" w:type="pct"/>
            <w:tcBorders>
              <w:top w:val="nil"/>
              <w:left w:val="nil"/>
              <w:bottom w:val="nil"/>
              <w:right w:val="nil"/>
            </w:tcBorders>
            <w:shd w:val="clear" w:color="000000" w:fill="FFFFFF"/>
            <w:noWrap/>
            <w:vAlign w:val="center"/>
            <w:hideMark/>
          </w:tcPr>
          <w:p w14:paraId="1773B426"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1143" w:type="pct"/>
            <w:tcBorders>
              <w:top w:val="nil"/>
              <w:left w:val="nil"/>
              <w:bottom w:val="nil"/>
              <w:right w:val="nil"/>
            </w:tcBorders>
            <w:shd w:val="clear" w:color="000000" w:fill="FFFFFF"/>
            <w:noWrap/>
            <w:vAlign w:val="center"/>
            <w:hideMark/>
          </w:tcPr>
          <w:p w14:paraId="4CD2DAF7" w14:textId="77777777" w:rsidR="00192B82" w:rsidRPr="00192B82" w:rsidRDefault="00192B82" w:rsidP="00192B82">
            <w:pPr>
              <w:ind w:firstLineChars="100" w:firstLine="160"/>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591" w:type="pct"/>
            <w:tcBorders>
              <w:top w:val="nil"/>
              <w:left w:val="nil"/>
              <w:bottom w:val="nil"/>
              <w:right w:val="nil"/>
            </w:tcBorders>
            <w:shd w:val="clear" w:color="000000" w:fill="FFFFFF"/>
            <w:noWrap/>
            <w:vAlign w:val="center"/>
            <w:hideMark/>
          </w:tcPr>
          <w:p w14:paraId="5027024E"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9" w:type="pct"/>
            <w:tcBorders>
              <w:top w:val="nil"/>
              <w:left w:val="nil"/>
              <w:bottom w:val="nil"/>
              <w:right w:val="nil"/>
            </w:tcBorders>
            <w:shd w:val="clear" w:color="000000" w:fill="FFFFFF"/>
            <w:noWrap/>
            <w:vAlign w:val="center"/>
            <w:hideMark/>
          </w:tcPr>
          <w:p w14:paraId="03905C9B"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8" w:type="pct"/>
            <w:tcBorders>
              <w:top w:val="nil"/>
              <w:left w:val="nil"/>
              <w:bottom w:val="nil"/>
              <w:right w:val="nil"/>
            </w:tcBorders>
            <w:shd w:val="clear" w:color="000000" w:fill="FFFFFF"/>
            <w:noWrap/>
            <w:vAlign w:val="center"/>
            <w:hideMark/>
          </w:tcPr>
          <w:p w14:paraId="543D59DC"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r>
      <w:tr w:rsidR="00192B82" w:rsidRPr="00192B82" w14:paraId="54A1504B" w14:textId="77777777" w:rsidTr="00764626">
        <w:trPr>
          <w:trHeight w:val="624"/>
        </w:trPr>
        <w:tc>
          <w:tcPr>
            <w:tcW w:w="591" w:type="pct"/>
            <w:tcBorders>
              <w:top w:val="single" w:sz="4" w:space="0" w:color="auto"/>
              <w:left w:val="nil"/>
              <w:bottom w:val="single" w:sz="8" w:space="0" w:color="auto"/>
              <w:right w:val="nil"/>
            </w:tcBorders>
            <w:shd w:val="clear" w:color="000000" w:fill="FFFFFF"/>
            <w:noWrap/>
            <w:vAlign w:val="center"/>
            <w:hideMark/>
          </w:tcPr>
          <w:p w14:paraId="1D86DA95" w14:textId="77777777" w:rsidR="00192B82" w:rsidRPr="00192B82" w:rsidRDefault="00192B82" w:rsidP="00192B82">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(130,495)</w:t>
            </w:r>
          </w:p>
        </w:tc>
        <w:tc>
          <w:tcPr>
            <w:tcW w:w="669" w:type="pct"/>
            <w:tcBorders>
              <w:top w:val="single" w:sz="4" w:space="0" w:color="auto"/>
              <w:left w:val="nil"/>
              <w:bottom w:val="single" w:sz="8" w:space="0" w:color="auto"/>
              <w:right w:val="nil"/>
            </w:tcBorders>
            <w:shd w:val="clear" w:color="000000" w:fill="FFFFFF"/>
            <w:noWrap/>
            <w:vAlign w:val="center"/>
            <w:hideMark/>
          </w:tcPr>
          <w:p w14:paraId="597C54BA" w14:textId="77777777" w:rsidR="00192B82" w:rsidRPr="00192B82" w:rsidRDefault="00192B82" w:rsidP="00192B82">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(1,896,060)</w:t>
            </w:r>
          </w:p>
        </w:tc>
        <w:tc>
          <w:tcPr>
            <w:tcW w:w="669" w:type="pct"/>
            <w:tcBorders>
              <w:top w:val="single" w:sz="4" w:space="0" w:color="auto"/>
              <w:left w:val="nil"/>
              <w:bottom w:val="single" w:sz="8" w:space="0" w:color="auto"/>
              <w:right w:val="nil"/>
            </w:tcBorders>
            <w:shd w:val="clear" w:color="000000" w:fill="FFFFFF"/>
            <w:noWrap/>
            <w:vAlign w:val="center"/>
            <w:hideMark/>
          </w:tcPr>
          <w:p w14:paraId="11CB522B" w14:textId="77777777" w:rsidR="00192B82" w:rsidRPr="00192B82" w:rsidRDefault="00192B82" w:rsidP="00192B82">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(2,026,555)</w:t>
            </w:r>
          </w:p>
        </w:tc>
        <w:tc>
          <w:tcPr>
            <w:tcW w:w="1143" w:type="pct"/>
            <w:tcBorders>
              <w:top w:val="single" w:sz="4" w:space="0" w:color="auto"/>
              <w:left w:val="nil"/>
              <w:bottom w:val="single" w:sz="8" w:space="0" w:color="auto"/>
              <w:right w:val="nil"/>
            </w:tcBorders>
            <w:shd w:val="clear" w:color="000000" w:fill="FFFFFF"/>
            <w:vAlign w:val="center"/>
            <w:hideMark/>
          </w:tcPr>
          <w:p w14:paraId="401BF2FE" w14:textId="77777777" w:rsidR="00192B82" w:rsidRPr="00192B82" w:rsidRDefault="00192B82" w:rsidP="00192B82">
            <w:pPr>
              <w:ind w:firstLineChars="100" w:firstLine="161"/>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Net (liability) / asset arising from the defined benefit obligation</w:t>
            </w:r>
          </w:p>
        </w:tc>
        <w:tc>
          <w:tcPr>
            <w:tcW w:w="591" w:type="pct"/>
            <w:tcBorders>
              <w:top w:val="single" w:sz="4" w:space="0" w:color="auto"/>
              <w:left w:val="nil"/>
              <w:bottom w:val="single" w:sz="8" w:space="0" w:color="auto"/>
              <w:right w:val="nil"/>
            </w:tcBorders>
            <w:shd w:val="clear" w:color="000000" w:fill="FFFFFF"/>
            <w:noWrap/>
            <w:vAlign w:val="center"/>
            <w:hideMark/>
          </w:tcPr>
          <w:p w14:paraId="0B45DD08" w14:textId="77777777" w:rsidR="00192B82" w:rsidRPr="00192B82" w:rsidRDefault="00192B82" w:rsidP="00192B82">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(217,136)</w:t>
            </w:r>
          </w:p>
        </w:tc>
        <w:tc>
          <w:tcPr>
            <w:tcW w:w="669" w:type="pct"/>
            <w:tcBorders>
              <w:top w:val="single" w:sz="4" w:space="0" w:color="auto"/>
              <w:left w:val="nil"/>
              <w:bottom w:val="single" w:sz="8" w:space="0" w:color="auto"/>
              <w:right w:val="nil"/>
            </w:tcBorders>
            <w:shd w:val="clear" w:color="000000" w:fill="FFFFFF"/>
            <w:noWrap/>
            <w:vAlign w:val="center"/>
            <w:hideMark/>
          </w:tcPr>
          <w:p w14:paraId="123D3ED2" w14:textId="7A7490C0" w:rsidR="00192B82" w:rsidRPr="00192B82" w:rsidRDefault="00192B82" w:rsidP="00192B82">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(1,</w:t>
            </w:r>
            <w:r w:rsidR="00A94DE1">
              <w:rPr>
                <w:rFonts w:ascii="Verdana" w:eastAsia="Times New Roman" w:hAnsi="Verdana" w:cs="Calibri"/>
                <w:b/>
                <w:bCs/>
                <w:color w:val="000000"/>
                <w:sz w:val="16"/>
                <w:szCs w:val="16"/>
                <w:lang w:val="en-GB" w:eastAsia="en-GB"/>
              </w:rPr>
              <w:t>956,910</w:t>
            </w:r>
            <w:r w:rsidRPr="00192B82">
              <w:rPr>
                <w:rFonts w:ascii="Verdana" w:eastAsia="Times New Roman" w:hAnsi="Verdana" w:cs="Calibri"/>
                <w:b/>
                <w:bCs/>
                <w:color w:val="000000"/>
                <w:sz w:val="16"/>
                <w:szCs w:val="16"/>
                <w:lang w:val="en-GB" w:eastAsia="en-GB"/>
              </w:rPr>
              <w:t>)</w:t>
            </w:r>
          </w:p>
        </w:tc>
        <w:tc>
          <w:tcPr>
            <w:tcW w:w="668" w:type="pct"/>
            <w:tcBorders>
              <w:top w:val="single" w:sz="4" w:space="0" w:color="auto"/>
              <w:left w:val="nil"/>
              <w:bottom w:val="single" w:sz="8" w:space="0" w:color="auto"/>
              <w:right w:val="nil"/>
            </w:tcBorders>
            <w:shd w:val="clear" w:color="000000" w:fill="FFFFFF"/>
            <w:noWrap/>
            <w:vAlign w:val="center"/>
            <w:hideMark/>
          </w:tcPr>
          <w:p w14:paraId="529FB9A2" w14:textId="64E20EC2" w:rsidR="00192B82" w:rsidRPr="00192B82" w:rsidRDefault="00192B82" w:rsidP="00192B82">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(2,</w:t>
            </w:r>
            <w:r w:rsidR="00A94DE1">
              <w:rPr>
                <w:rFonts w:ascii="Verdana" w:eastAsia="Times New Roman" w:hAnsi="Verdana" w:cs="Calibri"/>
                <w:b/>
                <w:bCs/>
                <w:color w:val="000000"/>
                <w:sz w:val="16"/>
                <w:szCs w:val="16"/>
                <w:lang w:val="en-GB" w:eastAsia="en-GB"/>
              </w:rPr>
              <w:t>174,046</w:t>
            </w:r>
            <w:r w:rsidRPr="00192B82">
              <w:rPr>
                <w:rFonts w:ascii="Verdana" w:eastAsia="Times New Roman" w:hAnsi="Verdana" w:cs="Calibri"/>
                <w:b/>
                <w:bCs/>
                <w:color w:val="000000"/>
                <w:sz w:val="16"/>
                <w:szCs w:val="16"/>
                <w:lang w:val="en-GB" w:eastAsia="en-GB"/>
              </w:rPr>
              <w:t>)</w:t>
            </w:r>
          </w:p>
        </w:tc>
      </w:tr>
    </w:tbl>
    <w:p w14:paraId="1188F7B8" w14:textId="77777777" w:rsidR="00764626" w:rsidRDefault="00764626">
      <w:r>
        <w:br w:type="page"/>
      </w:r>
    </w:p>
    <w:tbl>
      <w:tblPr>
        <w:tblW w:w="5000" w:type="pct"/>
        <w:tblLook w:val="04A0" w:firstRow="1" w:lastRow="0" w:firstColumn="1" w:lastColumn="0" w:noHBand="0" w:noVBand="1"/>
      </w:tblPr>
      <w:tblGrid>
        <w:gridCol w:w="1820"/>
        <w:gridCol w:w="2061"/>
        <w:gridCol w:w="2061"/>
        <w:gridCol w:w="3520"/>
        <w:gridCol w:w="1820"/>
        <w:gridCol w:w="2061"/>
        <w:gridCol w:w="2057"/>
      </w:tblGrid>
      <w:tr w:rsidR="00192B82" w:rsidRPr="00192B82" w14:paraId="03C4333B" w14:textId="77777777" w:rsidTr="00764626">
        <w:trPr>
          <w:trHeight w:val="288"/>
        </w:trPr>
        <w:tc>
          <w:tcPr>
            <w:tcW w:w="591" w:type="pct"/>
            <w:tcBorders>
              <w:top w:val="nil"/>
              <w:left w:val="nil"/>
              <w:bottom w:val="nil"/>
              <w:right w:val="nil"/>
            </w:tcBorders>
            <w:shd w:val="clear" w:color="000000" w:fill="FFFFFF"/>
            <w:noWrap/>
            <w:vAlign w:val="bottom"/>
            <w:hideMark/>
          </w:tcPr>
          <w:p w14:paraId="72A86458" w14:textId="730B3F51" w:rsidR="00192B82" w:rsidRDefault="00192B82" w:rsidP="00192B82">
            <w:pPr>
              <w:rPr>
                <w:rFonts w:ascii="Calibri" w:eastAsia="Times New Roman" w:hAnsi="Calibri" w:cs="Calibri"/>
                <w:color w:val="000000"/>
                <w:sz w:val="22"/>
                <w:szCs w:val="22"/>
                <w:lang w:val="en-GB" w:eastAsia="en-GB"/>
              </w:rPr>
            </w:pPr>
            <w:r w:rsidRPr="00192B82">
              <w:rPr>
                <w:rFonts w:ascii="Calibri" w:eastAsia="Times New Roman" w:hAnsi="Calibri" w:cs="Calibri"/>
                <w:color w:val="000000"/>
                <w:sz w:val="22"/>
                <w:szCs w:val="22"/>
                <w:lang w:val="en-GB" w:eastAsia="en-GB"/>
              </w:rPr>
              <w:t> </w:t>
            </w:r>
          </w:p>
          <w:p w14:paraId="411E709D" w14:textId="77777777" w:rsidR="00764626" w:rsidRDefault="00764626" w:rsidP="00192B82">
            <w:pPr>
              <w:rPr>
                <w:rFonts w:ascii="Calibri" w:eastAsia="Times New Roman" w:hAnsi="Calibri" w:cs="Calibri"/>
                <w:color w:val="000000"/>
                <w:sz w:val="22"/>
                <w:szCs w:val="22"/>
                <w:lang w:val="en-GB" w:eastAsia="en-GB"/>
              </w:rPr>
            </w:pPr>
          </w:p>
          <w:p w14:paraId="47D31F8F" w14:textId="77777777" w:rsidR="00764626" w:rsidRDefault="00764626" w:rsidP="00192B82">
            <w:pPr>
              <w:rPr>
                <w:rFonts w:ascii="Calibri" w:eastAsia="Times New Roman" w:hAnsi="Calibri" w:cs="Calibri"/>
                <w:color w:val="000000"/>
                <w:sz w:val="22"/>
                <w:szCs w:val="22"/>
                <w:lang w:val="en-GB" w:eastAsia="en-GB"/>
              </w:rPr>
            </w:pPr>
          </w:p>
          <w:p w14:paraId="096E99B4" w14:textId="77777777" w:rsidR="00764626" w:rsidRDefault="00764626" w:rsidP="00192B82">
            <w:pPr>
              <w:rPr>
                <w:rFonts w:ascii="Calibri" w:eastAsia="Times New Roman" w:hAnsi="Calibri" w:cs="Calibri"/>
                <w:color w:val="000000"/>
                <w:sz w:val="22"/>
                <w:szCs w:val="22"/>
                <w:lang w:val="en-GB" w:eastAsia="en-GB"/>
              </w:rPr>
            </w:pPr>
          </w:p>
          <w:p w14:paraId="4B924249" w14:textId="77777777" w:rsidR="00764626" w:rsidRPr="00192B82" w:rsidRDefault="00764626" w:rsidP="00192B82">
            <w:pPr>
              <w:rPr>
                <w:rFonts w:ascii="Calibri" w:eastAsia="Times New Roman" w:hAnsi="Calibri" w:cs="Calibri"/>
                <w:color w:val="000000"/>
                <w:sz w:val="22"/>
                <w:szCs w:val="22"/>
                <w:lang w:val="en-GB" w:eastAsia="en-GB"/>
              </w:rPr>
            </w:pPr>
          </w:p>
        </w:tc>
        <w:tc>
          <w:tcPr>
            <w:tcW w:w="669" w:type="pct"/>
            <w:tcBorders>
              <w:top w:val="nil"/>
              <w:left w:val="nil"/>
              <w:bottom w:val="nil"/>
              <w:right w:val="nil"/>
            </w:tcBorders>
            <w:shd w:val="clear" w:color="000000" w:fill="FFFFFF"/>
            <w:noWrap/>
            <w:vAlign w:val="bottom"/>
            <w:hideMark/>
          </w:tcPr>
          <w:p w14:paraId="4505B9B8" w14:textId="77777777" w:rsidR="00192B82" w:rsidRPr="00192B82" w:rsidRDefault="00192B82" w:rsidP="00192B82">
            <w:pPr>
              <w:rPr>
                <w:rFonts w:ascii="Calibri" w:eastAsia="Times New Roman" w:hAnsi="Calibri" w:cs="Calibri"/>
                <w:color w:val="000000"/>
                <w:sz w:val="22"/>
                <w:szCs w:val="22"/>
                <w:lang w:val="en-GB" w:eastAsia="en-GB"/>
              </w:rPr>
            </w:pPr>
            <w:r w:rsidRPr="00192B82">
              <w:rPr>
                <w:rFonts w:ascii="Calibri" w:eastAsia="Times New Roman" w:hAnsi="Calibri" w:cs="Calibri"/>
                <w:color w:val="000000"/>
                <w:sz w:val="22"/>
                <w:szCs w:val="22"/>
                <w:lang w:val="en-GB" w:eastAsia="en-GB"/>
              </w:rPr>
              <w:t> </w:t>
            </w:r>
          </w:p>
        </w:tc>
        <w:tc>
          <w:tcPr>
            <w:tcW w:w="669" w:type="pct"/>
            <w:tcBorders>
              <w:top w:val="nil"/>
              <w:left w:val="nil"/>
              <w:bottom w:val="nil"/>
              <w:right w:val="nil"/>
            </w:tcBorders>
            <w:shd w:val="clear" w:color="000000" w:fill="FFFFFF"/>
            <w:noWrap/>
            <w:vAlign w:val="bottom"/>
            <w:hideMark/>
          </w:tcPr>
          <w:p w14:paraId="07B2A176" w14:textId="77777777" w:rsidR="00192B82" w:rsidRPr="00192B82" w:rsidRDefault="00192B82" w:rsidP="00192B82">
            <w:pPr>
              <w:rPr>
                <w:rFonts w:ascii="Calibri" w:eastAsia="Times New Roman" w:hAnsi="Calibri" w:cs="Calibri"/>
                <w:color w:val="000000"/>
                <w:sz w:val="22"/>
                <w:szCs w:val="22"/>
                <w:lang w:val="en-GB" w:eastAsia="en-GB"/>
              </w:rPr>
            </w:pPr>
            <w:r w:rsidRPr="00192B82">
              <w:rPr>
                <w:rFonts w:ascii="Calibri" w:eastAsia="Times New Roman" w:hAnsi="Calibri" w:cs="Calibri"/>
                <w:color w:val="000000"/>
                <w:sz w:val="22"/>
                <w:szCs w:val="22"/>
                <w:lang w:val="en-GB" w:eastAsia="en-GB"/>
              </w:rPr>
              <w:t> </w:t>
            </w:r>
          </w:p>
        </w:tc>
        <w:tc>
          <w:tcPr>
            <w:tcW w:w="1143" w:type="pct"/>
            <w:tcBorders>
              <w:top w:val="nil"/>
              <w:left w:val="nil"/>
              <w:bottom w:val="nil"/>
              <w:right w:val="nil"/>
            </w:tcBorders>
            <w:shd w:val="clear" w:color="000000" w:fill="FFFFFF"/>
            <w:noWrap/>
            <w:vAlign w:val="bottom"/>
            <w:hideMark/>
          </w:tcPr>
          <w:p w14:paraId="6AE8E8A2" w14:textId="77777777" w:rsidR="00192B82" w:rsidRPr="00192B82" w:rsidRDefault="00192B82" w:rsidP="00192B82">
            <w:pPr>
              <w:rPr>
                <w:rFonts w:ascii="Calibri" w:eastAsia="Times New Roman" w:hAnsi="Calibri" w:cs="Calibri"/>
                <w:color w:val="000000"/>
                <w:sz w:val="22"/>
                <w:szCs w:val="22"/>
                <w:lang w:val="en-GB" w:eastAsia="en-GB"/>
              </w:rPr>
            </w:pPr>
            <w:r w:rsidRPr="00192B82">
              <w:rPr>
                <w:rFonts w:ascii="Calibri" w:eastAsia="Times New Roman" w:hAnsi="Calibri" w:cs="Calibri"/>
                <w:color w:val="000000"/>
                <w:sz w:val="22"/>
                <w:szCs w:val="22"/>
                <w:lang w:val="en-GB" w:eastAsia="en-GB"/>
              </w:rPr>
              <w:t> </w:t>
            </w:r>
          </w:p>
        </w:tc>
        <w:tc>
          <w:tcPr>
            <w:tcW w:w="591" w:type="pct"/>
            <w:tcBorders>
              <w:top w:val="nil"/>
              <w:left w:val="nil"/>
              <w:bottom w:val="nil"/>
              <w:right w:val="nil"/>
            </w:tcBorders>
            <w:shd w:val="clear" w:color="000000" w:fill="FFFFFF"/>
            <w:noWrap/>
            <w:vAlign w:val="bottom"/>
            <w:hideMark/>
          </w:tcPr>
          <w:p w14:paraId="0431749C" w14:textId="77777777" w:rsidR="00192B82" w:rsidRPr="00192B82" w:rsidRDefault="00192B82" w:rsidP="00192B82">
            <w:pPr>
              <w:rPr>
                <w:rFonts w:ascii="Calibri" w:eastAsia="Times New Roman" w:hAnsi="Calibri" w:cs="Calibri"/>
                <w:color w:val="000000"/>
                <w:sz w:val="22"/>
                <w:szCs w:val="22"/>
                <w:lang w:val="en-GB" w:eastAsia="en-GB"/>
              </w:rPr>
            </w:pPr>
            <w:r w:rsidRPr="00192B82">
              <w:rPr>
                <w:rFonts w:ascii="Calibri" w:eastAsia="Times New Roman" w:hAnsi="Calibri" w:cs="Calibri"/>
                <w:color w:val="000000"/>
                <w:sz w:val="22"/>
                <w:szCs w:val="22"/>
                <w:lang w:val="en-GB" w:eastAsia="en-GB"/>
              </w:rPr>
              <w:t> </w:t>
            </w:r>
          </w:p>
        </w:tc>
        <w:tc>
          <w:tcPr>
            <w:tcW w:w="669" w:type="pct"/>
            <w:tcBorders>
              <w:top w:val="nil"/>
              <w:left w:val="nil"/>
              <w:bottom w:val="nil"/>
              <w:right w:val="nil"/>
            </w:tcBorders>
            <w:shd w:val="clear" w:color="000000" w:fill="FFFFFF"/>
            <w:noWrap/>
            <w:vAlign w:val="bottom"/>
            <w:hideMark/>
          </w:tcPr>
          <w:p w14:paraId="78532B8E" w14:textId="77777777" w:rsidR="00192B82" w:rsidRPr="00192B82" w:rsidRDefault="00192B82" w:rsidP="00192B82">
            <w:pPr>
              <w:rPr>
                <w:rFonts w:ascii="Calibri" w:eastAsia="Times New Roman" w:hAnsi="Calibri" w:cs="Calibri"/>
                <w:color w:val="000000"/>
                <w:sz w:val="22"/>
                <w:szCs w:val="22"/>
                <w:lang w:val="en-GB" w:eastAsia="en-GB"/>
              </w:rPr>
            </w:pPr>
            <w:r w:rsidRPr="00192B82">
              <w:rPr>
                <w:rFonts w:ascii="Calibri" w:eastAsia="Times New Roman" w:hAnsi="Calibri" w:cs="Calibri"/>
                <w:color w:val="000000"/>
                <w:sz w:val="22"/>
                <w:szCs w:val="22"/>
                <w:lang w:val="en-GB" w:eastAsia="en-GB"/>
              </w:rPr>
              <w:t> </w:t>
            </w:r>
          </w:p>
        </w:tc>
        <w:tc>
          <w:tcPr>
            <w:tcW w:w="668" w:type="pct"/>
            <w:tcBorders>
              <w:top w:val="nil"/>
              <w:left w:val="nil"/>
              <w:bottom w:val="nil"/>
              <w:right w:val="nil"/>
            </w:tcBorders>
            <w:shd w:val="clear" w:color="000000" w:fill="FFFFFF"/>
            <w:noWrap/>
            <w:vAlign w:val="bottom"/>
            <w:hideMark/>
          </w:tcPr>
          <w:p w14:paraId="29BAF134" w14:textId="77777777" w:rsidR="00192B82" w:rsidRPr="00192B82" w:rsidRDefault="00192B82" w:rsidP="00192B82">
            <w:pPr>
              <w:rPr>
                <w:rFonts w:ascii="Calibri" w:eastAsia="Times New Roman" w:hAnsi="Calibri" w:cs="Calibri"/>
                <w:color w:val="000000"/>
                <w:sz w:val="22"/>
                <w:szCs w:val="22"/>
                <w:lang w:val="en-GB" w:eastAsia="en-GB"/>
              </w:rPr>
            </w:pPr>
            <w:r w:rsidRPr="00192B82">
              <w:rPr>
                <w:rFonts w:ascii="Calibri" w:eastAsia="Times New Roman" w:hAnsi="Calibri" w:cs="Calibri"/>
                <w:color w:val="000000"/>
                <w:sz w:val="22"/>
                <w:szCs w:val="22"/>
                <w:lang w:val="en-GB" w:eastAsia="en-GB"/>
              </w:rPr>
              <w:t> </w:t>
            </w:r>
          </w:p>
        </w:tc>
      </w:tr>
      <w:tr w:rsidR="00192B82" w:rsidRPr="00192B82" w14:paraId="44F3F8C0" w14:textId="77777777" w:rsidTr="00764626">
        <w:trPr>
          <w:trHeight w:val="288"/>
        </w:trPr>
        <w:tc>
          <w:tcPr>
            <w:tcW w:w="1929" w:type="pct"/>
            <w:gridSpan w:val="3"/>
            <w:tcBorders>
              <w:top w:val="nil"/>
              <w:left w:val="nil"/>
              <w:bottom w:val="nil"/>
              <w:right w:val="nil"/>
            </w:tcBorders>
            <w:shd w:val="clear" w:color="000000" w:fill="FFFFFF"/>
            <w:noWrap/>
            <w:vAlign w:val="center"/>
            <w:hideMark/>
          </w:tcPr>
          <w:p w14:paraId="18EE2206"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2019/20</w:t>
            </w:r>
          </w:p>
        </w:tc>
        <w:tc>
          <w:tcPr>
            <w:tcW w:w="1143" w:type="pct"/>
            <w:tcBorders>
              <w:top w:val="nil"/>
              <w:left w:val="nil"/>
              <w:bottom w:val="nil"/>
              <w:right w:val="nil"/>
            </w:tcBorders>
            <w:shd w:val="clear" w:color="000000" w:fill="FFFFFF"/>
            <w:noWrap/>
            <w:vAlign w:val="center"/>
            <w:hideMark/>
          </w:tcPr>
          <w:p w14:paraId="029BED84" w14:textId="77777777" w:rsidR="00192B82" w:rsidRPr="00192B82" w:rsidRDefault="00192B82" w:rsidP="00192B82">
            <w:pP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 </w:t>
            </w:r>
          </w:p>
        </w:tc>
        <w:tc>
          <w:tcPr>
            <w:tcW w:w="1928" w:type="pct"/>
            <w:gridSpan w:val="3"/>
            <w:tcBorders>
              <w:top w:val="nil"/>
              <w:left w:val="nil"/>
              <w:bottom w:val="nil"/>
              <w:right w:val="nil"/>
            </w:tcBorders>
            <w:shd w:val="clear" w:color="000000" w:fill="FFFFFF"/>
            <w:noWrap/>
            <w:vAlign w:val="center"/>
            <w:hideMark/>
          </w:tcPr>
          <w:p w14:paraId="32F3904F"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2020/21</w:t>
            </w:r>
          </w:p>
        </w:tc>
      </w:tr>
      <w:tr w:rsidR="00192B82" w:rsidRPr="00192B82" w14:paraId="369D6700" w14:textId="77777777" w:rsidTr="00764626">
        <w:trPr>
          <w:trHeight w:val="408"/>
        </w:trPr>
        <w:tc>
          <w:tcPr>
            <w:tcW w:w="591" w:type="pct"/>
            <w:tcBorders>
              <w:top w:val="nil"/>
              <w:left w:val="nil"/>
              <w:bottom w:val="nil"/>
              <w:right w:val="nil"/>
            </w:tcBorders>
            <w:shd w:val="clear" w:color="000000" w:fill="FFFFFF"/>
            <w:noWrap/>
            <w:vAlign w:val="center"/>
            <w:hideMark/>
          </w:tcPr>
          <w:p w14:paraId="5E9AA442"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 xml:space="preserve">CC LGPS </w:t>
            </w:r>
          </w:p>
        </w:tc>
        <w:tc>
          <w:tcPr>
            <w:tcW w:w="669" w:type="pct"/>
            <w:tcBorders>
              <w:top w:val="nil"/>
              <w:left w:val="nil"/>
              <w:bottom w:val="nil"/>
              <w:right w:val="nil"/>
            </w:tcBorders>
            <w:shd w:val="clear" w:color="000000" w:fill="FFFFFF"/>
            <w:vAlign w:val="center"/>
            <w:hideMark/>
          </w:tcPr>
          <w:p w14:paraId="6D9C4EE4"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Police Officers</w:t>
            </w:r>
          </w:p>
        </w:tc>
        <w:tc>
          <w:tcPr>
            <w:tcW w:w="669" w:type="pct"/>
            <w:tcBorders>
              <w:top w:val="nil"/>
              <w:left w:val="nil"/>
              <w:bottom w:val="nil"/>
              <w:right w:val="nil"/>
            </w:tcBorders>
            <w:shd w:val="clear" w:color="000000" w:fill="FFFFFF"/>
            <w:vAlign w:val="center"/>
            <w:hideMark/>
          </w:tcPr>
          <w:p w14:paraId="208B75A5"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Total</w:t>
            </w:r>
          </w:p>
        </w:tc>
        <w:tc>
          <w:tcPr>
            <w:tcW w:w="1143" w:type="pct"/>
            <w:tcBorders>
              <w:top w:val="nil"/>
              <w:left w:val="nil"/>
              <w:bottom w:val="nil"/>
              <w:right w:val="nil"/>
            </w:tcBorders>
            <w:shd w:val="clear" w:color="000000" w:fill="FFFFFF"/>
            <w:vAlign w:val="center"/>
            <w:hideMark/>
          </w:tcPr>
          <w:p w14:paraId="212CF550" w14:textId="77777777" w:rsidR="00192B82" w:rsidRPr="00192B82" w:rsidRDefault="00192B82" w:rsidP="00192B82">
            <w:pP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Movements in the Value of Scheme Assets</w:t>
            </w:r>
          </w:p>
        </w:tc>
        <w:tc>
          <w:tcPr>
            <w:tcW w:w="591" w:type="pct"/>
            <w:tcBorders>
              <w:top w:val="nil"/>
              <w:left w:val="nil"/>
              <w:bottom w:val="nil"/>
              <w:right w:val="nil"/>
            </w:tcBorders>
            <w:shd w:val="clear" w:color="000000" w:fill="FFFFFF"/>
            <w:noWrap/>
            <w:vAlign w:val="center"/>
            <w:hideMark/>
          </w:tcPr>
          <w:p w14:paraId="54CBC4A5"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 xml:space="preserve">CC LGPS </w:t>
            </w:r>
          </w:p>
        </w:tc>
        <w:tc>
          <w:tcPr>
            <w:tcW w:w="669" w:type="pct"/>
            <w:tcBorders>
              <w:top w:val="nil"/>
              <w:left w:val="nil"/>
              <w:bottom w:val="nil"/>
              <w:right w:val="nil"/>
            </w:tcBorders>
            <w:shd w:val="clear" w:color="000000" w:fill="FFFFFF"/>
            <w:vAlign w:val="center"/>
            <w:hideMark/>
          </w:tcPr>
          <w:p w14:paraId="2843CBD4"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Police Officers</w:t>
            </w:r>
          </w:p>
        </w:tc>
        <w:tc>
          <w:tcPr>
            <w:tcW w:w="668" w:type="pct"/>
            <w:tcBorders>
              <w:top w:val="nil"/>
              <w:left w:val="nil"/>
              <w:bottom w:val="nil"/>
              <w:right w:val="nil"/>
            </w:tcBorders>
            <w:shd w:val="clear" w:color="000000" w:fill="FFFFFF"/>
            <w:vAlign w:val="center"/>
            <w:hideMark/>
          </w:tcPr>
          <w:p w14:paraId="4BEF4E58"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Total</w:t>
            </w:r>
          </w:p>
        </w:tc>
      </w:tr>
      <w:tr w:rsidR="00192B82" w:rsidRPr="00192B82" w14:paraId="12A7DA34" w14:textId="77777777" w:rsidTr="00764626">
        <w:trPr>
          <w:trHeight w:val="204"/>
        </w:trPr>
        <w:tc>
          <w:tcPr>
            <w:tcW w:w="591" w:type="pct"/>
            <w:tcBorders>
              <w:top w:val="nil"/>
              <w:left w:val="nil"/>
              <w:bottom w:val="nil"/>
              <w:right w:val="nil"/>
            </w:tcBorders>
            <w:shd w:val="clear" w:color="000000" w:fill="FFFFFF"/>
            <w:noWrap/>
            <w:vAlign w:val="bottom"/>
            <w:hideMark/>
          </w:tcPr>
          <w:p w14:paraId="4F854D75" w14:textId="77777777" w:rsidR="00192B82" w:rsidRPr="00192B82" w:rsidRDefault="00192B82" w:rsidP="00192B82">
            <w:pPr>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9" w:type="pct"/>
            <w:tcBorders>
              <w:top w:val="nil"/>
              <w:left w:val="nil"/>
              <w:bottom w:val="nil"/>
              <w:right w:val="nil"/>
            </w:tcBorders>
            <w:shd w:val="clear" w:color="000000" w:fill="FFFFFF"/>
            <w:noWrap/>
            <w:vAlign w:val="bottom"/>
            <w:hideMark/>
          </w:tcPr>
          <w:p w14:paraId="47F94EE8" w14:textId="77777777" w:rsidR="00192B82" w:rsidRPr="00192B82" w:rsidRDefault="00192B82" w:rsidP="00192B82">
            <w:pPr>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9" w:type="pct"/>
            <w:tcBorders>
              <w:top w:val="nil"/>
              <w:left w:val="nil"/>
              <w:bottom w:val="nil"/>
              <w:right w:val="nil"/>
            </w:tcBorders>
            <w:shd w:val="clear" w:color="000000" w:fill="FFFFFF"/>
            <w:noWrap/>
            <w:vAlign w:val="bottom"/>
            <w:hideMark/>
          </w:tcPr>
          <w:p w14:paraId="4254E61C" w14:textId="77777777" w:rsidR="00192B82" w:rsidRPr="00192B82" w:rsidRDefault="00192B82" w:rsidP="00192B82">
            <w:pPr>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1143" w:type="pct"/>
            <w:tcBorders>
              <w:top w:val="nil"/>
              <w:left w:val="nil"/>
              <w:bottom w:val="nil"/>
              <w:right w:val="nil"/>
            </w:tcBorders>
            <w:shd w:val="clear" w:color="000000" w:fill="FFFFFF"/>
            <w:noWrap/>
            <w:vAlign w:val="bottom"/>
            <w:hideMark/>
          </w:tcPr>
          <w:p w14:paraId="4E0C931E" w14:textId="77777777" w:rsidR="00192B82" w:rsidRPr="00192B82" w:rsidRDefault="00192B82" w:rsidP="00192B82">
            <w:pP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 </w:t>
            </w:r>
          </w:p>
        </w:tc>
        <w:tc>
          <w:tcPr>
            <w:tcW w:w="591" w:type="pct"/>
            <w:tcBorders>
              <w:top w:val="nil"/>
              <w:left w:val="nil"/>
              <w:bottom w:val="nil"/>
              <w:right w:val="nil"/>
            </w:tcBorders>
            <w:shd w:val="clear" w:color="000000" w:fill="FFFFFF"/>
            <w:noWrap/>
            <w:vAlign w:val="bottom"/>
            <w:hideMark/>
          </w:tcPr>
          <w:p w14:paraId="5374C2A9" w14:textId="77777777" w:rsidR="00192B82" w:rsidRPr="00192B82" w:rsidRDefault="00192B82" w:rsidP="00192B82">
            <w:pPr>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9" w:type="pct"/>
            <w:tcBorders>
              <w:top w:val="nil"/>
              <w:left w:val="nil"/>
              <w:bottom w:val="nil"/>
              <w:right w:val="nil"/>
            </w:tcBorders>
            <w:shd w:val="clear" w:color="000000" w:fill="FFFFFF"/>
            <w:noWrap/>
            <w:vAlign w:val="bottom"/>
            <w:hideMark/>
          </w:tcPr>
          <w:p w14:paraId="415CA24A" w14:textId="77777777" w:rsidR="00192B82" w:rsidRPr="00192B82" w:rsidRDefault="00192B82" w:rsidP="00192B82">
            <w:pPr>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8" w:type="pct"/>
            <w:tcBorders>
              <w:top w:val="nil"/>
              <w:left w:val="nil"/>
              <w:bottom w:val="nil"/>
              <w:right w:val="nil"/>
            </w:tcBorders>
            <w:shd w:val="clear" w:color="000000" w:fill="FFFFFF"/>
            <w:noWrap/>
            <w:vAlign w:val="bottom"/>
            <w:hideMark/>
          </w:tcPr>
          <w:p w14:paraId="19CAC302" w14:textId="77777777" w:rsidR="00192B82" w:rsidRPr="00192B82" w:rsidRDefault="00192B82" w:rsidP="00192B82">
            <w:pPr>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r>
      <w:tr w:rsidR="00192B82" w:rsidRPr="00192B82" w14:paraId="32C4E40B" w14:textId="77777777" w:rsidTr="00764626">
        <w:trPr>
          <w:trHeight w:val="204"/>
        </w:trPr>
        <w:tc>
          <w:tcPr>
            <w:tcW w:w="591" w:type="pct"/>
            <w:tcBorders>
              <w:top w:val="nil"/>
              <w:left w:val="nil"/>
              <w:bottom w:val="single" w:sz="4" w:space="0" w:color="auto"/>
              <w:right w:val="nil"/>
            </w:tcBorders>
            <w:shd w:val="clear" w:color="000000" w:fill="FFFFFF"/>
            <w:noWrap/>
            <w:vAlign w:val="center"/>
            <w:hideMark/>
          </w:tcPr>
          <w:p w14:paraId="4C6AB264"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£000</w:t>
            </w:r>
          </w:p>
        </w:tc>
        <w:tc>
          <w:tcPr>
            <w:tcW w:w="669" w:type="pct"/>
            <w:tcBorders>
              <w:top w:val="nil"/>
              <w:left w:val="nil"/>
              <w:bottom w:val="single" w:sz="4" w:space="0" w:color="auto"/>
              <w:right w:val="nil"/>
            </w:tcBorders>
            <w:shd w:val="clear" w:color="000000" w:fill="FFFFFF"/>
            <w:noWrap/>
            <w:vAlign w:val="center"/>
            <w:hideMark/>
          </w:tcPr>
          <w:p w14:paraId="344A7454"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£000</w:t>
            </w:r>
          </w:p>
        </w:tc>
        <w:tc>
          <w:tcPr>
            <w:tcW w:w="669" w:type="pct"/>
            <w:tcBorders>
              <w:top w:val="nil"/>
              <w:left w:val="nil"/>
              <w:bottom w:val="single" w:sz="4" w:space="0" w:color="auto"/>
              <w:right w:val="nil"/>
            </w:tcBorders>
            <w:shd w:val="clear" w:color="000000" w:fill="FFFFFF"/>
            <w:noWrap/>
            <w:vAlign w:val="center"/>
            <w:hideMark/>
          </w:tcPr>
          <w:p w14:paraId="275D97BA"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£000</w:t>
            </w:r>
          </w:p>
        </w:tc>
        <w:tc>
          <w:tcPr>
            <w:tcW w:w="1143" w:type="pct"/>
            <w:tcBorders>
              <w:top w:val="nil"/>
              <w:left w:val="nil"/>
              <w:bottom w:val="single" w:sz="4" w:space="0" w:color="auto"/>
              <w:right w:val="nil"/>
            </w:tcBorders>
            <w:shd w:val="clear" w:color="000000" w:fill="FFFFFF"/>
            <w:noWrap/>
            <w:vAlign w:val="center"/>
            <w:hideMark/>
          </w:tcPr>
          <w:p w14:paraId="4C9292E9"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 </w:t>
            </w:r>
          </w:p>
        </w:tc>
        <w:tc>
          <w:tcPr>
            <w:tcW w:w="591" w:type="pct"/>
            <w:tcBorders>
              <w:top w:val="nil"/>
              <w:left w:val="nil"/>
              <w:bottom w:val="single" w:sz="4" w:space="0" w:color="auto"/>
              <w:right w:val="nil"/>
            </w:tcBorders>
            <w:shd w:val="clear" w:color="000000" w:fill="FFFFFF"/>
            <w:noWrap/>
            <w:vAlign w:val="center"/>
            <w:hideMark/>
          </w:tcPr>
          <w:p w14:paraId="2E1AD468"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£000</w:t>
            </w:r>
          </w:p>
        </w:tc>
        <w:tc>
          <w:tcPr>
            <w:tcW w:w="669" w:type="pct"/>
            <w:tcBorders>
              <w:top w:val="nil"/>
              <w:left w:val="nil"/>
              <w:bottom w:val="single" w:sz="4" w:space="0" w:color="auto"/>
              <w:right w:val="nil"/>
            </w:tcBorders>
            <w:shd w:val="clear" w:color="000000" w:fill="FFFFFF"/>
            <w:noWrap/>
            <w:vAlign w:val="center"/>
            <w:hideMark/>
          </w:tcPr>
          <w:p w14:paraId="56535280"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£000</w:t>
            </w:r>
          </w:p>
        </w:tc>
        <w:tc>
          <w:tcPr>
            <w:tcW w:w="668" w:type="pct"/>
            <w:tcBorders>
              <w:top w:val="nil"/>
              <w:left w:val="nil"/>
              <w:bottom w:val="single" w:sz="4" w:space="0" w:color="auto"/>
              <w:right w:val="nil"/>
            </w:tcBorders>
            <w:shd w:val="clear" w:color="000000" w:fill="FFFFFF"/>
            <w:noWrap/>
            <w:vAlign w:val="center"/>
            <w:hideMark/>
          </w:tcPr>
          <w:p w14:paraId="5590E598"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£000</w:t>
            </w:r>
          </w:p>
        </w:tc>
      </w:tr>
      <w:tr w:rsidR="00192B82" w:rsidRPr="00192B82" w14:paraId="1C5DF757" w14:textId="77777777" w:rsidTr="00764626">
        <w:trPr>
          <w:trHeight w:val="408"/>
        </w:trPr>
        <w:tc>
          <w:tcPr>
            <w:tcW w:w="591" w:type="pct"/>
            <w:tcBorders>
              <w:top w:val="nil"/>
              <w:left w:val="nil"/>
              <w:bottom w:val="nil"/>
              <w:right w:val="nil"/>
            </w:tcBorders>
            <w:shd w:val="clear" w:color="000000" w:fill="FFFFFF"/>
            <w:noWrap/>
            <w:vAlign w:val="center"/>
            <w:hideMark/>
          </w:tcPr>
          <w:p w14:paraId="466D3C15" w14:textId="77777777" w:rsidR="00192B82" w:rsidRPr="00192B82" w:rsidRDefault="00192B82" w:rsidP="00192B82">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304,175</w:t>
            </w:r>
          </w:p>
        </w:tc>
        <w:tc>
          <w:tcPr>
            <w:tcW w:w="669" w:type="pct"/>
            <w:tcBorders>
              <w:top w:val="nil"/>
              <w:left w:val="nil"/>
              <w:bottom w:val="nil"/>
              <w:right w:val="nil"/>
            </w:tcBorders>
            <w:shd w:val="clear" w:color="000000" w:fill="FFFFFF"/>
            <w:noWrap/>
            <w:vAlign w:val="center"/>
            <w:hideMark/>
          </w:tcPr>
          <w:p w14:paraId="67A6D369" w14:textId="77777777" w:rsidR="00192B82" w:rsidRPr="00192B82" w:rsidRDefault="00192B82" w:rsidP="00192B82">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0</w:t>
            </w:r>
          </w:p>
        </w:tc>
        <w:tc>
          <w:tcPr>
            <w:tcW w:w="669" w:type="pct"/>
            <w:tcBorders>
              <w:top w:val="nil"/>
              <w:left w:val="nil"/>
              <w:bottom w:val="nil"/>
              <w:right w:val="nil"/>
            </w:tcBorders>
            <w:shd w:val="clear" w:color="000000" w:fill="FFFFFF"/>
            <w:noWrap/>
            <w:vAlign w:val="center"/>
            <w:hideMark/>
          </w:tcPr>
          <w:p w14:paraId="06093E90" w14:textId="77777777" w:rsidR="00192B82" w:rsidRPr="00192B82" w:rsidRDefault="00192B82" w:rsidP="00192B82">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304,175</w:t>
            </w:r>
          </w:p>
        </w:tc>
        <w:tc>
          <w:tcPr>
            <w:tcW w:w="1143" w:type="pct"/>
            <w:tcBorders>
              <w:top w:val="nil"/>
              <w:left w:val="nil"/>
              <w:bottom w:val="nil"/>
              <w:right w:val="nil"/>
            </w:tcBorders>
            <w:shd w:val="clear" w:color="000000" w:fill="FFFFFF"/>
            <w:vAlign w:val="center"/>
            <w:hideMark/>
          </w:tcPr>
          <w:p w14:paraId="2BB1BE81" w14:textId="77777777" w:rsidR="00192B82" w:rsidRPr="00192B82" w:rsidRDefault="00192B82" w:rsidP="00192B82">
            <w:pPr>
              <w:ind w:firstLineChars="100" w:firstLine="161"/>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Opening fair value of scheme assets</w:t>
            </w:r>
          </w:p>
        </w:tc>
        <w:tc>
          <w:tcPr>
            <w:tcW w:w="591" w:type="pct"/>
            <w:tcBorders>
              <w:top w:val="nil"/>
              <w:left w:val="nil"/>
              <w:bottom w:val="nil"/>
              <w:right w:val="nil"/>
            </w:tcBorders>
            <w:shd w:val="clear" w:color="000000" w:fill="FFFFFF"/>
            <w:noWrap/>
            <w:vAlign w:val="center"/>
            <w:hideMark/>
          </w:tcPr>
          <w:p w14:paraId="5CE62A70" w14:textId="77777777" w:rsidR="00192B82" w:rsidRPr="00192B82" w:rsidRDefault="00192B82" w:rsidP="00192B82">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272,577</w:t>
            </w:r>
          </w:p>
        </w:tc>
        <w:tc>
          <w:tcPr>
            <w:tcW w:w="669" w:type="pct"/>
            <w:tcBorders>
              <w:top w:val="nil"/>
              <w:left w:val="nil"/>
              <w:bottom w:val="nil"/>
              <w:right w:val="nil"/>
            </w:tcBorders>
            <w:shd w:val="clear" w:color="000000" w:fill="FFFFFF"/>
            <w:noWrap/>
            <w:vAlign w:val="center"/>
            <w:hideMark/>
          </w:tcPr>
          <w:p w14:paraId="04F6E0C9" w14:textId="77777777" w:rsidR="00192B82" w:rsidRPr="00192B82" w:rsidRDefault="00192B82" w:rsidP="00192B82">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0</w:t>
            </w:r>
          </w:p>
        </w:tc>
        <w:tc>
          <w:tcPr>
            <w:tcW w:w="668" w:type="pct"/>
            <w:tcBorders>
              <w:top w:val="nil"/>
              <w:left w:val="nil"/>
              <w:bottom w:val="nil"/>
              <w:right w:val="nil"/>
            </w:tcBorders>
            <w:shd w:val="clear" w:color="000000" w:fill="FFFFFF"/>
            <w:noWrap/>
            <w:vAlign w:val="center"/>
            <w:hideMark/>
          </w:tcPr>
          <w:p w14:paraId="0E1A272F" w14:textId="77777777" w:rsidR="00192B82" w:rsidRPr="00192B82" w:rsidRDefault="00192B82" w:rsidP="00192B82">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272,577</w:t>
            </w:r>
          </w:p>
        </w:tc>
      </w:tr>
      <w:tr w:rsidR="00192B82" w:rsidRPr="00192B82" w14:paraId="49F3C8E6" w14:textId="77777777" w:rsidTr="00764626">
        <w:trPr>
          <w:trHeight w:val="204"/>
        </w:trPr>
        <w:tc>
          <w:tcPr>
            <w:tcW w:w="591" w:type="pct"/>
            <w:tcBorders>
              <w:top w:val="nil"/>
              <w:left w:val="nil"/>
              <w:right w:val="nil"/>
            </w:tcBorders>
            <w:shd w:val="clear" w:color="000000" w:fill="FFFFFF"/>
            <w:noWrap/>
            <w:vAlign w:val="center"/>
            <w:hideMark/>
          </w:tcPr>
          <w:p w14:paraId="5BE68019"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9" w:type="pct"/>
            <w:tcBorders>
              <w:top w:val="nil"/>
              <w:left w:val="nil"/>
              <w:right w:val="nil"/>
            </w:tcBorders>
            <w:shd w:val="clear" w:color="000000" w:fill="FFFFFF"/>
            <w:noWrap/>
            <w:vAlign w:val="center"/>
            <w:hideMark/>
          </w:tcPr>
          <w:p w14:paraId="34CD2177"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9" w:type="pct"/>
            <w:tcBorders>
              <w:top w:val="nil"/>
              <w:left w:val="nil"/>
              <w:right w:val="nil"/>
            </w:tcBorders>
            <w:shd w:val="clear" w:color="000000" w:fill="FFFFFF"/>
            <w:noWrap/>
            <w:vAlign w:val="center"/>
            <w:hideMark/>
          </w:tcPr>
          <w:p w14:paraId="3C8998AA"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1143" w:type="pct"/>
            <w:tcBorders>
              <w:top w:val="nil"/>
              <w:left w:val="nil"/>
              <w:right w:val="nil"/>
            </w:tcBorders>
            <w:shd w:val="clear" w:color="000000" w:fill="FFFFFF"/>
            <w:noWrap/>
            <w:vAlign w:val="center"/>
            <w:hideMark/>
          </w:tcPr>
          <w:p w14:paraId="05B281B6" w14:textId="77777777" w:rsidR="00192B82" w:rsidRPr="00192B82" w:rsidRDefault="00192B82" w:rsidP="00192B82">
            <w:pPr>
              <w:ind w:firstLineChars="100" w:firstLine="160"/>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591" w:type="pct"/>
            <w:tcBorders>
              <w:top w:val="nil"/>
              <w:left w:val="nil"/>
              <w:right w:val="nil"/>
            </w:tcBorders>
            <w:shd w:val="clear" w:color="000000" w:fill="FFFFFF"/>
            <w:noWrap/>
            <w:vAlign w:val="center"/>
            <w:hideMark/>
          </w:tcPr>
          <w:p w14:paraId="2C26CF54"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9" w:type="pct"/>
            <w:tcBorders>
              <w:top w:val="nil"/>
              <w:left w:val="nil"/>
              <w:right w:val="nil"/>
            </w:tcBorders>
            <w:shd w:val="clear" w:color="000000" w:fill="FFFFFF"/>
            <w:noWrap/>
            <w:vAlign w:val="center"/>
            <w:hideMark/>
          </w:tcPr>
          <w:p w14:paraId="67EC836F"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8" w:type="pct"/>
            <w:tcBorders>
              <w:top w:val="nil"/>
              <w:left w:val="nil"/>
              <w:right w:val="nil"/>
            </w:tcBorders>
            <w:shd w:val="clear" w:color="000000" w:fill="FFFFFF"/>
            <w:noWrap/>
            <w:vAlign w:val="center"/>
            <w:hideMark/>
          </w:tcPr>
          <w:p w14:paraId="777B22D2"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r>
      <w:tr w:rsidR="00192B82" w:rsidRPr="00192B82" w14:paraId="36673C78" w14:textId="77777777" w:rsidTr="00764626">
        <w:trPr>
          <w:trHeight w:val="288"/>
        </w:trPr>
        <w:tc>
          <w:tcPr>
            <w:tcW w:w="591" w:type="pct"/>
            <w:tcBorders>
              <w:top w:val="nil"/>
              <w:left w:val="nil"/>
              <w:bottom w:val="single" w:sz="4" w:space="0" w:color="000000"/>
              <w:right w:val="nil"/>
            </w:tcBorders>
            <w:shd w:val="clear" w:color="000000" w:fill="FFFFFF"/>
            <w:noWrap/>
            <w:vAlign w:val="center"/>
            <w:hideMark/>
          </w:tcPr>
          <w:p w14:paraId="286F0E13"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(2,867)</w:t>
            </w:r>
          </w:p>
        </w:tc>
        <w:tc>
          <w:tcPr>
            <w:tcW w:w="669" w:type="pct"/>
            <w:tcBorders>
              <w:top w:val="nil"/>
              <w:left w:val="nil"/>
              <w:bottom w:val="single" w:sz="4" w:space="0" w:color="000000"/>
              <w:right w:val="nil"/>
            </w:tcBorders>
            <w:shd w:val="clear" w:color="000000" w:fill="FFFFFF"/>
            <w:noWrap/>
            <w:vAlign w:val="center"/>
            <w:hideMark/>
          </w:tcPr>
          <w:p w14:paraId="477BC5AB"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0</w:t>
            </w:r>
          </w:p>
        </w:tc>
        <w:tc>
          <w:tcPr>
            <w:tcW w:w="669" w:type="pct"/>
            <w:tcBorders>
              <w:top w:val="nil"/>
              <w:left w:val="nil"/>
              <w:bottom w:val="single" w:sz="4" w:space="0" w:color="000000"/>
              <w:right w:val="nil"/>
            </w:tcBorders>
            <w:shd w:val="clear" w:color="000000" w:fill="FFFFFF"/>
            <w:noWrap/>
            <w:vAlign w:val="center"/>
            <w:hideMark/>
          </w:tcPr>
          <w:p w14:paraId="725B17FF"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(2,867)</w:t>
            </w:r>
          </w:p>
        </w:tc>
        <w:tc>
          <w:tcPr>
            <w:tcW w:w="1143" w:type="pct"/>
            <w:tcBorders>
              <w:top w:val="nil"/>
              <w:left w:val="nil"/>
              <w:bottom w:val="single" w:sz="4" w:space="0" w:color="000000"/>
              <w:right w:val="nil"/>
            </w:tcBorders>
            <w:shd w:val="clear" w:color="000000" w:fill="FFFFFF"/>
            <w:noWrap/>
            <w:vAlign w:val="center"/>
            <w:hideMark/>
          </w:tcPr>
          <w:p w14:paraId="2BB47A8A" w14:textId="77777777" w:rsidR="00192B82" w:rsidRPr="00192B82" w:rsidRDefault="00192B82" w:rsidP="00192B82">
            <w:pPr>
              <w:ind w:firstLineChars="100" w:firstLine="160"/>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Transfer to PCC</w:t>
            </w:r>
          </w:p>
        </w:tc>
        <w:tc>
          <w:tcPr>
            <w:tcW w:w="591" w:type="pct"/>
            <w:tcBorders>
              <w:top w:val="nil"/>
              <w:left w:val="nil"/>
              <w:bottom w:val="single" w:sz="4" w:space="0" w:color="000000"/>
              <w:right w:val="nil"/>
            </w:tcBorders>
            <w:shd w:val="clear" w:color="000000" w:fill="FFFFFF"/>
            <w:noWrap/>
            <w:vAlign w:val="center"/>
            <w:hideMark/>
          </w:tcPr>
          <w:p w14:paraId="45CDBEFF"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0</w:t>
            </w:r>
          </w:p>
        </w:tc>
        <w:tc>
          <w:tcPr>
            <w:tcW w:w="669" w:type="pct"/>
            <w:tcBorders>
              <w:top w:val="nil"/>
              <w:left w:val="nil"/>
              <w:bottom w:val="single" w:sz="4" w:space="0" w:color="000000"/>
              <w:right w:val="nil"/>
            </w:tcBorders>
            <w:shd w:val="clear" w:color="000000" w:fill="FFFFFF"/>
            <w:noWrap/>
            <w:vAlign w:val="center"/>
            <w:hideMark/>
          </w:tcPr>
          <w:p w14:paraId="012525B1"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0</w:t>
            </w:r>
          </w:p>
        </w:tc>
        <w:tc>
          <w:tcPr>
            <w:tcW w:w="668" w:type="pct"/>
            <w:tcBorders>
              <w:top w:val="nil"/>
              <w:left w:val="nil"/>
              <w:bottom w:val="single" w:sz="4" w:space="0" w:color="000000"/>
              <w:right w:val="nil"/>
            </w:tcBorders>
            <w:shd w:val="clear" w:color="000000" w:fill="FFFFFF"/>
            <w:noWrap/>
            <w:vAlign w:val="center"/>
            <w:hideMark/>
          </w:tcPr>
          <w:p w14:paraId="09239DBE"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0</w:t>
            </w:r>
          </w:p>
        </w:tc>
      </w:tr>
      <w:tr w:rsidR="00192B82" w:rsidRPr="00192B82" w14:paraId="7805BB1A" w14:textId="77777777" w:rsidTr="00764626">
        <w:trPr>
          <w:trHeight w:val="288"/>
        </w:trPr>
        <w:tc>
          <w:tcPr>
            <w:tcW w:w="591" w:type="pct"/>
            <w:tcBorders>
              <w:top w:val="single" w:sz="4" w:space="0" w:color="000000"/>
              <w:left w:val="nil"/>
              <w:bottom w:val="single" w:sz="4" w:space="0" w:color="auto"/>
              <w:right w:val="nil"/>
            </w:tcBorders>
            <w:shd w:val="clear" w:color="000000" w:fill="FFFFFF"/>
            <w:noWrap/>
            <w:vAlign w:val="center"/>
            <w:hideMark/>
          </w:tcPr>
          <w:p w14:paraId="57693099" w14:textId="77777777" w:rsidR="00192B82" w:rsidRPr="00192B82" w:rsidRDefault="00192B82" w:rsidP="00192B82">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301,308</w:t>
            </w:r>
          </w:p>
        </w:tc>
        <w:tc>
          <w:tcPr>
            <w:tcW w:w="669" w:type="pct"/>
            <w:tcBorders>
              <w:top w:val="single" w:sz="4" w:space="0" w:color="000000"/>
              <w:left w:val="nil"/>
              <w:bottom w:val="single" w:sz="4" w:space="0" w:color="auto"/>
              <w:right w:val="nil"/>
            </w:tcBorders>
            <w:shd w:val="clear" w:color="000000" w:fill="FFFFFF"/>
            <w:noWrap/>
            <w:vAlign w:val="center"/>
            <w:hideMark/>
          </w:tcPr>
          <w:p w14:paraId="797A402F" w14:textId="77777777" w:rsidR="00192B82" w:rsidRPr="00192B82" w:rsidRDefault="00192B82" w:rsidP="00192B82">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0</w:t>
            </w:r>
          </w:p>
        </w:tc>
        <w:tc>
          <w:tcPr>
            <w:tcW w:w="669" w:type="pct"/>
            <w:tcBorders>
              <w:top w:val="single" w:sz="4" w:space="0" w:color="000000"/>
              <w:left w:val="nil"/>
              <w:bottom w:val="single" w:sz="4" w:space="0" w:color="auto"/>
              <w:right w:val="nil"/>
            </w:tcBorders>
            <w:shd w:val="clear" w:color="000000" w:fill="FFFFFF"/>
            <w:noWrap/>
            <w:vAlign w:val="center"/>
            <w:hideMark/>
          </w:tcPr>
          <w:p w14:paraId="61FD4CC6" w14:textId="77777777" w:rsidR="00192B82" w:rsidRPr="00192B82" w:rsidRDefault="00192B82" w:rsidP="00192B82">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301,308</w:t>
            </w:r>
          </w:p>
        </w:tc>
        <w:tc>
          <w:tcPr>
            <w:tcW w:w="1143" w:type="pct"/>
            <w:tcBorders>
              <w:top w:val="single" w:sz="4" w:space="0" w:color="000000"/>
              <w:left w:val="nil"/>
              <w:bottom w:val="single" w:sz="4" w:space="0" w:color="auto"/>
              <w:right w:val="nil"/>
            </w:tcBorders>
            <w:shd w:val="clear" w:color="000000" w:fill="FFFFFF"/>
            <w:vAlign w:val="center"/>
            <w:hideMark/>
          </w:tcPr>
          <w:p w14:paraId="4D7731F4" w14:textId="77777777" w:rsidR="00192B82" w:rsidRPr="00192B82" w:rsidRDefault="00192B82" w:rsidP="00192B82">
            <w:pPr>
              <w:ind w:firstLineChars="100" w:firstLine="161"/>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Revised Opening Balance</w:t>
            </w:r>
          </w:p>
        </w:tc>
        <w:tc>
          <w:tcPr>
            <w:tcW w:w="591" w:type="pct"/>
            <w:tcBorders>
              <w:top w:val="single" w:sz="4" w:space="0" w:color="000000"/>
              <w:left w:val="nil"/>
              <w:bottom w:val="single" w:sz="4" w:space="0" w:color="auto"/>
              <w:right w:val="nil"/>
            </w:tcBorders>
            <w:shd w:val="clear" w:color="000000" w:fill="FFFFFF"/>
            <w:noWrap/>
            <w:vAlign w:val="center"/>
            <w:hideMark/>
          </w:tcPr>
          <w:p w14:paraId="70C4384D" w14:textId="77777777" w:rsidR="00192B82" w:rsidRPr="00192B82" w:rsidRDefault="00192B82" w:rsidP="00192B82">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272,577</w:t>
            </w:r>
          </w:p>
        </w:tc>
        <w:tc>
          <w:tcPr>
            <w:tcW w:w="669" w:type="pct"/>
            <w:tcBorders>
              <w:top w:val="single" w:sz="4" w:space="0" w:color="000000"/>
              <w:left w:val="nil"/>
              <w:bottom w:val="single" w:sz="4" w:space="0" w:color="auto"/>
              <w:right w:val="nil"/>
            </w:tcBorders>
            <w:shd w:val="clear" w:color="000000" w:fill="FFFFFF"/>
            <w:noWrap/>
            <w:vAlign w:val="center"/>
            <w:hideMark/>
          </w:tcPr>
          <w:p w14:paraId="32B0D9EF" w14:textId="77777777" w:rsidR="00192B82" w:rsidRPr="00192B82" w:rsidRDefault="00192B82" w:rsidP="00192B82">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0</w:t>
            </w:r>
          </w:p>
        </w:tc>
        <w:tc>
          <w:tcPr>
            <w:tcW w:w="668" w:type="pct"/>
            <w:tcBorders>
              <w:top w:val="single" w:sz="4" w:space="0" w:color="000000"/>
              <w:left w:val="nil"/>
              <w:bottom w:val="single" w:sz="4" w:space="0" w:color="auto"/>
              <w:right w:val="nil"/>
            </w:tcBorders>
            <w:shd w:val="clear" w:color="000000" w:fill="FFFFFF"/>
            <w:noWrap/>
            <w:vAlign w:val="center"/>
            <w:hideMark/>
          </w:tcPr>
          <w:p w14:paraId="45A57852" w14:textId="77777777" w:rsidR="00192B82" w:rsidRPr="00192B82" w:rsidRDefault="00192B82" w:rsidP="00192B82">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272,577</w:t>
            </w:r>
          </w:p>
        </w:tc>
      </w:tr>
      <w:tr w:rsidR="00192B82" w:rsidRPr="00192B82" w14:paraId="57BAC2FC" w14:textId="77777777" w:rsidTr="00764626">
        <w:trPr>
          <w:trHeight w:val="288"/>
        </w:trPr>
        <w:tc>
          <w:tcPr>
            <w:tcW w:w="591" w:type="pct"/>
            <w:tcBorders>
              <w:top w:val="nil"/>
              <w:left w:val="nil"/>
              <w:bottom w:val="nil"/>
              <w:right w:val="nil"/>
            </w:tcBorders>
            <w:shd w:val="clear" w:color="000000" w:fill="FFFFFF"/>
            <w:noWrap/>
            <w:vAlign w:val="center"/>
            <w:hideMark/>
          </w:tcPr>
          <w:p w14:paraId="0EE7C212"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7,312</w:t>
            </w:r>
          </w:p>
        </w:tc>
        <w:tc>
          <w:tcPr>
            <w:tcW w:w="669" w:type="pct"/>
            <w:tcBorders>
              <w:top w:val="nil"/>
              <w:left w:val="nil"/>
              <w:bottom w:val="nil"/>
              <w:right w:val="nil"/>
            </w:tcBorders>
            <w:shd w:val="clear" w:color="000000" w:fill="FFFFFF"/>
            <w:noWrap/>
            <w:vAlign w:val="center"/>
            <w:hideMark/>
          </w:tcPr>
          <w:p w14:paraId="6C0CD61F"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0</w:t>
            </w:r>
          </w:p>
        </w:tc>
        <w:tc>
          <w:tcPr>
            <w:tcW w:w="669" w:type="pct"/>
            <w:tcBorders>
              <w:top w:val="nil"/>
              <w:left w:val="nil"/>
              <w:bottom w:val="nil"/>
              <w:right w:val="nil"/>
            </w:tcBorders>
            <w:shd w:val="clear" w:color="000000" w:fill="FFFFFF"/>
            <w:noWrap/>
            <w:vAlign w:val="center"/>
            <w:hideMark/>
          </w:tcPr>
          <w:p w14:paraId="437F5C32"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7,312</w:t>
            </w:r>
          </w:p>
        </w:tc>
        <w:tc>
          <w:tcPr>
            <w:tcW w:w="1143" w:type="pct"/>
            <w:tcBorders>
              <w:top w:val="nil"/>
              <w:left w:val="nil"/>
              <w:bottom w:val="nil"/>
              <w:right w:val="nil"/>
            </w:tcBorders>
            <w:shd w:val="clear" w:color="000000" w:fill="FFFFFF"/>
            <w:noWrap/>
            <w:vAlign w:val="center"/>
            <w:hideMark/>
          </w:tcPr>
          <w:p w14:paraId="0800CA9A" w14:textId="77777777" w:rsidR="00192B82" w:rsidRPr="00192B82" w:rsidRDefault="00192B82" w:rsidP="00192B82">
            <w:pPr>
              <w:ind w:firstLineChars="100" w:firstLine="160"/>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Interest income</w:t>
            </w:r>
          </w:p>
        </w:tc>
        <w:tc>
          <w:tcPr>
            <w:tcW w:w="591" w:type="pct"/>
            <w:tcBorders>
              <w:top w:val="nil"/>
              <w:left w:val="nil"/>
              <w:bottom w:val="nil"/>
              <w:right w:val="nil"/>
            </w:tcBorders>
            <w:shd w:val="clear" w:color="000000" w:fill="FFFFFF"/>
            <w:noWrap/>
            <w:vAlign w:val="center"/>
            <w:hideMark/>
          </w:tcPr>
          <w:p w14:paraId="216920A8"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6,352</w:t>
            </w:r>
          </w:p>
        </w:tc>
        <w:tc>
          <w:tcPr>
            <w:tcW w:w="669" w:type="pct"/>
            <w:tcBorders>
              <w:top w:val="nil"/>
              <w:left w:val="nil"/>
              <w:bottom w:val="nil"/>
              <w:right w:val="nil"/>
            </w:tcBorders>
            <w:shd w:val="clear" w:color="000000" w:fill="FFFFFF"/>
            <w:noWrap/>
            <w:vAlign w:val="center"/>
            <w:hideMark/>
          </w:tcPr>
          <w:p w14:paraId="59169509"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0</w:t>
            </w:r>
          </w:p>
        </w:tc>
        <w:tc>
          <w:tcPr>
            <w:tcW w:w="668" w:type="pct"/>
            <w:tcBorders>
              <w:top w:val="nil"/>
              <w:left w:val="nil"/>
              <w:bottom w:val="nil"/>
              <w:right w:val="nil"/>
            </w:tcBorders>
            <w:shd w:val="clear" w:color="000000" w:fill="FFFFFF"/>
            <w:noWrap/>
            <w:vAlign w:val="center"/>
            <w:hideMark/>
          </w:tcPr>
          <w:p w14:paraId="52606976"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6,352</w:t>
            </w:r>
          </w:p>
        </w:tc>
      </w:tr>
      <w:tr w:rsidR="00192B82" w:rsidRPr="00192B82" w14:paraId="3CD2281B" w14:textId="77777777" w:rsidTr="00764626">
        <w:trPr>
          <w:trHeight w:val="288"/>
        </w:trPr>
        <w:tc>
          <w:tcPr>
            <w:tcW w:w="591" w:type="pct"/>
            <w:tcBorders>
              <w:top w:val="nil"/>
              <w:left w:val="nil"/>
              <w:bottom w:val="nil"/>
              <w:right w:val="nil"/>
            </w:tcBorders>
            <w:shd w:val="clear" w:color="000000" w:fill="FFFFFF"/>
            <w:noWrap/>
            <w:vAlign w:val="center"/>
            <w:hideMark/>
          </w:tcPr>
          <w:p w14:paraId="21AB9B3A" w14:textId="77777777" w:rsidR="00192B82" w:rsidRPr="00192B82" w:rsidRDefault="00192B82" w:rsidP="00192B82">
            <w:pPr>
              <w:rPr>
                <w:rFonts w:ascii="Calibri" w:eastAsia="Times New Roman" w:hAnsi="Calibri" w:cs="Calibri"/>
                <w:color w:val="000000"/>
                <w:sz w:val="22"/>
                <w:szCs w:val="22"/>
                <w:lang w:val="en-GB" w:eastAsia="en-GB"/>
              </w:rPr>
            </w:pPr>
            <w:r w:rsidRPr="00192B82">
              <w:rPr>
                <w:rFonts w:ascii="Calibri" w:eastAsia="Times New Roman" w:hAnsi="Calibri" w:cs="Calibri"/>
                <w:color w:val="000000"/>
                <w:sz w:val="22"/>
                <w:szCs w:val="22"/>
                <w:lang w:val="en-GB" w:eastAsia="en-GB"/>
              </w:rPr>
              <w:t> </w:t>
            </w:r>
          </w:p>
        </w:tc>
        <w:tc>
          <w:tcPr>
            <w:tcW w:w="669" w:type="pct"/>
            <w:tcBorders>
              <w:top w:val="nil"/>
              <w:left w:val="nil"/>
              <w:bottom w:val="nil"/>
              <w:right w:val="nil"/>
            </w:tcBorders>
            <w:shd w:val="clear" w:color="000000" w:fill="FFFFFF"/>
            <w:noWrap/>
            <w:vAlign w:val="center"/>
            <w:hideMark/>
          </w:tcPr>
          <w:p w14:paraId="4F6ED3FD" w14:textId="77777777" w:rsidR="00192B82" w:rsidRPr="00192B82" w:rsidRDefault="00192B82" w:rsidP="00192B82">
            <w:pPr>
              <w:rPr>
                <w:rFonts w:ascii="Calibri" w:eastAsia="Times New Roman" w:hAnsi="Calibri" w:cs="Calibri"/>
                <w:color w:val="000000"/>
                <w:sz w:val="22"/>
                <w:szCs w:val="22"/>
                <w:lang w:val="en-GB" w:eastAsia="en-GB"/>
              </w:rPr>
            </w:pPr>
            <w:r w:rsidRPr="00192B82">
              <w:rPr>
                <w:rFonts w:ascii="Calibri" w:eastAsia="Times New Roman" w:hAnsi="Calibri" w:cs="Calibri"/>
                <w:color w:val="000000"/>
                <w:sz w:val="22"/>
                <w:szCs w:val="22"/>
                <w:lang w:val="en-GB" w:eastAsia="en-GB"/>
              </w:rPr>
              <w:t> </w:t>
            </w:r>
          </w:p>
        </w:tc>
        <w:tc>
          <w:tcPr>
            <w:tcW w:w="669" w:type="pct"/>
            <w:tcBorders>
              <w:top w:val="nil"/>
              <w:left w:val="nil"/>
              <w:bottom w:val="nil"/>
              <w:right w:val="nil"/>
            </w:tcBorders>
            <w:shd w:val="clear" w:color="000000" w:fill="FFFFFF"/>
            <w:noWrap/>
            <w:vAlign w:val="center"/>
            <w:hideMark/>
          </w:tcPr>
          <w:p w14:paraId="69C77B88" w14:textId="77777777" w:rsidR="00192B82" w:rsidRPr="00192B82" w:rsidRDefault="00192B82" w:rsidP="00192B82">
            <w:pPr>
              <w:rPr>
                <w:rFonts w:ascii="Calibri" w:eastAsia="Times New Roman" w:hAnsi="Calibri" w:cs="Calibri"/>
                <w:color w:val="000000"/>
                <w:sz w:val="22"/>
                <w:szCs w:val="22"/>
                <w:lang w:val="en-GB" w:eastAsia="en-GB"/>
              </w:rPr>
            </w:pPr>
            <w:r w:rsidRPr="00192B82">
              <w:rPr>
                <w:rFonts w:ascii="Calibri" w:eastAsia="Times New Roman" w:hAnsi="Calibri" w:cs="Calibri"/>
                <w:color w:val="000000"/>
                <w:sz w:val="22"/>
                <w:szCs w:val="22"/>
                <w:lang w:val="en-GB" w:eastAsia="en-GB"/>
              </w:rPr>
              <w:t> </w:t>
            </w:r>
          </w:p>
        </w:tc>
        <w:tc>
          <w:tcPr>
            <w:tcW w:w="1734" w:type="pct"/>
            <w:gridSpan w:val="2"/>
            <w:tcBorders>
              <w:top w:val="nil"/>
              <w:left w:val="nil"/>
              <w:bottom w:val="nil"/>
              <w:right w:val="nil"/>
            </w:tcBorders>
            <w:shd w:val="clear" w:color="000000" w:fill="FFFFFF"/>
            <w:noWrap/>
            <w:vAlign w:val="center"/>
            <w:hideMark/>
          </w:tcPr>
          <w:p w14:paraId="24DAFC74" w14:textId="77777777" w:rsidR="00192B82" w:rsidRPr="00192B82" w:rsidRDefault="00192B82" w:rsidP="00192B82">
            <w:pPr>
              <w:ind w:firstLineChars="100" w:firstLine="220"/>
              <w:rPr>
                <w:rFonts w:ascii="Calibri" w:eastAsia="Times New Roman" w:hAnsi="Calibri" w:cs="Calibri"/>
                <w:color w:val="000000"/>
                <w:sz w:val="22"/>
                <w:szCs w:val="22"/>
                <w:lang w:val="en-GB" w:eastAsia="en-GB"/>
              </w:rPr>
            </w:pPr>
            <w:r w:rsidRPr="00192B82">
              <w:rPr>
                <w:rFonts w:ascii="Calibri" w:eastAsia="Times New Roman" w:hAnsi="Calibri" w:cs="Calibri"/>
                <w:color w:val="000000"/>
                <w:sz w:val="22"/>
                <w:szCs w:val="22"/>
                <w:lang w:val="en-GB" w:eastAsia="en-GB"/>
              </w:rPr>
              <w:t>Re-measurement gain / (loss):</w:t>
            </w:r>
          </w:p>
        </w:tc>
        <w:tc>
          <w:tcPr>
            <w:tcW w:w="669" w:type="pct"/>
            <w:tcBorders>
              <w:top w:val="nil"/>
              <w:left w:val="nil"/>
              <w:bottom w:val="nil"/>
              <w:right w:val="nil"/>
            </w:tcBorders>
            <w:shd w:val="clear" w:color="000000" w:fill="FFFFFF"/>
            <w:noWrap/>
            <w:vAlign w:val="center"/>
            <w:hideMark/>
          </w:tcPr>
          <w:p w14:paraId="0013C523" w14:textId="77777777" w:rsidR="00192B82" w:rsidRPr="00192B82" w:rsidRDefault="00192B82" w:rsidP="00192B82">
            <w:pPr>
              <w:rPr>
                <w:rFonts w:ascii="Calibri" w:eastAsia="Times New Roman" w:hAnsi="Calibri" w:cs="Calibri"/>
                <w:color w:val="000000"/>
                <w:sz w:val="22"/>
                <w:szCs w:val="22"/>
                <w:lang w:val="en-GB" w:eastAsia="en-GB"/>
              </w:rPr>
            </w:pPr>
            <w:r w:rsidRPr="00192B82">
              <w:rPr>
                <w:rFonts w:ascii="Calibri" w:eastAsia="Times New Roman" w:hAnsi="Calibri" w:cs="Calibri"/>
                <w:color w:val="000000"/>
                <w:sz w:val="22"/>
                <w:szCs w:val="22"/>
                <w:lang w:val="en-GB" w:eastAsia="en-GB"/>
              </w:rPr>
              <w:t> </w:t>
            </w:r>
          </w:p>
        </w:tc>
        <w:tc>
          <w:tcPr>
            <w:tcW w:w="668" w:type="pct"/>
            <w:tcBorders>
              <w:top w:val="nil"/>
              <w:left w:val="nil"/>
              <w:bottom w:val="nil"/>
              <w:right w:val="nil"/>
            </w:tcBorders>
            <w:shd w:val="clear" w:color="000000" w:fill="FFFFFF"/>
            <w:noWrap/>
            <w:vAlign w:val="center"/>
            <w:hideMark/>
          </w:tcPr>
          <w:p w14:paraId="117E7EC6" w14:textId="77777777" w:rsidR="00192B82" w:rsidRPr="00192B82" w:rsidRDefault="00192B82" w:rsidP="00192B82">
            <w:pPr>
              <w:rPr>
                <w:rFonts w:ascii="Calibri" w:eastAsia="Times New Roman" w:hAnsi="Calibri" w:cs="Calibri"/>
                <w:color w:val="000000"/>
                <w:sz w:val="22"/>
                <w:szCs w:val="22"/>
                <w:lang w:val="en-GB" w:eastAsia="en-GB"/>
              </w:rPr>
            </w:pPr>
            <w:r w:rsidRPr="00192B82">
              <w:rPr>
                <w:rFonts w:ascii="Calibri" w:eastAsia="Times New Roman" w:hAnsi="Calibri" w:cs="Calibri"/>
                <w:color w:val="000000"/>
                <w:sz w:val="22"/>
                <w:szCs w:val="22"/>
                <w:lang w:val="en-GB" w:eastAsia="en-GB"/>
              </w:rPr>
              <w:t> </w:t>
            </w:r>
          </w:p>
        </w:tc>
      </w:tr>
      <w:tr w:rsidR="00192B82" w:rsidRPr="00192B82" w14:paraId="352006C1" w14:textId="77777777" w:rsidTr="00764626">
        <w:trPr>
          <w:trHeight w:val="816"/>
        </w:trPr>
        <w:tc>
          <w:tcPr>
            <w:tcW w:w="591" w:type="pct"/>
            <w:tcBorders>
              <w:top w:val="nil"/>
              <w:left w:val="nil"/>
              <w:bottom w:val="nil"/>
              <w:right w:val="nil"/>
            </w:tcBorders>
            <w:shd w:val="clear" w:color="000000" w:fill="FFFFFF"/>
            <w:noWrap/>
            <w:vAlign w:val="center"/>
            <w:hideMark/>
          </w:tcPr>
          <w:p w14:paraId="65596173"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(41,563)</w:t>
            </w:r>
          </w:p>
        </w:tc>
        <w:tc>
          <w:tcPr>
            <w:tcW w:w="669" w:type="pct"/>
            <w:tcBorders>
              <w:top w:val="nil"/>
              <w:left w:val="nil"/>
              <w:bottom w:val="nil"/>
              <w:right w:val="nil"/>
            </w:tcBorders>
            <w:shd w:val="clear" w:color="000000" w:fill="FFFFFF"/>
            <w:noWrap/>
            <w:vAlign w:val="center"/>
            <w:hideMark/>
          </w:tcPr>
          <w:p w14:paraId="30FC7802"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0</w:t>
            </w:r>
          </w:p>
        </w:tc>
        <w:tc>
          <w:tcPr>
            <w:tcW w:w="669" w:type="pct"/>
            <w:tcBorders>
              <w:top w:val="nil"/>
              <w:left w:val="nil"/>
              <w:bottom w:val="nil"/>
              <w:right w:val="nil"/>
            </w:tcBorders>
            <w:shd w:val="clear" w:color="000000" w:fill="FFFFFF"/>
            <w:noWrap/>
            <w:vAlign w:val="center"/>
            <w:hideMark/>
          </w:tcPr>
          <w:p w14:paraId="6094A889"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(41,563)</w:t>
            </w:r>
          </w:p>
        </w:tc>
        <w:tc>
          <w:tcPr>
            <w:tcW w:w="1143" w:type="pct"/>
            <w:tcBorders>
              <w:top w:val="nil"/>
              <w:left w:val="nil"/>
              <w:bottom w:val="nil"/>
              <w:right w:val="nil"/>
            </w:tcBorders>
            <w:shd w:val="clear" w:color="000000" w:fill="FFFFFF"/>
            <w:vAlign w:val="center"/>
            <w:hideMark/>
          </w:tcPr>
          <w:p w14:paraId="4212785F" w14:textId="77777777" w:rsidR="00192B82" w:rsidRPr="00192B82" w:rsidRDefault="00192B82" w:rsidP="00192B82">
            <w:pPr>
              <w:ind w:firstLineChars="100" w:firstLine="160"/>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The return on plan assets, excluding the amount included in the net interest expense</w:t>
            </w:r>
          </w:p>
        </w:tc>
        <w:tc>
          <w:tcPr>
            <w:tcW w:w="591" w:type="pct"/>
            <w:tcBorders>
              <w:top w:val="nil"/>
              <w:left w:val="nil"/>
              <w:bottom w:val="nil"/>
              <w:right w:val="nil"/>
            </w:tcBorders>
            <w:shd w:val="clear" w:color="000000" w:fill="FFFFFF"/>
            <w:noWrap/>
            <w:vAlign w:val="center"/>
            <w:hideMark/>
          </w:tcPr>
          <w:p w14:paraId="59A09DDE"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72,255</w:t>
            </w:r>
          </w:p>
        </w:tc>
        <w:tc>
          <w:tcPr>
            <w:tcW w:w="669" w:type="pct"/>
            <w:tcBorders>
              <w:top w:val="nil"/>
              <w:left w:val="nil"/>
              <w:bottom w:val="nil"/>
              <w:right w:val="nil"/>
            </w:tcBorders>
            <w:shd w:val="clear" w:color="000000" w:fill="FFFFFF"/>
            <w:noWrap/>
            <w:vAlign w:val="center"/>
            <w:hideMark/>
          </w:tcPr>
          <w:p w14:paraId="01D520D3"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0</w:t>
            </w:r>
          </w:p>
        </w:tc>
        <w:tc>
          <w:tcPr>
            <w:tcW w:w="668" w:type="pct"/>
            <w:tcBorders>
              <w:top w:val="nil"/>
              <w:left w:val="nil"/>
              <w:bottom w:val="nil"/>
              <w:right w:val="nil"/>
            </w:tcBorders>
            <w:shd w:val="clear" w:color="000000" w:fill="FFFFFF"/>
            <w:noWrap/>
            <w:vAlign w:val="center"/>
            <w:hideMark/>
          </w:tcPr>
          <w:p w14:paraId="6858E397"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72,255</w:t>
            </w:r>
          </w:p>
        </w:tc>
      </w:tr>
      <w:tr w:rsidR="00192B82" w:rsidRPr="00192B82" w14:paraId="7C884CE7" w14:textId="77777777" w:rsidTr="00764626">
        <w:trPr>
          <w:trHeight w:val="288"/>
        </w:trPr>
        <w:tc>
          <w:tcPr>
            <w:tcW w:w="591" w:type="pct"/>
            <w:tcBorders>
              <w:top w:val="nil"/>
              <w:left w:val="nil"/>
              <w:bottom w:val="nil"/>
              <w:right w:val="nil"/>
            </w:tcBorders>
            <w:shd w:val="clear" w:color="000000" w:fill="FFFFFF"/>
            <w:noWrap/>
            <w:vAlign w:val="center"/>
            <w:hideMark/>
          </w:tcPr>
          <w:p w14:paraId="740A0E1C"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9,724</w:t>
            </w:r>
          </w:p>
        </w:tc>
        <w:tc>
          <w:tcPr>
            <w:tcW w:w="669" w:type="pct"/>
            <w:tcBorders>
              <w:top w:val="nil"/>
              <w:left w:val="nil"/>
              <w:bottom w:val="nil"/>
              <w:right w:val="nil"/>
            </w:tcBorders>
            <w:shd w:val="clear" w:color="000000" w:fill="FFFFFF"/>
            <w:noWrap/>
            <w:vAlign w:val="center"/>
            <w:hideMark/>
          </w:tcPr>
          <w:p w14:paraId="40CC4B85"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40,570</w:t>
            </w:r>
          </w:p>
        </w:tc>
        <w:tc>
          <w:tcPr>
            <w:tcW w:w="669" w:type="pct"/>
            <w:tcBorders>
              <w:top w:val="nil"/>
              <w:left w:val="nil"/>
              <w:bottom w:val="nil"/>
              <w:right w:val="nil"/>
            </w:tcBorders>
            <w:shd w:val="clear" w:color="000000" w:fill="FFFFFF"/>
            <w:noWrap/>
            <w:vAlign w:val="center"/>
            <w:hideMark/>
          </w:tcPr>
          <w:p w14:paraId="787A1730"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50,294</w:t>
            </w:r>
          </w:p>
        </w:tc>
        <w:tc>
          <w:tcPr>
            <w:tcW w:w="1143" w:type="pct"/>
            <w:tcBorders>
              <w:top w:val="nil"/>
              <w:left w:val="nil"/>
              <w:bottom w:val="nil"/>
              <w:right w:val="nil"/>
            </w:tcBorders>
            <w:shd w:val="clear" w:color="000000" w:fill="FFFFFF"/>
            <w:vAlign w:val="center"/>
            <w:hideMark/>
          </w:tcPr>
          <w:p w14:paraId="7ED87F86" w14:textId="77777777" w:rsidR="00192B82" w:rsidRPr="00192B82" w:rsidRDefault="00192B82" w:rsidP="00192B82">
            <w:pPr>
              <w:ind w:firstLineChars="100" w:firstLine="160"/>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Contributions from employer</w:t>
            </w:r>
          </w:p>
        </w:tc>
        <w:tc>
          <w:tcPr>
            <w:tcW w:w="591" w:type="pct"/>
            <w:tcBorders>
              <w:top w:val="nil"/>
              <w:left w:val="nil"/>
              <w:bottom w:val="nil"/>
              <w:right w:val="nil"/>
            </w:tcBorders>
            <w:shd w:val="clear" w:color="000000" w:fill="FFFFFF"/>
            <w:noWrap/>
            <w:vAlign w:val="center"/>
            <w:hideMark/>
          </w:tcPr>
          <w:p w14:paraId="52A137E2"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10,908</w:t>
            </w:r>
          </w:p>
        </w:tc>
        <w:tc>
          <w:tcPr>
            <w:tcW w:w="669" w:type="pct"/>
            <w:tcBorders>
              <w:top w:val="nil"/>
              <w:left w:val="nil"/>
              <w:bottom w:val="nil"/>
              <w:right w:val="nil"/>
            </w:tcBorders>
            <w:shd w:val="clear" w:color="000000" w:fill="FFFFFF"/>
            <w:noWrap/>
            <w:vAlign w:val="center"/>
            <w:hideMark/>
          </w:tcPr>
          <w:p w14:paraId="0DE9AADA" w14:textId="403417D2" w:rsidR="00192B82" w:rsidRPr="00192B82" w:rsidRDefault="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3</w:t>
            </w:r>
            <w:r w:rsidR="001B5749">
              <w:rPr>
                <w:rFonts w:ascii="Verdana" w:eastAsia="Times New Roman" w:hAnsi="Verdana" w:cs="Calibri"/>
                <w:color w:val="000000"/>
                <w:sz w:val="16"/>
                <w:szCs w:val="16"/>
                <w:lang w:val="en-GB" w:eastAsia="en-GB"/>
              </w:rPr>
              <w:t>8</w:t>
            </w:r>
            <w:r w:rsidRPr="00192B82">
              <w:rPr>
                <w:rFonts w:ascii="Verdana" w:eastAsia="Times New Roman" w:hAnsi="Verdana" w:cs="Calibri"/>
                <w:color w:val="000000"/>
                <w:sz w:val="16"/>
                <w:szCs w:val="16"/>
                <w:lang w:val="en-GB" w:eastAsia="en-GB"/>
              </w:rPr>
              <w:t>,</w:t>
            </w:r>
            <w:r w:rsidR="001B5749">
              <w:rPr>
                <w:rFonts w:ascii="Verdana" w:eastAsia="Times New Roman" w:hAnsi="Verdana" w:cs="Calibri"/>
                <w:color w:val="000000"/>
                <w:sz w:val="16"/>
                <w:szCs w:val="16"/>
                <w:lang w:val="en-GB" w:eastAsia="en-GB"/>
              </w:rPr>
              <w:t>3</w:t>
            </w:r>
            <w:r w:rsidRPr="00192B82">
              <w:rPr>
                <w:rFonts w:ascii="Verdana" w:eastAsia="Times New Roman" w:hAnsi="Verdana" w:cs="Calibri"/>
                <w:color w:val="000000"/>
                <w:sz w:val="16"/>
                <w:szCs w:val="16"/>
                <w:lang w:val="en-GB" w:eastAsia="en-GB"/>
              </w:rPr>
              <w:t>60</w:t>
            </w:r>
          </w:p>
        </w:tc>
        <w:tc>
          <w:tcPr>
            <w:tcW w:w="668" w:type="pct"/>
            <w:tcBorders>
              <w:top w:val="nil"/>
              <w:left w:val="nil"/>
              <w:bottom w:val="nil"/>
              <w:right w:val="nil"/>
            </w:tcBorders>
            <w:shd w:val="clear" w:color="000000" w:fill="FFFFFF"/>
            <w:noWrap/>
            <w:vAlign w:val="center"/>
            <w:hideMark/>
          </w:tcPr>
          <w:p w14:paraId="584C2730" w14:textId="29829FCB" w:rsidR="00192B82" w:rsidRPr="00192B82" w:rsidRDefault="001B5749" w:rsidP="00192B82">
            <w:pPr>
              <w:ind w:firstLineChars="100" w:firstLine="160"/>
              <w:jc w:val="right"/>
              <w:rPr>
                <w:rFonts w:ascii="Verdana" w:eastAsia="Times New Roman" w:hAnsi="Verdana" w:cs="Calibri"/>
                <w:color w:val="000000"/>
                <w:sz w:val="16"/>
                <w:szCs w:val="16"/>
                <w:lang w:val="en-GB" w:eastAsia="en-GB"/>
              </w:rPr>
            </w:pPr>
            <w:r>
              <w:rPr>
                <w:rFonts w:ascii="Verdana" w:eastAsia="Times New Roman" w:hAnsi="Verdana" w:cs="Calibri"/>
                <w:color w:val="000000"/>
                <w:sz w:val="16"/>
                <w:szCs w:val="16"/>
                <w:lang w:val="en-GB" w:eastAsia="en-GB"/>
              </w:rPr>
              <w:t>49,268</w:t>
            </w:r>
          </w:p>
        </w:tc>
      </w:tr>
      <w:tr w:rsidR="00192B82" w:rsidRPr="00192B82" w14:paraId="1D3D2F2E" w14:textId="77777777" w:rsidTr="00764626">
        <w:trPr>
          <w:trHeight w:val="408"/>
        </w:trPr>
        <w:tc>
          <w:tcPr>
            <w:tcW w:w="591" w:type="pct"/>
            <w:tcBorders>
              <w:top w:val="nil"/>
              <w:left w:val="nil"/>
              <w:bottom w:val="nil"/>
              <w:right w:val="nil"/>
            </w:tcBorders>
            <w:shd w:val="clear" w:color="000000" w:fill="FFFFFF"/>
            <w:noWrap/>
            <w:vAlign w:val="center"/>
            <w:hideMark/>
          </w:tcPr>
          <w:p w14:paraId="06E88D17"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3,172</w:t>
            </w:r>
          </w:p>
        </w:tc>
        <w:tc>
          <w:tcPr>
            <w:tcW w:w="669" w:type="pct"/>
            <w:tcBorders>
              <w:top w:val="nil"/>
              <w:left w:val="nil"/>
              <w:bottom w:val="nil"/>
              <w:right w:val="nil"/>
            </w:tcBorders>
            <w:shd w:val="clear" w:color="000000" w:fill="FFFFFF"/>
            <w:noWrap/>
            <w:vAlign w:val="center"/>
            <w:hideMark/>
          </w:tcPr>
          <w:p w14:paraId="22795924"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9,050</w:t>
            </w:r>
          </w:p>
        </w:tc>
        <w:tc>
          <w:tcPr>
            <w:tcW w:w="669" w:type="pct"/>
            <w:tcBorders>
              <w:top w:val="nil"/>
              <w:left w:val="nil"/>
              <w:bottom w:val="nil"/>
              <w:right w:val="nil"/>
            </w:tcBorders>
            <w:shd w:val="clear" w:color="000000" w:fill="FFFFFF"/>
            <w:noWrap/>
            <w:vAlign w:val="center"/>
            <w:hideMark/>
          </w:tcPr>
          <w:p w14:paraId="245D6CE2"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12,222</w:t>
            </w:r>
          </w:p>
        </w:tc>
        <w:tc>
          <w:tcPr>
            <w:tcW w:w="1143" w:type="pct"/>
            <w:tcBorders>
              <w:top w:val="nil"/>
              <w:left w:val="nil"/>
              <w:bottom w:val="nil"/>
              <w:right w:val="nil"/>
            </w:tcBorders>
            <w:shd w:val="clear" w:color="000000" w:fill="FFFFFF"/>
            <w:vAlign w:val="center"/>
            <w:hideMark/>
          </w:tcPr>
          <w:p w14:paraId="2F26D36C" w14:textId="77777777" w:rsidR="00192B82" w:rsidRPr="00192B82" w:rsidRDefault="00192B82" w:rsidP="00192B82">
            <w:pPr>
              <w:ind w:firstLineChars="100" w:firstLine="160"/>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Contributions from employees into the scheme</w:t>
            </w:r>
          </w:p>
        </w:tc>
        <w:tc>
          <w:tcPr>
            <w:tcW w:w="591" w:type="pct"/>
            <w:tcBorders>
              <w:top w:val="nil"/>
              <w:left w:val="nil"/>
              <w:bottom w:val="nil"/>
              <w:right w:val="nil"/>
            </w:tcBorders>
            <w:shd w:val="clear" w:color="000000" w:fill="FFFFFF"/>
            <w:noWrap/>
            <w:vAlign w:val="center"/>
            <w:hideMark/>
          </w:tcPr>
          <w:p w14:paraId="7F89AE59"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3,614</w:t>
            </w:r>
          </w:p>
        </w:tc>
        <w:tc>
          <w:tcPr>
            <w:tcW w:w="669" w:type="pct"/>
            <w:tcBorders>
              <w:top w:val="nil"/>
              <w:left w:val="nil"/>
              <w:bottom w:val="nil"/>
              <w:right w:val="nil"/>
            </w:tcBorders>
            <w:shd w:val="clear" w:color="000000" w:fill="FFFFFF"/>
            <w:noWrap/>
            <w:vAlign w:val="center"/>
            <w:hideMark/>
          </w:tcPr>
          <w:p w14:paraId="5FF27D8C"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9,760</w:t>
            </w:r>
          </w:p>
        </w:tc>
        <w:tc>
          <w:tcPr>
            <w:tcW w:w="668" w:type="pct"/>
            <w:tcBorders>
              <w:top w:val="nil"/>
              <w:left w:val="nil"/>
              <w:bottom w:val="nil"/>
              <w:right w:val="nil"/>
            </w:tcBorders>
            <w:shd w:val="clear" w:color="000000" w:fill="FFFFFF"/>
            <w:noWrap/>
            <w:vAlign w:val="center"/>
            <w:hideMark/>
          </w:tcPr>
          <w:p w14:paraId="74C74F61"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13,374</w:t>
            </w:r>
          </w:p>
        </w:tc>
      </w:tr>
      <w:tr w:rsidR="00192B82" w:rsidRPr="00192B82" w14:paraId="5787BF50" w14:textId="77777777" w:rsidTr="00764626">
        <w:trPr>
          <w:trHeight w:val="288"/>
        </w:trPr>
        <w:tc>
          <w:tcPr>
            <w:tcW w:w="591" w:type="pct"/>
            <w:tcBorders>
              <w:top w:val="nil"/>
              <w:left w:val="nil"/>
              <w:bottom w:val="nil"/>
              <w:right w:val="nil"/>
            </w:tcBorders>
            <w:shd w:val="clear" w:color="000000" w:fill="FFFFFF"/>
            <w:noWrap/>
            <w:vAlign w:val="bottom"/>
            <w:hideMark/>
          </w:tcPr>
          <w:p w14:paraId="5090AB80" w14:textId="77777777" w:rsidR="00192B82" w:rsidRPr="00192B82" w:rsidRDefault="00192B82" w:rsidP="00192B82">
            <w:pPr>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0</w:t>
            </w:r>
          </w:p>
        </w:tc>
        <w:tc>
          <w:tcPr>
            <w:tcW w:w="669" w:type="pct"/>
            <w:tcBorders>
              <w:top w:val="nil"/>
              <w:left w:val="nil"/>
              <w:bottom w:val="nil"/>
              <w:right w:val="nil"/>
            </w:tcBorders>
            <w:shd w:val="clear" w:color="000000" w:fill="FFFFFF"/>
            <w:noWrap/>
            <w:vAlign w:val="center"/>
            <w:hideMark/>
          </w:tcPr>
          <w:p w14:paraId="59103E6A"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460</w:t>
            </w:r>
          </w:p>
        </w:tc>
        <w:tc>
          <w:tcPr>
            <w:tcW w:w="669" w:type="pct"/>
            <w:tcBorders>
              <w:top w:val="nil"/>
              <w:left w:val="nil"/>
              <w:bottom w:val="nil"/>
              <w:right w:val="nil"/>
            </w:tcBorders>
            <w:shd w:val="clear" w:color="000000" w:fill="FFFFFF"/>
            <w:noWrap/>
            <w:vAlign w:val="center"/>
            <w:hideMark/>
          </w:tcPr>
          <w:p w14:paraId="5F375E72"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460</w:t>
            </w:r>
          </w:p>
        </w:tc>
        <w:tc>
          <w:tcPr>
            <w:tcW w:w="1143" w:type="pct"/>
            <w:tcBorders>
              <w:top w:val="nil"/>
              <w:left w:val="nil"/>
              <w:bottom w:val="nil"/>
              <w:right w:val="nil"/>
            </w:tcBorders>
            <w:shd w:val="clear" w:color="000000" w:fill="FFFFFF"/>
            <w:vAlign w:val="bottom"/>
            <w:hideMark/>
          </w:tcPr>
          <w:p w14:paraId="6A2F1181" w14:textId="77777777" w:rsidR="00192B82" w:rsidRPr="00192B82" w:rsidRDefault="00192B82" w:rsidP="00192B82">
            <w:pPr>
              <w:ind w:firstLineChars="100" w:firstLine="160"/>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Transfers in</w:t>
            </w:r>
          </w:p>
        </w:tc>
        <w:tc>
          <w:tcPr>
            <w:tcW w:w="591" w:type="pct"/>
            <w:tcBorders>
              <w:top w:val="nil"/>
              <w:left w:val="nil"/>
              <w:bottom w:val="nil"/>
              <w:right w:val="nil"/>
            </w:tcBorders>
            <w:shd w:val="clear" w:color="000000" w:fill="FFFFFF"/>
            <w:noWrap/>
            <w:vAlign w:val="bottom"/>
            <w:hideMark/>
          </w:tcPr>
          <w:p w14:paraId="2ABF76C1" w14:textId="77777777" w:rsidR="00192B82" w:rsidRPr="00192B82" w:rsidRDefault="00192B82" w:rsidP="00192B82">
            <w:pPr>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0</w:t>
            </w:r>
          </w:p>
        </w:tc>
        <w:tc>
          <w:tcPr>
            <w:tcW w:w="669" w:type="pct"/>
            <w:tcBorders>
              <w:top w:val="nil"/>
              <w:left w:val="nil"/>
              <w:bottom w:val="nil"/>
              <w:right w:val="nil"/>
            </w:tcBorders>
            <w:shd w:val="clear" w:color="000000" w:fill="FFFFFF"/>
            <w:noWrap/>
            <w:vAlign w:val="center"/>
            <w:hideMark/>
          </w:tcPr>
          <w:p w14:paraId="0E3B8B61" w14:textId="1338F3AF" w:rsidR="00192B82" w:rsidRPr="00192B82" w:rsidRDefault="001B5749" w:rsidP="00192B82">
            <w:pPr>
              <w:ind w:firstLineChars="100" w:firstLine="160"/>
              <w:jc w:val="right"/>
              <w:rPr>
                <w:rFonts w:ascii="Verdana" w:eastAsia="Times New Roman" w:hAnsi="Verdana" w:cs="Calibri"/>
                <w:color w:val="000000"/>
                <w:sz w:val="16"/>
                <w:szCs w:val="16"/>
                <w:lang w:val="en-GB" w:eastAsia="en-GB"/>
              </w:rPr>
            </w:pPr>
            <w:r>
              <w:rPr>
                <w:rFonts w:ascii="Verdana" w:eastAsia="Times New Roman" w:hAnsi="Verdana" w:cs="Calibri"/>
                <w:color w:val="000000"/>
                <w:sz w:val="16"/>
                <w:szCs w:val="16"/>
                <w:lang w:val="en-GB" w:eastAsia="en-GB"/>
              </w:rPr>
              <w:t>28</w:t>
            </w:r>
            <w:r w:rsidR="00192B82" w:rsidRPr="00192B82">
              <w:rPr>
                <w:rFonts w:ascii="Verdana" w:eastAsia="Times New Roman" w:hAnsi="Verdana" w:cs="Calibri"/>
                <w:color w:val="000000"/>
                <w:sz w:val="16"/>
                <w:szCs w:val="16"/>
                <w:lang w:val="en-GB" w:eastAsia="en-GB"/>
              </w:rPr>
              <w:t>0</w:t>
            </w:r>
          </w:p>
        </w:tc>
        <w:tc>
          <w:tcPr>
            <w:tcW w:w="668" w:type="pct"/>
            <w:tcBorders>
              <w:top w:val="nil"/>
              <w:left w:val="nil"/>
              <w:bottom w:val="nil"/>
              <w:right w:val="nil"/>
            </w:tcBorders>
            <w:shd w:val="clear" w:color="000000" w:fill="FFFFFF"/>
            <w:noWrap/>
            <w:vAlign w:val="center"/>
            <w:hideMark/>
          </w:tcPr>
          <w:p w14:paraId="1D5EC3BC" w14:textId="0AE93840" w:rsidR="00192B82" w:rsidRPr="00192B82" w:rsidRDefault="001B5749" w:rsidP="00192B82">
            <w:pPr>
              <w:ind w:firstLineChars="100" w:firstLine="160"/>
              <w:jc w:val="right"/>
              <w:rPr>
                <w:rFonts w:ascii="Verdana" w:eastAsia="Times New Roman" w:hAnsi="Verdana" w:cs="Calibri"/>
                <w:color w:val="000000"/>
                <w:sz w:val="16"/>
                <w:szCs w:val="16"/>
                <w:lang w:val="en-GB" w:eastAsia="en-GB"/>
              </w:rPr>
            </w:pPr>
            <w:r>
              <w:rPr>
                <w:rFonts w:ascii="Verdana" w:eastAsia="Times New Roman" w:hAnsi="Verdana" w:cs="Calibri"/>
                <w:color w:val="000000"/>
                <w:sz w:val="16"/>
                <w:szCs w:val="16"/>
                <w:lang w:val="en-GB" w:eastAsia="en-GB"/>
              </w:rPr>
              <w:t>280</w:t>
            </w:r>
          </w:p>
        </w:tc>
      </w:tr>
      <w:tr w:rsidR="00192B82" w:rsidRPr="00192B82" w14:paraId="4E2F9A68" w14:textId="77777777" w:rsidTr="00764626">
        <w:trPr>
          <w:trHeight w:val="204"/>
        </w:trPr>
        <w:tc>
          <w:tcPr>
            <w:tcW w:w="591" w:type="pct"/>
            <w:tcBorders>
              <w:top w:val="nil"/>
              <w:left w:val="nil"/>
              <w:bottom w:val="nil"/>
              <w:right w:val="nil"/>
            </w:tcBorders>
            <w:shd w:val="clear" w:color="000000" w:fill="FFFFFF"/>
            <w:noWrap/>
            <w:vAlign w:val="center"/>
            <w:hideMark/>
          </w:tcPr>
          <w:p w14:paraId="06B85921"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(7,376)</w:t>
            </w:r>
          </w:p>
        </w:tc>
        <w:tc>
          <w:tcPr>
            <w:tcW w:w="669" w:type="pct"/>
            <w:tcBorders>
              <w:top w:val="nil"/>
              <w:left w:val="nil"/>
              <w:bottom w:val="nil"/>
              <w:right w:val="nil"/>
            </w:tcBorders>
            <w:shd w:val="clear" w:color="000000" w:fill="FFFFFF"/>
            <w:noWrap/>
            <w:vAlign w:val="center"/>
            <w:hideMark/>
          </w:tcPr>
          <w:p w14:paraId="693FF105"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(50,080)</w:t>
            </w:r>
          </w:p>
        </w:tc>
        <w:tc>
          <w:tcPr>
            <w:tcW w:w="669" w:type="pct"/>
            <w:tcBorders>
              <w:top w:val="nil"/>
              <w:left w:val="nil"/>
              <w:bottom w:val="nil"/>
              <w:right w:val="nil"/>
            </w:tcBorders>
            <w:shd w:val="clear" w:color="000000" w:fill="FFFFFF"/>
            <w:noWrap/>
            <w:vAlign w:val="center"/>
            <w:hideMark/>
          </w:tcPr>
          <w:p w14:paraId="550E4932"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(57,456)</w:t>
            </w:r>
          </w:p>
        </w:tc>
        <w:tc>
          <w:tcPr>
            <w:tcW w:w="1143" w:type="pct"/>
            <w:tcBorders>
              <w:top w:val="nil"/>
              <w:left w:val="nil"/>
              <w:bottom w:val="nil"/>
              <w:right w:val="nil"/>
            </w:tcBorders>
            <w:shd w:val="clear" w:color="000000" w:fill="FFFFFF"/>
            <w:noWrap/>
            <w:vAlign w:val="center"/>
            <w:hideMark/>
          </w:tcPr>
          <w:p w14:paraId="201AF116" w14:textId="77777777" w:rsidR="00192B82" w:rsidRPr="00192B82" w:rsidRDefault="00192B82" w:rsidP="00192B82">
            <w:pPr>
              <w:ind w:firstLineChars="100" w:firstLine="160"/>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Fair value of plan assets</w:t>
            </w:r>
          </w:p>
        </w:tc>
        <w:tc>
          <w:tcPr>
            <w:tcW w:w="591" w:type="pct"/>
            <w:tcBorders>
              <w:top w:val="nil"/>
              <w:left w:val="nil"/>
              <w:bottom w:val="nil"/>
              <w:right w:val="nil"/>
            </w:tcBorders>
            <w:shd w:val="clear" w:color="000000" w:fill="FFFFFF"/>
            <w:noWrap/>
            <w:vAlign w:val="center"/>
            <w:hideMark/>
          </w:tcPr>
          <w:p w14:paraId="449F9E60"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(6,934)</w:t>
            </w:r>
          </w:p>
        </w:tc>
        <w:tc>
          <w:tcPr>
            <w:tcW w:w="669" w:type="pct"/>
            <w:tcBorders>
              <w:top w:val="nil"/>
              <w:left w:val="nil"/>
              <w:bottom w:val="nil"/>
              <w:right w:val="nil"/>
            </w:tcBorders>
            <w:shd w:val="clear" w:color="000000" w:fill="FFFFFF"/>
            <w:noWrap/>
            <w:vAlign w:val="center"/>
            <w:hideMark/>
          </w:tcPr>
          <w:p w14:paraId="3A8BAA5B" w14:textId="301FA12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w:t>
            </w:r>
            <w:r w:rsidR="001B5749">
              <w:rPr>
                <w:rFonts w:ascii="Verdana" w:eastAsia="Times New Roman" w:hAnsi="Verdana" w:cs="Calibri"/>
                <w:color w:val="000000"/>
                <w:sz w:val="16"/>
                <w:szCs w:val="16"/>
                <w:lang w:val="en-GB" w:eastAsia="en-GB"/>
              </w:rPr>
              <w:t>48,400</w:t>
            </w:r>
            <w:r w:rsidRPr="00192B82">
              <w:rPr>
                <w:rFonts w:ascii="Verdana" w:eastAsia="Times New Roman" w:hAnsi="Verdana" w:cs="Calibri"/>
                <w:color w:val="000000"/>
                <w:sz w:val="16"/>
                <w:szCs w:val="16"/>
                <w:lang w:val="en-GB" w:eastAsia="en-GB"/>
              </w:rPr>
              <w:t>)</w:t>
            </w:r>
          </w:p>
        </w:tc>
        <w:tc>
          <w:tcPr>
            <w:tcW w:w="668" w:type="pct"/>
            <w:tcBorders>
              <w:top w:val="nil"/>
              <w:left w:val="nil"/>
              <w:bottom w:val="nil"/>
              <w:right w:val="nil"/>
            </w:tcBorders>
            <w:shd w:val="clear" w:color="000000" w:fill="FFFFFF"/>
            <w:noWrap/>
            <w:vAlign w:val="center"/>
            <w:hideMark/>
          </w:tcPr>
          <w:p w14:paraId="1B134AF7" w14:textId="48762DF5"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(5</w:t>
            </w:r>
            <w:r w:rsidR="001B5749">
              <w:rPr>
                <w:rFonts w:ascii="Verdana" w:eastAsia="Times New Roman" w:hAnsi="Verdana" w:cs="Calibri"/>
                <w:color w:val="000000"/>
                <w:sz w:val="16"/>
                <w:szCs w:val="16"/>
                <w:lang w:val="en-GB" w:eastAsia="en-GB"/>
              </w:rPr>
              <w:t>5,334</w:t>
            </w:r>
            <w:r w:rsidRPr="00192B82">
              <w:rPr>
                <w:rFonts w:ascii="Verdana" w:eastAsia="Times New Roman" w:hAnsi="Verdana" w:cs="Calibri"/>
                <w:color w:val="000000"/>
                <w:sz w:val="16"/>
                <w:szCs w:val="16"/>
                <w:lang w:val="en-GB" w:eastAsia="en-GB"/>
              </w:rPr>
              <w:t>)</w:t>
            </w:r>
          </w:p>
        </w:tc>
      </w:tr>
      <w:tr w:rsidR="00192B82" w:rsidRPr="00192B82" w14:paraId="777A3385" w14:textId="77777777" w:rsidTr="00764626">
        <w:trPr>
          <w:trHeight w:val="204"/>
        </w:trPr>
        <w:tc>
          <w:tcPr>
            <w:tcW w:w="591" w:type="pct"/>
            <w:tcBorders>
              <w:top w:val="nil"/>
              <w:left w:val="nil"/>
              <w:bottom w:val="nil"/>
              <w:right w:val="nil"/>
            </w:tcBorders>
            <w:shd w:val="clear" w:color="000000" w:fill="FFFFFF"/>
            <w:noWrap/>
            <w:vAlign w:val="center"/>
            <w:hideMark/>
          </w:tcPr>
          <w:p w14:paraId="134355DC"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9" w:type="pct"/>
            <w:tcBorders>
              <w:top w:val="nil"/>
              <w:left w:val="nil"/>
              <w:bottom w:val="nil"/>
              <w:right w:val="nil"/>
            </w:tcBorders>
            <w:shd w:val="clear" w:color="000000" w:fill="FFFFFF"/>
            <w:noWrap/>
            <w:vAlign w:val="center"/>
            <w:hideMark/>
          </w:tcPr>
          <w:p w14:paraId="194196BE"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9" w:type="pct"/>
            <w:tcBorders>
              <w:top w:val="nil"/>
              <w:left w:val="nil"/>
              <w:bottom w:val="nil"/>
              <w:right w:val="nil"/>
            </w:tcBorders>
            <w:shd w:val="clear" w:color="000000" w:fill="FFFFFF"/>
            <w:noWrap/>
            <w:vAlign w:val="center"/>
            <w:hideMark/>
          </w:tcPr>
          <w:p w14:paraId="0440A4E2"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1143" w:type="pct"/>
            <w:tcBorders>
              <w:top w:val="nil"/>
              <w:left w:val="nil"/>
              <w:bottom w:val="nil"/>
              <w:right w:val="nil"/>
            </w:tcBorders>
            <w:shd w:val="clear" w:color="000000" w:fill="FFFFFF"/>
            <w:noWrap/>
            <w:vAlign w:val="center"/>
            <w:hideMark/>
          </w:tcPr>
          <w:p w14:paraId="3F022BDF" w14:textId="77777777" w:rsidR="00192B82" w:rsidRPr="00192B82" w:rsidRDefault="00192B82" w:rsidP="00192B82">
            <w:pPr>
              <w:ind w:firstLineChars="100" w:firstLine="160"/>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591" w:type="pct"/>
            <w:tcBorders>
              <w:top w:val="nil"/>
              <w:left w:val="nil"/>
              <w:bottom w:val="nil"/>
              <w:right w:val="nil"/>
            </w:tcBorders>
            <w:shd w:val="clear" w:color="000000" w:fill="FFFFFF"/>
            <w:noWrap/>
            <w:vAlign w:val="center"/>
            <w:hideMark/>
          </w:tcPr>
          <w:p w14:paraId="5159E593"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9" w:type="pct"/>
            <w:tcBorders>
              <w:top w:val="nil"/>
              <w:left w:val="nil"/>
              <w:bottom w:val="nil"/>
              <w:right w:val="nil"/>
            </w:tcBorders>
            <w:shd w:val="clear" w:color="000000" w:fill="FFFFFF"/>
            <w:noWrap/>
            <w:vAlign w:val="center"/>
            <w:hideMark/>
          </w:tcPr>
          <w:p w14:paraId="00C910E6"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8" w:type="pct"/>
            <w:tcBorders>
              <w:top w:val="nil"/>
              <w:left w:val="nil"/>
              <w:bottom w:val="nil"/>
              <w:right w:val="nil"/>
            </w:tcBorders>
            <w:shd w:val="clear" w:color="000000" w:fill="FFFFFF"/>
            <w:noWrap/>
            <w:vAlign w:val="center"/>
            <w:hideMark/>
          </w:tcPr>
          <w:p w14:paraId="3C99E886"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r>
      <w:tr w:rsidR="00192B82" w:rsidRPr="00192B82" w14:paraId="55552648" w14:textId="77777777" w:rsidTr="00764626">
        <w:trPr>
          <w:trHeight w:val="60"/>
        </w:trPr>
        <w:tc>
          <w:tcPr>
            <w:tcW w:w="591" w:type="pct"/>
            <w:tcBorders>
              <w:top w:val="single" w:sz="4" w:space="0" w:color="auto"/>
              <w:left w:val="nil"/>
              <w:bottom w:val="single" w:sz="8" w:space="0" w:color="auto"/>
              <w:right w:val="nil"/>
            </w:tcBorders>
            <w:shd w:val="clear" w:color="000000" w:fill="FFFFFF"/>
            <w:noWrap/>
            <w:vAlign w:val="center"/>
            <w:hideMark/>
          </w:tcPr>
          <w:p w14:paraId="26176EA1" w14:textId="77777777" w:rsidR="00192B82" w:rsidRPr="00192B82" w:rsidRDefault="00192B82" w:rsidP="00192B82">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272,577</w:t>
            </w:r>
          </w:p>
        </w:tc>
        <w:tc>
          <w:tcPr>
            <w:tcW w:w="669" w:type="pct"/>
            <w:tcBorders>
              <w:top w:val="single" w:sz="4" w:space="0" w:color="auto"/>
              <w:left w:val="nil"/>
              <w:bottom w:val="single" w:sz="8" w:space="0" w:color="auto"/>
              <w:right w:val="nil"/>
            </w:tcBorders>
            <w:shd w:val="clear" w:color="000000" w:fill="FFFFFF"/>
            <w:noWrap/>
            <w:vAlign w:val="center"/>
            <w:hideMark/>
          </w:tcPr>
          <w:p w14:paraId="6BFBCCF5" w14:textId="77777777" w:rsidR="00192B82" w:rsidRPr="00192B82" w:rsidRDefault="00192B82" w:rsidP="00192B82">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0</w:t>
            </w:r>
          </w:p>
        </w:tc>
        <w:tc>
          <w:tcPr>
            <w:tcW w:w="669" w:type="pct"/>
            <w:tcBorders>
              <w:top w:val="single" w:sz="4" w:space="0" w:color="auto"/>
              <w:left w:val="nil"/>
              <w:bottom w:val="single" w:sz="8" w:space="0" w:color="auto"/>
              <w:right w:val="nil"/>
            </w:tcBorders>
            <w:shd w:val="clear" w:color="000000" w:fill="FFFFFF"/>
            <w:noWrap/>
            <w:vAlign w:val="center"/>
            <w:hideMark/>
          </w:tcPr>
          <w:p w14:paraId="35F2D53B" w14:textId="77777777" w:rsidR="00192B82" w:rsidRPr="00192B82" w:rsidRDefault="00192B82" w:rsidP="00192B82">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272,577</w:t>
            </w:r>
          </w:p>
        </w:tc>
        <w:tc>
          <w:tcPr>
            <w:tcW w:w="1143" w:type="pct"/>
            <w:tcBorders>
              <w:top w:val="single" w:sz="4" w:space="0" w:color="auto"/>
              <w:left w:val="nil"/>
              <w:bottom w:val="single" w:sz="8" w:space="0" w:color="auto"/>
              <w:right w:val="nil"/>
            </w:tcBorders>
            <w:shd w:val="clear" w:color="000000" w:fill="FFFFFF"/>
            <w:vAlign w:val="center"/>
            <w:hideMark/>
          </w:tcPr>
          <w:p w14:paraId="3FEB0696" w14:textId="77777777" w:rsidR="00192B82" w:rsidRPr="00192B82" w:rsidRDefault="00192B82" w:rsidP="00192B82">
            <w:pPr>
              <w:ind w:firstLineChars="100" w:firstLine="161"/>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Net (liability) / asset arising from the defined benefit obligation</w:t>
            </w:r>
          </w:p>
        </w:tc>
        <w:tc>
          <w:tcPr>
            <w:tcW w:w="591" w:type="pct"/>
            <w:tcBorders>
              <w:top w:val="single" w:sz="4" w:space="0" w:color="auto"/>
              <w:left w:val="nil"/>
              <w:bottom w:val="single" w:sz="8" w:space="0" w:color="auto"/>
              <w:right w:val="nil"/>
            </w:tcBorders>
            <w:shd w:val="clear" w:color="000000" w:fill="FFFFFF"/>
            <w:noWrap/>
            <w:vAlign w:val="center"/>
            <w:hideMark/>
          </w:tcPr>
          <w:p w14:paraId="36686D47" w14:textId="77777777" w:rsidR="00192B82" w:rsidRPr="00192B82" w:rsidRDefault="00192B82" w:rsidP="00192B82">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358,772</w:t>
            </w:r>
          </w:p>
        </w:tc>
        <w:tc>
          <w:tcPr>
            <w:tcW w:w="669" w:type="pct"/>
            <w:tcBorders>
              <w:top w:val="single" w:sz="4" w:space="0" w:color="auto"/>
              <w:left w:val="nil"/>
              <w:bottom w:val="single" w:sz="8" w:space="0" w:color="auto"/>
              <w:right w:val="nil"/>
            </w:tcBorders>
            <w:shd w:val="clear" w:color="000000" w:fill="FFFFFF"/>
            <w:noWrap/>
            <w:vAlign w:val="center"/>
            <w:hideMark/>
          </w:tcPr>
          <w:p w14:paraId="5F350CE4" w14:textId="77777777" w:rsidR="00192B82" w:rsidRPr="00192B82" w:rsidRDefault="00192B82" w:rsidP="00192B82">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0</w:t>
            </w:r>
          </w:p>
        </w:tc>
        <w:tc>
          <w:tcPr>
            <w:tcW w:w="668" w:type="pct"/>
            <w:tcBorders>
              <w:top w:val="single" w:sz="4" w:space="0" w:color="auto"/>
              <w:left w:val="nil"/>
              <w:bottom w:val="single" w:sz="8" w:space="0" w:color="auto"/>
              <w:right w:val="nil"/>
            </w:tcBorders>
            <w:shd w:val="clear" w:color="000000" w:fill="FFFFFF"/>
            <w:noWrap/>
            <w:vAlign w:val="center"/>
            <w:hideMark/>
          </w:tcPr>
          <w:p w14:paraId="113C6757" w14:textId="77777777" w:rsidR="00192B82" w:rsidRPr="00192B82" w:rsidRDefault="00192B82" w:rsidP="00192B82">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358,772</w:t>
            </w:r>
          </w:p>
        </w:tc>
      </w:tr>
    </w:tbl>
    <w:p w14:paraId="595B0F51" w14:textId="77777777" w:rsidR="00764626" w:rsidRDefault="00764626">
      <w:r>
        <w:br w:type="page"/>
      </w:r>
    </w:p>
    <w:tbl>
      <w:tblPr>
        <w:tblW w:w="5000" w:type="pct"/>
        <w:tblLook w:val="04A0" w:firstRow="1" w:lastRow="0" w:firstColumn="1" w:lastColumn="0" w:noHBand="0" w:noVBand="1"/>
      </w:tblPr>
      <w:tblGrid>
        <w:gridCol w:w="1820"/>
        <w:gridCol w:w="2061"/>
        <w:gridCol w:w="2061"/>
        <w:gridCol w:w="3520"/>
        <w:gridCol w:w="1820"/>
        <w:gridCol w:w="2061"/>
        <w:gridCol w:w="2057"/>
      </w:tblGrid>
      <w:tr w:rsidR="00192B82" w:rsidRPr="00192B82" w14:paraId="008EFA45" w14:textId="77777777" w:rsidTr="00764626">
        <w:trPr>
          <w:trHeight w:val="288"/>
        </w:trPr>
        <w:tc>
          <w:tcPr>
            <w:tcW w:w="591" w:type="pct"/>
            <w:tcBorders>
              <w:top w:val="nil"/>
              <w:left w:val="nil"/>
              <w:bottom w:val="nil"/>
              <w:right w:val="nil"/>
            </w:tcBorders>
            <w:shd w:val="clear" w:color="000000" w:fill="FFFFFF"/>
            <w:noWrap/>
            <w:vAlign w:val="bottom"/>
            <w:hideMark/>
          </w:tcPr>
          <w:p w14:paraId="3EAA8268" w14:textId="6DFE8C58" w:rsidR="00192B82" w:rsidRPr="00192B82" w:rsidRDefault="00192B82" w:rsidP="00192B82">
            <w:pPr>
              <w:rPr>
                <w:rFonts w:ascii="Calibri" w:eastAsia="Times New Roman" w:hAnsi="Calibri" w:cs="Calibri"/>
                <w:color w:val="000000"/>
                <w:sz w:val="22"/>
                <w:szCs w:val="22"/>
                <w:lang w:val="en-GB" w:eastAsia="en-GB"/>
              </w:rPr>
            </w:pPr>
            <w:r w:rsidRPr="00192B82">
              <w:rPr>
                <w:rFonts w:ascii="Calibri" w:eastAsia="Times New Roman" w:hAnsi="Calibri" w:cs="Calibri"/>
                <w:color w:val="000000"/>
                <w:sz w:val="22"/>
                <w:szCs w:val="22"/>
                <w:lang w:val="en-GB" w:eastAsia="en-GB"/>
              </w:rPr>
              <w:t> </w:t>
            </w:r>
          </w:p>
        </w:tc>
        <w:tc>
          <w:tcPr>
            <w:tcW w:w="669" w:type="pct"/>
            <w:tcBorders>
              <w:top w:val="nil"/>
              <w:left w:val="nil"/>
              <w:bottom w:val="nil"/>
              <w:right w:val="nil"/>
            </w:tcBorders>
            <w:shd w:val="clear" w:color="000000" w:fill="FFFFFF"/>
            <w:noWrap/>
            <w:vAlign w:val="bottom"/>
            <w:hideMark/>
          </w:tcPr>
          <w:p w14:paraId="2E5998FD" w14:textId="77777777" w:rsidR="00192B82" w:rsidRPr="00192B82" w:rsidRDefault="00192B82" w:rsidP="00192B82">
            <w:pPr>
              <w:rPr>
                <w:rFonts w:ascii="Calibri" w:eastAsia="Times New Roman" w:hAnsi="Calibri" w:cs="Calibri"/>
                <w:color w:val="000000"/>
                <w:sz w:val="22"/>
                <w:szCs w:val="22"/>
                <w:lang w:val="en-GB" w:eastAsia="en-GB"/>
              </w:rPr>
            </w:pPr>
            <w:r w:rsidRPr="00192B82">
              <w:rPr>
                <w:rFonts w:ascii="Calibri" w:eastAsia="Times New Roman" w:hAnsi="Calibri" w:cs="Calibri"/>
                <w:color w:val="000000"/>
                <w:sz w:val="22"/>
                <w:szCs w:val="22"/>
                <w:lang w:val="en-GB" w:eastAsia="en-GB"/>
              </w:rPr>
              <w:t> </w:t>
            </w:r>
          </w:p>
        </w:tc>
        <w:tc>
          <w:tcPr>
            <w:tcW w:w="669" w:type="pct"/>
            <w:tcBorders>
              <w:top w:val="nil"/>
              <w:left w:val="nil"/>
              <w:bottom w:val="nil"/>
              <w:right w:val="nil"/>
            </w:tcBorders>
            <w:shd w:val="clear" w:color="000000" w:fill="FFFFFF"/>
            <w:noWrap/>
            <w:vAlign w:val="bottom"/>
            <w:hideMark/>
          </w:tcPr>
          <w:p w14:paraId="3E4EE725" w14:textId="77777777" w:rsidR="00192B82" w:rsidRPr="00192B82" w:rsidRDefault="00192B82" w:rsidP="00192B82">
            <w:pPr>
              <w:rPr>
                <w:rFonts w:ascii="Calibri" w:eastAsia="Times New Roman" w:hAnsi="Calibri" w:cs="Calibri"/>
                <w:color w:val="000000"/>
                <w:sz w:val="22"/>
                <w:szCs w:val="22"/>
                <w:lang w:val="en-GB" w:eastAsia="en-GB"/>
              </w:rPr>
            </w:pPr>
            <w:r w:rsidRPr="00192B82">
              <w:rPr>
                <w:rFonts w:ascii="Calibri" w:eastAsia="Times New Roman" w:hAnsi="Calibri" w:cs="Calibri"/>
                <w:color w:val="000000"/>
                <w:sz w:val="22"/>
                <w:szCs w:val="22"/>
                <w:lang w:val="en-GB" w:eastAsia="en-GB"/>
              </w:rPr>
              <w:t> </w:t>
            </w:r>
          </w:p>
        </w:tc>
        <w:tc>
          <w:tcPr>
            <w:tcW w:w="1143" w:type="pct"/>
            <w:tcBorders>
              <w:top w:val="nil"/>
              <w:left w:val="nil"/>
              <w:bottom w:val="nil"/>
              <w:right w:val="nil"/>
            </w:tcBorders>
            <w:shd w:val="clear" w:color="000000" w:fill="FFFFFF"/>
            <w:noWrap/>
            <w:vAlign w:val="bottom"/>
            <w:hideMark/>
          </w:tcPr>
          <w:p w14:paraId="740649FC" w14:textId="77777777" w:rsidR="00192B82" w:rsidRPr="00192B82" w:rsidRDefault="00192B82" w:rsidP="00192B82">
            <w:pPr>
              <w:rPr>
                <w:rFonts w:ascii="Calibri" w:eastAsia="Times New Roman" w:hAnsi="Calibri" w:cs="Calibri"/>
                <w:color w:val="000000"/>
                <w:sz w:val="22"/>
                <w:szCs w:val="22"/>
                <w:lang w:val="en-GB" w:eastAsia="en-GB"/>
              </w:rPr>
            </w:pPr>
            <w:r w:rsidRPr="00192B82">
              <w:rPr>
                <w:rFonts w:ascii="Calibri" w:eastAsia="Times New Roman" w:hAnsi="Calibri" w:cs="Calibri"/>
                <w:color w:val="000000"/>
                <w:sz w:val="22"/>
                <w:szCs w:val="22"/>
                <w:lang w:val="en-GB" w:eastAsia="en-GB"/>
              </w:rPr>
              <w:t> </w:t>
            </w:r>
          </w:p>
        </w:tc>
        <w:tc>
          <w:tcPr>
            <w:tcW w:w="591" w:type="pct"/>
            <w:tcBorders>
              <w:top w:val="nil"/>
              <w:left w:val="nil"/>
              <w:bottom w:val="nil"/>
              <w:right w:val="nil"/>
            </w:tcBorders>
            <w:shd w:val="clear" w:color="000000" w:fill="FFFFFF"/>
            <w:noWrap/>
            <w:vAlign w:val="bottom"/>
            <w:hideMark/>
          </w:tcPr>
          <w:p w14:paraId="305136B1" w14:textId="77777777" w:rsidR="00192B82" w:rsidRPr="00192B82" w:rsidRDefault="00192B82" w:rsidP="00192B82">
            <w:pPr>
              <w:rPr>
                <w:rFonts w:ascii="Calibri" w:eastAsia="Times New Roman" w:hAnsi="Calibri" w:cs="Calibri"/>
                <w:color w:val="000000"/>
                <w:sz w:val="22"/>
                <w:szCs w:val="22"/>
                <w:lang w:val="en-GB" w:eastAsia="en-GB"/>
              </w:rPr>
            </w:pPr>
            <w:r w:rsidRPr="00192B82">
              <w:rPr>
                <w:rFonts w:ascii="Calibri" w:eastAsia="Times New Roman" w:hAnsi="Calibri" w:cs="Calibri"/>
                <w:color w:val="000000"/>
                <w:sz w:val="22"/>
                <w:szCs w:val="22"/>
                <w:lang w:val="en-GB" w:eastAsia="en-GB"/>
              </w:rPr>
              <w:t> </w:t>
            </w:r>
          </w:p>
        </w:tc>
        <w:tc>
          <w:tcPr>
            <w:tcW w:w="669" w:type="pct"/>
            <w:tcBorders>
              <w:top w:val="nil"/>
              <w:left w:val="nil"/>
              <w:bottom w:val="nil"/>
              <w:right w:val="nil"/>
            </w:tcBorders>
            <w:shd w:val="clear" w:color="000000" w:fill="FFFFFF"/>
            <w:noWrap/>
            <w:vAlign w:val="bottom"/>
            <w:hideMark/>
          </w:tcPr>
          <w:p w14:paraId="36ABFEBD" w14:textId="77777777" w:rsidR="00192B82" w:rsidRPr="00192B82" w:rsidRDefault="00192B82" w:rsidP="00192B82">
            <w:pPr>
              <w:rPr>
                <w:rFonts w:ascii="Calibri" w:eastAsia="Times New Roman" w:hAnsi="Calibri" w:cs="Calibri"/>
                <w:color w:val="000000"/>
                <w:sz w:val="22"/>
                <w:szCs w:val="22"/>
                <w:lang w:val="en-GB" w:eastAsia="en-GB"/>
              </w:rPr>
            </w:pPr>
            <w:r w:rsidRPr="00192B82">
              <w:rPr>
                <w:rFonts w:ascii="Calibri" w:eastAsia="Times New Roman" w:hAnsi="Calibri" w:cs="Calibri"/>
                <w:color w:val="000000"/>
                <w:sz w:val="22"/>
                <w:szCs w:val="22"/>
                <w:lang w:val="en-GB" w:eastAsia="en-GB"/>
              </w:rPr>
              <w:t> </w:t>
            </w:r>
          </w:p>
        </w:tc>
        <w:tc>
          <w:tcPr>
            <w:tcW w:w="668" w:type="pct"/>
            <w:tcBorders>
              <w:top w:val="nil"/>
              <w:left w:val="nil"/>
              <w:bottom w:val="nil"/>
              <w:right w:val="nil"/>
            </w:tcBorders>
            <w:shd w:val="clear" w:color="000000" w:fill="FFFFFF"/>
            <w:noWrap/>
            <w:vAlign w:val="bottom"/>
            <w:hideMark/>
          </w:tcPr>
          <w:p w14:paraId="7F587BB6" w14:textId="77777777" w:rsidR="00192B82" w:rsidRPr="00192B82" w:rsidRDefault="00192B82" w:rsidP="00192B82">
            <w:pPr>
              <w:rPr>
                <w:rFonts w:ascii="Calibri" w:eastAsia="Times New Roman" w:hAnsi="Calibri" w:cs="Calibri"/>
                <w:color w:val="000000"/>
                <w:sz w:val="22"/>
                <w:szCs w:val="22"/>
                <w:lang w:val="en-GB" w:eastAsia="en-GB"/>
              </w:rPr>
            </w:pPr>
            <w:r w:rsidRPr="00192B82">
              <w:rPr>
                <w:rFonts w:ascii="Calibri" w:eastAsia="Times New Roman" w:hAnsi="Calibri" w:cs="Calibri"/>
                <w:color w:val="000000"/>
                <w:sz w:val="22"/>
                <w:szCs w:val="22"/>
                <w:lang w:val="en-GB" w:eastAsia="en-GB"/>
              </w:rPr>
              <w:t> </w:t>
            </w:r>
          </w:p>
        </w:tc>
      </w:tr>
      <w:tr w:rsidR="00192B82" w:rsidRPr="00192B82" w14:paraId="577BA762" w14:textId="77777777" w:rsidTr="00764626">
        <w:trPr>
          <w:trHeight w:val="408"/>
        </w:trPr>
        <w:tc>
          <w:tcPr>
            <w:tcW w:w="1929" w:type="pct"/>
            <w:gridSpan w:val="3"/>
            <w:tcBorders>
              <w:top w:val="nil"/>
              <w:left w:val="nil"/>
              <w:bottom w:val="nil"/>
              <w:right w:val="nil"/>
            </w:tcBorders>
            <w:shd w:val="clear" w:color="000000" w:fill="FFFFFF"/>
            <w:noWrap/>
            <w:vAlign w:val="center"/>
            <w:hideMark/>
          </w:tcPr>
          <w:p w14:paraId="0823D401"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 </w:t>
            </w:r>
          </w:p>
        </w:tc>
        <w:tc>
          <w:tcPr>
            <w:tcW w:w="1143" w:type="pct"/>
            <w:tcBorders>
              <w:top w:val="nil"/>
              <w:left w:val="nil"/>
              <w:bottom w:val="nil"/>
              <w:right w:val="nil"/>
            </w:tcBorders>
            <w:shd w:val="clear" w:color="000000" w:fill="FFFFFF"/>
            <w:vAlign w:val="center"/>
            <w:hideMark/>
          </w:tcPr>
          <w:p w14:paraId="6188E0E9" w14:textId="77777777" w:rsidR="00192B82" w:rsidRPr="00192B82" w:rsidRDefault="00192B82" w:rsidP="00192B82">
            <w:pPr>
              <w:ind w:firstLineChars="100" w:firstLine="161"/>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Movements in the Value of Scheme Liabilities</w:t>
            </w:r>
          </w:p>
        </w:tc>
        <w:tc>
          <w:tcPr>
            <w:tcW w:w="1928" w:type="pct"/>
            <w:gridSpan w:val="3"/>
            <w:tcBorders>
              <w:top w:val="nil"/>
              <w:left w:val="nil"/>
              <w:bottom w:val="nil"/>
              <w:right w:val="nil"/>
            </w:tcBorders>
            <w:shd w:val="clear" w:color="000000" w:fill="FFFFFF"/>
            <w:noWrap/>
            <w:vAlign w:val="center"/>
            <w:hideMark/>
          </w:tcPr>
          <w:p w14:paraId="5B2938FA"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 </w:t>
            </w:r>
          </w:p>
        </w:tc>
      </w:tr>
      <w:tr w:rsidR="00192B82" w:rsidRPr="00192B82" w14:paraId="44B42C25" w14:textId="77777777" w:rsidTr="00764626">
        <w:trPr>
          <w:trHeight w:val="204"/>
        </w:trPr>
        <w:tc>
          <w:tcPr>
            <w:tcW w:w="591" w:type="pct"/>
            <w:tcBorders>
              <w:top w:val="nil"/>
              <w:left w:val="nil"/>
              <w:bottom w:val="nil"/>
              <w:right w:val="nil"/>
            </w:tcBorders>
            <w:shd w:val="clear" w:color="000000" w:fill="FFFFFF"/>
            <w:noWrap/>
            <w:vAlign w:val="center"/>
            <w:hideMark/>
          </w:tcPr>
          <w:p w14:paraId="3DD14F44"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 xml:space="preserve">CC LGPS </w:t>
            </w:r>
          </w:p>
        </w:tc>
        <w:tc>
          <w:tcPr>
            <w:tcW w:w="669" w:type="pct"/>
            <w:tcBorders>
              <w:top w:val="nil"/>
              <w:left w:val="nil"/>
              <w:bottom w:val="nil"/>
              <w:right w:val="nil"/>
            </w:tcBorders>
            <w:shd w:val="clear" w:color="000000" w:fill="FFFFFF"/>
            <w:vAlign w:val="center"/>
            <w:hideMark/>
          </w:tcPr>
          <w:p w14:paraId="21DAB66D"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Police Officers</w:t>
            </w:r>
          </w:p>
        </w:tc>
        <w:tc>
          <w:tcPr>
            <w:tcW w:w="669" w:type="pct"/>
            <w:tcBorders>
              <w:top w:val="nil"/>
              <w:left w:val="nil"/>
              <w:bottom w:val="nil"/>
              <w:right w:val="nil"/>
            </w:tcBorders>
            <w:shd w:val="clear" w:color="000000" w:fill="FFFFFF"/>
            <w:vAlign w:val="center"/>
            <w:hideMark/>
          </w:tcPr>
          <w:p w14:paraId="5E953B74"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Total</w:t>
            </w:r>
          </w:p>
        </w:tc>
        <w:tc>
          <w:tcPr>
            <w:tcW w:w="1143" w:type="pct"/>
            <w:tcBorders>
              <w:top w:val="nil"/>
              <w:left w:val="nil"/>
              <w:bottom w:val="nil"/>
              <w:right w:val="nil"/>
            </w:tcBorders>
            <w:shd w:val="clear" w:color="000000" w:fill="FFFFFF"/>
            <w:noWrap/>
            <w:vAlign w:val="center"/>
            <w:hideMark/>
          </w:tcPr>
          <w:p w14:paraId="1E16B266" w14:textId="77777777" w:rsidR="00192B82" w:rsidRPr="00192B82" w:rsidRDefault="00192B82" w:rsidP="00192B82">
            <w:pP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 </w:t>
            </w:r>
          </w:p>
        </w:tc>
        <w:tc>
          <w:tcPr>
            <w:tcW w:w="591" w:type="pct"/>
            <w:tcBorders>
              <w:top w:val="nil"/>
              <w:left w:val="nil"/>
              <w:bottom w:val="nil"/>
              <w:right w:val="nil"/>
            </w:tcBorders>
            <w:shd w:val="clear" w:color="000000" w:fill="FFFFFF"/>
            <w:noWrap/>
            <w:vAlign w:val="center"/>
            <w:hideMark/>
          </w:tcPr>
          <w:p w14:paraId="67C6C40D"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 xml:space="preserve">CC LGPS </w:t>
            </w:r>
          </w:p>
        </w:tc>
        <w:tc>
          <w:tcPr>
            <w:tcW w:w="669" w:type="pct"/>
            <w:tcBorders>
              <w:top w:val="nil"/>
              <w:left w:val="nil"/>
              <w:bottom w:val="nil"/>
              <w:right w:val="nil"/>
            </w:tcBorders>
            <w:shd w:val="clear" w:color="000000" w:fill="FFFFFF"/>
            <w:vAlign w:val="center"/>
            <w:hideMark/>
          </w:tcPr>
          <w:p w14:paraId="4F5C0E20"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Police Officers</w:t>
            </w:r>
          </w:p>
        </w:tc>
        <w:tc>
          <w:tcPr>
            <w:tcW w:w="668" w:type="pct"/>
            <w:tcBorders>
              <w:top w:val="nil"/>
              <w:left w:val="nil"/>
              <w:bottom w:val="nil"/>
              <w:right w:val="nil"/>
            </w:tcBorders>
            <w:shd w:val="clear" w:color="000000" w:fill="FFFFFF"/>
            <w:vAlign w:val="center"/>
            <w:hideMark/>
          </w:tcPr>
          <w:p w14:paraId="1996AE94"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Total</w:t>
            </w:r>
          </w:p>
        </w:tc>
      </w:tr>
      <w:tr w:rsidR="00192B82" w:rsidRPr="00192B82" w14:paraId="4156FB61" w14:textId="77777777" w:rsidTr="00764626">
        <w:trPr>
          <w:trHeight w:val="204"/>
        </w:trPr>
        <w:tc>
          <w:tcPr>
            <w:tcW w:w="591" w:type="pct"/>
            <w:tcBorders>
              <w:top w:val="nil"/>
              <w:left w:val="nil"/>
              <w:bottom w:val="nil"/>
              <w:right w:val="nil"/>
            </w:tcBorders>
            <w:shd w:val="clear" w:color="000000" w:fill="FFFFFF"/>
            <w:noWrap/>
            <w:vAlign w:val="bottom"/>
            <w:hideMark/>
          </w:tcPr>
          <w:p w14:paraId="4F0E731D" w14:textId="77777777" w:rsidR="00192B82" w:rsidRPr="00192B82" w:rsidRDefault="00192B82" w:rsidP="00192B82">
            <w:pPr>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9" w:type="pct"/>
            <w:tcBorders>
              <w:top w:val="nil"/>
              <w:left w:val="nil"/>
              <w:bottom w:val="nil"/>
              <w:right w:val="nil"/>
            </w:tcBorders>
            <w:shd w:val="clear" w:color="000000" w:fill="FFFFFF"/>
            <w:noWrap/>
            <w:vAlign w:val="bottom"/>
            <w:hideMark/>
          </w:tcPr>
          <w:p w14:paraId="7862FA0C" w14:textId="77777777" w:rsidR="00192B82" w:rsidRPr="00192B82" w:rsidRDefault="00192B82" w:rsidP="00192B82">
            <w:pPr>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9" w:type="pct"/>
            <w:tcBorders>
              <w:top w:val="nil"/>
              <w:left w:val="nil"/>
              <w:bottom w:val="nil"/>
              <w:right w:val="nil"/>
            </w:tcBorders>
            <w:shd w:val="clear" w:color="000000" w:fill="FFFFFF"/>
            <w:noWrap/>
            <w:vAlign w:val="bottom"/>
            <w:hideMark/>
          </w:tcPr>
          <w:p w14:paraId="081F8863" w14:textId="77777777" w:rsidR="00192B82" w:rsidRPr="00192B82" w:rsidRDefault="00192B82" w:rsidP="00192B82">
            <w:pPr>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1143" w:type="pct"/>
            <w:tcBorders>
              <w:top w:val="nil"/>
              <w:left w:val="nil"/>
              <w:bottom w:val="nil"/>
              <w:right w:val="nil"/>
            </w:tcBorders>
            <w:shd w:val="clear" w:color="000000" w:fill="FFFFFF"/>
            <w:noWrap/>
            <w:vAlign w:val="bottom"/>
            <w:hideMark/>
          </w:tcPr>
          <w:p w14:paraId="3CBFF257" w14:textId="77777777" w:rsidR="00192B82" w:rsidRPr="00192B82" w:rsidRDefault="00192B82" w:rsidP="00192B82">
            <w:pP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 </w:t>
            </w:r>
          </w:p>
        </w:tc>
        <w:tc>
          <w:tcPr>
            <w:tcW w:w="591" w:type="pct"/>
            <w:tcBorders>
              <w:top w:val="nil"/>
              <w:left w:val="nil"/>
              <w:bottom w:val="nil"/>
              <w:right w:val="nil"/>
            </w:tcBorders>
            <w:shd w:val="clear" w:color="000000" w:fill="FFFFFF"/>
            <w:noWrap/>
            <w:vAlign w:val="bottom"/>
            <w:hideMark/>
          </w:tcPr>
          <w:p w14:paraId="2AC0CC2C" w14:textId="77777777" w:rsidR="00192B82" w:rsidRPr="00192B82" w:rsidRDefault="00192B82" w:rsidP="00192B82">
            <w:pPr>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9" w:type="pct"/>
            <w:tcBorders>
              <w:top w:val="nil"/>
              <w:left w:val="nil"/>
              <w:bottom w:val="nil"/>
              <w:right w:val="nil"/>
            </w:tcBorders>
            <w:shd w:val="clear" w:color="000000" w:fill="FFFFFF"/>
            <w:noWrap/>
            <w:vAlign w:val="bottom"/>
            <w:hideMark/>
          </w:tcPr>
          <w:p w14:paraId="41658249" w14:textId="77777777" w:rsidR="00192B82" w:rsidRPr="00192B82" w:rsidRDefault="00192B82" w:rsidP="00192B82">
            <w:pPr>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8" w:type="pct"/>
            <w:tcBorders>
              <w:top w:val="nil"/>
              <w:left w:val="nil"/>
              <w:bottom w:val="nil"/>
              <w:right w:val="nil"/>
            </w:tcBorders>
            <w:shd w:val="clear" w:color="000000" w:fill="FFFFFF"/>
            <w:noWrap/>
            <w:vAlign w:val="bottom"/>
            <w:hideMark/>
          </w:tcPr>
          <w:p w14:paraId="6E43FD3D" w14:textId="77777777" w:rsidR="00192B82" w:rsidRPr="00192B82" w:rsidRDefault="00192B82" w:rsidP="00192B82">
            <w:pPr>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r>
      <w:tr w:rsidR="00192B82" w:rsidRPr="00192B82" w14:paraId="555DE15B" w14:textId="77777777" w:rsidTr="00764626">
        <w:trPr>
          <w:trHeight w:val="204"/>
        </w:trPr>
        <w:tc>
          <w:tcPr>
            <w:tcW w:w="591" w:type="pct"/>
            <w:tcBorders>
              <w:top w:val="nil"/>
              <w:left w:val="nil"/>
              <w:bottom w:val="single" w:sz="4" w:space="0" w:color="auto"/>
              <w:right w:val="nil"/>
            </w:tcBorders>
            <w:shd w:val="clear" w:color="000000" w:fill="FFFFFF"/>
            <w:noWrap/>
            <w:vAlign w:val="center"/>
            <w:hideMark/>
          </w:tcPr>
          <w:p w14:paraId="40F69992"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£000</w:t>
            </w:r>
          </w:p>
        </w:tc>
        <w:tc>
          <w:tcPr>
            <w:tcW w:w="669" w:type="pct"/>
            <w:tcBorders>
              <w:top w:val="nil"/>
              <w:left w:val="nil"/>
              <w:bottom w:val="single" w:sz="4" w:space="0" w:color="auto"/>
              <w:right w:val="nil"/>
            </w:tcBorders>
            <w:shd w:val="clear" w:color="000000" w:fill="FFFFFF"/>
            <w:noWrap/>
            <w:vAlign w:val="center"/>
            <w:hideMark/>
          </w:tcPr>
          <w:p w14:paraId="4F6E4E01"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£000</w:t>
            </w:r>
          </w:p>
        </w:tc>
        <w:tc>
          <w:tcPr>
            <w:tcW w:w="669" w:type="pct"/>
            <w:tcBorders>
              <w:top w:val="nil"/>
              <w:left w:val="nil"/>
              <w:bottom w:val="single" w:sz="4" w:space="0" w:color="auto"/>
              <w:right w:val="nil"/>
            </w:tcBorders>
            <w:shd w:val="clear" w:color="000000" w:fill="FFFFFF"/>
            <w:noWrap/>
            <w:vAlign w:val="center"/>
            <w:hideMark/>
          </w:tcPr>
          <w:p w14:paraId="55B35FA4"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£000</w:t>
            </w:r>
          </w:p>
        </w:tc>
        <w:tc>
          <w:tcPr>
            <w:tcW w:w="1143" w:type="pct"/>
            <w:tcBorders>
              <w:top w:val="nil"/>
              <w:left w:val="nil"/>
              <w:bottom w:val="single" w:sz="4" w:space="0" w:color="auto"/>
              <w:right w:val="nil"/>
            </w:tcBorders>
            <w:shd w:val="clear" w:color="000000" w:fill="FFFFFF"/>
            <w:noWrap/>
            <w:vAlign w:val="center"/>
            <w:hideMark/>
          </w:tcPr>
          <w:p w14:paraId="5D690A44"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 </w:t>
            </w:r>
          </w:p>
        </w:tc>
        <w:tc>
          <w:tcPr>
            <w:tcW w:w="591" w:type="pct"/>
            <w:tcBorders>
              <w:top w:val="nil"/>
              <w:left w:val="nil"/>
              <w:bottom w:val="single" w:sz="4" w:space="0" w:color="auto"/>
              <w:right w:val="nil"/>
            </w:tcBorders>
            <w:shd w:val="clear" w:color="000000" w:fill="FFFFFF"/>
            <w:noWrap/>
            <w:vAlign w:val="center"/>
            <w:hideMark/>
          </w:tcPr>
          <w:p w14:paraId="21BBBDED"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£000</w:t>
            </w:r>
          </w:p>
        </w:tc>
        <w:tc>
          <w:tcPr>
            <w:tcW w:w="669" w:type="pct"/>
            <w:tcBorders>
              <w:top w:val="nil"/>
              <w:left w:val="nil"/>
              <w:bottom w:val="single" w:sz="4" w:space="0" w:color="auto"/>
              <w:right w:val="nil"/>
            </w:tcBorders>
            <w:shd w:val="clear" w:color="000000" w:fill="FFFFFF"/>
            <w:noWrap/>
            <w:vAlign w:val="center"/>
            <w:hideMark/>
          </w:tcPr>
          <w:p w14:paraId="3A72042A"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£000</w:t>
            </w:r>
          </w:p>
        </w:tc>
        <w:tc>
          <w:tcPr>
            <w:tcW w:w="668" w:type="pct"/>
            <w:tcBorders>
              <w:top w:val="nil"/>
              <w:left w:val="nil"/>
              <w:bottom w:val="single" w:sz="4" w:space="0" w:color="auto"/>
              <w:right w:val="nil"/>
            </w:tcBorders>
            <w:shd w:val="clear" w:color="000000" w:fill="FFFFFF"/>
            <w:noWrap/>
            <w:vAlign w:val="center"/>
            <w:hideMark/>
          </w:tcPr>
          <w:p w14:paraId="43169BA5" w14:textId="77777777" w:rsidR="00192B82" w:rsidRPr="00192B82" w:rsidRDefault="00192B82" w:rsidP="00192B82">
            <w:pPr>
              <w:jc w:val="center"/>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£000</w:t>
            </w:r>
          </w:p>
        </w:tc>
      </w:tr>
      <w:tr w:rsidR="00192B82" w:rsidRPr="00192B82" w14:paraId="1612160D" w14:textId="77777777" w:rsidTr="00764626">
        <w:trPr>
          <w:trHeight w:val="408"/>
        </w:trPr>
        <w:tc>
          <w:tcPr>
            <w:tcW w:w="591" w:type="pct"/>
            <w:tcBorders>
              <w:top w:val="nil"/>
              <w:left w:val="nil"/>
              <w:bottom w:val="nil"/>
              <w:right w:val="nil"/>
            </w:tcBorders>
            <w:shd w:val="clear" w:color="000000" w:fill="FFFFFF"/>
            <w:noWrap/>
            <w:vAlign w:val="center"/>
            <w:hideMark/>
          </w:tcPr>
          <w:p w14:paraId="0D9B46CA" w14:textId="77777777" w:rsidR="00192B82" w:rsidRPr="00192B82" w:rsidRDefault="00192B82" w:rsidP="00192B82">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(472,985)</w:t>
            </w:r>
          </w:p>
        </w:tc>
        <w:tc>
          <w:tcPr>
            <w:tcW w:w="669" w:type="pct"/>
            <w:tcBorders>
              <w:top w:val="nil"/>
              <w:left w:val="nil"/>
              <w:bottom w:val="nil"/>
              <w:right w:val="nil"/>
            </w:tcBorders>
            <w:shd w:val="clear" w:color="000000" w:fill="FFFFFF"/>
            <w:noWrap/>
            <w:vAlign w:val="center"/>
            <w:hideMark/>
          </w:tcPr>
          <w:p w14:paraId="18F767FC" w14:textId="77777777" w:rsidR="00192B82" w:rsidRPr="00192B82" w:rsidRDefault="00192B82" w:rsidP="00192B82">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(1,988,120)</w:t>
            </w:r>
          </w:p>
        </w:tc>
        <w:tc>
          <w:tcPr>
            <w:tcW w:w="669" w:type="pct"/>
            <w:tcBorders>
              <w:top w:val="nil"/>
              <w:left w:val="nil"/>
              <w:bottom w:val="nil"/>
              <w:right w:val="nil"/>
            </w:tcBorders>
            <w:shd w:val="clear" w:color="000000" w:fill="FFFFFF"/>
            <w:noWrap/>
            <w:vAlign w:val="center"/>
            <w:hideMark/>
          </w:tcPr>
          <w:p w14:paraId="665CF5A7" w14:textId="77777777" w:rsidR="00192B82" w:rsidRPr="00192B82" w:rsidRDefault="00192B82" w:rsidP="00192B82">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(2,461,105)</w:t>
            </w:r>
          </w:p>
        </w:tc>
        <w:tc>
          <w:tcPr>
            <w:tcW w:w="1143" w:type="pct"/>
            <w:tcBorders>
              <w:top w:val="nil"/>
              <w:left w:val="nil"/>
              <w:bottom w:val="nil"/>
              <w:right w:val="nil"/>
            </w:tcBorders>
            <w:shd w:val="clear" w:color="000000" w:fill="FFFFFF"/>
            <w:vAlign w:val="center"/>
            <w:hideMark/>
          </w:tcPr>
          <w:p w14:paraId="1748EFF9" w14:textId="77777777" w:rsidR="00192B82" w:rsidRPr="00192B82" w:rsidRDefault="00192B82" w:rsidP="00192B82">
            <w:pPr>
              <w:ind w:firstLineChars="100" w:firstLine="161"/>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Opening balance at 1 April</w:t>
            </w:r>
          </w:p>
        </w:tc>
        <w:tc>
          <w:tcPr>
            <w:tcW w:w="591" w:type="pct"/>
            <w:tcBorders>
              <w:top w:val="nil"/>
              <w:left w:val="nil"/>
              <w:bottom w:val="nil"/>
              <w:right w:val="nil"/>
            </w:tcBorders>
            <w:shd w:val="clear" w:color="000000" w:fill="FFFFFF"/>
            <w:noWrap/>
            <w:vAlign w:val="center"/>
            <w:hideMark/>
          </w:tcPr>
          <w:p w14:paraId="642AD0F0" w14:textId="77777777" w:rsidR="00192B82" w:rsidRPr="00192B82" w:rsidRDefault="00192B82" w:rsidP="00192B82">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(403,072)</w:t>
            </w:r>
          </w:p>
        </w:tc>
        <w:tc>
          <w:tcPr>
            <w:tcW w:w="669" w:type="pct"/>
            <w:tcBorders>
              <w:top w:val="nil"/>
              <w:left w:val="nil"/>
              <w:bottom w:val="nil"/>
              <w:right w:val="nil"/>
            </w:tcBorders>
            <w:shd w:val="clear" w:color="000000" w:fill="FFFFFF"/>
            <w:noWrap/>
            <w:vAlign w:val="center"/>
            <w:hideMark/>
          </w:tcPr>
          <w:p w14:paraId="599E6AD7" w14:textId="77777777" w:rsidR="00192B82" w:rsidRPr="00192B82" w:rsidRDefault="00192B82" w:rsidP="00192B82">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(1,896,060)</w:t>
            </w:r>
          </w:p>
        </w:tc>
        <w:tc>
          <w:tcPr>
            <w:tcW w:w="668" w:type="pct"/>
            <w:tcBorders>
              <w:top w:val="nil"/>
              <w:left w:val="nil"/>
              <w:bottom w:val="nil"/>
              <w:right w:val="nil"/>
            </w:tcBorders>
            <w:shd w:val="clear" w:color="000000" w:fill="FFFFFF"/>
            <w:noWrap/>
            <w:vAlign w:val="center"/>
            <w:hideMark/>
          </w:tcPr>
          <w:p w14:paraId="2D75AA46" w14:textId="77777777" w:rsidR="00192B82" w:rsidRPr="00192B82" w:rsidRDefault="00192B82" w:rsidP="00192B82">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(2,299,132)</w:t>
            </w:r>
          </w:p>
        </w:tc>
      </w:tr>
      <w:tr w:rsidR="00192B82" w:rsidRPr="00192B82" w14:paraId="21214797" w14:textId="77777777" w:rsidTr="00764626">
        <w:trPr>
          <w:trHeight w:val="204"/>
        </w:trPr>
        <w:tc>
          <w:tcPr>
            <w:tcW w:w="591" w:type="pct"/>
            <w:tcBorders>
              <w:top w:val="nil"/>
              <w:left w:val="nil"/>
              <w:bottom w:val="nil"/>
              <w:right w:val="nil"/>
            </w:tcBorders>
            <w:shd w:val="clear" w:color="000000" w:fill="FFFFFF"/>
            <w:noWrap/>
            <w:vAlign w:val="center"/>
            <w:hideMark/>
          </w:tcPr>
          <w:p w14:paraId="4EE4A34C"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9" w:type="pct"/>
            <w:tcBorders>
              <w:top w:val="nil"/>
              <w:left w:val="nil"/>
              <w:bottom w:val="nil"/>
              <w:right w:val="nil"/>
            </w:tcBorders>
            <w:shd w:val="clear" w:color="000000" w:fill="FFFFFF"/>
            <w:noWrap/>
            <w:vAlign w:val="center"/>
            <w:hideMark/>
          </w:tcPr>
          <w:p w14:paraId="34598BC1"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9" w:type="pct"/>
            <w:tcBorders>
              <w:top w:val="nil"/>
              <w:left w:val="nil"/>
              <w:bottom w:val="nil"/>
              <w:right w:val="nil"/>
            </w:tcBorders>
            <w:shd w:val="clear" w:color="000000" w:fill="FFFFFF"/>
            <w:noWrap/>
            <w:vAlign w:val="center"/>
            <w:hideMark/>
          </w:tcPr>
          <w:p w14:paraId="6A53293A"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1143" w:type="pct"/>
            <w:tcBorders>
              <w:top w:val="nil"/>
              <w:left w:val="nil"/>
              <w:bottom w:val="nil"/>
              <w:right w:val="nil"/>
            </w:tcBorders>
            <w:shd w:val="clear" w:color="000000" w:fill="FFFFFF"/>
            <w:noWrap/>
            <w:vAlign w:val="center"/>
            <w:hideMark/>
          </w:tcPr>
          <w:p w14:paraId="1361862B" w14:textId="77777777" w:rsidR="00192B82" w:rsidRPr="00192B82" w:rsidRDefault="00192B82" w:rsidP="00192B82">
            <w:pPr>
              <w:ind w:firstLineChars="100" w:firstLine="160"/>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591" w:type="pct"/>
            <w:tcBorders>
              <w:top w:val="nil"/>
              <w:left w:val="nil"/>
              <w:bottom w:val="nil"/>
              <w:right w:val="nil"/>
            </w:tcBorders>
            <w:shd w:val="clear" w:color="000000" w:fill="FFFFFF"/>
            <w:noWrap/>
            <w:vAlign w:val="center"/>
            <w:hideMark/>
          </w:tcPr>
          <w:p w14:paraId="1F64C8E9"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9" w:type="pct"/>
            <w:tcBorders>
              <w:top w:val="nil"/>
              <w:left w:val="nil"/>
              <w:bottom w:val="nil"/>
              <w:right w:val="nil"/>
            </w:tcBorders>
            <w:shd w:val="clear" w:color="000000" w:fill="FFFFFF"/>
            <w:noWrap/>
            <w:vAlign w:val="center"/>
            <w:hideMark/>
          </w:tcPr>
          <w:p w14:paraId="787C4957"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8" w:type="pct"/>
            <w:tcBorders>
              <w:top w:val="nil"/>
              <w:left w:val="nil"/>
              <w:bottom w:val="nil"/>
              <w:right w:val="nil"/>
            </w:tcBorders>
            <w:shd w:val="clear" w:color="000000" w:fill="FFFFFF"/>
            <w:noWrap/>
            <w:vAlign w:val="center"/>
            <w:hideMark/>
          </w:tcPr>
          <w:p w14:paraId="53167F5F"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r>
      <w:tr w:rsidR="00192B82" w:rsidRPr="00192B82" w14:paraId="37906200" w14:textId="77777777" w:rsidTr="00764626">
        <w:trPr>
          <w:trHeight w:val="70"/>
        </w:trPr>
        <w:tc>
          <w:tcPr>
            <w:tcW w:w="591" w:type="pct"/>
            <w:tcBorders>
              <w:top w:val="nil"/>
              <w:left w:val="nil"/>
              <w:bottom w:val="nil"/>
              <w:right w:val="nil"/>
            </w:tcBorders>
            <w:shd w:val="clear" w:color="000000" w:fill="FFFFFF"/>
            <w:noWrap/>
            <w:vAlign w:val="center"/>
            <w:hideMark/>
          </w:tcPr>
          <w:p w14:paraId="14C42ACC"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4,281</w:t>
            </w:r>
          </w:p>
        </w:tc>
        <w:tc>
          <w:tcPr>
            <w:tcW w:w="669" w:type="pct"/>
            <w:tcBorders>
              <w:top w:val="nil"/>
              <w:left w:val="nil"/>
              <w:bottom w:val="nil"/>
              <w:right w:val="nil"/>
            </w:tcBorders>
            <w:shd w:val="clear" w:color="000000" w:fill="FFFFFF"/>
            <w:noWrap/>
            <w:vAlign w:val="center"/>
            <w:hideMark/>
          </w:tcPr>
          <w:p w14:paraId="44AA9DC4"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0</w:t>
            </w:r>
          </w:p>
        </w:tc>
        <w:tc>
          <w:tcPr>
            <w:tcW w:w="669" w:type="pct"/>
            <w:tcBorders>
              <w:top w:val="nil"/>
              <w:left w:val="nil"/>
              <w:bottom w:val="nil"/>
              <w:right w:val="nil"/>
            </w:tcBorders>
            <w:shd w:val="clear" w:color="000000" w:fill="FFFFFF"/>
            <w:noWrap/>
            <w:vAlign w:val="center"/>
            <w:hideMark/>
          </w:tcPr>
          <w:p w14:paraId="607330E2"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4,281</w:t>
            </w:r>
          </w:p>
        </w:tc>
        <w:tc>
          <w:tcPr>
            <w:tcW w:w="1143" w:type="pct"/>
            <w:tcBorders>
              <w:top w:val="nil"/>
              <w:left w:val="nil"/>
              <w:bottom w:val="nil"/>
              <w:right w:val="nil"/>
            </w:tcBorders>
            <w:shd w:val="clear" w:color="000000" w:fill="FFFFFF"/>
            <w:noWrap/>
            <w:vAlign w:val="center"/>
            <w:hideMark/>
          </w:tcPr>
          <w:p w14:paraId="3E272F49" w14:textId="77777777" w:rsidR="00192B82" w:rsidRPr="00192B82" w:rsidRDefault="00192B82" w:rsidP="00192B82">
            <w:pPr>
              <w:ind w:firstLineChars="100" w:firstLine="160"/>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Transfer to PCC</w:t>
            </w:r>
          </w:p>
        </w:tc>
        <w:tc>
          <w:tcPr>
            <w:tcW w:w="591" w:type="pct"/>
            <w:tcBorders>
              <w:top w:val="nil"/>
              <w:left w:val="nil"/>
              <w:bottom w:val="nil"/>
              <w:right w:val="nil"/>
            </w:tcBorders>
            <w:shd w:val="clear" w:color="000000" w:fill="FFFFFF"/>
            <w:noWrap/>
            <w:vAlign w:val="center"/>
            <w:hideMark/>
          </w:tcPr>
          <w:p w14:paraId="004DCD8E"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0</w:t>
            </w:r>
          </w:p>
        </w:tc>
        <w:tc>
          <w:tcPr>
            <w:tcW w:w="669" w:type="pct"/>
            <w:tcBorders>
              <w:top w:val="nil"/>
              <w:left w:val="nil"/>
              <w:bottom w:val="nil"/>
              <w:right w:val="nil"/>
            </w:tcBorders>
            <w:shd w:val="clear" w:color="000000" w:fill="FFFFFF"/>
            <w:noWrap/>
            <w:vAlign w:val="center"/>
            <w:hideMark/>
          </w:tcPr>
          <w:p w14:paraId="43D35F62"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0</w:t>
            </w:r>
          </w:p>
        </w:tc>
        <w:tc>
          <w:tcPr>
            <w:tcW w:w="668" w:type="pct"/>
            <w:tcBorders>
              <w:top w:val="nil"/>
              <w:left w:val="nil"/>
              <w:bottom w:val="nil"/>
              <w:right w:val="nil"/>
            </w:tcBorders>
            <w:shd w:val="clear" w:color="000000" w:fill="FFFFFF"/>
            <w:noWrap/>
            <w:vAlign w:val="center"/>
            <w:hideMark/>
          </w:tcPr>
          <w:p w14:paraId="1EFEFF2F"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0</w:t>
            </w:r>
          </w:p>
        </w:tc>
      </w:tr>
      <w:tr w:rsidR="00192B82" w:rsidRPr="00192B82" w14:paraId="415978E3" w14:textId="77777777" w:rsidTr="00764626">
        <w:trPr>
          <w:trHeight w:val="70"/>
        </w:trPr>
        <w:tc>
          <w:tcPr>
            <w:tcW w:w="591" w:type="pct"/>
            <w:tcBorders>
              <w:top w:val="nil"/>
              <w:left w:val="nil"/>
              <w:bottom w:val="single" w:sz="4" w:space="0" w:color="auto"/>
              <w:right w:val="nil"/>
            </w:tcBorders>
            <w:shd w:val="clear" w:color="000000" w:fill="FFFFFF"/>
            <w:noWrap/>
            <w:vAlign w:val="center"/>
            <w:hideMark/>
          </w:tcPr>
          <w:p w14:paraId="390C6F1F"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9" w:type="pct"/>
            <w:tcBorders>
              <w:top w:val="nil"/>
              <w:left w:val="nil"/>
              <w:bottom w:val="single" w:sz="4" w:space="0" w:color="auto"/>
              <w:right w:val="nil"/>
            </w:tcBorders>
            <w:shd w:val="clear" w:color="000000" w:fill="FFFFFF"/>
            <w:noWrap/>
            <w:vAlign w:val="center"/>
            <w:hideMark/>
          </w:tcPr>
          <w:p w14:paraId="2D0FB8ED"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9" w:type="pct"/>
            <w:tcBorders>
              <w:top w:val="nil"/>
              <w:left w:val="nil"/>
              <w:bottom w:val="single" w:sz="4" w:space="0" w:color="auto"/>
              <w:right w:val="nil"/>
            </w:tcBorders>
            <w:shd w:val="clear" w:color="000000" w:fill="FFFFFF"/>
            <w:noWrap/>
            <w:vAlign w:val="center"/>
            <w:hideMark/>
          </w:tcPr>
          <w:p w14:paraId="4F362C92"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1143" w:type="pct"/>
            <w:tcBorders>
              <w:top w:val="nil"/>
              <w:left w:val="nil"/>
              <w:bottom w:val="single" w:sz="4" w:space="0" w:color="auto"/>
              <w:right w:val="nil"/>
            </w:tcBorders>
            <w:shd w:val="clear" w:color="000000" w:fill="FFFFFF"/>
            <w:noWrap/>
            <w:vAlign w:val="center"/>
            <w:hideMark/>
          </w:tcPr>
          <w:p w14:paraId="6C58BA06" w14:textId="77777777" w:rsidR="00192B82" w:rsidRPr="00192B82" w:rsidRDefault="00192B82" w:rsidP="00192B82">
            <w:pPr>
              <w:ind w:firstLineChars="100" w:firstLine="160"/>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591" w:type="pct"/>
            <w:tcBorders>
              <w:top w:val="nil"/>
              <w:left w:val="nil"/>
              <w:bottom w:val="single" w:sz="4" w:space="0" w:color="auto"/>
              <w:right w:val="nil"/>
            </w:tcBorders>
            <w:shd w:val="clear" w:color="000000" w:fill="FFFFFF"/>
            <w:noWrap/>
            <w:vAlign w:val="center"/>
            <w:hideMark/>
          </w:tcPr>
          <w:p w14:paraId="22E561FB"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9" w:type="pct"/>
            <w:tcBorders>
              <w:top w:val="nil"/>
              <w:left w:val="nil"/>
              <w:bottom w:val="single" w:sz="4" w:space="0" w:color="auto"/>
              <w:right w:val="nil"/>
            </w:tcBorders>
            <w:shd w:val="clear" w:color="000000" w:fill="FFFFFF"/>
            <w:noWrap/>
            <w:vAlign w:val="center"/>
            <w:hideMark/>
          </w:tcPr>
          <w:p w14:paraId="54EC9FF1"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8" w:type="pct"/>
            <w:tcBorders>
              <w:top w:val="nil"/>
              <w:left w:val="nil"/>
              <w:bottom w:val="single" w:sz="4" w:space="0" w:color="auto"/>
              <w:right w:val="nil"/>
            </w:tcBorders>
            <w:shd w:val="clear" w:color="000000" w:fill="FFFFFF"/>
            <w:noWrap/>
            <w:vAlign w:val="center"/>
            <w:hideMark/>
          </w:tcPr>
          <w:p w14:paraId="14C0BE84"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r>
      <w:tr w:rsidR="00192B82" w:rsidRPr="00192B82" w14:paraId="0469A5A8" w14:textId="77777777" w:rsidTr="00764626">
        <w:trPr>
          <w:trHeight w:val="288"/>
        </w:trPr>
        <w:tc>
          <w:tcPr>
            <w:tcW w:w="591" w:type="pct"/>
            <w:tcBorders>
              <w:top w:val="nil"/>
              <w:left w:val="nil"/>
              <w:bottom w:val="single" w:sz="4" w:space="0" w:color="auto"/>
              <w:right w:val="nil"/>
            </w:tcBorders>
            <w:shd w:val="clear" w:color="000000" w:fill="FFFFFF"/>
            <w:noWrap/>
            <w:vAlign w:val="center"/>
            <w:hideMark/>
          </w:tcPr>
          <w:p w14:paraId="207F7961" w14:textId="77777777" w:rsidR="00192B82" w:rsidRPr="00192B82" w:rsidRDefault="00192B82" w:rsidP="00192B82">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(468,704)</w:t>
            </w:r>
          </w:p>
        </w:tc>
        <w:tc>
          <w:tcPr>
            <w:tcW w:w="669" w:type="pct"/>
            <w:tcBorders>
              <w:top w:val="nil"/>
              <w:left w:val="nil"/>
              <w:bottom w:val="single" w:sz="4" w:space="0" w:color="auto"/>
              <w:right w:val="nil"/>
            </w:tcBorders>
            <w:shd w:val="clear" w:color="000000" w:fill="FFFFFF"/>
            <w:noWrap/>
            <w:vAlign w:val="center"/>
            <w:hideMark/>
          </w:tcPr>
          <w:p w14:paraId="55603AB4" w14:textId="77777777" w:rsidR="00192B82" w:rsidRPr="00192B82" w:rsidRDefault="00192B82" w:rsidP="00192B82">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(1,988,120)</w:t>
            </w:r>
          </w:p>
        </w:tc>
        <w:tc>
          <w:tcPr>
            <w:tcW w:w="669" w:type="pct"/>
            <w:tcBorders>
              <w:top w:val="nil"/>
              <w:left w:val="nil"/>
              <w:bottom w:val="single" w:sz="4" w:space="0" w:color="auto"/>
              <w:right w:val="nil"/>
            </w:tcBorders>
            <w:shd w:val="clear" w:color="000000" w:fill="FFFFFF"/>
            <w:noWrap/>
            <w:vAlign w:val="center"/>
            <w:hideMark/>
          </w:tcPr>
          <w:p w14:paraId="67B8FBA2" w14:textId="77777777" w:rsidR="00192B82" w:rsidRPr="00192B82" w:rsidRDefault="00192B82" w:rsidP="00192B82">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(2,456,824)</w:t>
            </w:r>
          </w:p>
        </w:tc>
        <w:tc>
          <w:tcPr>
            <w:tcW w:w="1143" w:type="pct"/>
            <w:tcBorders>
              <w:top w:val="nil"/>
              <w:left w:val="nil"/>
              <w:bottom w:val="single" w:sz="4" w:space="0" w:color="auto"/>
              <w:right w:val="nil"/>
            </w:tcBorders>
            <w:shd w:val="clear" w:color="000000" w:fill="FFFFFF"/>
            <w:vAlign w:val="center"/>
            <w:hideMark/>
          </w:tcPr>
          <w:p w14:paraId="3E9A5370" w14:textId="77777777" w:rsidR="00192B82" w:rsidRPr="00192B82" w:rsidRDefault="00192B82" w:rsidP="00192B82">
            <w:pPr>
              <w:ind w:firstLineChars="100" w:firstLine="161"/>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Revised Opening Balance</w:t>
            </w:r>
          </w:p>
        </w:tc>
        <w:tc>
          <w:tcPr>
            <w:tcW w:w="591" w:type="pct"/>
            <w:tcBorders>
              <w:top w:val="nil"/>
              <w:left w:val="nil"/>
              <w:bottom w:val="single" w:sz="4" w:space="0" w:color="auto"/>
              <w:right w:val="nil"/>
            </w:tcBorders>
            <w:shd w:val="clear" w:color="000000" w:fill="FFFFFF"/>
            <w:noWrap/>
            <w:vAlign w:val="center"/>
            <w:hideMark/>
          </w:tcPr>
          <w:p w14:paraId="417FC482" w14:textId="77777777" w:rsidR="00192B82" w:rsidRPr="00192B82" w:rsidRDefault="00192B82" w:rsidP="00192B82">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(403,072)</w:t>
            </w:r>
          </w:p>
        </w:tc>
        <w:tc>
          <w:tcPr>
            <w:tcW w:w="669" w:type="pct"/>
            <w:tcBorders>
              <w:top w:val="nil"/>
              <w:left w:val="nil"/>
              <w:bottom w:val="single" w:sz="4" w:space="0" w:color="auto"/>
              <w:right w:val="nil"/>
            </w:tcBorders>
            <w:shd w:val="clear" w:color="000000" w:fill="FFFFFF"/>
            <w:noWrap/>
            <w:vAlign w:val="center"/>
            <w:hideMark/>
          </w:tcPr>
          <w:p w14:paraId="5DA27A61" w14:textId="77777777" w:rsidR="00192B82" w:rsidRPr="00192B82" w:rsidRDefault="00192B82" w:rsidP="00192B82">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(1,896,060)</w:t>
            </w:r>
          </w:p>
        </w:tc>
        <w:tc>
          <w:tcPr>
            <w:tcW w:w="668" w:type="pct"/>
            <w:tcBorders>
              <w:top w:val="nil"/>
              <w:left w:val="nil"/>
              <w:bottom w:val="single" w:sz="4" w:space="0" w:color="auto"/>
              <w:right w:val="nil"/>
            </w:tcBorders>
            <w:shd w:val="clear" w:color="000000" w:fill="FFFFFF"/>
            <w:noWrap/>
            <w:vAlign w:val="center"/>
            <w:hideMark/>
          </w:tcPr>
          <w:p w14:paraId="3D3DBC32" w14:textId="77777777" w:rsidR="00192B82" w:rsidRPr="00192B82" w:rsidRDefault="00192B82" w:rsidP="00192B82">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(2,299,132)</w:t>
            </w:r>
          </w:p>
        </w:tc>
      </w:tr>
      <w:tr w:rsidR="00192B82" w:rsidRPr="00192B82" w14:paraId="157CD0D0" w14:textId="77777777" w:rsidTr="00764626">
        <w:trPr>
          <w:trHeight w:val="288"/>
        </w:trPr>
        <w:tc>
          <w:tcPr>
            <w:tcW w:w="591" w:type="pct"/>
            <w:tcBorders>
              <w:top w:val="nil"/>
              <w:left w:val="nil"/>
              <w:bottom w:val="nil"/>
              <w:right w:val="nil"/>
            </w:tcBorders>
            <w:shd w:val="clear" w:color="000000" w:fill="FFFFFF"/>
            <w:noWrap/>
            <w:vAlign w:val="center"/>
            <w:hideMark/>
          </w:tcPr>
          <w:p w14:paraId="6404C930"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(20,410)</w:t>
            </w:r>
          </w:p>
        </w:tc>
        <w:tc>
          <w:tcPr>
            <w:tcW w:w="669" w:type="pct"/>
            <w:tcBorders>
              <w:top w:val="nil"/>
              <w:left w:val="nil"/>
              <w:bottom w:val="nil"/>
              <w:right w:val="nil"/>
            </w:tcBorders>
            <w:shd w:val="clear" w:color="000000" w:fill="FFFFFF"/>
            <w:noWrap/>
            <w:vAlign w:val="center"/>
            <w:hideMark/>
          </w:tcPr>
          <w:p w14:paraId="26A72841"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(54,660)</w:t>
            </w:r>
          </w:p>
        </w:tc>
        <w:tc>
          <w:tcPr>
            <w:tcW w:w="669" w:type="pct"/>
            <w:tcBorders>
              <w:top w:val="nil"/>
              <w:left w:val="nil"/>
              <w:bottom w:val="nil"/>
              <w:right w:val="nil"/>
            </w:tcBorders>
            <w:shd w:val="clear" w:color="000000" w:fill="FFFFFF"/>
            <w:noWrap/>
            <w:vAlign w:val="center"/>
            <w:hideMark/>
          </w:tcPr>
          <w:p w14:paraId="75C01C14"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(75,070)</w:t>
            </w:r>
          </w:p>
        </w:tc>
        <w:tc>
          <w:tcPr>
            <w:tcW w:w="1143" w:type="pct"/>
            <w:tcBorders>
              <w:top w:val="nil"/>
              <w:left w:val="nil"/>
              <w:bottom w:val="nil"/>
              <w:right w:val="nil"/>
            </w:tcBorders>
            <w:shd w:val="clear" w:color="000000" w:fill="FFFFFF"/>
            <w:noWrap/>
            <w:vAlign w:val="center"/>
            <w:hideMark/>
          </w:tcPr>
          <w:p w14:paraId="66021CA1" w14:textId="77777777" w:rsidR="00192B82" w:rsidRPr="00192B82" w:rsidRDefault="00192B82" w:rsidP="00192B82">
            <w:pPr>
              <w:ind w:firstLineChars="100" w:firstLine="160"/>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Current service cost</w:t>
            </w:r>
          </w:p>
        </w:tc>
        <w:tc>
          <w:tcPr>
            <w:tcW w:w="591" w:type="pct"/>
            <w:tcBorders>
              <w:top w:val="nil"/>
              <w:left w:val="nil"/>
              <w:bottom w:val="nil"/>
              <w:right w:val="nil"/>
            </w:tcBorders>
            <w:shd w:val="clear" w:color="000000" w:fill="FFFFFF"/>
            <w:noWrap/>
            <w:vAlign w:val="center"/>
            <w:hideMark/>
          </w:tcPr>
          <w:p w14:paraId="7A1145F2"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(17,786)</w:t>
            </w:r>
          </w:p>
        </w:tc>
        <w:tc>
          <w:tcPr>
            <w:tcW w:w="669" w:type="pct"/>
            <w:tcBorders>
              <w:top w:val="nil"/>
              <w:left w:val="nil"/>
              <w:bottom w:val="nil"/>
              <w:right w:val="nil"/>
            </w:tcBorders>
            <w:shd w:val="clear" w:color="000000" w:fill="FFFFFF"/>
            <w:noWrap/>
            <w:vAlign w:val="center"/>
            <w:hideMark/>
          </w:tcPr>
          <w:p w14:paraId="03B53F9E"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(53,250)</w:t>
            </w:r>
          </w:p>
        </w:tc>
        <w:tc>
          <w:tcPr>
            <w:tcW w:w="668" w:type="pct"/>
            <w:tcBorders>
              <w:top w:val="nil"/>
              <w:left w:val="nil"/>
              <w:bottom w:val="nil"/>
              <w:right w:val="nil"/>
            </w:tcBorders>
            <w:shd w:val="clear" w:color="000000" w:fill="FFFFFF"/>
            <w:noWrap/>
            <w:vAlign w:val="center"/>
            <w:hideMark/>
          </w:tcPr>
          <w:p w14:paraId="5B5636AF"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(71,036)</w:t>
            </w:r>
          </w:p>
        </w:tc>
      </w:tr>
      <w:tr w:rsidR="00192B82" w:rsidRPr="00192B82" w14:paraId="0E805DAE" w14:textId="77777777" w:rsidTr="00764626">
        <w:trPr>
          <w:trHeight w:val="204"/>
        </w:trPr>
        <w:tc>
          <w:tcPr>
            <w:tcW w:w="591" w:type="pct"/>
            <w:tcBorders>
              <w:top w:val="nil"/>
              <w:left w:val="nil"/>
              <w:bottom w:val="nil"/>
              <w:right w:val="nil"/>
            </w:tcBorders>
            <w:shd w:val="clear" w:color="000000" w:fill="FFFFFF"/>
            <w:noWrap/>
            <w:vAlign w:val="center"/>
            <w:hideMark/>
          </w:tcPr>
          <w:p w14:paraId="70636AFD"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9" w:type="pct"/>
            <w:tcBorders>
              <w:top w:val="nil"/>
              <w:left w:val="nil"/>
              <w:bottom w:val="nil"/>
              <w:right w:val="nil"/>
            </w:tcBorders>
            <w:shd w:val="clear" w:color="000000" w:fill="FFFFFF"/>
            <w:noWrap/>
            <w:vAlign w:val="center"/>
            <w:hideMark/>
          </w:tcPr>
          <w:p w14:paraId="310C6B4A"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9" w:type="pct"/>
            <w:tcBorders>
              <w:top w:val="nil"/>
              <w:left w:val="nil"/>
              <w:bottom w:val="nil"/>
              <w:right w:val="nil"/>
            </w:tcBorders>
            <w:shd w:val="clear" w:color="000000" w:fill="FFFFFF"/>
            <w:noWrap/>
            <w:vAlign w:val="center"/>
            <w:hideMark/>
          </w:tcPr>
          <w:p w14:paraId="447CC7A1"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1143" w:type="pct"/>
            <w:tcBorders>
              <w:top w:val="nil"/>
              <w:left w:val="nil"/>
              <w:bottom w:val="nil"/>
              <w:right w:val="nil"/>
            </w:tcBorders>
            <w:shd w:val="clear" w:color="000000" w:fill="FFFFFF"/>
            <w:noWrap/>
            <w:vAlign w:val="center"/>
            <w:hideMark/>
          </w:tcPr>
          <w:p w14:paraId="02034BDA" w14:textId="77777777" w:rsidR="00192B82" w:rsidRPr="00192B82" w:rsidRDefault="00192B82" w:rsidP="00192B82">
            <w:pPr>
              <w:ind w:firstLineChars="100" w:firstLine="160"/>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591" w:type="pct"/>
            <w:tcBorders>
              <w:top w:val="nil"/>
              <w:left w:val="nil"/>
              <w:bottom w:val="nil"/>
              <w:right w:val="nil"/>
            </w:tcBorders>
            <w:shd w:val="clear" w:color="000000" w:fill="FFFFFF"/>
            <w:noWrap/>
            <w:vAlign w:val="center"/>
            <w:hideMark/>
          </w:tcPr>
          <w:p w14:paraId="53818DEF"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9" w:type="pct"/>
            <w:tcBorders>
              <w:top w:val="nil"/>
              <w:left w:val="nil"/>
              <w:bottom w:val="nil"/>
              <w:right w:val="nil"/>
            </w:tcBorders>
            <w:shd w:val="clear" w:color="000000" w:fill="FFFFFF"/>
            <w:noWrap/>
            <w:vAlign w:val="center"/>
            <w:hideMark/>
          </w:tcPr>
          <w:p w14:paraId="2C2EFC52"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8" w:type="pct"/>
            <w:tcBorders>
              <w:top w:val="nil"/>
              <w:left w:val="nil"/>
              <w:bottom w:val="nil"/>
              <w:right w:val="nil"/>
            </w:tcBorders>
            <w:shd w:val="clear" w:color="000000" w:fill="FFFFFF"/>
            <w:noWrap/>
            <w:vAlign w:val="center"/>
            <w:hideMark/>
          </w:tcPr>
          <w:p w14:paraId="21928EE3"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r>
      <w:tr w:rsidR="00192B82" w:rsidRPr="00192B82" w14:paraId="5AE2F3D3" w14:textId="77777777" w:rsidTr="00764626">
        <w:trPr>
          <w:trHeight w:val="288"/>
        </w:trPr>
        <w:tc>
          <w:tcPr>
            <w:tcW w:w="591" w:type="pct"/>
            <w:tcBorders>
              <w:top w:val="nil"/>
              <w:left w:val="nil"/>
              <w:bottom w:val="nil"/>
              <w:right w:val="nil"/>
            </w:tcBorders>
            <w:shd w:val="clear" w:color="000000" w:fill="FFFFFF"/>
            <w:noWrap/>
            <w:vAlign w:val="center"/>
            <w:hideMark/>
          </w:tcPr>
          <w:p w14:paraId="6D968D10"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(11,466)</w:t>
            </w:r>
          </w:p>
        </w:tc>
        <w:tc>
          <w:tcPr>
            <w:tcW w:w="669" w:type="pct"/>
            <w:tcBorders>
              <w:top w:val="nil"/>
              <w:left w:val="nil"/>
              <w:bottom w:val="nil"/>
              <w:right w:val="nil"/>
            </w:tcBorders>
            <w:shd w:val="clear" w:color="000000" w:fill="FFFFFF"/>
            <w:noWrap/>
            <w:vAlign w:val="center"/>
            <w:hideMark/>
          </w:tcPr>
          <w:p w14:paraId="43AE8923"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(48,960)</w:t>
            </w:r>
          </w:p>
        </w:tc>
        <w:tc>
          <w:tcPr>
            <w:tcW w:w="669" w:type="pct"/>
            <w:tcBorders>
              <w:top w:val="nil"/>
              <w:left w:val="nil"/>
              <w:bottom w:val="nil"/>
              <w:right w:val="nil"/>
            </w:tcBorders>
            <w:shd w:val="clear" w:color="000000" w:fill="FFFFFF"/>
            <w:noWrap/>
            <w:vAlign w:val="center"/>
            <w:hideMark/>
          </w:tcPr>
          <w:p w14:paraId="19CFD3F7"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(60,426)</w:t>
            </w:r>
          </w:p>
        </w:tc>
        <w:tc>
          <w:tcPr>
            <w:tcW w:w="1143" w:type="pct"/>
            <w:tcBorders>
              <w:top w:val="nil"/>
              <w:left w:val="nil"/>
              <w:bottom w:val="nil"/>
              <w:right w:val="nil"/>
            </w:tcBorders>
            <w:shd w:val="clear" w:color="000000" w:fill="FFFFFF"/>
            <w:vAlign w:val="center"/>
            <w:hideMark/>
          </w:tcPr>
          <w:p w14:paraId="550372CF" w14:textId="77777777" w:rsidR="00192B82" w:rsidRPr="00192B82" w:rsidRDefault="00192B82" w:rsidP="00192B82">
            <w:pPr>
              <w:ind w:firstLineChars="100" w:firstLine="160"/>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Interest cost</w:t>
            </w:r>
          </w:p>
        </w:tc>
        <w:tc>
          <w:tcPr>
            <w:tcW w:w="591" w:type="pct"/>
            <w:tcBorders>
              <w:top w:val="nil"/>
              <w:left w:val="nil"/>
              <w:bottom w:val="nil"/>
              <w:right w:val="nil"/>
            </w:tcBorders>
            <w:shd w:val="clear" w:color="000000" w:fill="FFFFFF"/>
            <w:noWrap/>
            <w:vAlign w:val="center"/>
            <w:hideMark/>
          </w:tcPr>
          <w:p w14:paraId="0058655E"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(9,429)</w:t>
            </w:r>
          </w:p>
        </w:tc>
        <w:tc>
          <w:tcPr>
            <w:tcW w:w="669" w:type="pct"/>
            <w:tcBorders>
              <w:top w:val="nil"/>
              <w:left w:val="nil"/>
              <w:bottom w:val="nil"/>
              <w:right w:val="nil"/>
            </w:tcBorders>
            <w:shd w:val="clear" w:color="000000" w:fill="FFFFFF"/>
            <w:noWrap/>
            <w:vAlign w:val="center"/>
            <w:hideMark/>
          </w:tcPr>
          <w:p w14:paraId="5A35656B"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(42,820)</w:t>
            </w:r>
          </w:p>
        </w:tc>
        <w:tc>
          <w:tcPr>
            <w:tcW w:w="668" w:type="pct"/>
            <w:tcBorders>
              <w:top w:val="nil"/>
              <w:left w:val="nil"/>
              <w:bottom w:val="nil"/>
              <w:right w:val="nil"/>
            </w:tcBorders>
            <w:shd w:val="clear" w:color="000000" w:fill="FFFFFF"/>
            <w:noWrap/>
            <w:vAlign w:val="center"/>
            <w:hideMark/>
          </w:tcPr>
          <w:p w14:paraId="4D80A266"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(52,249)</w:t>
            </w:r>
          </w:p>
        </w:tc>
      </w:tr>
      <w:tr w:rsidR="00192B82" w:rsidRPr="00192B82" w14:paraId="3EE16AE8" w14:textId="77777777" w:rsidTr="00764626">
        <w:trPr>
          <w:trHeight w:val="204"/>
        </w:trPr>
        <w:tc>
          <w:tcPr>
            <w:tcW w:w="591" w:type="pct"/>
            <w:tcBorders>
              <w:top w:val="nil"/>
              <w:left w:val="nil"/>
              <w:bottom w:val="nil"/>
              <w:right w:val="nil"/>
            </w:tcBorders>
            <w:shd w:val="clear" w:color="000000" w:fill="FFFFFF"/>
            <w:noWrap/>
            <w:vAlign w:val="center"/>
            <w:hideMark/>
          </w:tcPr>
          <w:p w14:paraId="4FB0DE83"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9" w:type="pct"/>
            <w:tcBorders>
              <w:top w:val="nil"/>
              <w:left w:val="nil"/>
              <w:bottom w:val="nil"/>
              <w:right w:val="nil"/>
            </w:tcBorders>
            <w:shd w:val="clear" w:color="000000" w:fill="FFFFFF"/>
            <w:noWrap/>
            <w:vAlign w:val="center"/>
            <w:hideMark/>
          </w:tcPr>
          <w:p w14:paraId="4F5520E7"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9" w:type="pct"/>
            <w:tcBorders>
              <w:top w:val="nil"/>
              <w:left w:val="nil"/>
              <w:bottom w:val="nil"/>
              <w:right w:val="nil"/>
            </w:tcBorders>
            <w:shd w:val="clear" w:color="000000" w:fill="FFFFFF"/>
            <w:noWrap/>
            <w:vAlign w:val="center"/>
            <w:hideMark/>
          </w:tcPr>
          <w:p w14:paraId="0FDC2B8B"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1143" w:type="pct"/>
            <w:tcBorders>
              <w:top w:val="nil"/>
              <w:left w:val="nil"/>
              <w:bottom w:val="nil"/>
              <w:right w:val="nil"/>
            </w:tcBorders>
            <w:shd w:val="clear" w:color="000000" w:fill="FFFFFF"/>
            <w:noWrap/>
            <w:vAlign w:val="center"/>
            <w:hideMark/>
          </w:tcPr>
          <w:p w14:paraId="0C7F1D03" w14:textId="77777777" w:rsidR="00192B82" w:rsidRPr="00192B82" w:rsidRDefault="00192B82" w:rsidP="00192B82">
            <w:pPr>
              <w:ind w:firstLineChars="100" w:firstLine="160"/>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591" w:type="pct"/>
            <w:tcBorders>
              <w:top w:val="nil"/>
              <w:left w:val="nil"/>
              <w:bottom w:val="nil"/>
              <w:right w:val="nil"/>
            </w:tcBorders>
            <w:shd w:val="clear" w:color="000000" w:fill="FFFFFF"/>
            <w:noWrap/>
            <w:vAlign w:val="center"/>
            <w:hideMark/>
          </w:tcPr>
          <w:p w14:paraId="0388A155"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9" w:type="pct"/>
            <w:tcBorders>
              <w:top w:val="nil"/>
              <w:left w:val="nil"/>
              <w:bottom w:val="nil"/>
              <w:right w:val="nil"/>
            </w:tcBorders>
            <w:shd w:val="clear" w:color="000000" w:fill="FFFFFF"/>
            <w:noWrap/>
            <w:vAlign w:val="center"/>
            <w:hideMark/>
          </w:tcPr>
          <w:p w14:paraId="2BA1F7EC"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8" w:type="pct"/>
            <w:tcBorders>
              <w:top w:val="nil"/>
              <w:left w:val="nil"/>
              <w:bottom w:val="nil"/>
              <w:right w:val="nil"/>
            </w:tcBorders>
            <w:shd w:val="clear" w:color="000000" w:fill="FFFFFF"/>
            <w:noWrap/>
            <w:vAlign w:val="center"/>
            <w:hideMark/>
          </w:tcPr>
          <w:p w14:paraId="7FB0DB7E"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r>
      <w:tr w:rsidR="00192B82" w:rsidRPr="00192B82" w14:paraId="256B3D65" w14:textId="77777777" w:rsidTr="00764626">
        <w:trPr>
          <w:trHeight w:val="408"/>
        </w:trPr>
        <w:tc>
          <w:tcPr>
            <w:tcW w:w="591" w:type="pct"/>
            <w:tcBorders>
              <w:top w:val="nil"/>
              <w:left w:val="nil"/>
              <w:bottom w:val="nil"/>
              <w:right w:val="nil"/>
            </w:tcBorders>
            <w:shd w:val="clear" w:color="000000" w:fill="FFFFFF"/>
            <w:noWrap/>
            <w:vAlign w:val="center"/>
            <w:hideMark/>
          </w:tcPr>
          <w:p w14:paraId="68CF231E"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(3,172)</w:t>
            </w:r>
          </w:p>
        </w:tc>
        <w:tc>
          <w:tcPr>
            <w:tcW w:w="669" w:type="pct"/>
            <w:tcBorders>
              <w:top w:val="nil"/>
              <w:left w:val="nil"/>
              <w:bottom w:val="nil"/>
              <w:right w:val="nil"/>
            </w:tcBorders>
            <w:shd w:val="clear" w:color="000000" w:fill="FFFFFF"/>
            <w:noWrap/>
            <w:vAlign w:val="center"/>
            <w:hideMark/>
          </w:tcPr>
          <w:p w14:paraId="6D8311C2"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(9,050)</w:t>
            </w:r>
          </w:p>
        </w:tc>
        <w:tc>
          <w:tcPr>
            <w:tcW w:w="669" w:type="pct"/>
            <w:tcBorders>
              <w:top w:val="nil"/>
              <w:left w:val="nil"/>
              <w:bottom w:val="nil"/>
              <w:right w:val="nil"/>
            </w:tcBorders>
            <w:shd w:val="clear" w:color="000000" w:fill="FFFFFF"/>
            <w:noWrap/>
            <w:vAlign w:val="center"/>
            <w:hideMark/>
          </w:tcPr>
          <w:p w14:paraId="584D33D7"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(12,222)</w:t>
            </w:r>
          </w:p>
        </w:tc>
        <w:tc>
          <w:tcPr>
            <w:tcW w:w="1143" w:type="pct"/>
            <w:tcBorders>
              <w:top w:val="nil"/>
              <w:left w:val="nil"/>
              <w:bottom w:val="nil"/>
              <w:right w:val="nil"/>
            </w:tcBorders>
            <w:shd w:val="clear" w:color="000000" w:fill="FFFFFF"/>
            <w:vAlign w:val="center"/>
            <w:hideMark/>
          </w:tcPr>
          <w:p w14:paraId="24CA9C65" w14:textId="77777777" w:rsidR="00192B82" w:rsidRPr="00192B82" w:rsidRDefault="00192B82" w:rsidP="00192B82">
            <w:pPr>
              <w:ind w:firstLineChars="100" w:firstLine="160"/>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Contributions from scheme participants</w:t>
            </w:r>
          </w:p>
        </w:tc>
        <w:tc>
          <w:tcPr>
            <w:tcW w:w="591" w:type="pct"/>
            <w:tcBorders>
              <w:top w:val="nil"/>
              <w:left w:val="nil"/>
              <w:bottom w:val="nil"/>
              <w:right w:val="nil"/>
            </w:tcBorders>
            <w:shd w:val="clear" w:color="000000" w:fill="FFFFFF"/>
            <w:noWrap/>
            <w:vAlign w:val="center"/>
            <w:hideMark/>
          </w:tcPr>
          <w:p w14:paraId="0BDE87A4"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(3,614)</w:t>
            </w:r>
          </w:p>
        </w:tc>
        <w:tc>
          <w:tcPr>
            <w:tcW w:w="669" w:type="pct"/>
            <w:tcBorders>
              <w:top w:val="nil"/>
              <w:left w:val="nil"/>
              <w:bottom w:val="nil"/>
              <w:right w:val="nil"/>
            </w:tcBorders>
            <w:shd w:val="clear" w:color="000000" w:fill="FFFFFF"/>
            <w:noWrap/>
            <w:vAlign w:val="center"/>
            <w:hideMark/>
          </w:tcPr>
          <w:p w14:paraId="730653D9"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(9,760)</w:t>
            </w:r>
          </w:p>
        </w:tc>
        <w:tc>
          <w:tcPr>
            <w:tcW w:w="668" w:type="pct"/>
            <w:tcBorders>
              <w:top w:val="nil"/>
              <w:left w:val="nil"/>
              <w:bottom w:val="nil"/>
              <w:right w:val="nil"/>
            </w:tcBorders>
            <w:shd w:val="clear" w:color="000000" w:fill="FFFFFF"/>
            <w:noWrap/>
            <w:vAlign w:val="center"/>
            <w:hideMark/>
          </w:tcPr>
          <w:p w14:paraId="54CBB1A7"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(13,374)</w:t>
            </w:r>
          </w:p>
        </w:tc>
      </w:tr>
      <w:tr w:rsidR="00192B82" w:rsidRPr="00192B82" w14:paraId="21F86053" w14:textId="77777777" w:rsidTr="00764626">
        <w:trPr>
          <w:trHeight w:val="204"/>
        </w:trPr>
        <w:tc>
          <w:tcPr>
            <w:tcW w:w="591" w:type="pct"/>
            <w:tcBorders>
              <w:top w:val="nil"/>
              <w:left w:val="nil"/>
              <w:bottom w:val="nil"/>
              <w:right w:val="nil"/>
            </w:tcBorders>
            <w:shd w:val="clear" w:color="000000" w:fill="FFFFFF"/>
            <w:noWrap/>
            <w:vAlign w:val="center"/>
            <w:hideMark/>
          </w:tcPr>
          <w:p w14:paraId="1E1F0A7C"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9" w:type="pct"/>
            <w:tcBorders>
              <w:top w:val="nil"/>
              <w:left w:val="nil"/>
              <w:bottom w:val="nil"/>
              <w:right w:val="nil"/>
            </w:tcBorders>
            <w:shd w:val="clear" w:color="000000" w:fill="FFFFFF"/>
            <w:noWrap/>
            <w:vAlign w:val="center"/>
            <w:hideMark/>
          </w:tcPr>
          <w:p w14:paraId="27E1F2C4"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9" w:type="pct"/>
            <w:tcBorders>
              <w:top w:val="nil"/>
              <w:left w:val="nil"/>
              <w:bottom w:val="nil"/>
              <w:right w:val="nil"/>
            </w:tcBorders>
            <w:shd w:val="clear" w:color="000000" w:fill="FFFFFF"/>
            <w:noWrap/>
            <w:vAlign w:val="center"/>
            <w:hideMark/>
          </w:tcPr>
          <w:p w14:paraId="222B1A21"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1143" w:type="pct"/>
            <w:tcBorders>
              <w:top w:val="nil"/>
              <w:left w:val="nil"/>
              <w:bottom w:val="nil"/>
              <w:right w:val="nil"/>
            </w:tcBorders>
            <w:shd w:val="clear" w:color="000000" w:fill="FFFFFF"/>
            <w:noWrap/>
            <w:vAlign w:val="center"/>
            <w:hideMark/>
          </w:tcPr>
          <w:p w14:paraId="6A961E0E" w14:textId="77777777" w:rsidR="00192B82" w:rsidRPr="00192B82" w:rsidRDefault="00192B82" w:rsidP="00192B82">
            <w:pPr>
              <w:ind w:firstLineChars="100" w:firstLine="160"/>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591" w:type="pct"/>
            <w:tcBorders>
              <w:top w:val="nil"/>
              <w:left w:val="nil"/>
              <w:bottom w:val="nil"/>
              <w:right w:val="nil"/>
            </w:tcBorders>
            <w:shd w:val="clear" w:color="000000" w:fill="FFFFFF"/>
            <w:noWrap/>
            <w:vAlign w:val="center"/>
            <w:hideMark/>
          </w:tcPr>
          <w:p w14:paraId="1C0BF686"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9" w:type="pct"/>
            <w:tcBorders>
              <w:top w:val="nil"/>
              <w:left w:val="nil"/>
              <w:bottom w:val="nil"/>
              <w:right w:val="nil"/>
            </w:tcBorders>
            <w:shd w:val="clear" w:color="000000" w:fill="FFFFFF"/>
            <w:noWrap/>
            <w:vAlign w:val="center"/>
            <w:hideMark/>
          </w:tcPr>
          <w:p w14:paraId="11FD3AB0"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8" w:type="pct"/>
            <w:tcBorders>
              <w:top w:val="nil"/>
              <w:left w:val="nil"/>
              <w:bottom w:val="nil"/>
              <w:right w:val="nil"/>
            </w:tcBorders>
            <w:shd w:val="clear" w:color="000000" w:fill="FFFFFF"/>
            <w:noWrap/>
            <w:vAlign w:val="center"/>
            <w:hideMark/>
          </w:tcPr>
          <w:p w14:paraId="3AC13AC5"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r>
      <w:tr w:rsidR="00192B82" w:rsidRPr="00192B82" w14:paraId="5C9F1B14" w14:textId="77777777" w:rsidTr="00764626">
        <w:trPr>
          <w:trHeight w:val="408"/>
        </w:trPr>
        <w:tc>
          <w:tcPr>
            <w:tcW w:w="591" w:type="pct"/>
            <w:tcBorders>
              <w:top w:val="nil"/>
              <w:left w:val="nil"/>
              <w:bottom w:val="nil"/>
              <w:right w:val="nil"/>
            </w:tcBorders>
            <w:shd w:val="clear" w:color="000000" w:fill="FFFFFF"/>
            <w:noWrap/>
            <w:vAlign w:val="center"/>
            <w:hideMark/>
          </w:tcPr>
          <w:p w14:paraId="509411F0"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9" w:type="pct"/>
            <w:tcBorders>
              <w:top w:val="nil"/>
              <w:left w:val="nil"/>
              <w:bottom w:val="nil"/>
              <w:right w:val="nil"/>
            </w:tcBorders>
            <w:shd w:val="clear" w:color="000000" w:fill="FFFFFF"/>
            <w:noWrap/>
            <w:vAlign w:val="center"/>
            <w:hideMark/>
          </w:tcPr>
          <w:p w14:paraId="5B811075"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9" w:type="pct"/>
            <w:tcBorders>
              <w:top w:val="nil"/>
              <w:left w:val="nil"/>
              <w:bottom w:val="nil"/>
              <w:right w:val="nil"/>
            </w:tcBorders>
            <w:shd w:val="clear" w:color="000000" w:fill="FFFFFF"/>
            <w:noWrap/>
            <w:vAlign w:val="center"/>
            <w:hideMark/>
          </w:tcPr>
          <w:p w14:paraId="01614468"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1143" w:type="pct"/>
            <w:tcBorders>
              <w:top w:val="nil"/>
              <w:left w:val="nil"/>
              <w:bottom w:val="nil"/>
              <w:right w:val="nil"/>
            </w:tcBorders>
            <w:shd w:val="clear" w:color="000000" w:fill="FFFFFF"/>
            <w:vAlign w:val="center"/>
            <w:hideMark/>
          </w:tcPr>
          <w:p w14:paraId="0B89EC7A" w14:textId="03AC92EF" w:rsidR="00192B82" w:rsidRPr="00192B82" w:rsidRDefault="00192B82" w:rsidP="00192B82">
            <w:pPr>
              <w:ind w:firstLineChars="100" w:firstLine="160"/>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Re</w:t>
            </w:r>
            <w:r w:rsidR="00F02451">
              <w:rPr>
                <w:rFonts w:ascii="Verdana" w:eastAsia="Times New Roman" w:hAnsi="Verdana" w:cs="Calibri"/>
                <w:color w:val="000000"/>
                <w:sz w:val="16"/>
                <w:szCs w:val="16"/>
                <w:lang w:val="en-GB" w:eastAsia="en-GB"/>
              </w:rPr>
              <w:t>-</w:t>
            </w:r>
            <w:r w:rsidRPr="00192B82">
              <w:rPr>
                <w:rFonts w:ascii="Verdana" w:eastAsia="Times New Roman" w:hAnsi="Verdana" w:cs="Calibri"/>
                <w:color w:val="000000"/>
                <w:sz w:val="16"/>
                <w:szCs w:val="16"/>
                <w:lang w:val="en-GB" w:eastAsia="en-GB"/>
              </w:rPr>
              <w:t>measurement gains and losses:</w:t>
            </w:r>
          </w:p>
        </w:tc>
        <w:tc>
          <w:tcPr>
            <w:tcW w:w="591" w:type="pct"/>
            <w:tcBorders>
              <w:top w:val="nil"/>
              <w:left w:val="nil"/>
              <w:bottom w:val="nil"/>
              <w:right w:val="nil"/>
            </w:tcBorders>
            <w:shd w:val="clear" w:color="000000" w:fill="FFFFFF"/>
            <w:noWrap/>
            <w:vAlign w:val="center"/>
            <w:hideMark/>
          </w:tcPr>
          <w:p w14:paraId="4541BB9E"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9" w:type="pct"/>
            <w:tcBorders>
              <w:top w:val="nil"/>
              <w:left w:val="nil"/>
              <w:bottom w:val="nil"/>
              <w:right w:val="nil"/>
            </w:tcBorders>
            <w:shd w:val="clear" w:color="000000" w:fill="FFFFFF"/>
            <w:noWrap/>
            <w:vAlign w:val="center"/>
            <w:hideMark/>
          </w:tcPr>
          <w:p w14:paraId="05C783B1"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8" w:type="pct"/>
            <w:tcBorders>
              <w:top w:val="nil"/>
              <w:left w:val="nil"/>
              <w:bottom w:val="nil"/>
              <w:right w:val="nil"/>
            </w:tcBorders>
            <w:shd w:val="clear" w:color="000000" w:fill="FFFFFF"/>
            <w:noWrap/>
            <w:vAlign w:val="center"/>
            <w:hideMark/>
          </w:tcPr>
          <w:p w14:paraId="5213CCA8"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r>
      <w:tr w:rsidR="00192B82" w:rsidRPr="00192B82" w14:paraId="2E557FB3" w14:textId="77777777" w:rsidTr="00764626">
        <w:trPr>
          <w:trHeight w:val="408"/>
        </w:trPr>
        <w:tc>
          <w:tcPr>
            <w:tcW w:w="591" w:type="pct"/>
            <w:tcBorders>
              <w:top w:val="nil"/>
              <w:left w:val="nil"/>
              <w:bottom w:val="nil"/>
              <w:right w:val="nil"/>
            </w:tcBorders>
            <w:shd w:val="clear" w:color="000000" w:fill="FFFFFF"/>
            <w:noWrap/>
            <w:vAlign w:val="center"/>
            <w:hideMark/>
          </w:tcPr>
          <w:p w14:paraId="5EDEA422"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26,633</w:t>
            </w:r>
          </w:p>
        </w:tc>
        <w:tc>
          <w:tcPr>
            <w:tcW w:w="669" w:type="pct"/>
            <w:tcBorders>
              <w:top w:val="nil"/>
              <w:left w:val="nil"/>
              <w:bottom w:val="nil"/>
              <w:right w:val="nil"/>
            </w:tcBorders>
            <w:shd w:val="clear" w:color="000000" w:fill="FFFFFF"/>
            <w:noWrap/>
            <w:vAlign w:val="center"/>
            <w:hideMark/>
          </w:tcPr>
          <w:p w14:paraId="1E4B8C56"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33,160</w:t>
            </w:r>
          </w:p>
        </w:tc>
        <w:tc>
          <w:tcPr>
            <w:tcW w:w="669" w:type="pct"/>
            <w:tcBorders>
              <w:top w:val="nil"/>
              <w:left w:val="nil"/>
              <w:bottom w:val="nil"/>
              <w:right w:val="nil"/>
            </w:tcBorders>
            <w:shd w:val="clear" w:color="000000" w:fill="FFFFFF"/>
            <w:noWrap/>
            <w:vAlign w:val="center"/>
            <w:hideMark/>
          </w:tcPr>
          <w:p w14:paraId="53538CDE"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59,793</w:t>
            </w:r>
          </w:p>
        </w:tc>
        <w:tc>
          <w:tcPr>
            <w:tcW w:w="1143" w:type="pct"/>
            <w:tcBorders>
              <w:top w:val="nil"/>
              <w:left w:val="nil"/>
              <w:bottom w:val="nil"/>
              <w:right w:val="nil"/>
            </w:tcBorders>
            <w:shd w:val="clear" w:color="000000" w:fill="FFFFFF"/>
            <w:vAlign w:val="center"/>
            <w:hideMark/>
          </w:tcPr>
          <w:p w14:paraId="47500161" w14:textId="77777777" w:rsidR="00192B82" w:rsidRPr="00192B82" w:rsidRDefault="00192B82" w:rsidP="00192B82">
            <w:pPr>
              <w:ind w:firstLineChars="100" w:firstLine="160"/>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Actuarial gains / (losses) experience:</w:t>
            </w:r>
          </w:p>
        </w:tc>
        <w:tc>
          <w:tcPr>
            <w:tcW w:w="591" w:type="pct"/>
            <w:tcBorders>
              <w:top w:val="nil"/>
              <w:left w:val="nil"/>
              <w:bottom w:val="nil"/>
              <w:right w:val="nil"/>
            </w:tcBorders>
            <w:shd w:val="clear" w:color="000000" w:fill="FFFFFF"/>
            <w:noWrap/>
            <w:vAlign w:val="center"/>
            <w:hideMark/>
          </w:tcPr>
          <w:p w14:paraId="6351D32F"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4,322</w:t>
            </w:r>
          </w:p>
        </w:tc>
        <w:tc>
          <w:tcPr>
            <w:tcW w:w="669" w:type="pct"/>
            <w:tcBorders>
              <w:top w:val="nil"/>
              <w:left w:val="nil"/>
              <w:bottom w:val="nil"/>
              <w:right w:val="nil"/>
            </w:tcBorders>
            <w:shd w:val="clear" w:color="000000" w:fill="FFFFFF"/>
            <w:noWrap/>
            <w:vAlign w:val="center"/>
            <w:hideMark/>
          </w:tcPr>
          <w:p w14:paraId="551F8FF5"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219,050</w:t>
            </w:r>
          </w:p>
        </w:tc>
        <w:tc>
          <w:tcPr>
            <w:tcW w:w="668" w:type="pct"/>
            <w:tcBorders>
              <w:top w:val="nil"/>
              <w:left w:val="nil"/>
              <w:bottom w:val="nil"/>
              <w:right w:val="nil"/>
            </w:tcBorders>
            <w:shd w:val="clear" w:color="000000" w:fill="FFFFFF"/>
            <w:noWrap/>
            <w:vAlign w:val="center"/>
            <w:hideMark/>
          </w:tcPr>
          <w:p w14:paraId="36E29AB2"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223,372</w:t>
            </w:r>
          </w:p>
        </w:tc>
      </w:tr>
      <w:tr w:rsidR="00192B82" w:rsidRPr="00192B82" w14:paraId="56279225" w14:textId="77777777" w:rsidTr="00764626">
        <w:trPr>
          <w:trHeight w:val="204"/>
        </w:trPr>
        <w:tc>
          <w:tcPr>
            <w:tcW w:w="591" w:type="pct"/>
            <w:tcBorders>
              <w:top w:val="nil"/>
              <w:left w:val="nil"/>
              <w:bottom w:val="nil"/>
              <w:right w:val="nil"/>
            </w:tcBorders>
            <w:shd w:val="clear" w:color="000000" w:fill="FFFFFF"/>
            <w:noWrap/>
            <w:vAlign w:val="center"/>
            <w:hideMark/>
          </w:tcPr>
          <w:p w14:paraId="2110B21F"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9" w:type="pct"/>
            <w:tcBorders>
              <w:top w:val="nil"/>
              <w:left w:val="nil"/>
              <w:bottom w:val="nil"/>
              <w:right w:val="nil"/>
            </w:tcBorders>
            <w:shd w:val="clear" w:color="000000" w:fill="FFFFFF"/>
            <w:noWrap/>
            <w:vAlign w:val="center"/>
            <w:hideMark/>
          </w:tcPr>
          <w:p w14:paraId="188E1CAA"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9" w:type="pct"/>
            <w:tcBorders>
              <w:top w:val="nil"/>
              <w:left w:val="nil"/>
              <w:bottom w:val="nil"/>
              <w:right w:val="nil"/>
            </w:tcBorders>
            <w:shd w:val="clear" w:color="000000" w:fill="FFFFFF"/>
            <w:noWrap/>
            <w:vAlign w:val="center"/>
            <w:hideMark/>
          </w:tcPr>
          <w:p w14:paraId="1EEE7196"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1143" w:type="pct"/>
            <w:tcBorders>
              <w:top w:val="nil"/>
              <w:left w:val="nil"/>
              <w:bottom w:val="nil"/>
              <w:right w:val="nil"/>
            </w:tcBorders>
            <w:shd w:val="clear" w:color="000000" w:fill="FFFFFF"/>
            <w:noWrap/>
            <w:vAlign w:val="center"/>
            <w:hideMark/>
          </w:tcPr>
          <w:p w14:paraId="3C885A70" w14:textId="77777777" w:rsidR="00192B82" w:rsidRPr="00192B82" w:rsidRDefault="00192B82" w:rsidP="00192B82">
            <w:pPr>
              <w:ind w:firstLineChars="100" w:firstLine="160"/>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591" w:type="pct"/>
            <w:tcBorders>
              <w:top w:val="nil"/>
              <w:left w:val="nil"/>
              <w:bottom w:val="nil"/>
              <w:right w:val="nil"/>
            </w:tcBorders>
            <w:shd w:val="clear" w:color="000000" w:fill="FFFFFF"/>
            <w:noWrap/>
            <w:vAlign w:val="center"/>
            <w:hideMark/>
          </w:tcPr>
          <w:p w14:paraId="56025773"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9" w:type="pct"/>
            <w:tcBorders>
              <w:top w:val="nil"/>
              <w:left w:val="nil"/>
              <w:bottom w:val="nil"/>
              <w:right w:val="nil"/>
            </w:tcBorders>
            <w:shd w:val="clear" w:color="000000" w:fill="FFFFFF"/>
            <w:noWrap/>
            <w:vAlign w:val="center"/>
            <w:hideMark/>
          </w:tcPr>
          <w:p w14:paraId="32E1ABAC"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8" w:type="pct"/>
            <w:tcBorders>
              <w:top w:val="nil"/>
              <w:left w:val="nil"/>
              <w:bottom w:val="nil"/>
              <w:right w:val="nil"/>
            </w:tcBorders>
            <w:shd w:val="clear" w:color="000000" w:fill="FFFFFF"/>
            <w:noWrap/>
            <w:vAlign w:val="center"/>
            <w:hideMark/>
          </w:tcPr>
          <w:p w14:paraId="1683B79C"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r>
      <w:tr w:rsidR="00192B82" w:rsidRPr="00192B82" w14:paraId="06FD76E4" w14:textId="77777777" w:rsidTr="00764626">
        <w:trPr>
          <w:trHeight w:val="612"/>
        </w:trPr>
        <w:tc>
          <w:tcPr>
            <w:tcW w:w="591" w:type="pct"/>
            <w:tcBorders>
              <w:top w:val="nil"/>
              <w:left w:val="nil"/>
              <w:bottom w:val="nil"/>
              <w:right w:val="nil"/>
            </w:tcBorders>
            <w:shd w:val="clear" w:color="000000" w:fill="FFFFFF"/>
            <w:noWrap/>
            <w:vAlign w:val="center"/>
            <w:hideMark/>
          </w:tcPr>
          <w:p w14:paraId="471E714E"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54,522</w:t>
            </w:r>
          </w:p>
        </w:tc>
        <w:tc>
          <w:tcPr>
            <w:tcW w:w="669" w:type="pct"/>
            <w:tcBorders>
              <w:top w:val="nil"/>
              <w:left w:val="nil"/>
              <w:bottom w:val="nil"/>
              <w:right w:val="nil"/>
            </w:tcBorders>
            <w:shd w:val="clear" w:color="000000" w:fill="FFFFFF"/>
            <w:noWrap/>
            <w:vAlign w:val="center"/>
            <w:hideMark/>
          </w:tcPr>
          <w:p w14:paraId="75ED8B55"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61,100</w:t>
            </w:r>
          </w:p>
        </w:tc>
        <w:tc>
          <w:tcPr>
            <w:tcW w:w="669" w:type="pct"/>
            <w:tcBorders>
              <w:top w:val="nil"/>
              <w:left w:val="nil"/>
              <w:bottom w:val="nil"/>
              <w:right w:val="nil"/>
            </w:tcBorders>
            <w:shd w:val="clear" w:color="000000" w:fill="FFFFFF"/>
            <w:noWrap/>
            <w:vAlign w:val="center"/>
            <w:hideMark/>
          </w:tcPr>
          <w:p w14:paraId="35073F74"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115,622</w:t>
            </w:r>
          </w:p>
        </w:tc>
        <w:tc>
          <w:tcPr>
            <w:tcW w:w="1143" w:type="pct"/>
            <w:tcBorders>
              <w:top w:val="nil"/>
              <w:left w:val="nil"/>
              <w:bottom w:val="nil"/>
              <w:right w:val="nil"/>
            </w:tcBorders>
            <w:shd w:val="clear" w:color="000000" w:fill="FFFFFF"/>
            <w:vAlign w:val="center"/>
            <w:hideMark/>
          </w:tcPr>
          <w:p w14:paraId="721A1D7A" w14:textId="3EB1D6B3" w:rsidR="00192B82" w:rsidRPr="00192B82" w:rsidRDefault="00192B82" w:rsidP="00764626">
            <w:pPr>
              <w:ind w:firstLineChars="100" w:firstLine="160"/>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Actuarial gains / (losses) from changes in demographic assump</w:t>
            </w:r>
            <w:r w:rsidR="00764626">
              <w:rPr>
                <w:rFonts w:ascii="Verdana" w:eastAsia="Times New Roman" w:hAnsi="Verdana" w:cs="Calibri"/>
                <w:color w:val="000000"/>
                <w:sz w:val="16"/>
                <w:szCs w:val="16"/>
                <w:lang w:val="en-GB" w:eastAsia="en-GB"/>
              </w:rPr>
              <w:t>t</w:t>
            </w:r>
            <w:r w:rsidRPr="00192B82">
              <w:rPr>
                <w:rFonts w:ascii="Verdana" w:eastAsia="Times New Roman" w:hAnsi="Verdana" w:cs="Calibri"/>
                <w:color w:val="000000"/>
                <w:sz w:val="16"/>
                <w:szCs w:val="16"/>
                <w:lang w:val="en-GB" w:eastAsia="en-GB"/>
              </w:rPr>
              <w:t>ions</w:t>
            </w:r>
          </w:p>
        </w:tc>
        <w:tc>
          <w:tcPr>
            <w:tcW w:w="591" w:type="pct"/>
            <w:tcBorders>
              <w:top w:val="nil"/>
              <w:left w:val="nil"/>
              <w:bottom w:val="nil"/>
              <w:right w:val="nil"/>
            </w:tcBorders>
            <w:shd w:val="clear" w:color="000000" w:fill="FFFFFF"/>
            <w:noWrap/>
            <w:vAlign w:val="center"/>
            <w:hideMark/>
          </w:tcPr>
          <w:p w14:paraId="6EE9D770"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(7,087)</w:t>
            </w:r>
          </w:p>
        </w:tc>
        <w:tc>
          <w:tcPr>
            <w:tcW w:w="669" w:type="pct"/>
            <w:tcBorders>
              <w:top w:val="nil"/>
              <w:left w:val="nil"/>
              <w:bottom w:val="nil"/>
              <w:right w:val="nil"/>
            </w:tcBorders>
            <w:shd w:val="clear" w:color="000000" w:fill="FFFFFF"/>
            <w:noWrap/>
            <w:vAlign w:val="center"/>
            <w:hideMark/>
          </w:tcPr>
          <w:p w14:paraId="1BFAE94A"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0</w:t>
            </w:r>
          </w:p>
        </w:tc>
        <w:tc>
          <w:tcPr>
            <w:tcW w:w="668" w:type="pct"/>
            <w:tcBorders>
              <w:top w:val="nil"/>
              <w:left w:val="nil"/>
              <w:bottom w:val="nil"/>
              <w:right w:val="nil"/>
            </w:tcBorders>
            <w:shd w:val="clear" w:color="000000" w:fill="FFFFFF"/>
            <w:noWrap/>
            <w:vAlign w:val="center"/>
            <w:hideMark/>
          </w:tcPr>
          <w:p w14:paraId="03D46A44"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(7,087)</w:t>
            </w:r>
          </w:p>
        </w:tc>
      </w:tr>
      <w:tr w:rsidR="00192B82" w:rsidRPr="00192B82" w14:paraId="72890444" w14:textId="77777777" w:rsidTr="00764626">
        <w:trPr>
          <w:trHeight w:val="204"/>
        </w:trPr>
        <w:tc>
          <w:tcPr>
            <w:tcW w:w="591" w:type="pct"/>
            <w:tcBorders>
              <w:top w:val="nil"/>
              <w:left w:val="nil"/>
              <w:bottom w:val="nil"/>
              <w:right w:val="nil"/>
            </w:tcBorders>
            <w:shd w:val="clear" w:color="000000" w:fill="FFFFFF"/>
            <w:noWrap/>
            <w:vAlign w:val="center"/>
            <w:hideMark/>
          </w:tcPr>
          <w:p w14:paraId="44C6C78B"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9" w:type="pct"/>
            <w:tcBorders>
              <w:top w:val="nil"/>
              <w:left w:val="nil"/>
              <w:bottom w:val="nil"/>
              <w:right w:val="nil"/>
            </w:tcBorders>
            <w:shd w:val="clear" w:color="000000" w:fill="FFFFFF"/>
            <w:noWrap/>
            <w:vAlign w:val="center"/>
            <w:hideMark/>
          </w:tcPr>
          <w:p w14:paraId="18E1FA9D"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9" w:type="pct"/>
            <w:tcBorders>
              <w:top w:val="nil"/>
              <w:left w:val="nil"/>
              <w:bottom w:val="nil"/>
              <w:right w:val="nil"/>
            </w:tcBorders>
            <w:shd w:val="clear" w:color="000000" w:fill="FFFFFF"/>
            <w:noWrap/>
            <w:vAlign w:val="center"/>
            <w:hideMark/>
          </w:tcPr>
          <w:p w14:paraId="305807B7"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1143" w:type="pct"/>
            <w:tcBorders>
              <w:top w:val="nil"/>
              <w:left w:val="nil"/>
              <w:bottom w:val="nil"/>
              <w:right w:val="nil"/>
            </w:tcBorders>
            <w:shd w:val="clear" w:color="000000" w:fill="FFFFFF"/>
            <w:noWrap/>
            <w:vAlign w:val="center"/>
            <w:hideMark/>
          </w:tcPr>
          <w:p w14:paraId="3C2CD78A" w14:textId="77777777" w:rsidR="00192B82" w:rsidRPr="00192B82" w:rsidRDefault="00192B82" w:rsidP="00192B82">
            <w:pPr>
              <w:ind w:firstLineChars="100" w:firstLine="160"/>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591" w:type="pct"/>
            <w:tcBorders>
              <w:top w:val="nil"/>
              <w:left w:val="nil"/>
              <w:bottom w:val="nil"/>
              <w:right w:val="nil"/>
            </w:tcBorders>
            <w:shd w:val="clear" w:color="000000" w:fill="FFFFFF"/>
            <w:noWrap/>
            <w:vAlign w:val="center"/>
            <w:hideMark/>
          </w:tcPr>
          <w:p w14:paraId="1F559DBB"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9" w:type="pct"/>
            <w:tcBorders>
              <w:top w:val="nil"/>
              <w:left w:val="nil"/>
              <w:bottom w:val="nil"/>
              <w:right w:val="nil"/>
            </w:tcBorders>
            <w:shd w:val="clear" w:color="000000" w:fill="FFFFFF"/>
            <w:noWrap/>
            <w:vAlign w:val="center"/>
            <w:hideMark/>
          </w:tcPr>
          <w:p w14:paraId="3290C52F"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8" w:type="pct"/>
            <w:tcBorders>
              <w:top w:val="nil"/>
              <w:left w:val="nil"/>
              <w:bottom w:val="nil"/>
              <w:right w:val="nil"/>
            </w:tcBorders>
            <w:shd w:val="clear" w:color="000000" w:fill="FFFFFF"/>
            <w:noWrap/>
            <w:vAlign w:val="center"/>
            <w:hideMark/>
          </w:tcPr>
          <w:p w14:paraId="76E96307"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r>
      <w:tr w:rsidR="00192B82" w:rsidRPr="00192B82" w14:paraId="48C658DE" w14:textId="77777777" w:rsidTr="00764626">
        <w:trPr>
          <w:trHeight w:val="612"/>
        </w:trPr>
        <w:tc>
          <w:tcPr>
            <w:tcW w:w="591" w:type="pct"/>
            <w:tcBorders>
              <w:top w:val="nil"/>
              <w:left w:val="nil"/>
              <w:bottom w:val="nil"/>
              <w:right w:val="nil"/>
            </w:tcBorders>
            <w:shd w:val="clear" w:color="000000" w:fill="FFFFFF"/>
            <w:noWrap/>
            <w:vAlign w:val="center"/>
            <w:hideMark/>
          </w:tcPr>
          <w:p w14:paraId="0D75A74E"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11,095</w:t>
            </w:r>
          </w:p>
        </w:tc>
        <w:tc>
          <w:tcPr>
            <w:tcW w:w="669" w:type="pct"/>
            <w:tcBorders>
              <w:top w:val="nil"/>
              <w:left w:val="nil"/>
              <w:bottom w:val="nil"/>
              <w:right w:val="nil"/>
            </w:tcBorders>
            <w:shd w:val="clear" w:color="000000" w:fill="FFFFFF"/>
            <w:noWrap/>
            <w:vAlign w:val="center"/>
            <w:hideMark/>
          </w:tcPr>
          <w:p w14:paraId="75A025E3"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46,900</w:t>
            </w:r>
          </w:p>
        </w:tc>
        <w:tc>
          <w:tcPr>
            <w:tcW w:w="669" w:type="pct"/>
            <w:tcBorders>
              <w:top w:val="nil"/>
              <w:left w:val="nil"/>
              <w:bottom w:val="nil"/>
              <w:right w:val="nil"/>
            </w:tcBorders>
            <w:shd w:val="clear" w:color="000000" w:fill="FFFFFF"/>
            <w:noWrap/>
            <w:vAlign w:val="center"/>
            <w:hideMark/>
          </w:tcPr>
          <w:p w14:paraId="1BDA6B68"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57,995</w:t>
            </w:r>
          </w:p>
        </w:tc>
        <w:tc>
          <w:tcPr>
            <w:tcW w:w="1143" w:type="pct"/>
            <w:tcBorders>
              <w:top w:val="nil"/>
              <w:left w:val="nil"/>
              <w:bottom w:val="nil"/>
              <w:right w:val="nil"/>
            </w:tcBorders>
            <w:shd w:val="clear" w:color="000000" w:fill="FFFFFF"/>
            <w:vAlign w:val="center"/>
            <w:hideMark/>
          </w:tcPr>
          <w:p w14:paraId="255724AA" w14:textId="0ABE9853" w:rsidR="00192B82" w:rsidRPr="00192B82" w:rsidRDefault="00192B82" w:rsidP="00764626">
            <w:pPr>
              <w:ind w:firstLineChars="100" w:firstLine="160"/>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Actuarial gains / (losses) from changes in financial assump</w:t>
            </w:r>
            <w:r w:rsidR="00764626">
              <w:rPr>
                <w:rFonts w:ascii="Verdana" w:eastAsia="Times New Roman" w:hAnsi="Verdana" w:cs="Calibri"/>
                <w:color w:val="000000"/>
                <w:sz w:val="16"/>
                <w:szCs w:val="16"/>
                <w:lang w:val="en-GB" w:eastAsia="en-GB"/>
              </w:rPr>
              <w:t>t</w:t>
            </w:r>
            <w:r w:rsidRPr="00192B82">
              <w:rPr>
                <w:rFonts w:ascii="Verdana" w:eastAsia="Times New Roman" w:hAnsi="Verdana" w:cs="Calibri"/>
                <w:color w:val="000000"/>
                <w:sz w:val="16"/>
                <w:szCs w:val="16"/>
                <w:lang w:val="en-GB" w:eastAsia="en-GB"/>
              </w:rPr>
              <w:t>ions</w:t>
            </w:r>
          </w:p>
        </w:tc>
        <w:tc>
          <w:tcPr>
            <w:tcW w:w="591" w:type="pct"/>
            <w:tcBorders>
              <w:top w:val="nil"/>
              <w:left w:val="nil"/>
              <w:bottom w:val="nil"/>
              <w:right w:val="nil"/>
            </w:tcBorders>
            <w:shd w:val="clear" w:color="000000" w:fill="FFFFFF"/>
            <w:noWrap/>
            <w:vAlign w:val="center"/>
            <w:hideMark/>
          </w:tcPr>
          <w:p w14:paraId="1B2643DC"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(146,210)</w:t>
            </w:r>
          </w:p>
        </w:tc>
        <w:tc>
          <w:tcPr>
            <w:tcW w:w="669" w:type="pct"/>
            <w:tcBorders>
              <w:top w:val="nil"/>
              <w:left w:val="nil"/>
              <w:bottom w:val="nil"/>
              <w:right w:val="nil"/>
            </w:tcBorders>
            <w:shd w:val="clear" w:color="000000" w:fill="FFFFFF"/>
            <w:noWrap/>
            <w:vAlign w:val="center"/>
            <w:hideMark/>
          </w:tcPr>
          <w:p w14:paraId="260607F2"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(222,190)</w:t>
            </w:r>
          </w:p>
        </w:tc>
        <w:tc>
          <w:tcPr>
            <w:tcW w:w="668" w:type="pct"/>
            <w:tcBorders>
              <w:top w:val="nil"/>
              <w:left w:val="nil"/>
              <w:bottom w:val="nil"/>
              <w:right w:val="nil"/>
            </w:tcBorders>
            <w:shd w:val="clear" w:color="000000" w:fill="FFFFFF"/>
            <w:noWrap/>
            <w:vAlign w:val="center"/>
            <w:hideMark/>
          </w:tcPr>
          <w:p w14:paraId="506B8B28"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(368,400)</w:t>
            </w:r>
          </w:p>
        </w:tc>
      </w:tr>
      <w:tr w:rsidR="00192B82" w:rsidRPr="00192B82" w14:paraId="1D34D5C7" w14:textId="77777777" w:rsidTr="00764626">
        <w:trPr>
          <w:trHeight w:val="204"/>
        </w:trPr>
        <w:tc>
          <w:tcPr>
            <w:tcW w:w="591" w:type="pct"/>
            <w:tcBorders>
              <w:top w:val="nil"/>
              <w:left w:val="nil"/>
              <w:bottom w:val="nil"/>
              <w:right w:val="nil"/>
            </w:tcBorders>
            <w:shd w:val="clear" w:color="000000" w:fill="FFFFFF"/>
            <w:noWrap/>
            <w:vAlign w:val="center"/>
            <w:hideMark/>
          </w:tcPr>
          <w:p w14:paraId="7C4C2698"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9" w:type="pct"/>
            <w:tcBorders>
              <w:top w:val="nil"/>
              <w:left w:val="nil"/>
              <w:bottom w:val="nil"/>
              <w:right w:val="nil"/>
            </w:tcBorders>
            <w:shd w:val="clear" w:color="000000" w:fill="FFFFFF"/>
            <w:noWrap/>
            <w:vAlign w:val="center"/>
            <w:hideMark/>
          </w:tcPr>
          <w:p w14:paraId="10718F48"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9" w:type="pct"/>
            <w:tcBorders>
              <w:top w:val="nil"/>
              <w:left w:val="nil"/>
              <w:bottom w:val="nil"/>
              <w:right w:val="nil"/>
            </w:tcBorders>
            <w:shd w:val="clear" w:color="000000" w:fill="FFFFFF"/>
            <w:noWrap/>
            <w:vAlign w:val="center"/>
            <w:hideMark/>
          </w:tcPr>
          <w:p w14:paraId="6F926C95"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1143" w:type="pct"/>
            <w:tcBorders>
              <w:top w:val="nil"/>
              <w:left w:val="nil"/>
              <w:bottom w:val="nil"/>
              <w:right w:val="nil"/>
            </w:tcBorders>
            <w:shd w:val="clear" w:color="000000" w:fill="FFFFFF"/>
            <w:noWrap/>
            <w:vAlign w:val="center"/>
            <w:hideMark/>
          </w:tcPr>
          <w:p w14:paraId="5F5C8F81" w14:textId="77777777" w:rsidR="00192B82" w:rsidRPr="00192B82" w:rsidRDefault="00192B82" w:rsidP="00192B82">
            <w:pPr>
              <w:ind w:firstLineChars="100" w:firstLine="160"/>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591" w:type="pct"/>
            <w:tcBorders>
              <w:top w:val="nil"/>
              <w:left w:val="nil"/>
              <w:bottom w:val="nil"/>
              <w:right w:val="nil"/>
            </w:tcBorders>
            <w:shd w:val="clear" w:color="000000" w:fill="FFFFFF"/>
            <w:noWrap/>
            <w:vAlign w:val="center"/>
            <w:hideMark/>
          </w:tcPr>
          <w:p w14:paraId="7CFA3FF8"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9" w:type="pct"/>
            <w:tcBorders>
              <w:top w:val="nil"/>
              <w:left w:val="nil"/>
              <w:bottom w:val="nil"/>
              <w:right w:val="nil"/>
            </w:tcBorders>
            <w:shd w:val="clear" w:color="000000" w:fill="FFFFFF"/>
            <w:noWrap/>
            <w:vAlign w:val="center"/>
            <w:hideMark/>
          </w:tcPr>
          <w:p w14:paraId="277513D1"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8" w:type="pct"/>
            <w:tcBorders>
              <w:top w:val="nil"/>
              <w:left w:val="nil"/>
              <w:bottom w:val="nil"/>
              <w:right w:val="nil"/>
            </w:tcBorders>
            <w:shd w:val="clear" w:color="000000" w:fill="FFFFFF"/>
            <w:noWrap/>
            <w:vAlign w:val="center"/>
            <w:hideMark/>
          </w:tcPr>
          <w:p w14:paraId="5186032E"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r>
      <w:tr w:rsidR="00192B82" w:rsidRPr="00192B82" w14:paraId="68D633C5" w14:textId="77777777" w:rsidTr="00764626">
        <w:trPr>
          <w:trHeight w:val="204"/>
        </w:trPr>
        <w:tc>
          <w:tcPr>
            <w:tcW w:w="591" w:type="pct"/>
            <w:tcBorders>
              <w:top w:val="nil"/>
              <w:left w:val="nil"/>
              <w:bottom w:val="nil"/>
              <w:right w:val="nil"/>
            </w:tcBorders>
            <w:shd w:val="clear" w:color="000000" w:fill="FFFFFF"/>
            <w:noWrap/>
            <w:vAlign w:val="center"/>
            <w:hideMark/>
          </w:tcPr>
          <w:p w14:paraId="0EF9F383"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1,054</w:t>
            </w:r>
          </w:p>
        </w:tc>
        <w:tc>
          <w:tcPr>
            <w:tcW w:w="669" w:type="pct"/>
            <w:tcBorders>
              <w:top w:val="nil"/>
              <w:left w:val="nil"/>
              <w:bottom w:val="nil"/>
              <w:right w:val="nil"/>
            </w:tcBorders>
            <w:shd w:val="clear" w:color="000000" w:fill="FFFFFF"/>
            <w:noWrap/>
            <w:vAlign w:val="center"/>
            <w:hideMark/>
          </w:tcPr>
          <w:p w14:paraId="25FF8F41"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13,950</w:t>
            </w:r>
          </w:p>
        </w:tc>
        <w:tc>
          <w:tcPr>
            <w:tcW w:w="669" w:type="pct"/>
            <w:tcBorders>
              <w:top w:val="nil"/>
              <w:left w:val="nil"/>
              <w:bottom w:val="nil"/>
              <w:right w:val="nil"/>
            </w:tcBorders>
            <w:shd w:val="clear" w:color="000000" w:fill="FFFFFF"/>
            <w:noWrap/>
            <w:vAlign w:val="center"/>
            <w:hideMark/>
          </w:tcPr>
          <w:p w14:paraId="58277FF6"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15,004</w:t>
            </w:r>
          </w:p>
        </w:tc>
        <w:tc>
          <w:tcPr>
            <w:tcW w:w="1143" w:type="pct"/>
            <w:tcBorders>
              <w:top w:val="nil"/>
              <w:left w:val="nil"/>
              <w:bottom w:val="nil"/>
              <w:right w:val="nil"/>
            </w:tcBorders>
            <w:shd w:val="clear" w:color="000000" w:fill="FFFFFF"/>
            <w:noWrap/>
            <w:vAlign w:val="center"/>
            <w:hideMark/>
          </w:tcPr>
          <w:p w14:paraId="7E64E7EA" w14:textId="77777777" w:rsidR="00192B82" w:rsidRPr="00192B82" w:rsidRDefault="00192B82" w:rsidP="00192B82">
            <w:pPr>
              <w:ind w:firstLineChars="100" w:firstLine="160"/>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Past service cost</w:t>
            </w:r>
          </w:p>
        </w:tc>
        <w:tc>
          <w:tcPr>
            <w:tcW w:w="591" w:type="pct"/>
            <w:tcBorders>
              <w:top w:val="nil"/>
              <w:left w:val="nil"/>
              <w:bottom w:val="nil"/>
              <w:right w:val="nil"/>
            </w:tcBorders>
            <w:shd w:val="clear" w:color="000000" w:fill="FFFFFF"/>
            <w:noWrap/>
            <w:vAlign w:val="center"/>
            <w:hideMark/>
          </w:tcPr>
          <w:p w14:paraId="0021FD43"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0</w:t>
            </w:r>
          </w:p>
        </w:tc>
        <w:tc>
          <w:tcPr>
            <w:tcW w:w="669" w:type="pct"/>
            <w:tcBorders>
              <w:top w:val="nil"/>
              <w:left w:val="nil"/>
              <w:bottom w:val="nil"/>
              <w:right w:val="nil"/>
            </w:tcBorders>
            <w:shd w:val="clear" w:color="000000" w:fill="FFFFFF"/>
            <w:noWrap/>
            <w:vAlign w:val="center"/>
            <w:hideMark/>
          </w:tcPr>
          <w:p w14:paraId="32FDB38E"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0</w:t>
            </w:r>
          </w:p>
        </w:tc>
        <w:tc>
          <w:tcPr>
            <w:tcW w:w="668" w:type="pct"/>
            <w:tcBorders>
              <w:top w:val="nil"/>
              <w:left w:val="nil"/>
              <w:bottom w:val="nil"/>
              <w:right w:val="nil"/>
            </w:tcBorders>
            <w:shd w:val="clear" w:color="000000" w:fill="FFFFFF"/>
            <w:noWrap/>
            <w:vAlign w:val="center"/>
            <w:hideMark/>
          </w:tcPr>
          <w:p w14:paraId="49DE1B9D"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0</w:t>
            </w:r>
          </w:p>
        </w:tc>
      </w:tr>
      <w:tr w:rsidR="00192B82" w:rsidRPr="00192B82" w14:paraId="1548D0B2" w14:textId="77777777" w:rsidTr="00764626">
        <w:trPr>
          <w:trHeight w:val="204"/>
        </w:trPr>
        <w:tc>
          <w:tcPr>
            <w:tcW w:w="591" w:type="pct"/>
            <w:tcBorders>
              <w:top w:val="nil"/>
              <w:left w:val="nil"/>
              <w:bottom w:val="nil"/>
              <w:right w:val="nil"/>
            </w:tcBorders>
            <w:shd w:val="clear" w:color="000000" w:fill="FFFFFF"/>
            <w:noWrap/>
            <w:vAlign w:val="center"/>
            <w:hideMark/>
          </w:tcPr>
          <w:p w14:paraId="7C8CEF52"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9" w:type="pct"/>
            <w:tcBorders>
              <w:top w:val="nil"/>
              <w:left w:val="nil"/>
              <w:bottom w:val="nil"/>
              <w:right w:val="nil"/>
            </w:tcBorders>
            <w:shd w:val="clear" w:color="000000" w:fill="FFFFFF"/>
            <w:noWrap/>
            <w:vAlign w:val="center"/>
            <w:hideMark/>
          </w:tcPr>
          <w:p w14:paraId="45C60610"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9" w:type="pct"/>
            <w:tcBorders>
              <w:top w:val="nil"/>
              <w:left w:val="nil"/>
              <w:bottom w:val="nil"/>
              <w:right w:val="nil"/>
            </w:tcBorders>
            <w:shd w:val="clear" w:color="000000" w:fill="FFFFFF"/>
            <w:noWrap/>
            <w:vAlign w:val="center"/>
            <w:hideMark/>
          </w:tcPr>
          <w:p w14:paraId="58E37598"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1143" w:type="pct"/>
            <w:tcBorders>
              <w:top w:val="nil"/>
              <w:left w:val="nil"/>
              <w:bottom w:val="nil"/>
              <w:right w:val="nil"/>
            </w:tcBorders>
            <w:shd w:val="clear" w:color="000000" w:fill="FFFFFF"/>
            <w:noWrap/>
            <w:vAlign w:val="center"/>
            <w:hideMark/>
          </w:tcPr>
          <w:p w14:paraId="292323A2" w14:textId="77777777" w:rsidR="00192B82" w:rsidRPr="00192B82" w:rsidRDefault="00192B82" w:rsidP="00192B82">
            <w:pPr>
              <w:ind w:firstLineChars="100" w:firstLine="160"/>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591" w:type="pct"/>
            <w:tcBorders>
              <w:top w:val="nil"/>
              <w:left w:val="nil"/>
              <w:bottom w:val="nil"/>
              <w:right w:val="nil"/>
            </w:tcBorders>
            <w:shd w:val="clear" w:color="000000" w:fill="FFFFFF"/>
            <w:noWrap/>
            <w:vAlign w:val="center"/>
            <w:hideMark/>
          </w:tcPr>
          <w:p w14:paraId="441AC868"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9" w:type="pct"/>
            <w:tcBorders>
              <w:top w:val="nil"/>
              <w:left w:val="nil"/>
              <w:bottom w:val="nil"/>
              <w:right w:val="nil"/>
            </w:tcBorders>
            <w:shd w:val="clear" w:color="000000" w:fill="FFFFFF"/>
            <w:noWrap/>
            <w:vAlign w:val="center"/>
            <w:hideMark/>
          </w:tcPr>
          <w:p w14:paraId="52870D5B"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8" w:type="pct"/>
            <w:tcBorders>
              <w:top w:val="nil"/>
              <w:left w:val="nil"/>
              <w:bottom w:val="nil"/>
              <w:right w:val="nil"/>
            </w:tcBorders>
            <w:shd w:val="clear" w:color="000000" w:fill="FFFFFF"/>
            <w:noWrap/>
            <w:vAlign w:val="center"/>
            <w:hideMark/>
          </w:tcPr>
          <w:p w14:paraId="22183227"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r>
      <w:tr w:rsidR="00192B82" w:rsidRPr="00192B82" w14:paraId="2D061D95" w14:textId="77777777" w:rsidTr="00764626">
        <w:trPr>
          <w:trHeight w:val="204"/>
        </w:trPr>
        <w:tc>
          <w:tcPr>
            <w:tcW w:w="591" w:type="pct"/>
            <w:tcBorders>
              <w:top w:val="nil"/>
              <w:left w:val="nil"/>
              <w:bottom w:val="nil"/>
              <w:right w:val="nil"/>
            </w:tcBorders>
            <w:shd w:val="clear" w:color="000000" w:fill="FFFFFF"/>
            <w:noWrap/>
            <w:vAlign w:val="center"/>
            <w:hideMark/>
          </w:tcPr>
          <w:p w14:paraId="257AFDEE"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0</w:t>
            </w:r>
          </w:p>
        </w:tc>
        <w:tc>
          <w:tcPr>
            <w:tcW w:w="669" w:type="pct"/>
            <w:tcBorders>
              <w:top w:val="nil"/>
              <w:left w:val="nil"/>
              <w:bottom w:val="nil"/>
              <w:right w:val="nil"/>
            </w:tcBorders>
            <w:shd w:val="clear" w:color="000000" w:fill="FFFFFF"/>
            <w:noWrap/>
            <w:vAlign w:val="center"/>
            <w:hideMark/>
          </w:tcPr>
          <w:p w14:paraId="7A6C4EF3"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(460)</w:t>
            </w:r>
          </w:p>
        </w:tc>
        <w:tc>
          <w:tcPr>
            <w:tcW w:w="669" w:type="pct"/>
            <w:tcBorders>
              <w:top w:val="nil"/>
              <w:left w:val="nil"/>
              <w:bottom w:val="nil"/>
              <w:right w:val="nil"/>
            </w:tcBorders>
            <w:shd w:val="clear" w:color="000000" w:fill="FFFFFF"/>
            <w:noWrap/>
            <w:vAlign w:val="center"/>
            <w:hideMark/>
          </w:tcPr>
          <w:p w14:paraId="281DC906"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(460)</w:t>
            </w:r>
          </w:p>
        </w:tc>
        <w:tc>
          <w:tcPr>
            <w:tcW w:w="1143" w:type="pct"/>
            <w:tcBorders>
              <w:top w:val="nil"/>
              <w:left w:val="nil"/>
              <w:bottom w:val="nil"/>
              <w:right w:val="nil"/>
            </w:tcBorders>
            <w:shd w:val="clear" w:color="000000" w:fill="FFFFFF"/>
            <w:noWrap/>
            <w:vAlign w:val="center"/>
            <w:hideMark/>
          </w:tcPr>
          <w:p w14:paraId="19B5B1B1" w14:textId="77777777" w:rsidR="00192B82" w:rsidRPr="00192B82" w:rsidRDefault="00192B82" w:rsidP="00192B82">
            <w:pPr>
              <w:ind w:firstLineChars="100" w:firstLine="160"/>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Transfers in</w:t>
            </w:r>
          </w:p>
        </w:tc>
        <w:tc>
          <w:tcPr>
            <w:tcW w:w="591" w:type="pct"/>
            <w:tcBorders>
              <w:top w:val="nil"/>
              <w:left w:val="nil"/>
              <w:bottom w:val="nil"/>
              <w:right w:val="nil"/>
            </w:tcBorders>
            <w:shd w:val="clear" w:color="000000" w:fill="FFFFFF"/>
            <w:noWrap/>
            <w:vAlign w:val="center"/>
            <w:hideMark/>
          </w:tcPr>
          <w:p w14:paraId="6A6E83DA"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0</w:t>
            </w:r>
          </w:p>
        </w:tc>
        <w:tc>
          <w:tcPr>
            <w:tcW w:w="669" w:type="pct"/>
            <w:tcBorders>
              <w:top w:val="nil"/>
              <w:left w:val="nil"/>
              <w:bottom w:val="nil"/>
              <w:right w:val="nil"/>
            </w:tcBorders>
            <w:shd w:val="clear" w:color="000000" w:fill="FFFFFF"/>
            <w:noWrap/>
            <w:vAlign w:val="center"/>
            <w:hideMark/>
          </w:tcPr>
          <w:p w14:paraId="2CC53703"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(280)</w:t>
            </w:r>
          </w:p>
        </w:tc>
        <w:tc>
          <w:tcPr>
            <w:tcW w:w="668" w:type="pct"/>
            <w:tcBorders>
              <w:top w:val="nil"/>
              <w:left w:val="nil"/>
              <w:bottom w:val="nil"/>
              <w:right w:val="nil"/>
            </w:tcBorders>
            <w:shd w:val="clear" w:color="000000" w:fill="FFFFFF"/>
            <w:noWrap/>
            <w:vAlign w:val="center"/>
            <w:hideMark/>
          </w:tcPr>
          <w:p w14:paraId="24DC2863"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(280)</w:t>
            </w:r>
          </w:p>
        </w:tc>
      </w:tr>
      <w:tr w:rsidR="00192B82" w:rsidRPr="00192B82" w14:paraId="07A57FE4" w14:textId="77777777" w:rsidTr="00764626">
        <w:trPr>
          <w:trHeight w:val="204"/>
        </w:trPr>
        <w:tc>
          <w:tcPr>
            <w:tcW w:w="591" w:type="pct"/>
            <w:tcBorders>
              <w:top w:val="nil"/>
              <w:left w:val="nil"/>
              <w:bottom w:val="nil"/>
              <w:right w:val="nil"/>
            </w:tcBorders>
            <w:shd w:val="clear" w:color="000000" w:fill="FFFFFF"/>
            <w:noWrap/>
            <w:vAlign w:val="center"/>
            <w:hideMark/>
          </w:tcPr>
          <w:p w14:paraId="5EA998C5"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9" w:type="pct"/>
            <w:tcBorders>
              <w:top w:val="nil"/>
              <w:left w:val="nil"/>
              <w:bottom w:val="nil"/>
              <w:right w:val="nil"/>
            </w:tcBorders>
            <w:shd w:val="clear" w:color="000000" w:fill="FFFFFF"/>
            <w:noWrap/>
            <w:vAlign w:val="center"/>
            <w:hideMark/>
          </w:tcPr>
          <w:p w14:paraId="2B56ADE3"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9" w:type="pct"/>
            <w:tcBorders>
              <w:top w:val="nil"/>
              <w:left w:val="nil"/>
              <w:bottom w:val="nil"/>
              <w:right w:val="nil"/>
            </w:tcBorders>
            <w:shd w:val="clear" w:color="000000" w:fill="FFFFFF"/>
            <w:noWrap/>
            <w:vAlign w:val="center"/>
            <w:hideMark/>
          </w:tcPr>
          <w:p w14:paraId="37599BA8"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1143" w:type="pct"/>
            <w:tcBorders>
              <w:top w:val="nil"/>
              <w:left w:val="nil"/>
              <w:bottom w:val="nil"/>
              <w:right w:val="nil"/>
            </w:tcBorders>
            <w:shd w:val="clear" w:color="000000" w:fill="FFFFFF"/>
            <w:noWrap/>
            <w:vAlign w:val="center"/>
            <w:hideMark/>
          </w:tcPr>
          <w:p w14:paraId="03B54CBC" w14:textId="77777777" w:rsidR="00192B82" w:rsidRPr="00192B82" w:rsidRDefault="00192B82" w:rsidP="00192B82">
            <w:pPr>
              <w:ind w:firstLineChars="100" w:firstLine="160"/>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591" w:type="pct"/>
            <w:tcBorders>
              <w:top w:val="nil"/>
              <w:left w:val="nil"/>
              <w:bottom w:val="nil"/>
              <w:right w:val="nil"/>
            </w:tcBorders>
            <w:shd w:val="clear" w:color="000000" w:fill="FFFFFF"/>
            <w:noWrap/>
            <w:vAlign w:val="center"/>
            <w:hideMark/>
          </w:tcPr>
          <w:p w14:paraId="5D4D6D76"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9" w:type="pct"/>
            <w:tcBorders>
              <w:top w:val="nil"/>
              <w:left w:val="nil"/>
              <w:bottom w:val="nil"/>
              <w:right w:val="nil"/>
            </w:tcBorders>
            <w:shd w:val="clear" w:color="000000" w:fill="FFFFFF"/>
            <w:noWrap/>
            <w:vAlign w:val="center"/>
            <w:hideMark/>
          </w:tcPr>
          <w:p w14:paraId="7E6D254D"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8" w:type="pct"/>
            <w:tcBorders>
              <w:top w:val="nil"/>
              <w:left w:val="nil"/>
              <w:bottom w:val="nil"/>
              <w:right w:val="nil"/>
            </w:tcBorders>
            <w:shd w:val="clear" w:color="000000" w:fill="FFFFFF"/>
            <w:noWrap/>
            <w:vAlign w:val="center"/>
            <w:hideMark/>
          </w:tcPr>
          <w:p w14:paraId="3C3CE838"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r>
      <w:tr w:rsidR="00192B82" w:rsidRPr="00192B82" w14:paraId="079DABE0" w14:textId="77777777" w:rsidTr="00764626">
        <w:trPr>
          <w:trHeight w:val="204"/>
        </w:trPr>
        <w:tc>
          <w:tcPr>
            <w:tcW w:w="591" w:type="pct"/>
            <w:tcBorders>
              <w:top w:val="nil"/>
              <w:left w:val="nil"/>
              <w:bottom w:val="nil"/>
              <w:right w:val="nil"/>
            </w:tcBorders>
            <w:shd w:val="clear" w:color="000000" w:fill="FFFFFF"/>
            <w:noWrap/>
            <w:vAlign w:val="center"/>
            <w:hideMark/>
          </w:tcPr>
          <w:p w14:paraId="7328159B"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7,376</w:t>
            </w:r>
          </w:p>
        </w:tc>
        <w:tc>
          <w:tcPr>
            <w:tcW w:w="669" w:type="pct"/>
            <w:tcBorders>
              <w:top w:val="nil"/>
              <w:left w:val="nil"/>
              <w:bottom w:val="nil"/>
              <w:right w:val="nil"/>
            </w:tcBorders>
            <w:shd w:val="clear" w:color="000000" w:fill="FFFFFF"/>
            <w:noWrap/>
            <w:vAlign w:val="center"/>
            <w:hideMark/>
          </w:tcPr>
          <w:p w14:paraId="63D1DBF5"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50,080</w:t>
            </w:r>
          </w:p>
        </w:tc>
        <w:tc>
          <w:tcPr>
            <w:tcW w:w="669" w:type="pct"/>
            <w:tcBorders>
              <w:top w:val="nil"/>
              <w:left w:val="nil"/>
              <w:bottom w:val="nil"/>
              <w:right w:val="nil"/>
            </w:tcBorders>
            <w:shd w:val="clear" w:color="000000" w:fill="FFFFFF"/>
            <w:noWrap/>
            <w:vAlign w:val="center"/>
            <w:hideMark/>
          </w:tcPr>
          <w:p w14:paraId="04F04191"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57,456</w:t>
            </w:r>
          </w:p>
        </w:tc>
        <w:tc>
          <w:tcPr>
            <w:tcW w:w="1143" w:type="pct"/>
            <w:tcBorders>
              <w:top w:val="nil"/>
              <w:left w:val="nil"/>
              <w:bottom w:val="nil"/>
              <w:right w:val="nil"/>
            </w:tcBorders>
            <w:shd w:val="clear" w:color="000000" w:fill="FFFFFF"/>
            <w:noWrap/>
            <w:vAlign w:val="center"/>
            <w:hideMark/>
          </w:tcPr>
          <w:p w14:paraId="100FF8F2" w14:textId="77777777" w:rsidR="00192B82" w:rsidRPr="00192B82" w:rsidRDefault="00192B82" w:rsidP="00192B82">
            <w:pPr>
              <w:ind w:firstLineChars="100" w:firstLine="160"/>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Benefits / transfers paid</w:t>
            </w:r>
          </w:p>
        </w:tc>
        <w:tc>
          <w:tcPr>
            <w:tcW w:w="591" w:type="pct"/>
            <w:tcBorders>
              <w:top w:val="nil"/>
              <w:left w:val="nil"/>
              <w:bottom w:val="nil"/>
              <w:right w:val="nil"/>
            </w:tcBorders>
            <w:shd w:val="clear" w:color="000000" w:fill="FFFFFF"/>
            <w:noWrap/>
            <w:vAlign w:val="center"/>
            <w:hideMark/>
          </w:tcPr>
          <w:p w14:paraId="4FCE2844"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6,968</w:t>
            </w:r>
          </w:p>
        </w:tc>
        <w:tc>
          <w:tcPr>
            <w:tcW w:w="669" w:type="pct"/>
            <w:tcBorders>
              <w:top w:val="nil"/>
              <w:left w:val="nil"/>
              <w:bottom w:val="nil"/>
              <w:right w:val="nil"/>
            </w:tcBorders>
            <w:shd w:val="clear" w:color="000000" w:fill="FFFFFF"/>
            <w:noWrap/>
            <w:vAlign w:val="center"/>
            <w:hideMark/>
          </w:tcPr>
          <w:p w14:paraId="32EB9611"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48,400</w:t>
            </w:r>
          </w:p>
        </w:tc>
        <w:tc>
          <w:tcPr>
            <w:tcW w:w="668" w:type="pct"/>
            <w:tcBorders>
              <w:top w:val="nil"/>
              <w:left w:val="nil"/>
              <w:bottom w:val="nil"/>
              <w:right w:val="nil"/>
            </w:tcBorders>
            <w:shd w:val="clear" w:color="000000" w:fill="FFFFFF"/>
            <w:noWrap/>
            <w:vAlign w:val="center"/>
            <w:hideMark/>
          </w:tcPr>
          <w:p w14:paraId="12E8CA18"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55,368</w:t>
            </w:r>
          </w:p>
        </w:tc>
      </w:tr>
      <w:tr w:rsidR="00192B82" w:rsidRPr="00192B82" w14:paraId="6D51AE36" w14:textId="77777777" w:rsidTr="00764626">
        <w:trPr>
          <w:trHeight w:val="204"/>
        </w:trPr>
        <w:tc>
          <w:tcPr>
            <w:tcW w:w="591" w:type="pct"/>
            <w:tcBorders>
              <w:top w:val="nil"/>
              <w:left w:val="nil"/>
              <w:bottom w:val="nil"/>
              <w:right w:val="nil"/>
            </w:tcBorders>
            <w:shd w:val="clear" w:color="000000" w:fill="FFFFFF"/>
            <w:noWrap/>
            <w:vAlign w:val="center"/>
            <w:hideMark/>
          </w:tcPr>
          <w:p w14:paraId="46D769D8"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9" w:type="pct"/>
            <w:tcBorders>
              <w:top w:val="nil"/>
              <w:left w:val="nil"/>
              <w:bottom w:val="nil"/>
              <w:right w:val="nil"/>
            </w:tcBorders>
            <w:shd w:val="clear" w:color="000000" w:fill="FFFFFF"/>
            <w:noWrap/>
            <w:vAlign w:val="center"/>
            <w:hideMark/>
          </w:tcPr>
          <w:p w14:paraId="51046985"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9" w:type="pct"/>
            <w:tcBorders>
              <w:top w:val="nil"/>
              <w:left w:val="nil"/>
              <w:bottom w:val="nil"/>
              <w:right w:val="nil"/>
            </w:tcBorders>
            <w:shd w:val="clear" w:color="000000" w:fill="FFFFFF"/>
            <w:noWrap/>
            <w:vAlign w:val="center"/>
            <w:hideMark/>
          </w:tcPr>
          <w:p w14:paraId="3150FC4B"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1143" w:type="pct"/>
            <w:tcBorders>
              <w:top w:val="nil"/>
              <w:left w:val="nil"/>
              <w:bottom w:val="nil"/>
              <w:right w:val="nil"/>
            </w:tcBorders>
            <w:shd w:val="clear" w:color="000000" w:fill="FFFFFF"/>
            <w:noWrap/>
            <w:vAlign w:val="center"/>
            <w:hideMark/>
          </w:tcPr>
          <w:p w14:paraId="0AEB8F15" w14:textId="77777777" w:rsidR="00192B82" w:rsidRPr="00192B82" w:rsidRDefault="00192B82" w:rsidP="00192B82">
            <w:pPr>
              <w:ind w:firstLineChars="100" w:firstLine="160"/>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591" w:type="pct"/>
            <w:tcBorders>
              <w:top w:val="nil"/>
              <w:left w:val="nil"/>
              <w:bottom w:val="nil"/>
              <w:right w:val="nil"/>
            </w:tcBorders>
            <w:shd w:val="clear" w:color="000000" w:fill="FFFFFF"/>
            <w:noWrap/>
            <w:vAlign w:val="center"/>
            <w:hideMark/>
          </w:tcPr>
          <w:p w14:paraId="09DCD733"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9" w:type="pct"/>
            <w:tcBorders>
              <w:top w:val="nil"/>
              <w:left w:val="nil"/>
              <w:bottom w:val="nil"/>
              <w:right w:val="nil"/>
            </w:tcBorders>
            <w:shd w:val="clear" w:color="000000" w:fill="FFFFFF"/>
            <w:noWrap/>
            <w:vAlign w:val="center"/>
            <w:hideMark/>
          </w:tcPr>
          <w:p w14:paraId="78386656"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c>
          <w:tcPr>
            <w:tcW w:w="668" w:type="pct"/>
            <w:tcBorders>
              <w:top w:val="nil"/>
              <w:left w:val="nil"/>
              <w:bottom w:val="nil"/>
              <w:right w:val="nil"/>
            </w:tcBorders>
            <w:shd w:val="clear" w:color="000000" w:fill="FFFFFF"/>
            <w:noWrap/>
            <w:vAlign w:val="center"/>
            <w:hideMark/>
          </w:tcPr>
          <w:p w14:paraId="26BAF4E5" w14:textId="77777777" w:rsidR="00192B82" w:rsidRPr="00192B82" w:rsidRDefault="00192B82" w:rsidP="00192B82">
            <w:pPr>
              <w:ind w:firstLineChars="100" w:firstLine="160"/>
              <w:jc w:val="right"/>
              <w:rPr>
                <w:rFonts w:ascii="Verdana" w:eastAsia="Times New Roman" w:hAnsi="Verdana" w:cs="Calibri"/>
                <w:color w:val="000000"/>
                <w:sz w:val="16"/>
                <w:szCs w:val="16"/>
                <w:lang w:val="en-GB" w:eastAsia="en-GB"/>
              </w:rPr>
            </w:pPr>
            <w:r w:rsidRPr="00192B82">
              <w:rPr>
                <w:rFonts w:ascii="Verdana" w:eastAsia="Times New Roman" w:hAnsi="Verdana" w:cs="Calibri"/>
                <w:color w:val="000000"/>
                <w:sz w:val="16"/>
                <w:szCs w:val="16"/>
                <w:lang w:val="en-GB" w:eastAsia="en-GB"/>
              </w:rPr>
              <w:t> </w:t>
            </w:r>
          </w:p>
        </w:tc>
      </w:tr>
      <w:tr w:rsidR="00192B82" w:rsidRPr="00192B82" w14:paraId="4069CFEA" w14:textId="77777777" w:rsidTr="00764626">
        <w:trPr>
          <w:trHeight w:val="624"/>
        </w:trPr>
        <w:tc>
          <w:tcPr>
            <w:tcW w:w="591" w:type="pct"/>
            <w:tcBorders>
              <w:top w:val="single" w:sz="4" w:space="0" w:color="auto"/>
              <w:left w:val="nil"/>
              <w:bottom w:val="single" w:sz="8" w:space="0" w:color="auto"/>
              <w:right w:val="nil"/>
            </w:tcBorders>
            <w:shd w:val="clear" w:color="000000" w:fill="FFFFFF"/>
            <w:noWrap/>
            <w:vAlign w:val="center"/>
            <w:hideMark/>
          </w:tcPr>
          <w:p w14:paraId="71953038" w14:textId="77777777" w:rsidR="00192B82" w:rsidRPr="00192B82" w:rsidRDefault="00192B82" w:rsidP="00192B82">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(403,072)</w:t>
            </w:r>
          </w:p>
        </w:tc>
        <w:tc>
          <w:tcPr>
            <w:tcW w:w="669" w:type="pct"/>
            <w:tcBorders>
              <w:top w:val="single" w:sz="4" w:space="0" w:color="auto"/>
              <w:left w:val="nil"/>
              <w:bottom w:val="single" w:sz="8" w:space="0" w:color="auto"/>
              <w:right w:val="nil"/>
            </w:tcBorders>
            <w:shd w:val="clear" w:color="000000" w:fill="FFFFFF"/>
            <w:noWrap/>
            <w:vAlign w:val="center"/>
            <w:hideMark/>
          </w:tcPr>
          <w:p w14:paraId="0367D60C" w14:textId="77777777" w:rsidR="00192B82" w:rsidRPr="00192B82" w:rsidRDefault="00192B82" w:rsidP="00192B82">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(1,896,060)</w:t>
            </w:r>
          </w:p>
        </w:tc>
        <w:tc>
          <w:tcPr>
            <w:tcW w:w="669" w:type="pct"/>
            <w:tcBorders>
              <w:top w:val="single" w:sz="4" w:space="0" w:color="auto"/>
              <w:left w:val="nil"/>
              <w:bottom w:val="single" w:sz="8" w:space="0" w:color="auto"/>
              <w:right w:val="nil"/>
            </w:tcBorders>
            <w:shd w:val="clear" w:color="000000" w:fill="FFFFFF"/>
            <w:noWrap/>
            <w:vAlign w:val="center"/>
            <w:hideMark/>
          </w:tcPr>
          <w:p w14:paraId="418B4E05" w14:textId="77777777" w:rsidR="00192B82" w:rsidRPr="00192B82" w:rsidRDefault="00192B82" w:rsidP="00192B82">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(2,299,132)</w:t>
            </w:r>
          </w:p>
        </w:tc>
        <w:tc>
          <w:tcPr>
            <w:tcW w:w="1143" w:type="pct"/>
            <w:tcBorders>
              <w:top w:val="single" w:sz="4" w:space="0" w:color="auto"/>
              <w:left w:val="nil"/>
              <w:bottom w:val="single" w:sz="8" w:space="0" w:color="auto"/>
              <w:right w:val="nil"/>
            </w:tcBorders>
            <w:shd w:val="clear" w:color="000000" w:fill="FFFFFF"/>
            <w:vAlign w:val="center"/>
            <w:hideMark/>
          </w:tcPr>
          <w:p w14:paraId="183CF07B" w14:textId="77777777" w:rsidR="00192B82" w:rsidRPr="00192B82" w:rsidRDefault="00192B82" w:rsidP="00192B82">
            <w:pPr>
              <w:ind w:firstLineChars="100" w:firstLine="161"/>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Net (liability) / asset arising from the defined benefit obligation</w:t>
            </w:r>
          </w:p>
        </w:tc>
        <w:tc>
          <w:tcPr>
            <w:tcW w:w="591" w:type="pct"/>
            <w:tcBorders>
              <w:top w:val="single" w:sz="4" w:space="0" w:color="auto"/>
              <w:left w:val="nil"/>
              <w:bottom w:val="single" w:sz="8" w:space="0" w:color="auto"/>
              <w:right w:val="nil"/>
            </w:tcBorders>
            <w:shd w:val="clear" w:color="000000" w:fill="FFFFFF"/>
            <w:noWrap/>
            <w:vAlign w:val="center"/>
            <w:hideMark/>
          </w:tcPr>
          <w:p w14:paraId="74E27047" w14:textId="77777777" w:rsidR="00192B82" w:rsidRPr="00192B82" w:rsidRDefault="00192B82" w:rsidP="00192B82">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(575,908)</w:t>
            </w:r>
          </w:p>
        </w:tc>
        <w:tc>
          <w:tcPr>
            <w:tcW w:w="669" w:type="pct"/>
            <w:tcBorders>
              <w:top w:val="single" w:sz="4" w:space="0" w:color="auto"/>
              <w:left w:val="nil"/>
              <w:bottom w:val="single" w:sz="8" w:space="0" w:color="auto"/>
              <w:right w:val="nil"/>
            </w:tcBorders>
            <w:shd w:val="clear" w:color="000000" w:fill="FFFFFF"/>
            <w:noWrap/>
            <w:vAlign w:val="center"/>
            <w:hideMark/>
          </w:tcPr>
          <w:p w14:paraId="2DFA4C94" w14:textId="77777777" w:rsidR="00192B82" w:rsidRPr="00192B82" w:rsidRDefault="00192B82" w:rsidP="00192B82">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(1,956,910)</w:t>
            </w:r>
          </w:p>
        </w:tc>
        <w:tc>
          <w:tcPr>
            <w:tcW w:w="668" w:type="pct"/>
            <w:tcBorders>
              <w:top w:val="single" w:sz="4" w:space="0" w:color="auto"/>
              <w:left w:val="nil"/>
              <w:bottom w:val="single" w:sz="8" w:space="0" w:color="auto"/>
              <w:right w:val="nil"/>
            </w:tcBorders>
            <w:shd w:val="clear" w:color="000000" w:fill="FFFFFF"/>
            <w:noWrap/>
            <w:vAlign w:val="center"/>
            <w:hideMark/>
          </w:tcPr>
          <w:p w14:paraId="76589C1C" w14:textId="77777777" w:rsidR="00192B82" w:rsidRPr="00192B82" w:rsidRDefault="00192B82" w:rsidP="00192B82">
            <w:pPr>
              <w:ind w:firstLineChars="100" w:firstLine="161"/>
              <w:jc w:val="right"/>
              <w:rPr>
                <w:rFonts w:ascii="Verdana" w:eastAsia="Times New Roman" w:hAnsi="Verdana" w:cs="Calibri"/>
                <w:b/>
                <w:bCs/>
                <w:color w:val="000000"/>
                <w:sz w:val="16"/>
                <w:szCs w:val="16"/>
                <w:lang w:val="en-GB" w:eastAsia="en-GB"/>
              </w:rPr>
            </w:pPr>
            <w:r w:rsidRPr="00192B82">
              <w:rPr>
                <w:rFonts w:ascii="Verdana" w:eastAsia="Times New Roman" w:hAnsi="Verdana" w:cs="Calibri"/>
                <w:b/>
                <w:bCs/>
                <w:color w:val="000000"/>
                <w:sz w:val="16"/>
                <w:szCs w:val="16"/>
                <w:lang w:val="en-GB" w:eastAsia="en-GB"/>
              </w:rPr>
              <w:t>(2,532,818)</w:t>
            </w:r>
          </w:p>
        </w:tc>
      </w:tr>
    </w:tbl>
    <w:p w14:paraId="365A13A8" w14:textId="77777777" w:rsidR="00C06223" w:rsidRDefault="00C06223">
      <w:pPr>
        <w:pStyle w:val="Normal0"/>
        <w:spacing w:after="160" w:line="259" w:lineRule="auto"/>
        <w:rPr>
          <w:rFonts w:ascii="Verdana" w:hAnsi="Verdana"/>
          <w:sz w:val="22"/>
          <w:szCs w:val="22"/>
          <w:highlight w:val="yellow"/>
          <w:lang w:val="en-GB"/>
        </w:rPr>
      </w:pPr>
    </w:p>
    <w:p w14:paraId="384DE575" w14:textId="77777777" w:rsidR="00F2064C" w:rsidRDefault="00F2064C">
      <w:pPr>
        <w:rPr>
          <w:rFonts w:ascii="Verdana" w:hAnsi="Verdana"/>
          <w:b/>
          <w:sz w:val="16"/>
          <w:szCs w:val="16"/>
          <w:highlight w:val="yellow"/>
          <w:lang w:val="en-GB"/>
        </w:rPr>
      </w:pPr>
    </w:p>
    <w:p w14:paraId="08935809" w14:textId="7005D9E3" w:rsidR="000672D5" w:rsidRPr="00764626" w:rsidRDefault="00CA25CE" w:rsidP="001A1AFD">
      <w:pPr>
        <w:rPr>
          <w:rFonts w:ascii="Verdana" w:hAnsi="Verdana"/>
          <w:b/>
          <w:sz w:val="16"/>
          <w:szCs w:val="16"/>
          <w:lang w:val="en-GB"/>
        </w:rPr>
      </w:pPr>
      <w:r w:rsidRPr="00764626">
        <w:rPr>
          <w:rFonts w:ascii="Verdana" w:hAnsi="Verdana"/>
          <w:b/>
          <w:sz w:val="16"/>
          <w:szCs w:val="16"/>
          <w:lang w:val="en-GB"/>
        </w:rPr>
        <w:br w:type="page"/>
      </w:r>
      <w:r w:rsidR="000672D5" w:rsidRPr="00764626">
        <w:rPr>
          <w:rFonts w:ascii="Verdana" w:hAnsi="Verdana"/>
          <w:b/>
          <w:sz w:val="16"/>
          <w:szCs w:val="16"/>
          <w:lang w:val="en-GB"/>
        </w:rPr>
        <w:t>LGPS – Pension Scheme – Assets comprised of:</w:t>
      </w:r>
    </w:p>
    <w:p w14:paraId="570EF4A4" w14:textId="79EB5391" w:rsidR="00764626" w:rsidRPr="00764626" w:rsidRDefault="000672D5">
      <w:pPr>
        <w:pStyle w:val="T1TableStyle"/>
        <w:rPr>
          <w:rFonts w:ascii="Verdana" w:hAnsi="Verdana"/>
          <w:b/>
          <w:sz w:val="16"/>
          <w:szCs w:val="16"/>
          <w:lang w:val="en-GB"/>
        </w:rPr>
      </w:pPr>
      <w:r w:rsidRPr="00764626">
        <w:rPr>
          <w:rFonts w:ascii="Verdana" w:hAnsi="Verdana"/>
          <w:b/>
          <w:sz w:val="16"/>
          <w:szCs w:val="16"/>
          <w:lang w:val="en-GB"/>
        </w:rPr>
        <w:t>Fair value of scheme assets</w:t>
      </w:r>
    </w:p>
    <w:tbl>
      <w:tblPr>
        <w:tblW w:w="7760" w:type="dxa"/>
        <w:jc w:val="center"/>
        <w:tblLook w:val="04A0" w:firstRow="1" w:lastRow="0" w:firstColumn="1" w:lastColumn="0" w:noHBand="0" w:noVBand="1"/>
      </w:tblPr>
      <w:tblGrid>
        <w:gridCol w:w="1480"/>
        <w:gridCol w:w="4720"/>
        <w:gridCol w:w="1560"/>
      </w:tblGrid>
      <w:tr w:rsidR="00764626" w:rsidRPr="00FE0665" w14:paraId="48C62805" w14:textId="77777777" w:rsidTr="00764626">
        <w:trPr>
          <w:trHeight w:val="300"/>
          <w:jc w:val="center"/>
        </w:trPr>
        <w:tc>
          <w:tcPr>
            <w:tcW w:w="1480" w:type="dxa"/>
            <w:tcBorders>
              <w:top w:val="nil"/>
              <w:left w:val="nil"/>
              <w:bottom w:val="nil"/>
              <w:right w:val="nil"/>
            </w:tcBorders>
            <w:shd w:val="clear" w:color="000000" w:fill="FFFFFF"/>
            <w:noWrap/>
            <w:vAlign w:val="center"/>
            <w:hideMark/>
          </w:tcPr>
          <w:p w14:paraId="304400F4" w14:textId="77777777" w:rsidR="00764626" w:rsidRPr="00764626" w:rsidRDefault="00764626" w:rsidP="007C4BA6">
            <w:pPr>
              <w:jc w:val="center"/>
              <w:rPr>
                <w:rFonts w:ascii="Verdana" w:eastAsia="Times New Roman" w:hAnsi="Verdana" w:cs="Times New Roman"/>
                <w:b/>
                <w:bCs/>
                <w:color w:val="000000"/>
                <w:sz w:val="16"/>
                <w:szCs w:val="16"/>
                <w:lang w:val="en-GB" w:eastAsia="en-GB"/>
              </w:rPr>
            </w:pPr>
            <w:r w:rsidRPr="00764626">
              <w:rPr>
                <w:rFonts w:ascii="Verdana" w:eastAsia="Times New Roman" w:hAnsi="Verdana" w:cs="Times New Roman"/>
                <w:b/>
                <w:bCs/>
                <w:color w:val="000000"/>
                <w:sz w:val="16"/>
                <w:szCs w:val="16"/>
                <w:lang w:val="en-GB" w:eastAsia="en-GB"/>
              </w:rPr>
              <w:t>2019/20</w:t>
            </w:r>
          </w:p>
        </w:tc>
        <w:tc>
          <w:tcPr>
            <w:tcW w:w="4720" w:type="dxa"/>
            <w:tcBorders>
              <w:top w:val="nil"/>
              <w:left w:val="nil"/>
              <w:bottom w:val="nil"/>
              <w:right w:val="nil"/>
            </w:tcBorders>
            <w:shd w:val="clear" w:color="000000" w:fill="FFFFFF"/>
            <w:noWrap/>
            <w:vAlign w:val="center"/>
            <w:hideMark/>
          </w:tcPr>
          <w:p w14:paraId="3BE57066" w14:textId="77777777" w:rsidR="00764626" w:rsidRPr="00764626" w:rsidRDefault="00764626" w:rsidP="007C4BA6">
            <w:pPr>
              <w:rPr>
                <w:rFonts w:ascii="Verdana" w:eastAsia="Times New Roman" w:hAnsi="Verdana" w:cs="Times New Roman"/>
                <w:b/>
                <w:bCs/>
                <w:color w:val="000000"/>
                <w:sz w:val="16"/>
                <w:szCs w:val="16"/>
                <w:lang w:val="en-GB" w:eastAsia="en-GB"/>
              </w:rPr>
            </w:pPr>
            <w:r w:rsidRPr="00764626">
              <w:rPr>
                <w:rFonts w:ascii="Verdana" w:eastAsia="Times New Roman" w:hAnsi="Verdana" w:cs="Times New Roman"/>
                <w:b/>
                <w:bCs/>
                <w:color w:val="000000"/>
                <w:sz w:val="16"/>
                <w:szCs w:val="16"/>
                <w:lang w:val="en-GB" w:eastAsia="en-GB"/>
              </w:rPr>
              <w:t> </w:t>
            </w:r>
          </w:p>
        </w:tc>
        <w:tc>
          <w:tcPr>
            <w:tcW w:w="1560" w:type="dxa"/>
            <w:tcBorders>
              <w:top w:val="nil"/>
              <w:left w:val="nil"/>
              <w:right w:val="nil"/>
            </w:tcBorders>
            <w:shd w:val="clear" w:color="000000" w:fill="FFFFFF"/>
            <w:noWrap/>
            <w:vAlign w:val="center"/>
            <w:hideMark/>
          </w:tcPr>
          <w:p w14:paraId="1D11A3D0" w14:textId="77777777" w:rsidR="00764626" w:rsidRPr="00764626" w:rsidRDefault="00764626" w:rsidP="007C4BA6">
            <w:pPr>
              <w:jc w:val="center"/>
              <w:rPr>
                <w:rFonts w:ascii="Verdana" w:eastAsia="Times New Roman" w:hAnsi="Verdana" w:cs="Times New Roman"/>
                <w:b/>
                <w:bCs/>
                <w:color w:val="000000"/>
                <w:sz w:val="16"/>
                <w:szCs w:val="16"/>
                <w:lang w:val="en-GB" w:eastAsia="en-GB"/>
              </w:rPr>
            </w:pPr>
            <w:r w:rsidRPr="00764626">
              <w:rPr>
                <w:rFonts w:ascii="Verdana" w:eastAsia="Times New Roman" w:hAnsi="Verdana" w:cs="Times New Roman"/>
                <w:b/>
                <w:bCs/>
                <w:color w:val="000000"/>
                <w:sz w:val="16"/>
                <w:szCs w:val="16"/>
                <w:lang w:val="en-GB" w:eastAsia="en-GB"/>
              </w:rPr>
              <w:t>2020/21</w:t>
            </w:r>
          </w:p>
        </w:tc>
      </w:tr>
      <w:tr w:rsidR="00764626" w:rsidRPr="00FE0665" w14:paraId="0D7825FA" w14:textId="77777777" w:rsidTr="00764626">
        <w:trPr>
          <w:trHeight w:val="74"/>
          <w:jc w:val="center"/>
        </w:trPr>
        <w:tc>
          <w:tcPr>
            <w:tcW w:w="1480" w:type="dxa"/>
            <w:tcBorders>
              <w:top w:val="nil"/>
              <w:left w:val="nil"/>
              <w:bottom w:val="nil"/>
              <w:right w:val="nil"/>
            </w:tcBorders>
            <w:shd w:val="clear" w:color="000000" w:fill="FFFFFF"/>
            <w:noWrap/>
            <w:vAlign w:val="center"/>
            <w:hideMark/>
          </w:tcPr>
          <w:p w14:paraId="542EC319" w14:textId="77777777" w:rsidR="00764626" w:rsidRPr="00764626" w:rsidRDefault="00764626" w:rsidP="007C4BA6">
            <w:pPr>
              <w:jc w:val="right"/>
              <w:rPr>
                <w:rFonts w:ascii="Verdana" w:eastAsia="Times New Roman" w:hAnsi="Verdana" w:cs="Times New Roman"/>
                <w:b/>
                <w:bCs/>
                <w:color w:val="000000"/>
                <w:sz w:val="16"/>
                <w:szCs w:val="16"/>
                <w:lang w:val="en-GB" w:eastAsia="en-GB"/>
              </w:rPr>
            </w:pPr>
            <w:r w:rsidRPr="00764626">
              <w:rPr>
                <w:rFonts w:ascii="Verdana" w:eastAsia="Times New Roman" w:hAnsi="Verdana" w:cs="Times New Roman"/>
                <w:b/>
                <w:bCs/>
                <w:color w:val="000000"/>
                <w:sz w:val="16"/>
                <w:szCs w:val="16"/>
                <w:lang w:val="en-GB" w:eastAsia="en-GB"/>
              </w:rPr>
              <w:t>£000</w:t>
            </w:r>
          </w:p>
        </w:tc>
        <w:tc>
          <w:tcPr>
            <w:tcW w:w="4720" w:type="dxa"/>
            <w:tcBorders>
              <w:top w:val="nil"/>
              <w:left w:val="nil"/>
              <w:bottom w:val="nil"/>
              <w:right w:val="nil"/>
            </w:tcBorders>
            <w:shd w:val="clear" w:color="000000" w:fill="FFFFFF"/>
            <w:noWrap/>
            <w:vAlign w:val="center"/>
            <w:hideMark/>
          </w:tcPr>
          <w:p w14:paraId="20FF79D0" w14:textId="77777777" w:rsidR="00764626" w:rsidRPr="00764626" w:rsidRDefault="00764626" w:rsidP="007C4BA6">
            <w:pPr>
              <w:rPr>
                <w:rFonts w:ascii="Verdana" w:eastAsia="Times New Roman" w:hAnsi="Verdana" w:cs="Times New Roman"/>
                <w:b/>
                <w:bCs/>
                <w:color w:val="000000"/>
                <w:sz w:val="16"/>
                <w:szCs w:val="16"/>
                <w:lang w:val="en-GB" w:eastAsia="en-GB"/>
              </w:rPr>
            </w:pPr>
            <w:r w:rsidRPr="00764626">
              <w:rPr>
                <w:rFonts w:ascii="Verdana" w:eastAsia="Times New Roman" w:hAnsi="Verdana" w:cs="Times New Roman"/>
                <w:b/>
                <w:bCs/>
                <w:color w:val="000000"/>
                <w:sz w:val="16"/>
                <w:szCs w:val="16"/>
                <w:lang w:val="en-GB" w:eastAsia="en-GB"/>
              </w:rPr>
              <w:t> </w:t>
            </w:r>
          </w:p>
        </w:tc>
        <w:tc>
          <w:tcPr>
            <w:tcW w:w="1560" w:type="dxa"/>
            <w:tcBorders>
              <w:top w:val="nil"/>
              <w:left w:val="nil"/>
              <w:bottom w:val="nil"/>
              <w:right w:val="nil"/>
            </w:tcBorders>
            <w:shd w:val="clear" w:color="000000" w:fill="FFFFFF"/>
            <w:noWrap/>
            <w:vAlign w:val="center"/>
            <w:hideMark/>
          </w:tcPr>
          <w:p w14:paraId="4D6742BD" w14:textId="77777777" w:rsidR="00764626" w:rsidRPr="00764626" w:rsidRDefault="00764626" w:rsidP="007C4BA6">
            <w:pPr>
              <w:jc w:val="right"/>
              <w:rPr>
                <w:rFonts w:ascii="Verdana" w:eastAsia="Times New Roman" w:hAnsi="Verdana" w:cs="Times New Roman"/>
                <w:b/>
                <w:bCs/>
                <w:color w:val="000000"/>
                <w:sz w:val="16"/>
                <w:szCs w:val="16"/>
                <w:lang w:val="en-GB" w:eastAsia="en-GB"/>
              </w:rPr>
            </w:pPr>
            <w:r w:rsidRPr="00764626">
              <w:rPr>
                <w:rFonts w:ascii="Verdana" w:eastAsia="Times New Roman" w:hAnsi="Verdana" w:cs="Times New Roman"/>
                <w:b/>
                <w:bCs/>
                <w:color w:val="000000"/>
                <w:sz w:val="16"/>
                <w:szCs w:val="16"/>
                <w:lang w:val="en-GB" w:eastAsia="en-GB"/>
              </w:rPr>
              <w:t>£000</w:t>
            </w:r>
          </w:p>
        </w:tc>
      </w:tr>
      <w:tr w:rsidR="00764626" w:rsidRPr="00FE0665" w14:paraId="3EC589AA" w14:textId="77777777" w:rsidTr="00764626">
        <w:trPr>
          <w:trHeight w:val="60"/>
          <w:jc w:val="center"/>
        </w:trPr>
        <w:tc>
          <w:tcPr>
            <w:tcW w:w="1480" w:type="dxa"/>
            <w:tcBorders>
              <w:top w:val="single" w:sz="4" w:space="0" w:color="auto"/>
              <w:left w:val="nil"/>
              <w:bottom w:val="nil"/>
              <w:right w:val="nil"/>
            </w:tcBorders>
            <w:shd w:val="clear" w:color="000000" w:fill="FFFFFF"/>
            <w:noWrap/>
            <w:vAlign w:val="center"/>
            <w:hideMark/>
          </w:tcPr>
          <w:p w14:paraId="532A6223" w14:textId="77777777" w:rsidR="00764626" w:rsidRPr="00764626" w:rsidRDefault="00764626" w:rsidP="007C4BA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 </w:t>
            </w:r>
          </w:p>
        </w:tc>
        <w:tc>
          <w:tcPr>
            <w:tcW w:w="4720" w:type="dxa"/>
            <w:tcBorders>
              <w:top w:val="single" w:sz="4" w:space="0" w:color="auto"/>
              <w:left w:val="nil"/>
              <w:bottom w:val="nil"/>
              <w:right w:val="nil"/>
            </w:tcBorders>
            <w:shd w:val="clear" w:color="000000" w:fill="FFFFFF"/>
            <w:noWrap/>
            <w:vAlign w:val="center"/>
            <w:hideMark/>
          </w:tcPr>
          <w:p w14:paraId="1C03CAAF" w14:textId="77777777" w:rsidR="00764626" w:rsidRPr="00764626" w:rsidRDefault="00764626" w:rsidP="007C4BA6">
            <w:pPr>
              <w:rPr>
                <w:rFonts w:ascii="Verdana" w:eastAsia="Times New Roman" w:hAnsi="Verdana" w:cs="Times New Roman"/>
                <w:b/>
                <w:bCs/>
                <w:color w:val="000000"/>
                <w:sz w:val="16"/>
                <w:szCs w:val="16"/>
                <w:lang w:val="en-GB" w:eastAsia="en-GB"/>
              </w:rPr>
            </w:pPr>
            <w:r w:rsidRPr="00764626">
              <w:rPr>
                <w:rFonts w:ascii="Verdana" w:eastAsia="Times New Roman" w:hAnsi="Verdana" w:cs="Times New Roman"/>
                <w:b/>
                <w:bCs/>
                <w:color w:val="000000"/>
                <w:sz w:val="16"/>
                <w:szCs w:val="16"/>
                <w:lang w:val="en-GB" w:eastAsia="en-GB"/>
              </w:rPr>
              <w:t>EQUITY SECURITIES</w:t>
            </w:r>
          </w:p>
        </w:tc>
        <w:tc>
          <w:tcPr>
            <w:tcW w:w="1560" w:type="dxa"/>
            <w:tcBorders>
              <w:top w:val="single" w:sz="4" w:space="0" w:color="auto"/>
              <w:left w:val="nil"/>
              <w:bottom w:val="nil"/>
              <w:right w:val="nil"/>
            </w:tcBorders>
            <w:shd w:val="clear" w:color="000000" w:fill="FFFFFF"/>
            <w:noWrap/>
            <w:vAlign w:val="center"/>
            <w:hideMark/>
          </w:tcPr>
          <w:p w14:paraId="4211C529" w14:textId="77777777" w:rsidR="00764626" w:rsidRPr="00764626" w:rsidRDefault="00764626" w:rsidP="007C4BA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 </w:t>
            </w:r>
          </w:p>
        </w:tc>
      </w:tr>
      <w:tr w:rsidR="00764626" w:rsidRPr="00FE0665" w14:paraId="4B486EFC" w14:textId="77777777" w:rsidTr="00764626">
        <w:trPr>
          <w:trHeight w:val="300"/>
          <w:jc w:val="center"/>
        </w:trPr>
        <w:tc>
          <w:tcPr>
            <w:tcW w:w="1480" w:type="dxa"/>
            <w:tcBorders>
              <w:top w:val="nil"/>
              <w:left w:val="nil"/>
              <w:bottom w:val="nil"/>
              <w:right w:val="nil"/>
            </w:tcBorders>
            <w:shd w:val="clear" w:color="000000" w:fill="FFFFFF"/>
            <w:noWrap/>
            <w:vAlign w:val="center"/>
            <w:hideMark/>
          </w:tcPr>
          <w:p w14:paraId="7F0CB256" w14:textId="77777777" w:rsidR="00764626" w:rsidRPr="00764626" w:rsidRDefault="00764626" w:rsidP="007C4BA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7,778</w:t>
            </w:r>
          </w:p>
        </w:tc>
        <w:tc>
          <w:tcPr>
            <w:tcW w:w="4720" w:type="dxa"/>
            <w:tcBorders>
              <w:top w:val="nil"/>
              <w:left w:val="nil"/>
              <w:bottom w:val="nil"/>
              <w:right w:val="nil"/>
            </w:tcBorders>
            <w:shd w:val="clear" w:color="000000" w:fill="FFFFFF"/>
            <w:noWrap/>
            <w:vAlign w:val="center"/>
            <w:hideMark/>
          </w:tcPr>
          <w:p w14:paraId="252289DA" w14:textId="77777777" w:rsidR="00764626" w:rsidRPr="00764626" w:rsidRDefault="00764626" w:rsidP="007C4BA6">
            <w:pPr>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Consumer</w:t>
            </w:r>
          </w:p>
        </w:tc>
        <w:tc>
          <w:tcPr>
            <w:tcW w:w="1560" w:type="dxa"/>
            <w:tcBorders>
              <w:top w:val="nil"/>
              <w:left w:val="nil"/>
              <w:bottom w:val="nil"/>
              <w:right w:val="nil"/>
            </w:tcBorders>
            <w:shd w:val="clear" w:color="000000" w:fill="FFFFFF"/>
            <w:noWrap/>
            <w:vAlign w:val="center"/>
            <w:hideMark/>
          </w:tcPr>
          <w:p w14:paraId="153FCA81" w14:textId="77777777" w:rsidR="00764626" w:rsidRPr="00764626" w:rsidRDefault="00764626" w:rsidP="007C4BA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7,771</w:t>
            </w:r>
          </w:p>
        </w:tc>
      </w:tr>
      <w:tr w:rsidR="00764626" w:rsidRPr="00FE0665" w14:paraId="3E85A452" w14:textId="77777777" w:rsidTr="00764626">
        <w:trPr>
          <w:trHeight w:val="300"/>
          <w:jc w:val="center"/>
        </w:trPr>
        <w:tc>
          <w:tcPr>
            <w:tcW w:w="1480" w:type="dxa"/>
            <w:tcBorders>
              <w:top w:val="nil"/>
              <w:left w:val="nil"/>
              <w:bottom w:val="nil"/>
              <w:right w:val="nil"/>
            </w:tcBorders>
            <w:shd w:val="clear" w:color="000000" w:fill="FFFFFF"/>
            <w:noWrap/>
            <w:vAlign w:val="center"/>
            <w:hideMark/>
          </w:tcPr>
          <w:p w14:paraId="2728EB68" w14:textId="77777777" w:rsidR="00764626" w:rsidRPr="00764626" w:rsidRDefault="00764626" w:rsidP="007C4BA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5,806</w:t>
            </w:r>
          </w:p>
        </w:tc>
        <w:tc>
          <w:tcPr>
            <w:tcW w:w="4720" w:type="dxa"/>
            <w:tcBorders>
              <w:top w:val="nil"/>
              <w:left w:val="nil"/>
              <w:bottom w:val="nil"/>
              <w:right w:val="nil"/>
            </w:tcBorders>
            <w:shd w:val="clear" w:color="000000" w:fill="FFFFFF"/>
            <w:noWrap/>
            <w:vAlign w:val="center"/>
            <w:hideMark/>
          </w:tcPr>
          <w:p w14:paraId="67DBB3DE" w14:textId="77777777" w:rsidR="00764626" w:rsidRPr="00764626" w:rsidRDefault="00764626" w:rsidP="007C4BA6">
            <w:pPr>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Manufacturing</w:t>
            </w:r>
          </w:p>
        </w:tc>
        <w:tc>
          <w:tcPr>
            <w:tcW w:w="1560" w:type="dxa"/>
            <w:tcBorders>
              <w:top w:val="nil"/>
              <w:left w:val="nil"/>
              <w:bottom w:val="nil"/>
              <w:right w:val="nil"/>
            </w:tcBorders>
            <w:shd w:val="clear" w:color="000000" w:fill="FFFFFF"/>
            <w:noWrap/>
            <w:vAlign w:val="center"/>
            <w:hideMark/>
          </w:tcPr>
          <w:p w14:paraId="24647FC0" w14:textId="77777777" w:rsidR="00764626" w:rsidRPr="00764626" w:rsidRDefault="00764626" w:rsidP="007C4BA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3,914</w:t>
            </w:r>
          </w:p>
        </w:tc>
      </w:tr>
      <w:tr w:rsidR="00764626" w:rsidRPr="00FE0665" w14:paraId="24B17A98" w14:textId="77777777" w:rsidTr="00764626">
        <w:trPr>
          <w:trHeight w:val="300"/>
          <w:jc w:val="center"/>
        </w:trPr>
        <w:tc>
          <w:tcPr>
            <w:tcW w:w="1480" w:type="dxa"/>
            <w:tcBorders>
              <w:top w:val="nil"/>
              <w:left w:val="nil"/>
              <w:bottom w:val="nil"/>
              <w:right w:val="nil"/>
            </w:tcBorders>
            <w:shd w:val="clear" w:color="000000" w:fill="FFFFFF"/>
            <w:noWrap/>
            <w:vAlign w:val="center"/>
            <w:hideMark/>
          </w:tcPr>
          <w:p w14:paraId="480DB49B" w14:textId="77777777" w:rsidR="00764626" w:rsidRPr="00764626" w:rsidRDefault="00764626" w:rsidP="007C4BA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2,110</w:t>
            </w:r>
          </w:p>
        </w:tc>
        <w:tc>
          <w:tcPr>
            <w:tcW w:w="4720" w:type="dxa"/>
            <w:tcBorders>
              <w:top w:val="nil"/>
              <w:left w:val="nil"/>
              <w:bottom w:val="nil"/>
              <w:right w:val="nil"/>
            </w:tcBorders>
            <w:shd w:val="clear" w:color="000000" w:fill="FFFFFF"/>
            <w:noWrap/>
            <w:vAlign w:val="center"/>
            <w:hideMark/>
          </w:tcPr>
          <w:p w14:paraId="50D66EA2" w14:textId="77777777" w:rsidR="00764626" w:rsidRPr="00764626" w:rsidRDefault="00764626" w:rsidP="007C4BA6">
            <w:pPr>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Energy and Utilities</w:t>
            </w:r>
          </w:p>
        </w:tc>
        <w:tc>
          <w:tcPr>
            <w:tcW w:w="1560" w:type="dxa"/>
            <w:tcBorders>
              <w:top w:val="nil"/>
              <w:left w:val="nil"/>
              <w:bottom w:val="nil"/>
              <w:right w:val="nil"/>
            </w:tcBorders>
            <w:shd w:val="clear" w:color="000000" w:fill="FFFFFF"/>
            <w:noWrap/>
            <w:vAlign w:val="center"/>
            <w:hideMark/>
          </w:tcPr>
          <w:p w14:paraId="52586898" w14:textId="77777777" w:rsidR="00764626" w:rsidRPr="00764626" w:rsidRDefault="00764626" w:rsidP="007C4BA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756</w:t>
            </w:r>
          </w:p>
        </w:tc>
      </w:tr>
      <w:tr w:rsidR="00764626" w:rsidRPr="00FE0665" w14:paraId="7047FEB9" w14:textId="77777777" w:rsidTr="00764626">
        <w:trPr>
          <w:trHeight w:val="300"/>
          <w:jc w:val="center"/>
        </w:trPr>
        <w:tc>
          <w:tcPr>
            <w:tcW w:w="1480" w:type="dxa"/>
            <w:tcBorders>
              <w:top w:val="nil"/>
              <w:left w:val="nil"/>
              <w:bottom w:val="nil"/>
              <w:right w:val="nil"/>
            </w:tcBorders>
            <w:shd w:val="clear" w:color="000000" w:fill="FFFFFF"/>
            <w:noWrap/>
            <w:vAlign w:val="center"/>
            <w:hideMark/>
          </w:tcPr>
          <w:p w14:paraId="193DE712" w14:textId="77777777" w:rsidR="00764626" w:rsidRPr="00764626" w:rsidRDefault="00764626" w:rsidP="007C4BA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4,590</w:t>
            </w:r>
          </w:p>
        </w:tc>
        <w:tc>
          <w:tcPr>
            <w:tcW w:w="4720" w:type="dxa"/>
            <w:tcBorders>
              <w:top w:val="nil"/>
              <w:left w:val="nil"/>
              <w:bottom w:val="nil"/>
              <w:right w:val="nil"/>
            </w:tcBorders>
            <w:shd w:val="clear" w:color="000000" w:fill="FFFFFF"/>
            <w:noWrap/>
            <w:vAlign w:val="center"/>
            <w:hideMark/>
          </w:tcPr>
          <w:p w14:paraId="76D65056" w14:textId="77777777" w:rsidR="00764626" w:rsidRPr="00764626" w:rsidRDefault="00764626" w:rsidP="007C4BA6">
            <w:pPr>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Financial Institutions</w:t>
            </w:r>
          </w:p>
        </w:tc>
        <w:tc>
          <w:tcPr>
            <w:tcW w:w="1560" w:type="dxa"/>
            <w:tcBorders>
              <w:top w:val="nil"/>
              <w:left w:val="nil"/>
              <w:bottom w:val="nil"/>
              <w:right w:val="nil"/>
            </w:tcBorders>
            <w:shd w:val="clear" w:color="000000" w:fill="FFFFFF"/>
            <w:noWrap/>
            <w:vAlign w:val="center"/>
            <w:hideMark/>
          </w:tcPr>
          <w:p w14:paraId="036C6414" w14:textId="77777777" w:rsidR="00764626" w:rsidRPr="00764626" w:rsidRDefault="00764626" w:rsidP="007C4BA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4,675</w:t>
            </w:r>
          </w:p>
        </w:tc>
      </w:tr>
      <w:tr w:rsidR="00764626" w:rsidRPr="00FE0665" w14:paraId="260097A5" w14:textId="77777777" w:rsidTr="00764626">
        <w:trPr>
          <w:trHeight w:val="300"/>
          <w:jc w:val="center"/>
        </w:trPr>
        <w:tc>
          <w:tcPr>
            <w:tcW w:w="1480" w:type="dxa"/>
            <w:tcBorders>
              <w:top w:val="nil"/>
              <w:left w:val="nil"/>
              <w:bottom w:val="nil"/>
              <w:right w:val="nil"/>
            </w:tcBorders>
            <w:shd w:val="clear" w:color="000000" w:fill="FFFFFF"/>
            <w:noWrap/>
            <w:vAlign w:val="center"/>
            <w:hideMark/>
          </w:tcPr>
          <w:p w14:paraId="51AFDBD4" w14:textId="77777777" w:rsidR="00764626" w:rsidRPr="00764626" w:rsidRDefault="00764626" w:rsidP="007C4BA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4,694</w:t>
            </w:r>
          </w:p>
        </w:tc>
        <w:tc>
          <w:tcPr>
            <w:tcW w:w="4720" w:type="dxa"/>
            <w:tcBorders>
              <w:top w:val="nil"/>
              <w:left w:val="nil"/>
              <w:bottom w:val="nil"/>
              <w:right w:val="nil"/>
            </w:tcBorders>
            <w:shd w:val="clear" w:color="000000" w:fill="FFFFFF"/>
            <w:noWrap/>
            <w:vAlign w:val="center"/>
            <w:hideMark/>
          </w:tcPr>
          <w:p w14:paraId="6291277C" w14:textId="77777777" w:rsidR="00764626" w:rsidRPr="00764626" w:rsidRDefault="00764626" w:rsidP="007C4BA6">
            <w:pPr>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Health and Care</w:t>
            </w:r>
          </w:p>
        </w:tc>
        <w:tc>
          <w:tcPr>
            <w:tcW w:w="1560" w:type="dxa"/>
            <w:tcBorders>
              <w:top w:val="nil"/>
              <w:left w:val="nil"/>
              <w:bottom w:val="nil"/>
              <w:right w:val="nil"/>
            </w:tcBorders>
            <w:shd w:val="clear" w:color="000000" w:fill="FFFFFF"/>
            <w:noWrap/>
            <w:vAlign w:val="center"/>
            <w:hideMark/>
          </w:tcPr>
          <w:p w14:paraId="48B0141E" w14:textId="77777777" w:rsidR="00764626" w:rsidRPr="00764626" w:rsidRDefault="00764626" w:rsidP="007C4BA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3,288</w:t>
            </w:r>
          </w:p>
        </w:tc>
      </w:tr>
      <w:tr w:rsidR="00764626" w:rsidRPr="00FE0665" w14:paraId="2B7C964B" w14:textId="77777777" w:rsidTr="00764626">
        <w:trPr>
          <w:trHeight w:val="300"/>
          <w:jc w:val="center"/>
        </w:trPr>
        <w:tc>
          <w:tcPr>
            <w:tcW w:w="1480" w:type="dxa"/>
            <w:tcBorders>
              <w:top w:val="nil"/>
              <w:left w:val="nil"/>
              <w:bottom w:val="nil"/>
              <w:right w:val="nil"/>
            </w:tcBorders>
            <w:shd w:val="clear" w:color="000000" w:fill="FFFFFF"/>
            <w:noWrap/>
            <w:vAlign w:val="center"/>
            <w:hideMark/>
          </w:tcPr>
          <w:p w14:paraId="775605B3" w14:textId="77777777" w:rsidR="00764626" w:rsidRPr="00764626" w:rsidRDefault="00764626" w:rsidP="007C4BA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8,897</w:t>
            </w:r>
          </w:p>
        </w:tc>
        <w:tc>
          <w:tcPr>
            <w:tcW w:w="4720" w:type="dxa"/>
            <w:tcBorders>
              <w:top w:val="nil"/>
              <w:left w:val="nil"/>
              <w:bottom w:val="nil"/>
              <w:right w:val="nil"/>
            </w:tcBorders>
            <w:shd w:val="clear" w:color="000000" w:fill="FFFFFF"/>
            <w:noWrap/>
            <w:vAlign w:val="center"/>
            <w:hideMark/>
          </w:tcPr>
          <w:p w14:paraId="3A25A594" w14:textId="77777777" w:rsidR="00764626" w:rsidRPr="00764626" w:rsidRDefault="00764626" w:rsidP="007C4BA6">
            <w:pPr>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Information Technology</w:t>
            </w:r>
          </w:p>
        </w:tc>
        <w:tc>
          <w:tcPr>
            <w:tcW w:w="1560" w:type="dxa"/>
            <w:tcBorders>
              <w:top w:val="nil"/>
              <w:left w:val="nil"/>
              <w:bottom w:val="nil"/>
              <w:right w:val="nil"/>
            </w:tcBorders>
            <w:shd w:val="clear" w:color="000000" w:fill="FFFFFF"/>
            <w:noWrap/>
            <w:vAlign w:val="center"/>
            <w:hideMark/>
          </w:tcPr>
          <w:p w14:paraId="379D601A" w14:textId="77777777" w:rsidR="00764626" w:rsidRPr="00764626" w:rsidRDefault="00764626" w:rsidP="007C4BA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10,860</w:t>
            </w:r>
          </w:p>
        </w:tc>
      </w:tr>
      <w:tr w:rsidR="00764626" w:rsidRPr="00FE0665" w14:paraId="679CD3D6" w14:textId="77777777" w:rsidTr="00764626">
        <w:trPr>
          <w:trHeight w:val="300"/>
          <w:jc w:val="center"/>
        </w:trPr>
        <w:tc>
          <w:tcPr>
            <w:tcW w:w="1480" w:type="dxa"/>
            <w:tcBorders>
              <w:top w:val="nil"/>
              <w:left w:val="nil"/>
              <w:bottom w:val="nil"/>
              <w:right w:val="nil"/>
            </w:tcBorders>
            <w:shd w:val="clear" w:color="000000" w:fill="FFFFFF"/>
            <w:noWrap/>
            <w:vAlign w:val="center"/>
            <w:hideMark/>
          </w:tcPr>
          <w:p w14:paraId="0FBBDF50" w14:textId="77777777" w:rsidR="00764626" w:rsidRPr="00764626" w:rsidRDefault="00764626" w:rsidP="007C4BA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155</w:t>
            </w:r>
          </w:p>
        </w:tc>
        <w:tc>
          <w:tcPr>
            <w:tcW w:w="4720" w:type="dxa"/>
            <w:tcBorders>
              <w:top w:val="nil"/>
              <w:left w:val="nil"/>
              <w:bottom w:val="nil"/>
              <w:right w:val="nil"/>
            </w:tcBorders>
            <w:shd w:val="clear" w:color="000000" w:fill="FFFFFF"/>
            <w:noWrap/>
            <w:vAlign w:val="center"/>
            <w:hideMark/>
          </w:tcPr>
          <w:p w14:paraId="3572C7B2" w14:textId="77777777" w:rsidR="00764626" w:rsidRPr="00764626" w:rsidRDefault="00764626" w:rsidP="007C4BA6">
            <w:pPr>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Other</w:t>
            </w:r>
          </w:p>
        </w:tc>
        <w:tc>
          <w:tcPr>
            <w:tcW w:w="1560" w:type="dxa"/>
            <w:tcBorders>
              <w:top w:val="nil"/>
              <w:left w:val="nil"/>
              <w:bottom w:val="nil"/>
              <w:right w:val="nil"/>
            </w:tcBorders>
            <w:shd w:val="clear" w:color="000000" w:fill="FFFFFF"/>
            <w:noWrap/>
            <w:vAlign w:val="center"/>
            <w:hideMark/>
          </w:tcPr>
          <w:p w14:paraId="0163AAD1" w14:textId="77777777" w:rsidR="00764626" w:rsidRPr="00764626" w:rsidRDefault="00764626" w:rsidP="007C4BA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0</w:t>
            </w:r>
          </w:p>
        </w:tc>
      </w:tr>
      <w:tr w:rsidR="00764626" w:rsidRPr="00FE0665" w14:paraId="1E3E8267" w14:textId="77777777" w:rsidTr="00764626">
        <w:trPr>
          <w:trHeight w:val="300"/>
          <w:jc w:val="center"/>
        </w:trPr>
        <w:tc>
          <w:tcPr>
            <w:tcW w:w="1480" w:type="dxa"/>
            <w:tcBorders>
              <w:top w:val="single" w:sz="4" w:space="0" w:color="auto"/>
              <w:left w:val="nil"/>
              <w:bottom w:val="single" w:sz="8" w:space="0" w:color="auto"/>
              <w:right w:val="nil"/>
            </w:tcBorders>
            <w:shd w:val="clear" w:color="000000" w:fill="FFFFFF"/>
            <w:noWrap/>
            <w:vAlign w:val="center"/>
            <w:hideMark/>
          </w:tcPr>
          <w:p w14:paraId="39A5DD0F" w14:textId="77777777" w:rsidR="00764626" w:rsidRPr="00764626" w:rsidRDefault="00764626" w:rsidP="007C4BA6">
            <w:pPr>
              <w:jc w:val="right"/>
              <w:rPr>
                <w:rFonts w:ascii="Verdana" w:eastAsia="Times New Roman" w:hAnsi="Verdana" w:cs="Times New Roman"/>
                <w:b/>
                <w:bCs/>
                <w:color w:val="000000"/>
                <w:sz w:val="16"/>
                <w:szCs w:val="16"/>
                <w:lang w:val="en-GB" w:eastAsia="en-GB"/>
              </w:rPr>
            </w:pPr>
            <w:r w:rsidRPr="00764626">
              <w:rPr>
                <w:rFonts w:ascii="Verdana" w:eastAsia="Times New Roman" w:hAnsi="Verdana" w:cs="Times New Roman"/>
                <w:b/>
                <w:bCs/>
                <w:color w:val="000000"/>
                <w:sz w:val="16"/>
                <w:szCs w:val="16"/>
                <w:lang w:val="en-GB" w:eastAsia="en-GB"/>
              </w:rPr>
              <w:t>34,030</w:t>
            </w:r>
          </w:p>
        </w:tc>
        <w:tc>
          <w:tcPr>
            <w:tcW w:w="4720" w:type="dxa"/>
            <w:tcBorders>
              <w:top w:val="single" w:sz="4" w:space="0" w:color="auto"/>
              <w:left w:val="nil"/>
              <w:bottom w:val="single" w:sz="8" w:space="0" w:color="auto"/>
              <w:right w:val="nil"/>
            </w:tcBorders>
            <w:shd w:val="clear" w:color="000000" w:fill="FFFFFF"/>
            <w:noWrap/>
            <w:vAlign w:val="center"/>
            <w:hideMark/>
          </w:tcPr>
          <w:p w14:paraId="2B1E667C" w14:textId="77777777" w:rsidR="00764626" w:rsidRPr="00764626" w:rsidRDefault="00764626" w:rsidP="007C4BA6">
            <w:pPr>
              <w:rPr>
                <w:rFonts w:ascii="Verdana" w:eastAsia="Times New Roman" w:hAnsi="Verdana" w:cs="Times New Roman"/>
                <w:b/>
                <w:bCs/>
                <w:color w:val="000000"/>
                <w:sz w:val="16"/>
                <w:szCs w:val="16"/>
                <w:lang w:val="en-GB" w:eastAsia="en-GB"/>
              </w:rPr>
            </w:pPr>
            <w:r w:rsidRPr="00764626">
              <w:rPr>
                <w:rFonts w:ascii="Verdana" w:eastAsia="Times New Roman" w:hAnsi="Verdana" w:cs="Times New Roman"/>
                <w:b/>
                <w:bCs/>
                <w:color w:val="000000"/>
                <w:sz w:val="16"/>
                <w:szCs w:val="16"/>
                <w:lang w:val="en-GB" w:eastAsia="en-GB"/>
              </w:rPr>
              <w:t>Subtotal  EQUITY SECURITIES</w:t>
            </w:r>
          </w:p>
        </w:tc>
        <w:tc>
          <w:tcPr>
            <w:tcW w:w="1560" w:type="dxa"/>
            <w:tcBorders>
              <w:top w:val="single" w:sz="4" w:space="0" w:color="auto"/>
              <w:left w:val="nil"/>
              <w:bottom w:val="single" w:sz="8" w:space="0" w:color="auto"/>
              <w:right w:val="nil"/>
            </w:tcBorders>
            <w:shd w:val="clear" w:color="000000" w:fill="FFFFFF"/>
            <w:noWrap/>
            <w:vAlign w:val="center"/>
            <w:hideMark/>
          </w:tcPr>
          <w:p w14:paraId="05DD84DB" w14:textId="77777777" w:rsidR="00764626" w:rsidRPr="00764626" w:rsidRDefault="00764626" w:rsidP="007C4BA6">
            <w:pPr>
              <w:jc w:val="right"/>
              <w:rPr>
                <w:rFonts w:ascii="Verdana" w:eastAsia="Times New Roman" w:hAnsi="Verdana" w:cs="Times New Roman"/>
                <w:b/>
                <w:bCs/>
                <w:color w:val="000000"/>
                <w:sz w:val="16"/>
                <w:szCs w:val="16"/>
                <w:lang w:val="en-GB" w:eastAsia="en-GB"/>
              </w:rPr>
            </w:pPr>
            <w:r w:rsidRPr="00764626">
              <w:rPr>
                <w:rFonts w:ascii="Verdana" w:eastAsia="Times New Roman" w:hAnsi="Verdana" w:cs="Times New Roman"/>
                <w:b/>
                <w:bCs/>
                <w:color w:val="000000"/>
                <w:sz w:val="16"/>
                <w:szCs w:val="16"/>
                <w:lang w:val="en-GB" w:eastAsia="en-GB"/>
              </w:rPr>
              <w:t>31,264</w:t>
            </w:r>
          </w:p>
        </w:tc>
      </w:tr>
      <w:tr w:rsidR="00764626" w:rsidRPr="00FE0665" w14:paraId="38915188" w14:textId="77777777" w:rsidTr="00764626">
        <w:trPr>
          <w:trHeight w:val="300"/>
          <w:jc w:val="center"/>
        </w:trPr>
        <w:tc>
          <w:tcPr>
            <w:tcW w:w="1480" w:type="dxa"/>
            <w:tcBorders>
              <w:top w:val="nil"/>
              <w:left w:val="nil"/>
              <w:bottom w:val="nil"/>
              <w:right w:val="nil"/>
            </w:tcBorders>
            <w:shd w:val="clear" w:color="000000" w:fill="FFFFFF"/>
            <w:noWrap/>
            <w:vAlign w:val="center"/>
            <w:hideMark/>
          </w:tcPr>
          <w:p w14:paraId="0755EE47" w14:textId="77777777" w:rsidR="00764626" w:rsidRPr="00764626" w:rsidRDefault="00764626" w:rsidP="007C4BA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 </w:t>
            </w:r>
          </w:p>
        </w:tc>
        <w:tc>
          <w:tcPr>
            <w:tcW w:w="4720" w:type="dxa"/>
            <w:tcBorders>
              <w:top w:val="nil"/>
              <w:left w:val="nil"/>
              <w:bottom w:val="nil"/>
              <w:right w:val="nil"/>
            </w:tcBorders>
            <w:shd w:val="clear" w:color="000000" w:fill="FFFFFF"/>
            <w:noWrap/>
            <w:vAlign w:val="center"/>
            <w:hideMark/>
          </w:tcPr>
          <w:p w14:paraId="2E30E72C" w14:textId="77777777" w:rsidR="00764626" w:rsidRPr="00764626" w:rsidRDefault="00764626" w:rsidP="007C4BA6">
            <w:pPr>
              <w:rPr>
                <w:rFonts w:ascii="Verdana" w:eastAsia="Times New Roman" w:hAnsi="Verdana" w:cs="Times New Roman"/>
                <w:b/>
                <w:bCs/>
                <w:color w:val="000000"/>
                <w:sz w:val="16"/>
                <w:szCs w:val="16"/>
                <w:lang w:val="en-GB" w:eastAsia="en-GB"/>
              </w:rPr>
            </w:pPr>
            <w:r w:rsidRPr="00764626">
              <w:rPr>
                <w:rFonts w:ascii="Verdana" w:eastAsia="Times New Roman" w:hAnsi="Verdana" w:cs="Times New Roman"/>
                <w:b/>
                <w:bCs/>
                <w:color w:val="000000"/>
                <w:sz w:val="16"/>
                <w:szCs w:val="16"/>
                <w:lang w:val="en-GB" w:eastAsia="en-GB"/>
              </w:rPr>
              <w:t>DEBT SECURITIES</w:t>
            </w:r>
          </w:p>
        </w:tc>
        <w:tc>
          <w:tcPr>
            <w:tcW w:w="1560" w:type="dxa"/>
            <w:tcBorders>
              <w:top w:val="nil"/>
              <w:left w:val="nil"/>
              <w:bottom w:val="nil"/>
              <w:right w:val="nil"/>
            </w:tcBorders>
            <w:shd w:val="clear" w:color="000000" w:fill="FFFFFF"/>
            <w:noWrap/>
            <w:vAlign w:val="center"/>
            <w:hideMark/>
          </w:tcPr>
          <w:p w14:paraId="0912FD6F" w14:textId="77777777" w:rsidR="00764626" w:rsidRPr="00764626" w:rsidRDefault="00764626" w:rsidP="007C4BA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 </w:t>
            </w:r>
          </w:p>
        </w:tc>
      </w:tr>
      <w:tr w:rsidR="00764626" w:rsidRPr="00FE0665" w14:paraId="63CD6C61" w14:textId="77777777" w:rsidTr="00764626">
        <w:trPr>
          <w:trHeight w:val="300"/>
          <w:jc w:val="center"/>
        </w:trPr>
        <w:tc>
          <w:tcPr>
            <w:tcW w:w="1480" w:type="dxa"/>
            <w:tcBorders>
              <w:top w:val="nil"/>
              <w:left w:val="nil"/>
              <w:bottom w:val="nil"/>
              <w:right w:val="nil"/>
            </w:tcBorders>
            <w:shd w:val="clear" w:color="000000" w:fill="FFFFFF"/>
            <w:noWrap/>
            <w:vAlign w:val="center"/>
            <w:hideMark/>
          </w:tcPr>
          <w:p w14:paraId="07F29D80" w14:textId="77777777" w:rsidR="00764626" w:rsidRPr="00764626" w:rsidRDefault="00764626" w:rsidP="007C4BA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15,412</w:t>
            </w:r>
          </w:p>
        </w:tc>
        <w:tc>
          <w:tcPr>
            <w:tcW w:w="4720" w:type="dxa"/>
            <w:tcBorders>
              <w:top w:val="nil"/>
              <w:left w:val="nil"/>
              <w:bottom w:val="nil"/>
              <w:right w:val="nil"/>
            </w:tcBorders>
            <w:shd w:val="clear" w:color="000000" w:fill="FFFFFF"/>
            <w:noWrap/>
            <w:vAlign w:val="center"/>
            <w:hideMark/>
          </w:tcPr>
          <w:p w14:paraId="0190F04D" w14:textId="77777777" w:rsidR="00764626" w:rsidRPr="00764626" w:rsidRDefault="00764626" w:rsidP="007C4BA6">
            <w:pPr>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UK Government</w:t>
            </w:r>
          </w:p>
        </w:tc>
        <w:tc>
          <w:tcPr>
            <w:tcW w:w="1560" w:type="dxa"/>
            <w:tcBorders>
              <w:top w:val="nil"/>
              <w:left w:val="nil"/>
              <w:bottom w:val="nil"/>
              <w:right w:val="nil"/>
            </w:tcBorders>
            <w:shd w:val="clear" w:color="000000" w:fill="FFFFFF"/>
            <w:noWrap/>
            <w:vAlign w:val="center"/>
            <w:hideMark/>
          </w:tcPr>
          <w:p w14:paraId="5624FB66" w14:textId="77777777" w:rsidR="00764626" w:rsidRPr="00764626" w:rsidRDefault="00764626" w:rsidP="007C4BA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16,628</w:t>
            </w:r>
          </w:p>
        </w:tc>
      </w:tr>
      <w:tr w:rsidR="00764626" w:rsidRPr="00FE0665" w14:paraId="5EC06F88" w14:textId="77777777" w:rsidTr="00764626">
        <w:trPr>
          <w:trHeight w:val="300"/>
          <w:jc w:val="center"/>
        </w:trPr>
        <w:tc>
          <w:tcPr>
            <w:tcW w:w="1480" w:type="dxa"/>
            <w:tcBorders>
              <w:top w:val="single" w:sz="4" w:space="0" w:color="auto"/>
              <w:left w:val="nil"/>
              <w:bottom w:val="single" w:sz="8" w:space="0" w:color="auto"/>
              <w:right w:val="nil"/>
            </w:tcBorders>
            <w:shd w:val="clear" w:color="000000" w:fill="FFFFFF"/>
            <w:noWrap/>
            <w:vAlign w:val="center"/>
            <w:hideMark/>
          </w:tcPr>
          <w:p w14:paraId="209792F6" w14:textId="77777777" w:rsidR="00764626" w:rsidRPr="00764626" w:rsidRDefault="00764626" w:rsidP="007C4BA6">
            <w:pPr>
              <w:jc w:val="right"/>
              <w:rPr>
                <w:rFonts w:ascii="Verdana" w:eastAsia="Times New Roman" w:hAnsi="Verdana" w:cs="Times New Roman"/>
                <w:b/>
                <w:bCs/>
                <w:color w:val="000000"/>
                <w:sz w:val="16"/>
                <w:szCs w:val="16"/>
                <w:lang w:val="en-GB" w:eastAsia="en-GB"/>
              </w:rPr>
            </w:pPr>
            <w:r w:rsidRPr="00764626">
              <w:rPr>
                <w:rFonts w:ascii="Verdana" w:eastAsia="Times New Roman" w:hAnsi="Verdana" w:cs="Times New Roman"/>
                <w:b/>
                <w:bCs/>
                <w:color w:val="000000"/>
                <w:sz w:val="16"/>
                <w:szCs w:val="16"/>
                <w:lang w:val="en-GB" w:eastAsia="en-GB"/>
              </w:rPr>
              <w:t>15,412</w:t>
            </w:r>
          </w:p>
        </w:tc>
        <w:tc>
          <w:tcPr>
            <w:tcW w:w="4720" w:type="dxa"/>
            <w:tcBorders>
              <w:top w:val="single" w:sz="4" w:space="0" w:color="auto"/>
              <w:left w:val="nil"/>
              <w:bottom w:val="single" w:sz="8" w:space="0" w:color="auto"/>
              <w:right w:val="nil"/>
            </w:tcBorders>
            <w:shd w:val="clear" w:color="000000" w:fill="FFFFFF"/>
            <w:noWrap/>
            <w:vAlign w:val="center"/>
            <w:hideMark/>
          </w:tcPr>
          <w:p w14:paraId="71EDB1B1" w14:textId="77777777" w:rsidR="00764626" w:rsidRPr="00764626" w:rsidRDefault="00764626" w:rsidP="007C4BA6">
            <w:pPr>
              <w:rPr>
                <w:rFonts w:ascii="Verdana" w:eastAsia="Times New Roman" w:hAnsi="Verdana" w:cs="Times New Roman"/>
                <w:b/>
                <w:bCs/>
                <w:color w:val="000000"/>
                <w:sz w:val="16"/>
                <w:szCs w:val="16"/>
                <w:lang w:val="en-GB" w:eastAsia="en-GB"/>
              </w:rPr>
            </w:pPr>
            <w:r w:rsidRPr="00764626">
              <w:rPr>
                <w:rFonts w:ascii="Verdana" w:eastAsia="Times New Roman" w:hAnsi="Verdana" w:cs="Times New Roman"/>
                <w:b/>
                <w:bCs/>
                <w:color w:val="000000"/>
                <w:sz w:val="16"/>
                <w:szCs w:val="16"/>
                <w:lang w:val="en-GB" w:eastAsia="en-GB"/>
              </w:rPr>
              <w:t>Subtotal  DEBT SECURITIES</w:t>
            </w:r>
          </w:p>
        </w:tc>
        <w:tc>
          <w:tcPr>
            <w:tcW w:w="1560" w:type="dxa"/>
            <w:tcBorders>
              <w:top w:val="single" w:sz="4" w:space="0" w:color="auto"/>
              <w:left w:val="nil"/>
              <w:bottom w:val="single" w:sz="8" w:space="0" w:color="auto"/>
              <w:right w:val="nil"/>
            </w:tcBorders>
            <w:shd w:val="clear" w:color="000000" w:fill="FFFFFF"/>
            <w:noWrap/>
            <w:vAlign w:val="center"/>
            <w:hideMark/>
          </w:tcPr>
          <w:p w14:paraId="55C0C132" w14:textId="77777777" w:rsidR="00764626" w:rsidRPr="00764626" w:rsidRDefault="00764626" w:rsidP="007C4BA6">
            <w:pPr>
              <w:jc w:val="right"/>
              <w:rPr>
                <w:rFonts w:ascii="Verdana" w:eastAsia="Times New Roman" w:hAnsi="Verdana" w:cs="Times New Roman"/>
                <w:b/>
                <w:bCs/>
                <w:color w:val="000000"/>
                <w:sz w:val="16"/>
                <w:szCs w:val="16"/>
                <w:lang w:val="en-GB" w:eastAsia="en-GB"/>
              </w:rPr>
            </w:pPr>
            <w:r w:rsidRPr="00764626">
              <w:rPr>
                <w:rFonts w:ascii="Verdana" w:eastAsia="Times New Roman" w:hAnsi="Verdana" w:cs="Times New Roman"/>
                <w:b/>
                <w:bCs/>
                <w:color w:val="000000"/>
                <w:sz w:val="16"/>
                <w:szCs w:val="16"/>
                <w:lang w:val="en-GB" w:eastAsia="en-GB"/>
              </w:rPr>
              <w:t>16,628</w:t>
            </w:r>
          </w:p>
        </w:tc>
      </w:tr>
      <w:tr w:rsidR="00764626" w:rsidRPr="00FE0665" w14:paraId="45DCC61A" w14:textId="77777777" w:rsidTr="00764626">
        <w:trPr>
          <w:trHeight w:val="300"/>
          <w:jc w:val="center"/>
        </w:trPr>
        <w:tc>
          <w:tcPr>
            <w:tcW w:w="1480" w:type="dxa"/>
            <w:tcBorders>
              <w:top w:val="nil"/>
              <w:left w:val="nil"/>
              <w:bottom w:val="nil"/>
              <w:right w:val="nil"/>
            </w:tcBorders>
            <w:shd w:val="clear" w:color="000000" w:fill="FFFFFF"/>
            <w:noWrap/>
            <w:vAlign w:val="center"/>
            <w:hideMark/>
          </w:tcPr>
          <w:p w14:paraId="2FFCF5A4" w14:textId="77777777" w:rsidR="00764626" w:rsidRPr="00764626" w:rsidRDefault="00764626" w:rsidP="007C4BA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 </w:t>
            </w:r>
          </w:p>
        </w:tc>
        <w:tc>
          <w:tcPr>
            <w:tcW w:w="4720" w:type="dxa"/>
            <w:tcBorders>
              <w:top w:val="nil"/>
              <w:left w:val="nil"/>
              <w:bottom w:val="nil"/>
              <w:right w:val="nil"/>
            </w:tcBorders>
            <w:shd w:val="clear" w:color="000000" w:fill="FFFFFF"/>
            <w:noWrap/>
            <w:vAlign w:val="center"/>
            <w:hideMark/>
          </w:tcPr>
          <w:p w14:paraId="3F49D194" w14:textId="77777777" w:rsidR="00764626" w:rsidRPr="00764626" w:rsidRDefault="00764626" w:rsidP="007C4BA6">
            <w:pPr>
              <w:rPr>
                <w:rFonts w:ascii="Verdana" w:eastAsia="Times New Roman" w:hAnsi="Verdana" w:cs="Times New Roman"/>
                <w:b/>
                <w:bCs/>
                <w:color w:val="000000"/>
                <w:sz w:val="16"/>
                <w:szCs w:val="16"/>
                <w:lang w:val="en-GB" w:eastAsia="en-GB"/>
              </w:rPr>
            </w:pPr>
            <w:r w:rsidRPr="00764626">
              <w:rPr>
                <w:rFonts w:ascii="Verdana" w:eastAsia="Times New Roman" w:hAnsi="Verdana" w:cs="Times New Roman"/>
                <w:b/>
                <w:bCs/>
                <w:color w:val="000000"/>
                <w:sz w:val="16"/>
                <w:szCs w:val="16"/>
                <w:lang w:val="en-GB" w:eastAsia="en-GB"/>
              </w:rPr>
              <w:t>PRIVATE EQUITY</w:t>
            </w:r>
          </w:p>
        </w:tc>
        <w:tc>
          <w:tcPr>
            <w:tcW w:w="1560" w:type="dxa"/>
            <w:tcBorders>
              <w:top w:val="nil"/>
              <w:left w:val="nil"/>
              <w:bottom w:val="nil"/>
              <w:right w:val="nil"/>
            </w:tcBorders>
            <w:shd w:val="clear" w:color="000000" w:fill="FFFFFF"/>
            <w:noWrap/>
            <w:vAlign w:val="center"/>
            <w:hideMark/>
          </w:tcPr>
          <w:p w14:paraId="48497A11" w14:textId="77777777" w:rsidR="00764626" w:rsidRPr="00764626" w:rsidRDefault="00764626" w:rsidP="007C4BA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 </w:t>
            </w:r>
          </w:p>
        </w:tc>
      </w:tr>
      <w:tr w:rsidR="00764626" w:rsidRPr="00FE0665" w14:paraId="01355DAE" w14:textId="77777777" w:rsidTr="00764626">
        <w:trPr>
          <w:trHeight w:val="300"/>
          <w:jc w:val="center"/>
        </w:trPr>
        <w:tc>
          <w:tcPr>
            <w:tcW w:w="1480" w:type="dxa"/>
            <w:tcBorders>
              <w:top w:val="nil"/>
              <w:left w:val="nil"/>
              <w:bottom w:val="nil"/>
              <w:right w:val="nil"/>
            </w:tcBorders>
            <w:shd w:val="clear" w:color="000000" w:fill="FFFFFF"/>
            <w:noWrap/>
            <w:vAlign w:val="center"/>
            <w:hideMark/>
          </w:tcPr>
          <w:p w14:paraId="7EADBF75" w14:textId="77777777" w:rsidR="00764626" w:rsidRPr="00764626" w:rsidRDefault="00764626" w:rsidP="007C4BA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21,807</w:t>
            </w:r>
          </w:p>
        </w:tc>
        <w:tc>
          <w:tcPr>
            <w:tcW w:w="4720" w:type="dxa"/>
            <w:tcBorders>
              <w:top w:val="nil"/>
              <w:left w:val="nil"/>
              <w:bottom w:val="nil"/>
              <w:right w:val="nil"/>
            </w:tcBorders>
            <w:shd w:val="clear" w:color="000000" w:fill="FFFFFF"/>
            <w:noWrap/>
            <w:vAlign w:val="center"/>
            <w:hideMark/>
          </w:tcPr>
          <w:p w14:paraId="6A96D9CC" w14:textId="77777777" w:rsidR="00764626" w:rsidRPr="00764626" w:rsidRDefault="00764626" w:rsidP="007C4BA6">
            <w:pPr>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All</w:t>
            </w:r>
          </w:p>
        </w:tc>
        <w:tc>
          <w:tcPr>
            <w:tcW w:w="1560" w:type="dxa"/>
            <w:tcBorders>
              <w:top w:val="nil"/>
              <w:left w:val="nil"/>
              <w:bottom w:val="nil"/>
              <w:right w:val="nil"/>
            </w:tcBorders>
            <w:shd w:val="clear" w:color="000000" w:fill="FFFFFF"/>
            <w:noWrap/>
            <w:vAlign w:val="center"/>
            <w:hideMark/>
          </w:tcPr>
          <w:p w14:paraId="63A6631E" w14:textId="77777777" w:rsidR="00764626" w:rsidRPr="00764626" w:rsidRDefault="00764626" w:rsidP="007C4BA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24,611</w:t>
            </w:r>
          </w:p>
        </w:tc>
      </w:tr>
      <w:tr w:rsidR="00764626" w:rsidRPr="00FE0665" w14:paraId="7E93D7B1" w14:textId="77777777" w:rsidTr="00764626">
        <w:trPr>
          <w:trHeight w:val="300"/>
          <w:jc w:val="center"/>
        </w:trPr>
        <w:tc>
          <w:tcPr>
            <w:tcW w:w="1480" w:type="dxa"/>
            <w:tcBorders>
              <w:top w:val="single" w:sz="4" w:space="0" w:color="auto"/>
              <w:left w:val="nil"/>
              <w:bottom w:val="single" w:sz="8" w:space="0" w:color="auto"/>
              <w:right w:val="nil"/>
            </w:tcBorders>
            <w:shd w:val="clear" w:color="000000" w:fill="FFFFFF"/>
            <w:noWrap/>
            <w:vAlign w:val="center"/>
            <w:hideMark/>
          </w:tcPr>
          <w:p w14:paraId="72BAA0EE" w14:textId="77777777" w:rsidR="00764626" w:rsidRPr="00764626" w:rsidRDefault="00764626" w:rsidP="007C4BA6">
            <w:pPr>
              <w:jc w:val="right"/>
              <w:rPr>
                <w:rFonts w:ascii="Verdana" w:eastAsia="Times New Roman" w:hAnsi="Verdana" w:cs="Times New Roman"/>
                <w:b/>
                <w:bCs/>
                <w:color w:val="000000"/>
                <w:sz w:val="16"/>
                <w:szCs w:val="16"/>
                <w:lang w:val="en-GB" w:eastAsia="en-GB"/>
              </w:rPr>
            </w:pPr>
            <w:r w:rsidRPr="00764626">
              <w:rPr>
                <w:rFonts w:ascii="Verdana" w:eastAsia="Times New Roman" w:hAnsi="Verdana" w:cs="Times New Roman"/>
                <w:b/>
                <w:bCs/>
                <w:color w:val="000000"/>
                <w:sz w:val="16"/>
                <w:szCs w:val="16"/>
                <w:lang w:val="en-GB" w:eastAsia="en-GB"/>
              </w:rPr>
              <w:t>21,807</w:t>
            </w:r>
          </w:p>
        </w:tc>
        <w:tc>
          <w:tcPr>
            <w:tcW w:w="4720" w:type="dxa"/>
            <w:tcBorders>
              <w:top w:val="single" w:sz="4" w:space="0" w:color="auto"/>
              <w:left w:val="nil"/>
              <w:bottom w:val="single" w:sz="8" w:space="0" w:color="auto"/>
              <w:right w:val="nil"/>
            </w:tcBorders>
            <w:shd w:val="clear" w:color="000000" w:fill="FFFFFF"/>
            <w:noWrap/>
            <w:vAlign w:val="center"/>
            <w:hideMark/>
          </w:tcPr>
          <w:p w14:paraId="7CBCC39E" w14:textId="77777777" w:rsidR="00764626" w:rsidRPr="00764626" w:rsidRDefault="00764626" w:rsidP="007C4BA6">
            <w:pPr>
              <w:rPr>
                <w:rFonts w:ascii="Verdana" w:eastAsia="Times New Roman" w:hAnsi="Verdana" w:cs="Times New Roman"/>
                <w:b/>
                <w:bCs/>
                <w:color w:val="000000"/>
                <w:sz w:val="16"/>
                <w:szCs w:val="16"/>
                <w:lang w:val="en-GB" w:eastAsia="en-GB"/>
              </w:rPr>
            </w:pPr>
            <w:r w:rsidRPr="00764626">
              <w:rPr>
                <w:rFonts w:ascii="Verdana" w:eastAsia="Times New Roman" w:hAnsi="Verdana" w:cs="Times New Roman"/>
                <w:b/>
                <w:bCs/>
                <w:color w:val="000000"/>
                <w:sz w:val="16"/>
                <w:szCs w:val="16"/>
                <w:lang w:val="en-GB" w:eastAsia="en-GB"/>
              </w:rPr>
              <w:t xml:space="preserve">Subtotal  PRIVATE EQUITY </w:t>
            </w:r>
          </w:p>
        </w:tc>
        <w:tc>
          <w:tcPr>
            <w:tcW w:w="1560" w:type="dxa"/>
            <w:tcBorders>
              <w:top w:val="single" w:sz="4" w:space="0" w:color="auto"/>
              <w:left w:val="nil"/>
              <w:bottom w:val="single" w:sz="8" w:space="0" w:color="auto"/>
              <w:right w:val="nil"/>
            </w:tcBorders>
            <w:shd w:val="clear" w:color="000000" w:fill="FFFFFF"/>
            <w:noWrap/>
            <w:vAlign w:val="center"/>
            <w:hideMark/>
          </w:tcPr>
          <w:p w14:paraId="30AD2C93" w14:textId="77777777" w:rsidR="00764626" w:rsidRPr="00764626" w:rsidRDefault="00764626" w:rsidP="007C4BA6">
            <w:pPr>
              <w:jc w:val="right"/>
              <w:rPr>
                <w:rFonts w:ascii="Verdana" w:eastAsia="Times New Roman" w:hAnsi="Verdana" w:cs="Times New Roman"/>
                <w:b/>
                <w:bCs/>
                <w:color w:val="000000"/>
                <w:sz w:val="16"/>
                <w:szCs w:val="16"/>
                <w:lang w:val="en-GB" w:eastAsia="en-GB"/>
              </w:rPr>
            </w:pPr>
            <w:r w:rsidRPr="00764626">
              <w:rPr>
                <w:rFonts w:ascii="Verdana" w:eastAsia="Times New Roman" w:hAnsi="Verdana" w:cs="Times New Roman"/>
                <w:b/>
                <w:bCs/>
                <w:color w:val="000000"/>
                <w:sz w:val="16"/>
                <w:szCs w:val="16"/>
                <w:lang w:val="en-GB" w:eastAsia="en-GB"/>
              </w:rPr>
              <w:t>24,611</w:t>
            </w:r>
          </w:p>
        </w:tc>
      </w:tr>
      <w:tr w:rsidR="00764626" w:rsidRPr="00FE0665" w14:paraId="37CF792F" w14:textId="77777777" w:rsidTr="00764626">
        <w:trPr>
          <w:trHeight w:val="300"/>
          <w:jc w:val="center"/>
        </w:trPr>
        <w:tc>
          <w:tcPr>
            <w:tcW w:w="1480" w:type="dxa"/>
            <w:tcBorders>
              <w:top w:val="nil"/>
              <w:left w:val="nil"/>
              <w:bottom w:val="nil"/>
              <w:right w:val="nil"/>
            </w:tcBorders>
            <w:shd w:val="clear" w:color="000000" w:fill="FFFFFF"/>
            <w:noWrap/>
            <w:vAlign w:val="center"/>
            <w:hideMark/>
          </w:tcPr>
          <w:p w14:paraId="492B6CA5" w14:textId="77777777" w:rsidR="00764626" w:rsidRPr="00764626" w:rsidRDefault="00764626" w:rsidP="007C4BA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 </w:t>
            </w:r>
          </w:p>
        </w:tc>
        <w:tc>
          <w:tcPr>
            <w:tcW w:w="4720" w:type="dxa"/>
            <w:tcBorders>
              <w:top w:val="nil"/>
              <w:left w:val="nil"/>
              <w:bottom w:val="nil"/>
              <w:right w:val="nil"/>
            </w:tcBorders>
            <w:shd w:val="clear" w:color="000000" w:fill="FFFFFF"/>
            <w:noWrap/>
            <w:vAlign w:val="center"/>
            <w:hideMark/>
          </w:tcPr>
          <w:p w14:paraId="21519F03" w14:textId="77777777" w:rsidR="00764626" w:rsidRPr="00764626" w:rsidRDefault="00764626" w:rsidP="007C4BA6">
            <w:pPr>
              <w:rPr>
                <w:rFonts w:ascii="Verdana" w:eastAsia="Times New Roman" w:hAnsi="Verdana" w:cs="Times New Roman"/>
                <w:b/>
                <w:bCs/>
                <w:color w:val="000000"/>
                <w:sz w:val="16"/>
                <w:szCs w:val="16"/>
                <w:lang w:val="en-GB" w:eastAsia="en-GB"/>
              </w:rPr>
            </w:pPr>
            <w:r w:rsidRPr="00764626">
              <w:rPr>
                <w:rFonts w:ascii="Verdana" w:eastAsia="Times New Roman" w:hAnsi="Verdana" w:cs="Times New Roman"/>
                <w:b/>
                <w:bCs/>
                <w:color w:val="000000"/>
                <w:sz w:val="16"/>
                <w:szCs w:val="16"/>
                <w:lang w:val="en-GB" w:eastAsia="en-GB"/>
              </w:rPr>
              <w:t>REAL ESTATE</w:t>
            </w:r>
          </w:p>
        </w:tc>
        <w:tc>
          <w:tcPr>
            <w:tcW w:w="1560" w:type="dxa"/>
            <w:tcBorders>
              <w:top w:val="nil"/>
              <w:left w:val="nil"/>
              <w:bottom w:val="nil"/>
              <w:right w:val="nil"/>
            </w:tcBorders>
            <w:shd w:val="clear" w:color="000000" w:fill="FFFFFF"/>
            <w:noWrap/>
            <w:vAlign w:val="center"/>
            <w:hideMark/>
          </w:tcPr>
          <w:p w14:paraId="713C77DE" w14:textId="77777777" w:rsidR="00764626" w:rsidRPr="00764626" w:rsidRDefault="00764626" w:rsidP="007C4BA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 </w:t>
            </w:r>
          </w:p>
        </w:tc>
      </w:tr>
      <w:tr w:rsidR="00764626" w:rsidRPr="00FE0665" w14:paraId="21CF5C9A" w14:textId="77777777" w:rsidTr="00764626">
        <w:trPr>
          <w:trHeight w:val="300"/>
          <w:jc w:val="center"/>
        </w:trPr>
        <w:tc>
          <w:tcPr>
            <w:tcW w:w="1480" w:type="dxa"/>
            <w:tcBorders>
              <w:top w:val="nil"/>
              <w:left w:val="nil"/>
              <w:bottom w:val="nil"/>
              <w:right w:val="nil"/>
            </w:tcBorders>
            <w:shd w:val="clear" w:color="000000" w:fill="FFFFFF"/>
            <w:noWrap/>
            <w:vAlign w:val="center"/>
            <w:hideMark/>
          </w:tcPr>
          <w:p w14:paraId="2854D083" w14:textId="77777777" w:rsidR="00764626" w:rsidRPr="00764626" w:rsidRDefault="00764626" w:rsidP="007C4BA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13,643</w:t>
            </w:r>
          </w:p>
        </w:tc>
        <w:tc>
          <w:tcPr>
            <w:tcW w:w="4720" w:type="dxa"/>
            <w:tcBorders>
              <w:top w:val="nil"/>
              <w:left w:val="nil"/>
              <w:bottom w:val="nil"/>
              <w:right w:val="nil"/>
            </w:tcBorders>
            <w:shd w:val="clear" w:color="000000" w:fill="FFFFFF"/>
            <w:noWrap/>
            <w:vAlign w:val="center"/>
            <w:hideMark/>
          </w:tcPr>
          <w:p w14:paraId="58CFFC98" w14:textId="77777777" w:rsidR="00764626" w:rsidRPr="00764626" w:rsidRDefault="00764626" w:rsidP="007C4BA6">
            <w:pPr>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UK Property</w:t>
            </w:r>
          </w:p>
        </w:tc>
        <w:tc>
          <w:tcPr>
            <w:tcW w:w="1560" w:type="dxa"/>
            <w:tcBorders>
              <w:top w:val="nil"/>
              <w:left w:val="nil"/>
              <w:bottom w:val="nil"/>
              <w:right w:val="nil"/>
            </w:tcBorders>
            <w:shd w:val="clear" w:color="000000" w:fill="FFFFFF"/>
            <w:noWrap/>
            <w:vAlign w:val="center"/>
            <w:hideMark/>
          </w:tcPr>
          <w:p w14:paraId="0C39D5E5" w14:textId="77777777" w:rsidR="00764626" w:rsidRPr="00764626" w:rsidRDefault="00764626" w:rsidP="007C4BA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13,007</w:t>
            </w:r>
          </w:p>
        </w:tc>
      </w:tr>
      <w:tr w:rsidR="00764626" w:rsidRPr="00FE0665" w14:paraId="64B71341" w14:textId="77777777" w:rsidTr="00764626">
        <w:trPr>
          <w:trHeight w:val="300"/>
          <w:jc w:val="center"/>
        </w:trPr>
        <w:tc>
          <w:tcPr>
            <w:tcW w:w="1480" w:type="dxa"/>
            <w:tcBorders>
              <w:top w:val="nil"/>
              <w:left w:val="nil"/>
              <w:bottom w:val="nil"/>
              <w:right w:val="nil"/>
            </w:tcBorders>
            <w:shd w:val="clear" w:color="000000" w:fill="FFFFFF"/>
            <w:noWrap/>
            <w:vAlign w:val="center"/>
            <w:hideMark/>
          </w:tcPr>
          <w:p w14:paraId="1207925E" w14:textId="77777777" w:rsidR="00764626" w:rsidRPr="00764626" w:rsidRDefault="00764626" w:rsidP="007C4BA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5,989</w:t>
            </w:r>
          </w:p>
        </w:tc>
        <w:tc>
          <w:tcPr>
            <w:tcW w:w="4720" w:type="dxa"/>
            <w:tcBorders>
              <w:top w:val="nil"/>
              <w:left w:val="nil"/>
              <w:bottom w:val="nil"/>
              <w:right w:val="nil"/>
            </w:tcBorders>
            <w:shd w:val="clear" w:color="000000" w:fill="FFFFFF"/>
            <w:noWrap/>
            <w:vAlign w:val="center"/>
            <w:hideMark/>
          </w:tcPr>
          <w:p w14:paraId="4786E768" w14:textId="77777777" w:rsidR="00764626" w:rsidRPr="00764626" w:rsidRDefault="00764626" w:rsidP="007C4BA6">
            <w:pPr>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Overseas Property</w:t>
            </w:r>
          </w:p>
        </w:tc>
        <w:tc>
          <w:tcPr>
            <w:tcW w:w="1560" w:type="dxa"/>
            <w:tcBorders>
              <w:top w:val="nil"/>
              <w:left w:val="nil"/>
              <w:bottom w:val="nil"/>
              <w:right w:val="nil"/>
            </w:tcBorders>
            <w:shd w:val="clear" w:color="000000" w:fill="FFFFFF"/>
            <w:noWrap/>
            <w:vAlign w:val="center"/>
            <w:hideMark/>
          </w:tcPr>
          <w:p w14:paraId="45EB08A2" w14:textId="77777777" w:rsidR="00764626" w:rsidRPr="00764626" w:rsidRDefault="00764626" w:rsidP="007C4BA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6,337</w:t>
            </w:r>
          </w:p>
        </w:tc>
      </w:tr>
      <w:tr w:rsidR="00764626" w:rsidRPr="00FE0665" w14:paraId="13258750" w14:textId="77777777" w:rsidTr="00764626">
        <w:trPr>
          <w:trHeight w:val="300"/>
          <w:jc w:val="center"/>
        </w:trPr>
        <w:tc>
          <w:tcPr>
            <w:tcW w:w="1480" w:type="dxa"/>
            <w:tcBorders>
              <w:top w:val="single" w:sz="4" w:space="0" w:color="auto"/>
              <w:left w:val="nil"/>
              <w:bottom w:val="single" w:sz="8" w:space="0" w:color="auto"/>
              <w:right w:val="nil"/>
            </w:tcBorders>
            <w:shd w:val="clear" w:color="000000" w:fill="FFFFFF"/>
            <w:noWrap/>
            <w:vAlign w:val="center"/>
            <w:hideMark/>
          </w:tcPr>
          <w:p w14:paraId="38CC5F6E" w14:textId="77777777" w:rsidR="00764626" w:rsidRPr="00764626" w:rsidRDefault="00764626" w:rsidP="007C4BA6">
            <w:pPr>
              <w:jc w:val="right"/>
              <w:rPr>
                <w:rFonts w:ascii="Verdana" w:eastAsia="Times New Roman" w:hAnsi="Verdana" w:cs="Times New Roman"/>
                <w:b/>
                <w:bCs/>
                <w:color w:val="000000"/>
                <w:sz w:val="16"/>
                <w:szCs w:val="16"/>
                <w:lang w:val="en-GB" w:eastAsia="en-GB"/>
              </w:rPr>
            </w:pPr>
            <w:r w:rsidRPr="00764626">
              <w:rPr>
                <w:rFonts w:ascii="Verdana" w:eastAsia="Times New Roman" w:hAnsi="Verdana" w:cs="Times New Roman"/>
                <w:b/>
                <w:bCs/>
                <w:color w:val="000000"/>
                <w:sz w:val="16"/>
                <w:szCs w:val="16"/>
                <w:lang w:val="en-GB" w:eastAsia="en-GB"/>
              </w:rPr>
              <w:t>19,632</w:t>
            </w:r>
          </w:p>
        </w:tc>
        <w:tc>
          <w:tcPr>
            <w:tcW w:w="4720" w:type="dxa"/>
            <w:tcBorders>
              <w:top w:val="single" w:sz="4" w:space="0" w:color="auto"/>
              <w:left w:val="nil"/>
              <w:bottom w:val="single" w:sz="8" w:space="0" w:color="auto"/>
              <w:right w:val="nil"/>
            </w:tcBorders>
            <w:shd w:val="clear" w:color="000000" w:fill="FFFFFF"/>
            <w:noWrap/>
            <w:vAlign w:val="center"/>
            <w:hideMark/>
          </w:tcPr>
          <w:p w14:paraId="1375DBA6" w14:textId="77777777" w:rsidR="00764626" w:rsidRPr="00764626" w:rsidRDefault="00764626" w:rsidP="007C4BA6">
            <w:pPr>
              <w:rPr>
                <w:rFonts w:ascii="Verdana" w:eastAsia="Times New Roman" w:hAnsi="Verdana" w:cs="Times New Roman"/>
                <w:b/>
                <w:bCs/>
                <w:color w:val="000000"/>
                <w:sz w:val="16"/>
                <w:szCs w:val="16"/>
                <w:lang w:val="en-GB" w:eastAsia="en-GB"/>
              </w:rPr>
            </w:pPr>
            <w:r w:rsidRPr="00764626">
              <w:rPr>
                <w:rFonts w:ascii="Verdana" w:eastAsia="Times New Roman" w:hAnsi="Verdana" w:cs="Times New Roman"/>
                <w:b/>
                <w:bCs/>
                <w:color w:val="000000"/>
                <w:sz w:val="16"/>
                <w:szCs w:val="16"/>
                <w:lang w:val="en-GB" w:eastAsia="en-GB"/>
              </w:rPr>
              <w:t>Subtotal REAL ESTATE</w:t>
            </w:r>
          </w:p>
        </w:tc>
        <w:tc>
          <w:tcPr>
            <w:tcW w:w="1560" w:type="dxa"/>
            <w:tcBorders>
              <w:top w:val="single" w:sz="4" w:space="0" w:color="auto"/>
              <w:left w:val="nil"/>
              <w:bottom w:val="single" w:sz="8" w:space="0" w:color="auto"/>
              <w:right w:val="nil"/>
            </w:tcBorders>
            <w:shd w:val="clear" w:color="000000" w:fill="FFFFFF"/>
            <w:noWrap/>
            <w:vAlign w:val="center"/>
            <w:hideMark/>
          </w:tcPr>
          <w:p w14:paraId="3ED1D6AD" w14:textId="77777777" w:rsidR="00764626" w:rsidRPr="00764626" w:rsidRDefault="00764626" w:rsidP="007C4BA6">
            <w:pPr>
              <w:jc w:val="right"/>
              <w:rPr>
                <w:rFonts w:ascii="Verdana" w:eastAsia="Times New Roman" w:hAnsi="Verdana" w:cs="Times New Roman"/>
                <w:b/>
                <w:bCs/>
                <w:color w:val="000000"/>
                <w:sz w:val="16"/>
                <w:szCs w:val="16"/>
                <w:lang w:val="en-GB" w:eastAsia="en-GB"/>
              </w:rPr>
            </w:pPr>
            <w:r w:rsidRPr="00764626">
              <w:rPr>
                <w:rFonts w:ascii="Verdana" w:eastAsia="Times New Roman" w:hAnsi="Verdana" w:cs="Times New Roman"/>
                <w:b/>
                <w:bCs/>
                <w:color w:val="000000"/>
                <w:sz w:val="16"/>
                <w:szCs w:val="16"/>
                <w:lang w:val="en-GB" w:eastAsia="en-GB"/>
              </w:rPr>
              <w:t>19,344</w:t>
            </w:r>
          </w:p>
        </w:tc>
      </w:tr>
      <w:tr w:rsidR="00764626" w:rsidRPr="00FE0665" w14:paraId="4B1B0427" w14:textId="77777777" w:rsidTr="00764626">
        <w:trPr>
          <w:trHeight w:val="300"/>
          <w:jc w:val="center"/>
        </w:trPr>
        <w:tc>
          <w:tcPr>
            <w:tcW w:w="1480" w:type="dxa"/>
            <w:tcBorders>
              <w:top w:val="nil"/>
              <w:left w:val="nil"/>
              <w:bottom w:val="nil"/>
              <w:right w:val="nil"/>
            </w:tcBorders>
            <w:shd w:val="clear" w:color="000000" w:fill="FFFFFF"/>
            <w:noWrap/>
            <w:vAlign w:val="center"/>
            <w:hideMark/>
          </w:tcPr>
          <w:p w14:paraId="1430253D" w14:textId="77777777" w:rsidR="00764626" w:rsidRPr="00764626" w:rsidRDefault="00764626" w:rsidP="007C4BA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 </w:t>
            </w:r>
          </w:p>
        </w:tc>
        <w:tc>
          <w:tcPr>
            <w:tcW w:w="4720" w:type="dxa"/>
            <w:tcBorders>
              <w:top w:val="nil"/>
              <w:left w:val="nil"/>
              <w:bottom w:val="nil"/>
              <w:right w:val="nil"/>
            </w:tcBorders>
            <w:shd w:val="clear" w:color="000000" w:fill="FFFFFF"/>
            <w:noWrap/>
            <w:vAlign w:val="center"/>
            <w:hideMark/>
          </w:tcPr>
          <w:p w14:paraId="3055E44D" w14:textId="77777777" w:rsidR="00764626" w:rsidRPr="00764626" w:rsidRDefault="00764626" w:rsidP="007C4BA6">
            <w:pPr>
              <w:rPr>
                <w:rFonts w:ascii="Verdana" w:eastAsia="Times New Roman" w:hAnsi="Verdana" w:cs="Times New Roman"/>
                <w:b/>
                <w:bCs/>
                <w:color w:val="000000"/>
                <w:sz w:val="16"/>
                <w:szCs w:val="16"/>
                <w:lang w:val="en-GB" w:eastAsia="en-GB"/>
              </w:rPr>
            </w:pPr>
            <w:r w:rsidRPr="00764626">
              <w:rPr>
                <w:rFonts w:ascii="Verdana" w:eastAsia="Times New Roman" w:hAnsi="Verdana" w:cs="Times New Roman"/>
                <w:b/>
                <w:bCs/>
                <w:color w:val="000000"/>
                <w:sz w:val="16"/>
                <w:szCs w:val="16"/>
                <w:lang w:val="en-GB" w:eastAsia="en-GB"/>
              </w:rPr>
              <w:t>INVESTMENT FUNDS &amp; UNIT TRUSTS</w:t>
            </w:r>
          </w:p>
        </w:tc>
        <w:tc>
          <w:tcPr>
            <w:tcW w:w="1560" w:type="dxa"/>
            <w:tcBorders>
              <w:top w:val="nil"/>
              <w:left w:val="nil"/>
              <w:bottom w:val="nil"/>
              <w:right w:val="nil"/>
            </w:tcBorders>
            <w:shd w:val="clear" w:color="000000" w:fill="FFFFFF"/>
            <w:noWrap/>
            <w:vAlign w:val="center"/>
            <w:hideMark/>
          </w:tcPr>
          <w:p w14:paraId="099242D8" w14:textId="77777777" w:rsidR="00764626" w:rsidRPr="00764626" w:rsidRDefault="00764626" w:rsidP="007C4BA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 </w:t>
            </w:r>
          </w:p>
        </w:tc>
      </w:tr>
      <w:tr w:rsidR="00764626" w:rsidRPr="00FE0665" w14:paraId="0777C2D2" w14:textId="77777777" w:rsidTr="00764626">
        <w:trPr>
          <w:trHeight w:val="300"/>
          <w:jc w:val="center"/>
        </w:trPr>
        <w:tc>
          <w:tcPr>
            <w:tcW w:w="1480" w:type="dxa"/>
            <w:tcBorders>
              <w:top w:val="nil"/>
              <w:left w:val="nil"/>
              <w:bottom w:val="nil"/>
              <w:right w:val="nil"/>
            </w:tcBorders>
            <w:shd w:val="clear" w:color="000000" w:fill="FFFFFF"/>
            <w:noWrap/>
            <w:vAlign w:val="center"/>
            <w:hideMark/>
          </w:tcPr>
          <w:p w14:paraId="1CD59341" w14:textId="77777777" w:rsidR="00764626" w:rsidRPr="00764626" w:rsidRDefault="00764626" w:rsidP="007C4BA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143,428</w:t>
            </w:r>
          </w:p>
        </w:tc>
        <w:tc>
          <w:tcPr>
            <w:tcW w:w="4720" w:type="dxa"/>
            <w:tcBorders>
              <w:top w:val="nil"/>
              <w:left w:val="nil"/>
              <w:bottom w:val="nil"/>
              <w:right w:val="nil"/>
            </w:tcBorders>
            <w:shd w:val="clear" w:color="000000" w:fill="FFFFFF"/>
            <w:noWrap/>
            <w:vAlign w:val="center"/>
            <w:hideMark/>
          </w:tcPr>
          <w:p w14:paraId="487EF23D" w14:textId="77777777" w:rsidR="00764626" w:rsidRPr="00764626" w:rsidRDefault="00764626" w:rsidP="007C4BA6">
            <w:pPr>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Equities</w:t>
            </w:r>
          </w:p>
        </w:tc>
        <w:tc>
          <w:tcPr>
            <w:tcW w:w="1560" w:type="dxa"/>
            <w:tcBorders>
              <w:top w:val="nil"/>
              <w:left w:val="nil"/>
              <w:bottom w:val="nil"/>
              <w:right w:val="nil"/>
            </w:tcBorders>
            <w:shd w:val="clear" w:color="000000" w:fill="FFFFFF"/>
            <w:noWrap/>
            <w:vAlign w:val="center"/>
            <w:hideMark/>
          </w:tcPr>
          <w:p w14:paraId="691C8DC6" w14:textId="77777777" w:rsidR="00764626" w:rsidRPr="00764626" w:rsidRDefault="00764626" w:rsidP="007C4BA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212,417</w:t>
            </w:r>
          </w:p>
        </w:tc>
      </w:tr>
      <w:tr w:rsidR="00764626" w:rsidRPr="00FE0665" w14:paraId="403E41D3" w14:textId="77777777" w:rsidTr="00764626">
        <w:trPr>
          <w:trHeight w:val="300"/>
          <w:jc w:val="center"/>
        </w:trPr>
        <w:tc>
          <w:tcPr>
            <w:tcW w:w="1480" w:type="dxa"/>
            <w:tcBorders>
              <w:top w:val="nil"/>
              <w:left w:val="nil"/>
              <w:bottom w:val="nil"/>
              <w:right w:val="nil"/>
            </w:tcBorders>
            <w:shd w:val="clear" w:color="000000" w:fill="FFFFFF"/>
            <w:noWrap/>
            <w:vAlign w:val="center"/>
            <w:hideMark/>
          </w:tcPr>
          <w:p w14:paraId="0B861CA6" w14:textId="77777777" w:rsidR="00764626" w:rsidRPr="00764626" w:rsidRDefault="00764626" w:rsidP="007C4BA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31,726</w:t>
            </w:r>
          </w:p>
        </w:tc>
        <w:tc>
          <w:tcPr>
            <w:tcW w:w="4720" w:type="dxa"/>
            <w:tcBorders>
              <w:top w:val="nil"/>
              <w:left w:val="nil"/>
              <w:bottom w:val="nil"/>
              <w:right w:val="nil"/>
            </w:tcBorders>
            <w:shd w:val="clear" w:color="000000" w:fill="FFFFFF"/>
            <w:noWrap/>
            <w:vAlign w:val="center"/>
            <w:hideMark/>
          </w:tcPr>
          <w:p w14:paraId="3305C866" w14:textId="77777777" w:rsidR="00764626" w:rsidRPr="00764626" w:rsidRDefault="00764626" w:rsidP="007C4BA6">
            <w:pPr>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Bonds</w:t>
            </w:r>
          </w:p>
        </w:tc>
        <w:tc>
          <w:tcPr>
            <w:tcW w:w="1560" w:type="dxa"/>
            <w:tcBorders>
              <w:top w:val="nil"/>
              <w:left w:val="nil"/>
              <w:bottom w:val="nil"/>
              <w:right w:val="nil"/>
            </w:tcBorders>
            <w:shd w:val="clear" w:color="000000" w:fill="FFFFFF"/>
            <w:noWrap/>
            <w:vAlign w:val="center"/>
            <w:hideMark/>
          </w:tcPr>
          <w:p w14:paraId="2BC85A55" w14:textId="77777777" w:rsidR="00764626" w:rsidRPr="00764626" w:rsidRDefault="00764626" w:rsidP="007C4BA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45,247</w:t>
            </w:r>
          </w:p>
        </w:tc>
      </w:tr>
      <w:tr w:rsidR="00764626" w:rsidRPr="00FE0665" w14:paraId="39209428" w14:textId="77777777" w:rsidTr="00764626">
        <w:trPr>
          <w:trHeight w:val="300"/>
          <w:jc w:val="center"/>
        </w:trPr>
        <w:tc>
          <w:tcPr>
            <w:tcW w:w="1480" w:type="dxa"/>
            <w:tcBorders>
              <w:top w:val="single" w:sz="4" w:space="0" w:color="auto"/>
              <w:left w:val="nil"/>
              <w:bottom w:val="single" w:sz="8" w:space="0" w:color="auto"/>
              <w:right w:val="nil"/>
            </w:tcBorders>
            <w:shd w:val="clear" w:color="000000" w:fill="FFFFFF"/>
            <w:noWrap/>
            <w:vAlign w:val="center"/>
            <w:hideMark/>
          </w:tcPr>
          <w:p w14:paraId="7A656F66" w14:textId="77777777" w:rsidR="00764626" w:rsidRPr="00764626" w:rsidRDefault="00764626" w:rsidP="007C4BA6">
            <w:pPr>
              <w:jc w:val="right"/>
              <w:rPr>
                <w:rFonts w:ascii="Verdana" w:eastAsia="Times New Roman" w:hAnsi="Verdana" w:cs="Times New Roman"/>
                <w:b/>
                <w:bCs/>
                <w:color w:val="000000"/>
                <w:sz w:val="16"/>
                <w:szCs w:val="16"/>
                <w:lang w:val="en-GB" w:eastAsia="en-GB"/>
              </w:rPr>
            </w:pPr>
            <w:r w:rsidRPr="00764626">
              <w:rPr>
                <w:rFonts w:ascii="Verdana" w:eastAsia="Times New Roman" w:hAnsi="Verdana" w:cs="Times New Roman"/>
                <w:b/>
                <w:bCs/>
                <w:color w:val="000000"/>
                <w:sz w:val="16"/>
                <w:szCs w:val="16"/>
                <w:lang w:val="en-GB" w:eastAsia="en-GB"/>
              </w:rPr>
              <w:t>175,154</w:t>
            </w:r>
          </w:p>
        </w:tc>
        <w:tc>
          <w:tcPr>
            <w:tcW w:w="4720" w:type="dxa"/>
            <w:tcBorders>
              <w:top w:val="single" w:sz="4" w:space="0" w:color="auto"/>
              <w:left w:val="nil"/>
              <w:bottom w:val="single" w:sz="8" w:space="0" w:color="auto"/>
              <w:right w:val="nil"/>
            </w:tcBorders>
            <w:shd w:val="clear" w:color="000000" w:fill="FFFFFF"/>
            <w:noWrap/>
            <w:vAlign w:val="center"/>
            <w:hideMark/>
          </w:tcPr>
          <w:p w14:paraId="206F948B" w14:textId="77777777" w:rsidR="00764626" w:rsidRPr="00764626" w:rsidRDefault="00764626" w:rsidP="007C4BA6">
            <w:pPr>
              <w:rPr>
                <w:rFonts w:ascii="Verdana" w:eastAsia="Times New Roman" w:hAnsi="Verdana" w:cs="Times New Roman"/>
                <w:b/>
                <w:bCs/>
                <w:color w:val="000000"/>
                <w:sz w:val="16"/>
                <w:szCs w:val="16"/>
                <w:lang w:val="en-GB" w:eastAsia="en-GB"/>
              </w:rPr>
            </w:pPr>
            <w:r w:rsidRPr="00764626">
              <w:rPr>
                <w:rFonts w:ascii="Verdana" w:eastAsia="Times New Roman" w:hAnsi="Verdana" w:cs="Times New Roman"/>
                <w:b/>
                <w:bCs/>
                <w:color w:val="000000"/>
                <w:sz w:val="16"/>
                <w:szCs w:val="16"/>
                <w:lang w:val="en-GB" w:eastAsia="en-GB"/>
              </w:rPr>
              <w:t>Subtotal INVESTMENT FUNDS &amp; UNIT TRUSTS</w:t>
            </w:r>
          </w:p>
        </w:tc>
        <w:tc>
          <w:tcPr>
            <w:tcW w:w="1560" w:type="dxa"/>
            <w:tcBorders>
              <w:top w:val="single" w:sz="4" w:space="0" w:color="auto"/>
              <w:left w:val="nil"/>
              <w:bottom w:val="single" w:sz="8" w:space="0" w:color="auto"/>
              <w:right w:val="nil"/>
            </w:tcBorders>
            <w:shd w:val="clear" w:color="000000" w:fill="FFFFFF"/>
            <w:noWrap/>
            <w:vAlign w:val="center"/>
            <w:hideMark/>
          </w:tcPr>
          <w:p w14:paraId="34BC5BF5" w14:textId="77777777" w:rsidR="00764626" w:rsidRPr="00764626" w:rsidRDefault="00764626" w:rsidP="007C4BA6">
            <w:pPr>
              <w:jc w:val="right"/>
              <w:rPr>
                <w:rFonts w:ascii="Verdana" w:eastAsia="Times New Roman" w:hAnsi="Verdana" w:cs="Times New Roman"/>
                <w:b/>
                <w:bCs/>
                <w:color w:val="000000"/>
                <w:sz w:val="16"/>
                <w:szCs w:val="16"/>
                <w:lang w:val="en-GB" w:eastAsia="en-GB"/>
              </w:rPr>
            </w:pPr>
            <w:r w:rsidRPr="00764626">
              <w:rPr>
                <w:rFonts w:ascii="Verdana" w:eastAsia="Times New Roman" w:hAnsi="Verdana" w:cs="Times New Roman"/>
                <w:b/>
                <w:bCs/>
                <w:color w:val="000000"/>
                <w:sz w:val="16"/>
                <w:szCs w:val="16"/>
                <w:lang w:val="en-GB" w:eastAsia="en-GB"/>
              </w:rPr>
              <w:t>257,664</w:t>
            </w:r>
          </w:p>
        </w:tc>
      </w:tr>
      <w:tr w:rsidR="00764626" w:rsidRPr="00FE0665" w14:paraId="6C750C3E" w14:textId="77777777" w:rsidTr="00764626">
        <w:trPr>
          <w:trHeight w:val="300"/>
          <w:jc w:val="center"/>
        </w:trPr>
        <w:tc>
          <w:tcPr>
            <w:tcW w:w="1480" w:type="dxa"/>
            <w:tcBorders>
              <w:top w:val="nil"/>
              <w:left w:val="nil"/>
              <w:bottom w:val="nil"/>
              <w:right w:val="nil"/>
            </w:tcBorders>
            <w:shd w:val="clear" w:color="000000" w:fill="FFFFFF"/>
            <w:noWrap/>
            <w:vAlign w:val="center"/>
            <w:hideMark/>
          </w:tcPr>
          <w:p w14:paraId="0DB3FE87" w14:textId="77777777" w:rsidR="00764626" w:rsidRPr="00764626" w:rsidRDefault="00764626" w:rsidP="007C4BA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 </w:t>
            </w:r>
          </w:p>
        </w:tc>
        <w:tc>
          <w:tcPr>
            <w:tcW w:w="4720" w:type="dxa"/>
            <w:tcBorders>
              <w:top w:val="nil"/>
              <w:left w:val="nil"/>
              <w:bottom w:val="nil"/>
              <w:right w:val="nil"/>
            </w:tcBorders>
            <w:shd w:val="clear" w:color="000000" w:fill="FFFFFF"/>
            <w:noWrap/>
            <w:vAlign w:val="center"/>
            <w:hideMark/>
          </w:tcPr>
          <w:p w14:paraId="4D383B30" w14:textId="77777777" w:rsidR="00764626" w:rsidRPr="00764626" w:rsidRDefault="00764626" w:rsidP="007C4BA6">
            <w:pPr>
              <w:rPr>
                <w:rFonts w:ascii="Verdana" w:eastAsia="Times New Roman" w:hAnsi="Verdana" w:cs="Times New Roman"/>
                <w:b/>
                <w:bCs/>
                <w:color w:val="000000"/>
                <w:sz w:val="16"/>
                <w:szCs w:val="16"/>
                <w:lang w:val="en-GB" w:eastAsia="en-GB"/>
              </w:rPr>
            </w:pPr>
            <w:r w:rsidRPr="00764626">
              <w:rPr>
                <w:rFonts w:ascii="Verdana" w:eastAsia="Times New Roman" w:hAnsi="Verdana" w:cs="Times New Roman"/>
                <w:b/>
                <w:bCs/>
                <w:color w:val="000000"/>
                <w:sz w:val="16"/>
                <w:szCs w:val="16"/>
                <w:lang w:val="en-GB" w:eastAsia="en-GB"/>
              </w:rPr>
              <w:t>DERIVATIVES</w:t>
            </w:r>
          </w:p>
        </w:tc>
        <w:tc>
          <w:tcPr>
            <w:tcW w:w="1560" w:type="dxa"/>
            <w:tcBorders>
              <w:top w:val="nil"/>
              <w:left w:val="nil"/>
              <w:bottom w:val="nil"/>
              <w:right w:val="nil"/>
            </w:tcBorders>
            <w:shd w:val="clear" w:color="000000" w:fill="FFFFFF"/>
            <w:noWrap/>
            <w:vAlign w:val="center"/>
            <w:hideMark/>
          </w:tcPr>
          <w:p w14:paraId="1471CA92" w14:textId="77777777" w:rsidR="00764626" w:rsidRPr="00764626" w:rsidRDefault="00764626" w:rsidP="007C4BA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 </w:t>
            </w:r>
          </w:p>
        </w:tc>
      </w:tr>
      <w:tr w:rsidR="00764626" w:rsidRPr="00FE0665" w14:paraId="684191C0" w14:textId="77777777" w:rsidTr="00764626">
        <w:trPr>
          <w:trHeight w:val="300"/>
          <w:jc w:val="center"/>
        </w:trPr>
        <w:tc>
          <w:tcPr>
            <w:tcW w:w="1480" w:type="dxa"/>
            <w:tcBorders>
              <w:top w:val="nil"/>
              <w:left w:val="nil"/>
              <w:bottom w:val="nil"/>
              <w:right w:val="nil"/>
            </w:tcBorders>
            <w:shd w:val="clear" w:color="000000" w:fill="FFFFFF"/>
            <w:noWrap/>
            <w:vAlign w:val="center"/>
            <w:hideMark/>
          </w:tcPr>
          <w:p w14:paraId="45A2BEFE" w14:textId="77777777" w:rsidR="00764626" w:rsidRPr="00764626" w:rsidRDefault="00764626" w:rsidP="007C4BA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(2,740)</w:t>
            </w:r>
          </w:p>
        </w:tc>
        <w:tc>
          <w:tcPr>
            <w:tcW w:w="4720" w:type="dxa"/>
            <w:tcBorders>
              <w:top w:val="nil"/>
              <w:left w:val="nil"/>
              <w:bottom w:val="nil"/>
              <w:right w:val="nil"/>
            </w:tcBorders>
            <w:shd w:val="clear" w:color="000000" w:fill="FFFFFF"/>
            <w:noWrap/>
            <w:vAlign w:val="center"/>
            <w:hideMark/>
          </w:tcPr>
          <w:p w14:paraId="0F85F523" w14:textId="77777777" w:rsidR="00764626" w:rsidRPr="00764626" w:rsidRDefault="00764626" w:rsidP="007C4BA6">
            <w:pPr>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Foreign Exchange</w:t>
            </w:r>
          </w:p>
        </w:tc>
        <w:tc>
          <w:tcPr>
            <w:tcW w:w="1560" w:type="dxa"/>
            <w:tcBorders>
              <w:top w:val="nil"/>
              <w:left w:val="nil"/>
              <w:bottom w:val="nil"/>
              <w:right w:val="nil"/>
            </w:tcBorders>
            <w:shd w:val="clear" w:color="000000" w:fill="FFFFFF"/>
            <w:noWrap/>
            <w:vAlign w:val="center"/>
            <w:hideMark/>
          </w:tcPr>
          <w:p w14:paraId="7B543351" w14:textId="77777777" w:rsidR="00764626" w:rsidRPr="00764626" w:rsidRDefault="00764626" w:rsidP="007C4BA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1,095</w:t>
            </w:r>
          </w:p>
        </w:tc>
      </w:tr>
      <w:tr w:rsidR="00764626" w:rsidRPr="00FE0665" w14:paraId="5001A899" w14:textId="77777777" w:rsidTr="00764626">
        <w:trPr>
          <w:trHeight w:val="300"/>
          <w:jc w:val="center"/>
        </w:trPr>
        <w:tc>
          <w:tcPr>
            <w:tcW w:w="1480" w:type="dxa"/>
            <w:tcBorders>
              <w:top w:val="single" w:sz="4" w:space="0" w:color="auto"/>
              <w:left w:val="nil"/>
              <w:bottom w:val="single" w:sz="8" w:space="0" w:color="auto"/>
              <w:right w:val="nil"/>
            </w:tcBorders>
            <w:shd w:val="clear" w:color="000000" w:fill="FFFFFF"/>
            <w:noWrap/>
            <w:vAlign w:val="center"/>
            <w:hideMark/>
          </w:tcPr>
          <w:p w14:paraId="1C2CEE75" w14:textId="77777777" w:rsidR="00764626" w:rsidRPr="00764626" w:rsidRDefault="00764626" w:rsidP="007C4BA6">
            <w:pPr>
              <w:jc w:val="right"/>
              <w:rPr>
                <w:rFonts w:ascii="Verdana" w:eastAsia="Times New Roman" w:hAnsi="Verdana" w:cs="Times New Roman"/>
                <w:b/>
                <w:bCs/>
                <w:color w:val="000000"/>
                <w:sz w:val="16"/>
                <w:szCs w:val="16"/>
                <w:lang w:val="en-GB" w:eastAsia="en-GB"/>
              </w:rPr>
            </w:pPr>
            <w:r w:rsidRPr="00764626">
              <w:rPr>
                <w:rFonts w:ascii="Verdana" w:eastAsia="Times New Roman" w:hAnsi="Verdana" w:cs="Times New Roman"/>
                <w:b/>
                <w:bCs/>
                <w:color w:val="000000"/>
                <w:sz w:val="16"/>
                <w:szCs w:val="16"/>
                <w:lang w:val="en-GB" w:eastAsia="en-GB"/>
              </w:rPr>
              <w:t>(2,740)</w:t>
            </w:r>
          </w:p>
        </w:tc>
        <w:tc>
          <w:tcPr>
            <w:tcW w:w="4720" w:type="dxa"/>
            <w:tcBorders>
              <w:top w:val="single" w:sz="4" w:space="0" w:color="auto"/>
              <w:left w:val="nil"/>
              <w:bottom w:val="single" w:sz="8" w:space="0" w:color="auto"/>
              <w:right w:val="nil"/>
            </w:tcBorders>
            <w:shd w:val="clear" w:color="000000" w:fill="FFFFFF"/>
            <w:noWrap/>
            <w:vAlign w:val="center"/>
            <w:hideMark/>
          </w:tcPr>
          <w:p w14:paraId="02C4BF52" w14:textId="77777777" w:rsidR="00764626" w:rsidRPr="00764626" w:rsidRDefault="00764626" w:rsidP="007C4BA6">
            <w:pPr>
              <w:rPr>
                <w:rFonts w:ascii="Verdana" w:eastAsia="Times New Roman" w:hAnsi="Verdana" w:cs="Times New Roman"/>
                <w:b/>
                <w:bCs/>
                <w:color w:val="000000"/>
                <w:sz w:val="16"/>
                <w:szCs w:val="16"/>
                <w:lang w:val="en-GB" w:eastAsia="en-GB"/>
              </w:rPr>
            </w:pPr>
            <w:r w:rsidRPr="00764626">
              <w:rPr>
                <w:rFonts w:ascii="Verdana" w:eastAsia="Times New Roman" w:hAnsi="Verdana" w:cs="Times New Roman"/>
                <w:b/>
                <w:bCs/>
                <w:color w:val="000000"/>
                <w:sz w:val="16"/>
                <w:szCs w:val="16"/>
                <w:lang w:val="en-GB" w:eastAsia="en-GB"/>
              </w:rPr>
              <w:t>Subtotal  DERIVATIVES</w:t>
            </w:r>
          </w:p>
        </w:tc>
        <w:tc>
          <w:tcPr>
            <w:tcW w:w="1560" w:type="dxa"/>
            <w:tcBorders>
              <w:top w:val="single" w:sz="4" w:space="0" w:color="auto"/>
              <w:left w:val="nil"/>
              <w:bottom w:val="single" w:sz="8" w:space="0" w:color="auto"/>
              <w:right w:val="nil"/>
            </w:tcBorders>
            <w:shd w:val="clear" w:color="000000" w:fill="FFFFFF"/>
            <w:noWrap/>
            <w:vAlign w:val="center"/>
            <w:hideMark/>
          </w:tcPr>
          <w:p w14:paraId="17E53A7E" w14:textId="77777777" w:rsidR="00764626" w:rsidRPr="00764626" w:rsidRDefault="00764626" w:rsidP="007C4BA6">
            <w:pPr>
              <w:jc w:val="right"/>
              <w:rPr>
                <w:rFonts w:ascii="Verdana" w:eastAsia="Times New Roman" w:hAnsi="Verdana" w:cs="Times New Roman"/>
                <w:b/>
                <w:bCs/>
                <w:color w:val="000000"/>
                <w:sz w:val="16"/>
                <w:szCs w:val="16"/>
                <w:lang w:val="en-GB" w:eastAsia="en-GB"/>
              </w:rPr>
            </w:pPr>
            <w:r w:rsidRPr="00764626">
              <w:rPr>
                <w:rFonts w:ascii="Verdana" w:eastAsia="Times New Roman" w:hAnsi="Verdana" w:cs="Times New Roman"/>
                <w:b/>
                <w:bCs/>
                <w:color w:val="000000"/>
                <w:sz w:val="16"/>
                <w:szCs w:val="16"/>
                <w:lang w:val="en-GB" w:eastAsia="en-GB"/>
              </w:rPr>
              <w:t>1,095</w:t>
            </w:r>
          </w:p>
        </w:tc>
      </w:tr>
      <w:tr w:rsidR="00764626" w:rsidRPr="00FE0665" w14:paraId="5F95E046" w14:textId="77777777" w:rsidTr="00764626">
        <w:trPr>
          <w:trHeight w:val="300"/>
          <w:jc w:val="center"/>
        </w:trPr>
        <w:tc>
          <w:tcPr>
            <w:tcW w:w="1480" w:type="dxa"/>
            <w:tcBorders>
              <w:top w:val="nil"/>
              <w:left w:val="nil"/>
              <w:bottom w:val="nil"/>
              <w:right w:val="nil"/>
            </w:tcBorders>
            <w:shd w:val="clear" w:color="000000" w:fill="FFFFFF"/>
            <w:noWrap/>
            <w:vAlign w:val="center"/>
            <w:hideMark/>
          </w:tcPr>
          <w:p w14:paraId="294E9028" w14:textId="77777777" w:rsidR="00764626" w:rsidRPr="00764626" w:rsidRDefault="00764626" w:rsidP="007C4BA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 </w:t>
            </w:r>
          </w:p>
        </w:tc>
        <w:tc>
          <w:tcPr>
            <w:tcW w:w="4720" w:type="dxa"/>
            <w:tcBorders>
              <w:top w:val="nil"/>
              <w:left w:val="nil"/>
              <w:bottom w:val="nil"/>
              <w:right w:val="nil"/>
            </w:tcBorders>
            <w:shd w:val="clear" w:color="000000" w:fill="FFFFFF"/>
            <w:noWrap/>
            <w:vAlign w:val="center"/>
            <w:hideMark/>
          </w:tcPr>
          <w:p w14:paraId="45FD2380" w14:textId="77777777" w:rsidR="00764626" w:rsidRPr="00764626" w:rsidRDefault="00764626" w:rsidP="007C4BA6">
            <w:pPr>
              <w:rPr>
                <w:rFonts w:ascii="Verdana" w:eastAsia="Times New Roman" w:hAnsi="Verdana" w:cs="Times New Roman"/>
                <w:b/>
                <w:bCs/>
                <w:color w:val="000000"/>
                <w:sz w:val="16"/>
                <w:szCs w:val="16"/>
                <w:lang w:val="en-GB" w:eastAsia="en-GB"/>
              </w:rPr>
            </w:pPr>
            <w:r w:rsidRPr="00764626">
              <w:rPr>
                <w:rFonts w:ascii="Verdana" w:eastAsia="Times New Roman" w:hAnsi="Verdana" w:cs="Times New Roman"/>
                <w:b/>
                <w:bCs/>
                <w:color w:val="000000"/>
                <w:sz w:val="16"/>
                <w:szCs w:val="16"/>
                <w:lang w:val="en-GB" w:eastAsia="en-GB"/>
              </w:rPr>
              <w:t>CASH and CASH EQUIVALENTS</w:t>
            </w:r>
          </w:p>
        </w:tc>
        <w:tc>
          <w:tcPr>
            <w:tcW w:w="1560" w:type="dxa"/>
            <w:tcBorders>
              <w:top w:val="nil"/>
              <w:left w:val="nil"/>
              <w:bottom w:val="nil"/>
              <w:right w:val="nil"/>
            </w:tcBorders>
            <w:shd w:val="clear" w:color="000000" w:fill="FFFFFF"/>
            <w:noWrap/>
            <w:vAlign w:val="center"/>
            <w:hideMark/>
          </w:tcPr>
          <w:p w14:paraId="2A677F92" w14:textId="77777777" w:rsidR="00764626" w:rsidRPr="00764626" w:rsidRDefault="00764626" w:rsidP="007C4BA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 </w:t>
            </w:r>
          </w:p>
        </w:tc>
      </w:tr>
      <w:tr w:rsidR="00764626" w:rsidRPr="00FE0665" w14:paraId="3A398829" w14:textId="77777777" w:rsidTr="00764626">
        <w:trPr>
          <w:trHeight w:val="300"/>
          <w:jc w:val="center"/>
        </w:trPr>
        <w:tc>
          <w:tcPr>
            <w:tcW w:w="1480" w:type="dxa"/>
            <w:tcBorders>
              <w:top w:val="nil"/>
              <w:left w:val="nil"/>
              <w:bottom w:val="nil"/>
              <w:right w:val="nil"/>
            </w:tcBorders>
            <w:shd w:val="clear" w:color="000000" w:fill="FFFFFF"/>
            <w:noWrap/>
            <w:vAlign w:val="center"/>
            <w:hideMark/>
          </w:tcPr>
          <w:p w14:paraId="3FFB1C09" w14:textId="77777777" w:rsidR="00764626" w:rsidRPr="00764626" w:rsidRDefault="00764626" w:rsidP="007C4BA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9,282</w:t>
            </w:r>
          </w:p>
        </w:tc>
        <w:tc>
          <w:tcPr>
            <w:tcW w:w="4720" w:type="dxa"/>
            <w:tcBorders>
              <w:top w:val="nil"/>
              <w:left w:val="nil"/>
              <w:bottom w:val="nil"/>
              <w:right w:val="nil"/>
            </w:tcBorders>
            <w:shd w:val="clear" w:color="000000" w:fill="FFFFFF"/>
            <w:noWrap/>
            <w:vAlign w:val="center"/>
            <w:hideMark/>
          </w:tcPr>
          <w:p w14:paraId="1F6F5F7C" w14:textId="77777777" w:rsidR="00764626" w:rsidRPr="00764626" w:rsidRDefault="00764626" w:rsidP="007C4BA6">
            <w:pPr>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All</w:t>
            </w:r>
          </w:p>
        </w:tc>
        <w:tc>
          <w:tcPr>
            <w:tcW w:w="1560" w:type="dxa"/>
            <w:tcBorders>
              <w:top w:val="nil"/>
              <w:left w:val="nil"/>
              <w:bottom w:val="nil"/>
              <w:right w:val="nil"/>
            </w:tcBorders>
            <w:shd w:val="clear" w:color="000000" w:fill="FFFFFF"/>
            <w:noWrap/>
            <w:vAlign w:val="center"/>
            <w:hideMark/>
          </w:tcPr>
          <w:p w14:paraId="66C1F74F" w14:textId="77777777" w:rsidR="00764626" w:rsidRPr="00764626" w:rsidRDefault="00764626" w:rsidP="007C4BA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8,166</w:t>
            </w:r>
          </w:p>
        </w:tc>
      </w:tr>
      <w:tr w:rsidR="00764626" w:rsidRPr="00FE0665" w14:paraId="5F043781" w14:textId="77777777" w:rsidTr="00764626">
        <w:trPr>
          <w:trHeight w:val="300"/>
          <w:jc w:val="center"/>
        </w:trPr>
        <w:tc>
          <w:tcPr>
            <w:tcW w:w="1480" w:type="dxa"/>
            <w:tcBorders>
              <w:top w:val="single" w:sz="4" w:space="0" w:color="auto"/>
              <w:left w:val="nil"/>
              <w:bottom w:val="single" w:sz="8" w:space="0" w:color="auto"/>
              <w:right w:val="nil"/>
            </w:tcBorders>
            <w:shd w:val="clear" w:color="000000" w:fill="FFFFFF"/>
            <w:noWrap/>
            <w:vAlign w:val="center"/>
            <w:hideMark/>
          </w:tcPr>
          <w:p w14:paraId="6C56E075" w14:textId="77777777" w:rsidR="00764626" w:rsidRPr="00764626" w:rsidRDefault="00764626" w:rsidP="007C4BA6">
            <w:pPr>
              <w:jc w:val="right"/>
              <w:rPr>
                <w:rFonts w:ascii="Verdana" w:eastAsia="Times New Roman" w:hAnsi="Verdana" w:cs="Times New Roman"/>
                <w:b/>
                <w:bCs/>
                <w:color w:val="000000"/>
                <w:sz w:val="16"/>
                <w:szCs w:val="16"/>
                <w:lang w:val="en-GB" w:eastAsia="en-GB"/>
              </w:rPr>
            </w:pPr>
            <w:r w:rsidRPr="00764626">
              <w:rPr>
                <w:rFonts w:ascii="Verdana" w:eastAsia="Times New Roman" w:hAnsi="Verdana" w:cs="Times New Roman"/>
                <w:b/>
                <w:bCs/>
                <w:color w:val="000000"/>
                <w:sz w:val="16"/>
                <w:szCs w:val="16"/>
                <w:lang w:val="en-GB" w:eastAsia="en-GB"/>
              </w:rPr>
              <w:t>9,282</w:t>
            </w:r>
          </w:p>
        </w:tc>
        <w:tc>
          <w:tcPr>
            <w:tcW w:w="4720" w:type="dxa"/>
            <w:tcBorders>
              <w:top w:val="single" w:sz="4" w:space="0" w:color="auto"/>
              <w:left w:val="nil"/>
              <w:bottom w:val="single" w:sz="8" w:space="0" w:color="auto"/>
              <w:right w:val="nil"/>
            </w:tcBorders>
            <w:shd w:val="clear" w:color="000000" w:fill="FFFFFF"/>
            <w:noWrap/>
            <w:vAlign w:val="center"/>
            <w:hideMark/>
          </w:tcPr>
          <w:p w14:paraId="5BEDD2C0" w14:textId="77777777" w:rsidR="00764626" w:rsidRPr="00764626" w:rsidRDefault="00764626" w:rsidP="007C4BA6">
            <w:pPr>
              <w:rPr>
                <w:rFonts w:ascii="Verdana" w:eastAsia="Times New Roman" w:hAnsi="Verdana" w:cs="Times New Roman"/>
                <w:b/>
                <w:bCs/>
                <w:color w:val="000000"/>
                <w:sz w:val="16"/>
                <w:szCs w:val="16"/>
                <w:lang w:val="en-GB" w:eastAsia="en-GB"/>
              </w:rPr>
            </w:pPr>
            <w:r w:rsidRPr="00764626">
              <w:rPr>
                <w:rFonts w:ascii="Verdana" w:eastAsia="Times New Roman" w:hAnsi="Verdana" w:cs="Times New Roman"/>
                <w:b/>
                <w:bCs/>
                <w:color w:val="000000"/>
                <w:sz w:val="16"/>
                <w:szCs w:val="16"/>
                <w:lang w:val="en-GB" w:eastAsia="en-GB"/>
              </w:rPr>
              <w:t xml:space="preserve">Subtotal  PRIVATE EQUITY </w:t>
            </w:r>
          </w:p>
        </w:tc>
        <w:tc>
          <w:tcPr>
            <w:tcW w:w="1560" w:type="dxa"/>
            <w:tcBorders>
              <w:top w:val="single" w:sz="4" w:space="0" w:color="auto"/>
              <w:left w:val="nil"/>
              <w:bottom w:val="single" w:sz="8" w:space="0" w:color="auto"/>
              <w:right w:val="nil"/>
            </w:tcBorders>
            <w:shd w:val="clear" w:color="000000" w:fill="FFFFFF"/>
            <w:noWrap/>
            <w:vAlign w:val="center"/>
            <w:hideMark/>
          </w:tcPr>
          <w:p w14:paraId="19E771C4" w14:textId="77777777" w:rsidR="00764626" w:rsidRPr="00764626" w:rsidRDefault="00764626" w:rsidP="007C4BA6">
            <w:pPr>
              <w:jc w:val="right"/>
              <w:rPr>
                <w:rFonts w:ascii="Verdana" w:eastAsia="Times New Roman" w:hAnsi="Verdana" w:cs="Times New Roman"/>
                <w:b/>
                <w:bCs/>
                <w:color w:val="000000"/>
                <w:sz w:val="16"/>
                <w:szCs w:val="16"/>
                <w:lang w:val="en-GB" w:eastAsia="en-GB"/>
              </w:rPr>
            </w:pPr>
            <w:r w:rsidRPr="00764626">
              <w:rPr>
                <w:rFonts w:ascii="Verdana" w:eastAsia="Times New Roman" w:hAnsi="Verdana" w:cs="Times New Roman"/>
                <w:b/>
                <w:bCs/>
                <w:color w:val="000000"/>
                <w:sz w:val="16"/>
                <w:szCs w:val="16"/>
                <w:lang w:val="en-GB" w:eastAsia="en-GB"/>
              </w:rPr>
              <w:t>8,166</w:t>
            </w:r>
          </w:p>
        </w:tc>
      </w:tr>
      <w:tr w:rsidR="00764626" w:rsidRPr="00FE0665" w14:paraId="2AB10523" w14:textId="77777777" w:rsidTr="00764626">
        <w:trPr>
          <w:trHeight w:val="50"/>
          <w:jc w:val="center"/>
        </w:trPr>
        <w:tc>
          <w:tcPr>
            <w:tcW w:w="1480" w:type="dxa"/>
            <w:tcBorders>
              <w:top w:val="nil"/>
              <w:left w:val="nil"/>
              <w:bottom w:val="nil"/>
              <w:right w:val="nil"/>
            </w:tcBorders>
            <w:shd w:val="clear" w:color="000000" w:fill="FFFFFF"/>
            <w:noWrap/>
            <w:vAlign w:val="center"/>
            <w:hideMark/>
          </w:tcPr>
          <w:p w14:paraId="7FBE6BB8" w14:textId="77777777" w:rsidR="00764626" w:rsidRPr="00764626" w:rsidRDefault="00764626" w:rsidP="007C4BA6">
            <w:pPr>
              <w:rPr>
                <w:rFonts w:ascii="Verdana" w:eastAsia="Times New Roman" w:hAnsi="Verdana" w:cs="Times New Roman"/>
                <w:color w:val="000000"/>
                <w:sz w:val="4"/>
                <w:szCs w:val="4"/>
                <w:lang w:val="en-GB" w:eastAsia="en-GB"/>
              </w:rPr>
            </w:pPr>
            <w:r w:rsidRPr="00764626">
              <w:rPr>
                <w:rFonts w:ascii="Verdana" w:eastAsia="Times New Roman" w:hAnsi="Verdana" w:cs="Times New Roman"/>
                <w:color w:val="000000"/>
                <w:sz w:val="4"/>
                <w:szCs w:val="4"/>
                <w:lang w:val="en-GB" w:eastAsia="en-GB"/>
              </w:rPr>
              <w:t> </w:t>
            </w:r>
          </w:p>
        </w:tc>
        <w:tc>
          <w:tcPr>
            <w:tcW w:w="4720" w:type="dxa"/>
            <w:tcBorders>
              <w:top w:val="nil"/>
              <w:left w:val="nil"/>
              <w:bottom w:val="nil"/>
              <w:right w:val="nil"/>
            </w:tcBorders>
            <w:shd w:val="clear" w:color="000000" w:fill="FFFFFF"/>
            <w:noWrap/>
            <w:vAlign w:val="center"/>
            <w:hideMark/>
          </w:tcPr>
          <w:p w14:paraId="47376A7A" w14:textId="77777777" w:rsidR="00764626" w:rsidRPr="00764626" w:rsidRDefault="00764626" w:rsidP="007C4BA6">
            <w:pPr>
              <w:rPr>
                <w:rFonts w:ascii="Verdana" w:eastAsia="Times New Roman" w:hAnsi="Verdana" w:cs="Times New Roman"/>
                <w:color w:val="000000"/>
                <w:sz w:val="4"/>
                <w:szCs w:val="4"/>
                <w:lang w:val="en-GB" w:eastAsia="en-GB"/>
              </w:rPr>
            </w:pPr>
          </w:p>
        </w:tc>
        <w:tc>
          <w:tcPr>
            <w:tcW w:w="1560" w:type="dxa"/>
            <w:tcBorders>
              <w:top w:val="nil"/>
              <w:left w:val="nil"/>
              <w:bottom w:val="nil"/>
              <w:right w:val="nil"/>
            </w:tcBorders>
            <w:shd w:val="clear" w:color="000000" w:fill="FFFFFF"/>
            <w:noWrap/>
            <w:vAlign w:val="center"/>
            <w:hideMark/>
          </w:tcPr>
          <w:p w14:paraId="00C1ED16" w14:textId="77777777" w:rsidR="00764626" w:rsidRPr="00764626" w:rsidRDefault="00764626" w:rsidP="007C4BA6">
            <w:pPr>
              <w:rPr>
                <w:rFonts w:ascii="Verdana" w:eastAsia="Times New Roman" w:hAnsi="Verdana" w:cs="Times New Roman"/>
                <w:color w:val="000000"/>
                <w:sz w:val="4"/>
                <w:szCs w:val="4"/>
                <w:lang w:val="en-GB" w:eastAsia="en-GB"/>
              </w:rPr>
            </w:pPr>
            <w:r w:rsidRPr="00764626">
              <w:rPr>
                <w:rFonts w:ascii="Verdana" w:eastAsia="Times New Roman" w:hAnsi="Verdana" w:cs="Times New Roman"/>
                <w:color w:val="000000"/>
                <w:sz w:val="4"/>
                <w:szCs w:val="4"/>
                <w:lang w:val="en-GB" w:eastAsia="en-GB"/>
              </w:rPr>
              <w:t> </w:t>
            </w:r>
          </w:p>
        </w:tc>
      </w:tr>
      <w:tr w:rsidR="00764626" w:rsidRPr="00FE0665" w14:paraId="41859AD2" w14:textId="77777777" w:rsidTr="00764626">
        <w:trPr>
          <w:trHeight w:val="60"/>
          <w:jc w:val="center"/>
        </w:trPr>
        <w:tc>
          <w:tcPr>
            <w:tcW w:w="1480" w:type="dxa"/>
            <w:tcBorders>
              <w:top w:val="single" w:sz="4" w:space="0" w:color="auto"/>
              <w:left w:val="nil"/>
              <w:bottom w:val="single" w:sz="8" w:space="0" w:color="auto"/>
              <w:right w:val="nil"/>
            </w:tcBorders>
            <w:shd w:val="clear" w:color="000000" w:fill="FFFFFF"/>
            <w:noWrap/>
            <w:vAlign w:val="center"/>
            <w:hideMark/>
          </w:tcPr>
          <w:p w14:paraId="1082AECE" w14:textId="77777777" w:rsidR="00764626" w:rsidRPr="00764626" w:rsidRDefault="00764626" w:rsidP="007C4BA6">
            <w:pPr>
              <w:jc w:val="right"/>
              <w:rPr>
                <w:rFonts w:ascii="Verdana" w:eastAsia="Times New Roman" w:hAnsi="Verdana" w:cs="Times New Roman"/>
                <w:b/>
                <w:bCs/>
                <w:color w:val="000000"/>
                <w:sz w:val="16"/>
                <w:szCs w:val="16"/>
                <w:lang w:val="en-GB" w:eastAsia="en-GB"/>
              </w:rPr>
            </w:pPr>
            <w:r w:rsidRPr="00764626">
              <w:rPr>
                <w:rFonts w:ascii="Verdana" w:eastAsia="Times New Roman" w:hAnsi="Verdana" w:cs="Times New Roman"/>
                <w:b/>
                <w:bCs/>
                <w:color w:val="000000"/>
                <w:sz w:val="16"/>
                <w:szCs w:val="16"/>
                <w:lang w:val="en-GB" w:eastAsia="en-GB"/>
              </w:rPr>
              <w:t>272,577</w:t>
            </w:r>
          </w:p>
        </w:tc>
        <w:tc>
          <w:tcPr>
            <w:tcW w:w="4720" w:type="dxa"/>
            <w:tcBorders>
              <w:top w:val="single" w:sz="4" w:space="0" w:color="auto"/>
              <w:left w:val="nil"/>
              <w:bottom w:val="single" w:sz="8" w:space="0" w:color="auto"/>
              <w:right w:val="nil"/>
            </w:tcBorders>
            <w:shd w:val="clear" w:color="000000" w:fill="FFFFFF"/>
            <w:noWrap/>
            <w:vAlign w:val="center"/>
            <w:hideMark/>
          </w:tcPr>
          <w:p w14:paraId="0078DDD2" w14:textId="77777777" w:rsidR="00764626" w:rsidRPr="00764626" w:rsidRDefault="00764626" w:rsidP="007C4BA6">
            <w:pPr>
              <w:rPr>
                <w:rFonts w:ascii="Verdana" w:eastAsia="Times New Roman" w:hAnsi="Verdana" w:cs="Times New Roman"/>
                <w:b/>
                <w:bCs/>
                <w:color w:val="000000"/>
                <w:sz w:val="16"/>
                <w:szCs w:val="16"/>
                <w:lang w:val="en-GB" w:eastAsia="en-GB"/>
              </w:rPr>
            </w:pPr>
            <w:r w:rsidRPr="00764626">
              <w:rPr>
                <w:rFonts w:ascii="Verdana" w:eastAsia="Times New Roman" w:hAnsi="Verdana" w:cs="Times New Roman"/>
                <w:b/>
                <w:bCs/>
                <w:color w:val="000000"/>
                <w:sz w:val="16"/>
                <w:szCs w:val="16"/>
                <w:lang w:val="en-GB" w:eastAsia="en-GB"/>
              </w:rPr>
              <w:t>Total Assets</w:t>
            </w:r>
          </w:p>
        </w:tc>
        <w:tc>
          <w:tcPr>
            <w:tcW w:w="1560" w:type="dxa"/>
            <w:tcBorders>
              <w:top w:val="single" w:sz="4" w:space="0" w:color="auto"/>
              <w:left w:val="nil"/>
              <w:bottom w:val="single" w:sz="8" w:space="0" w:color="auto"/>
              <w:right w:val="nil"/>
            </w:tcBorders>
            <w:shd w:val="clear" w:color="000000" w:fill="FFFFFF"/>
            <w:noWrap/>
            <w:vAlign w:val="center"/>
            <w:hideMark/>
          </w:tcPr>
          <w:p w14:paraId="052D9A50" w14:textId="77777777" w:rsidR="00764626" w:rsidRPr="00764626" w:rsidRDefault="00764626" w:rsidP="007C4BA6">
            <w:pPr>
              <w:jc w:val="right"/>
              <w:rPr>
                <w:rFonts w:ascii="Verdana" w:eastAsia="Times New Roman" w:hAnsi="Verdana" w:cs="Times New Roman"/>
                <w:b/>
                <w:bCs/>
                <w:color w:val="000000"/>
                <w:sz w:val="16"/>
                <w:szCs w:val="16"/>
                <w:lang w:val="en-GB" w:eastAsia="en-GB"/>
              </w:rPr>
            </w:pPr>
            <w:r w:rsidRPr="00764626">
              <w:rPr>
                <w:rFonts w:ascii="Verdana" w:eastAsia="Times New Roman" w:hAnsi="Verdana" w:cs="Times New Roman"/>
                <w:b/>
                <w:bCs/>
                <w:color w:val="000000"/>
                <w:sz w:val="16"/>
                <w:szCs w:val="16"/>
                <w:lang w:val="en-GB" w:eastAsia="en-GB"/>
              </w:rPr>
              <w:t>358,772</w:t>
            </w:r>
          </w:p>
        </w:tc>
      </w:tr>
    </w:tbl>
    <w:p w14:paraId="73CC1563" w14:textId="77777777" w:rsidR="00764626" w:rsidRDefault="00764626">
      <w:pPr>
        <w:pStyle w:val="T1TableStyle"/>
        <w:rPr>
          <w:rFonts w:ascii="Verdana" w:hAnsi="Verdana"/>
          <w:b/>
          <w:sz w:val="16"/>
          <w:szCs w:val="16"/>
          <w:highlight w:val="yellow"/>
          <w:lang w:val="en-GB"/>
        </w:rPr>
      </w:pPr>
    </w:p>
    <w:tbl>
      <w:tblPr>
        <w:tblW w:w="7760" w:type="dxa"/>
        <w:jc w:val="center"/>
        <w:tblLook w:val="04A0" w:firstRow="1" w:lastRow="0" w:firstColumn="1" w:lastColumn="0" w:noHBand="0" w:noVBand="1"/>
      </w:tblPr>
      <w:tblGrid>
        <w:gridCol w:w="1309"/>
        <w:gridCol w:w="4891"/>
        <w:gridCol w:w="1560"/>
      </w:tblGrid>
      <w:tr w:rsidR="00764626" w:rsidRPr="00764626" w14:paraId="15ACE92D" w14:textId="77777777" w:rsidTr="007C4BA6">
        <w:trPr>
          <w:trHeight w:val="300"/>
          <w:jc w:val="center"/>
        </w:trPr>
        <w:tc>
          <w:tcPr>
            <w:tcW w:w="6200" w:type="dxa"/>
            <w:gridSpan w:val="2"/>
            <w:tcBorders>
              <w:top w:val="nil"/>
              <w:left w:val="nil"/>
              <w:bottom w:val="nil"/>
              <w:right w:val="nil"/>
            </w:tcBorders>
            <w:shd w:val="clear" w:color="000000" w:fill="FFFFFF"/>
            <w:noWrap/>
            <w:vAlign w:val="center"/>
            <w:hideMark/>
          </w:tcPr>
          <w:p w14:paraId="6674CFE4" w14:textId="77777777" w:rsidR="00764626" w:rsidRPr="00764626" w:rsidRDefault="00764626" w:rsidP="00764626">
            <w:pPr>
              <w:rPr>
                <w:rFonts w:ascii="Verdana" w:eastAsia="Times New Roman" w:hAnsi="Verdana" w:cs="Times New Roman"/>
                <w:b/>
                <w:bCs/>
                <w:color w:val="000000"/>
                <w:sz w:val="16"/>
                <w:szCs w:val="16"/>
                <w:lang w:val="en-GB" w:eastAsia="en-GB"/>
              </w:rPr>
            </w:pPr>
            <w:r w:rsidRPr="00764626">
              <w:rPr>
                <w:rFonts w:ascii="Verdana" w:eastAsia="Times New Roman" w:hAnsi="Verdana" w:cs="Times New Roman"/>
                <w:b/>
                <w:bCs/>
                <w:color w:val="000000"/>
                <w:sz w:val="16"/>
                <w:szCs w:val="16"/>
                <w:lang w:val="en-GB" w:eastAsia="en-GB"/>
              </w:rPr>
              <w:t>The significant assumptions used by the actuary have been:</w:t>
            </w:r>
          </w:p>
        </w:tc>
        <w:tc>
          <w:tcPr>
            <w:tcW w:w="1560" w:type="dxa"/>
            <w:tcBorders>
              <w:top w:val="nil"/>
              <w:left w:val="nil"/>
              <w:bottom w:val="nil"/>
              <w:right w:val="nil"/>
            </w:tcBorders>
            <w:shd w:val="clear" w:color="000000" w:fill="FFFFFF"/>
            <w:noWrap/>
            <w:vAlign w:val="center"/>
            <w:hideMark/>
          </w:tcPr>
          <w:p w14:paraId="2A5839C4" w14:textId="77777777" w:rsidR="00764626" w:rsidRPr="00764626" w:rsidRDefault="00764626" w:rsidP="00764626">
            <w:pPr>
              <w:rPr>
                <w:rFonts w:ascii="Verdana" w:eastAsia="Times New Roman" w:hAnsi="Verdana" w:cs="Times New Roman"/>
                <w:b/>
                <w:bCs/>
                <w:color w:val="000000"/>
                <w:sz w:val="16"/>
                <w:szCs w:val="16"/>
                <w:lang w:val="en-GB" w:eastAsia="en-GB"/>
              </w:rPr>
            </w:pPr>
            <w:r w:rsidRPr="00764626">
              <w:rPr>
                <w:rFonts w:ascii="Verdana" w:eastAsia="Times New Roman" w:hAnsi="Verdana" w:cs="Times New Roman"/>
                <w:b/>
                <w:bCs/>
                <w:color w:val="000000"/>
                <w:sz w:val="16"/>
                <w:szCs w:val="16"/>
                <w:lang w:val="en-GB" w:eastAsia="en-GB"/>
              </w:rPr>
              <w:t> </w:t>
            </w:r>
          </w:p>
        </w:tc>
      </w:tr>
      <w:tr w:rsidR="00764626" w:rsidRPr="00764626" w14:paraId="065263B3" w14:textId="77777777" w:rsidTr="007C4BA6">
        <w:trPr>
          <w:trHeight w:val="74"/>
          <w:jc w:val="center"/>
        </w:trPr>
        <w:tc>
          <w:tcPr>
            <w:tcW w:w="1309" w:type="dxa"/>
            <w:tcBorders>
              <w:top w:val="nil"/>
              <w:left w:val="nil"/>
              <w:bottom w:val="nil"/>
              <w:right w:val="nil"/>
            </w:tcBorders>
            <w:shd w:val="clear" w:color="000000" w:fill="FFFFFF"/>
            <w:noWrap/>
            <w:vAlign w:val="center"/>
            <w:hideMark/>
          </w:tcPr>
          <w:p w14:paraId="257A1613" w14:textId="77777777" w:rsidR="00764626" w:rsidRPr="00764626" w:rsidRDefault="00764626" w:rsidP="00764626">
            <w:pPr>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 </w:t>
            </w:r>
          </w:p>
        </w:tc>
        <w:tc>
          <w:tcPr>
            <w:tcW w:w="4891" w:type="dxa"/>
            <w:tcBorders>
              <w:top w:val="nil"/>
              <w:left w:val="nil"/>
              <w:bottom w:val="nil"/>
              <w:right w:val="nil"/>
            </w:tcBorders>
            <w:shd w:val="clear" w:color="000000" w:fill="FFFFFF"/>
            <w:noWrap/>
            <w:vAlign w:val="center"/>
            <w:hideMark/>
          </w:tcPr>
          <w:p w14:paraId="57ADAF9E" w14:textId="77777777" w:rsidR="00764626" w:rsidRPr="00764626" w:rsidRDefault="00764626" w:rsidP="00764626">
            <w:pPr>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 </w:t>
            </w:r>
          </w:p>
        </w:tc>
        <w:tc>
          <w:tcPr>
            <w:tcW w:w="1560" w:type="dxa"/>
            <w:tcBorders>
              <w:top w:val="nil"/>
              <w:left w:val="nil"/>
              <w:bottom w:val="nil"/>
              <w:right w:val="nil"/>
            </w:tcBorders>
            <w:shd w:val="clear" w:color="000000" w:fill="FFFFFF"/>
            <w:noWrap/>
            <w:vAlign w:val="center"/>
            <w:hideMark/>
          </w:tcPr>
          <w:p w14:paraId="3D371CA3" w14:textId="77777777" w:rsidR="00764626" w:rsidRPr="00764626" w:rsidRDefault="00764626" w:rsidP="00764626">
            <w:pPr>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 </w:t>
            </w:r>
          </w:p>
        </w:tc>
      </w:tr>
      <w:tr w:rsidR="00764626" w:rsidRPr="00764626" w14:paraId="5FE2688F" w14:textId="77777777" w:rsidTr="007C4BA6">
        <w:trPr>
          <w:trHeight w:val="74"/>
          <w:jc w:val="center"/>
        </w:trPr>
        <w:tc>
          <w:tcPr>
            <w:tcW w:w="1309" w:type="dxa"/>
            <w:tcBorders>
              <w:top w:val="nil"/>
              <w:left w:val="nil"/>
              <w:bottom w:val="single" w:sz="4" w:space="0" w:color="auto"/>
              <w:right w:val="nil"/>
            </w:tcBorders>
            <w:shd w:val="clear" w:color="000000" w:fill="FFFFFF"/>
            <w:noWrap/>
            <w:vAlign w:val="center"/>
            <w:hideMark/>
          </w:tcPr>
          <w:p w14:paraId="21C76C46" w14:textId="77777777" w:rsidR="00764626" w:rsidRPr="00764626" w:rsidRDefault="00764626" w:rsidP="00764626">
            <w:pPr>
              <w:jc w:val="center"/>
              <w:rPr>
                <w:rFonts w:ascii="Verdana" w:eastAsia="Times New Roman" w:hAnsi="Verdana" w:cs="Times New Roman"/>
                <w:b/>
                <w:bCs/>
                <w:color w:val="000000"/>
                <w:sz w:val="16"/>
                <w:szCs w:val="16"/>
                <w:lang w:val="en-GB" w:eastAsia="en-GB"/>
              </w:rPr>
            </w:pPr>
            <w:r w:rsidRPr="00764626">
              <w:rPr>
                <w:rFonts w:ascii="Verdana" w:eastAsia="Times New Roman" w:hAnsi="Verdana" w:cs="Times New Roman"/>
                <w:b/>
                <w:bCs/>
                <w:color w:val="000000"/>
                <w:sz w:val="16"/>
                <w:szCs w:val="16"/>
                <w:lang w:val="en-GB" w:eastAsia="en-GB"/>
              </w:rPr>
              <w:t>2019/20</w:t>
            </w:r>
          </w:p>
        </w:tc>
        <w:tc>
          <w:tcPr>
            <w:tcW w:w="4891" w:type="dxa"/>
            <w:tcBorders>
              <w:top w:val="nil"/>
              <w:left w:val="nil"/>
              <w:bottom w:val="single" w:sz="4" w:space="0" w:color="auto"/>
              <w:right w:val="nil"/>
            </w:tcBorders>
            <w:shd w:val="clear" w:color="000000" w:fill="FFFFFF"/>
            <w:noWrap/>
            <w:vAlign w:val="center"/>
            <w:hideMark/>
          </w:tcPr>
          <w:p w14:paraId="7A916D47" w14:textId="77777777" w:rsidR="00764626" w:rsidRPr="00764626" w:rsidRDefault="00764626" w:rsidP="00764626">
            <w:pPr>
              <w:jc w:val="center"/>
              <w:rPr>
                <w:rFonts w:ascii="Verdana" w:eastAsia="Times New Roman" w:hAnsi="Verdana" w:cs="Times New Roman"/>
                <w:b/>
                <w:bCs/>
                <w:color w:val="000000"/>
                <w:sz w:val="16"/>
                <w:szCs w:val="16"/>
                <w:lang w:val="en-GB" w:eastAsia="en-GB"/>
              </w:rPr>
            </w:pPr>
            <w:r w:rsidRPr="00764626">
              <w:rPr>
                <w:rFonts w:ascii="Verdana" w:eastAsia="Times New Roman" w:hAnsi="Verdana" w:cs="Times New Roman"/>
                <w:b/>
                <w:bCs/>
                <w:color w:val="000000"/>
                <w:sz w:val="16"/>
                <w:szCs w:val="16"/>
                <w:lang w:val="en-GB" w:eastAsia="en-GB"/>
              </w:rPr>
              <w:t>LGPS</w:t>
            </w:r>
          </w:p>
        </w:tc>
        <w:tc>
          <w:tcPr>
            <w:tcW w:w="1560" w:type="dxa"/>
            <w:tcBorders>
              <w:top w:val="nil"/>
              <w:left w:val="nil"/>
              <w:bottom w:val="single" w:sz="4" w:space="0" w:color="auto"/>
              <w:right w:val="nil"/>
            </w:tcBorders>
            <w:shd w:val="clear" w:color="000000" w:fill="FFFFFF"/>
            <w:noWrap/>
            <w:vAlign w:val="center"/>
            <w:hideMark/>
          </w:tcPr>
          <w:p w14:paraId="381A314F" w14:textId="77777777" w:rsidR="00764626" w:rsidRPr="00764626" w:rsidRDefault="00764626" w:rsidP="00764626">
            <w:pPr>
              <w:jc w:val="center"/>
              <w:rPr>
                <w:rFonts w:ascii="Verdana" w:eastAsia="Times New Roman" w:hAnsi="Verdana" w:cs="Times New Roman"/>
                <w:b/>
                <w:bCs/>
                <w:color w:val="000000"/>
                <w:sz w:val="16"/>
                <w:szCs w:val="16"/>
                <w:lang w:val="en-GB" w:eastAsia="en-GB"/>
              </w:rPr>
            </w:pPr>
            <w:r w:rsidRPr="00764626">
              <w:rPr>
                <w:rFonts w:ascii="Verdana" w:eastAsia="Times New Roman" w:hAnsi="Verdana" w:cs="Times New Roman"/>
                <w:b/>
                <w:bCs/>
                <w:color w:val="000000"/>
                <w:sz w:val="16"/>
                <w:szCs w:val="16"/>
                <w:lang w:val="en-GB" w:eastAsia="en-GB"/>
              </w:rPr>
              <w:t>2020/21</w:t>
            </w:r>
          </w:p>
        </w:tc>
      </w:tr>
      <w:tr w:rsidR="00764626" w:rsidRPr="00764626" w14:paraId="2F13C30B" w14:textId="77777777" w:rsidTr="007C4BA6">
        <w:trPr>
          <w:trHeight w:val="300"/>
          <w:jc w:val="center"/>
        </w:trPr>
        <w:tc>
          <w:tcPr>
            <w:tcW w:w="1309" w:type="dxa"/>
            <w:tcBorders>
              <w:top w:val="nil"/>
              <w:left w:val="nil"/>
              <w:bottom w:val="nil"/>
              <w:right w:val="nil"/>
            </w:tcBorders>
            <w:shd w:val="clear" w:color="000000" w:fill="FFFFFF"/>
            <w:noWrap/>
            <w:vAlign w:val="center"/>
            <w:hideMark/>
          </w:tcPr>
          <w:p w14:paraId="0BD20D05" w14:textId="77777777" w:rsidR="00764626" w:rsidRPr="00764626" w:rsidRDefault="00764626" w:rsidP="0076462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11.0%</w:t>
            </w:r>
          </w:p>
        </w:tc>
        <w:tc>
          <w:tcPr>
            <w:tcW w:w="4891" w:type="dxa"/>
            <w:tcBorders>
              <w:top w:val="nil"/>
              <w:left w:val="nil"/>
              <w:bottom w:val="nil"/>
              <w:right w:val="nil"/>
            </w:tcBorders>
            <w:shd w:val="clear" w:color="000000" w:fill="FFFFFF"/>
            <w:noWrap/>
            <w:vAlign w:val="center"/>
            <w:hideMark/>
          </w:tcPr>
          <w:p w14:paraId="144A2ED8" w14:textId="77777777" w:rsidR="00764626" w:rsidRPr="00764626" w:rsidRDefault="00764626" w:rsidP="00764626">
            <w:pPr>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EQUITY SECURITIES</w:t>
            </w:r>
          </w:p>
        </w:tc>
        <w:tc>
          <w:tcPr>
            <w:tcW w:w="1560" w:type="dxa"/>
            <w:tcBorders>
              <w:top w:val="nil"/>
              <w:left w:val="nil"/>
              <w:bottom w:val="nil"/>
              <w:right w:val="nil"/>
            </w:tcBorders>
            <w:shd w:val="clear" w:color="000000" w:fill="FFFFFF"/>
            <w:noWrap/>
            <w:vAlign w:val="center"/>
            <w:hideMark/>
          </w:tcPr>
          <w:p w14:paraId="7CF3C684" w14:textId="77777777" w:rsidR="00764626" w:rsidRPr="00764626" w:rsidRDefault="00764626" w:rsidP="0076462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11%</w:t>
            </w:r>
          </w:p>
        </w:tc>
      </w:tr>
      <w:tr w:rsidR="00764626" w:rsidRPr="00764626" w14:paraId="0E132107" w14:textId="77777777" w:rsidTr="007C4BA6">
        <w:trPr>
          <w:trHeight w:val="300"/>
          <w:jc w:val="center"/>
        </w:trPr>
        <w:tc>
          <w:tcPr>
            <w:tcW w:w="1309" w:type="dxa"/>
            <w:tcBorders>
              <w:top w:val="nil"/>
              <w:left w:val="nil"/>
              <w:bottom w:val="nil"/>
              <w:right w:val="nil"/>
            </w:tcBorders>
            <w:shd w:val="clear" w:color="000000" w:fill="FFFFFF"/>
            <w:noWrap/>
            <w:vAlign w:val="center"/>
            <w:hideMark/>
          </w:tcPr>
          <w:p w14:paraId="242E5809" w14:textId="77777777" w:rsidR="00764626" w:rsidRPr="00764626" w:rsidRDefault="00764626" w:rsidP="0076462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11.0%</w:t>
            </w:r>
          </w:p>
        </w:tc>
        <w:tc>
          <w:tcPr>
            <w:tcW w:w="4891" w:type="dxa"/>
            <w:tcBorders>
              <w:top w:val="nil"/>
              <w:left w:val="nil"/>
              <w:bottom w:val="nil"/>
              <w:right w:val="nil"/>
            </w:tcBorders>
            <w:shd w:val="clear" w:color="000000" w:fill="FFFFFF"/>
            <w:noWrap/>
            <w:vAlign w:val="center"/>
            <w:hideMark/>
          </w:tcPr>
          <w:p w14:paraId="20F41F59" w14:textId="77777777" w:rsidR="00764626" w:rsidRPr="00764626" w:rsidRDefault="00764626" w:rsidP="00764626">
            <w:pPr>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DEBT SECURITIES</w:t>
            </w:r>
          </w:p>
        </w:tc>
        <w:tc>
          <w:tcPr>
            <w:tcW w:w="1560" w:type="dxa"/>
            <w:tcBorders>
              <w:top w:val="nil"/>
              <w:left w:val="nil"/>
              <w:bottom w:val="nil"/>
              <w:right w:val="nil"/>
            </w:tcBorders>
            <w:shd w:val="clear" w:color="000000" w:fill="FFFFFF"/>
            <w:noWrap/>
            <w:vAlign w:val="center"/>
            <w:hideMark/>
          </w:tcPr>
          <w:p w14:paraId="50635726" w14:textId="77777777" w:rsidR="00764626" w:rsidRPr="00764626" w:rsidRDefault="00764626" w:rsidP="0076462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11%</w:t>
            </w:r>
          </w:p>
        </w:tc>
      </w:tr>
      <w:tr w:rsidR="00764626" w:rsidRPr="00764626" w14:paraId="008425BC" w14:textId="77777777" w:rsidTr="007C4BA6">
        <w:trPr>
          <w:trHeight w:val="300"/>
          <w:jc w:val="center"/>
        </w:trPr>
        <w:tc>
          <w:tcPr>
            <w:tcW w:w="1309" w:type="dxa"/>
            <w:tcBorders>
              <w:top w:val="nil"/>
              <w:left w:val="nil"/>
              <w:bottom w:val="nil"/>
              <w:right w:val="nil"/>
            </w:tcBorders>
            <w:shd w:val="clear" w:color="000000" w:fill="FFFFFF"/>
            <w:noWrap/>
            <w:vAlign w:val="center"/>
            <w:hideMark/>
          </w:tcPr>
          <w:p w14:paraId="0EE6C351" w14:textId="77777777" w:rsidR="00764626" w:rsidRPr="00764626" w:rsidRDefault="00764626" w:rsidP="0076462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11.0%</w:t>
            </w:r>
          </w:p>
        </w:tc>
        <w:tc>
          <w:tcPr>
            <w:tcW w:w="4891" w:type="dxa"/>
            <w:tcBorders>
              <w:top w:val="nil"/>
              <w:left w:val="nil"/>
              <w:bottom w:val="nil"/>
              <w:right w:val="nil"/>
            </w:tcBorders>
            <w:shd w:val="clear" w:color="000000" w:fill="FFFFFF"/>
            <w:noWrap/>
            <w:vAlign w:val="center"/>
            <w:hideMark/>
          </w:tcPr>
          <w:p w14:paraId="45DFAFA0" w14:textId="77777777" w:rsidR="00764626" w:rsidRPr="00764626" w:rsidRDefault="00764626" w:rsidP="00764626">
            <w:pPr>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PRIVATE EQUITY</w:t>
            </w:r>
          </w:p>
        </w:tc>
        <w:tc>
          <w:tcPr>
            <w:tcW w:w="1560" w:type="dxa"/>
            <w:tcBorders>
              <w:top w:val="nil"/>
              <w:left w:val="nil"/>
              <w:bottom w:val="nil"/>
              <w:right w:val="nil"/>
            </w:tcBorders>
            <w:shd w:val="clear" w:color="000000" w:fill="FFFFFF"/>
            <w:noWrap/>
            <w:vAlign w:val="center"/>
            <w:hideMark/>
          </w:tcPr>
          <w:p w14:paraId="3161659E" w14:textId="77777777" w:rsidR="00764626" w:rsidRPr="00764626" w:rsidRDefault="00764626" w:rsidP="0076462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11%</w:t>
            </w:r>
          </w:p>
        </w:tc>
      </w:tr>
      <w:tr w:rsidR="00764626" w:rsidRPr="00764626" w14:paraId="398EC392" w14:textId="77777777" w:rsidTr="007C4BA6">
        <w:trPr>
          <w:trHeight w:val="300"/>
          <w:jc w:val="center"/>
        </w:trPr>
        <w:tc>
          <w:tcPr>
            <w:tcW w:w="1309" w:type="dxa"/>
            <w:tcBorders>
              <w:top w:val="nil"/>
              <w:left w:val="nil"/>
              <w:bottom w:val="nil"/>
              <w:right w:val="nil"/>
            </w:tcBorders>
            <w:shd w:val="clear" w:color="000000" w:fill="FFFFFF"/>
            <w:noWrap/>
            <w:vAlign w:val="center"/>
            <w:hideMark/>
          </w:tcPr>
          <w:p w14:paraId="68A84DC6" w14:textId="77777777" w:rsidR="00764626" w:rsidRPr="00764626" w:rsidRDefault="00764626" w:rsidP="0076462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11.0%</w:t>
            </w:r>
          </w:p>
        </w:tc>
        <w:tc>
          <w:tcPr>
            <w:tcW w:w="4891" w:type="dxa"/>
            <w:tcBorders>
              <w:top w:val="nil"/>
              <w:left w:val="nil"/>
              <w:bottom w:val="nil"/>
              <w:right w:val="nil"/>
            </w:tcBorders>
            <w:shd w:val="clear" w:color="000000" w:fill="FFFFFF"/>
            <w:noWrap/>
            <w:vAlign w:val="center"/>
            <w:hideMark/>
          </w:tcPr>
          <w:p w14:paraId="1BBC92C7" w14:textId="77777777" w:rsidR="00764626" w:rsidRPr="00764626" w:rsidRDefault="00764626" w:rsidP="00764626">
            <w:pPr>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REAL ESTATE</w:t>
            </w:r>
          </w:p>
        </w:tc>
        <w:tc>
          <w:tcPr>
            <w:tcW w:w="1560" w:type="dxa"/>
            <w:tcBorders>
              <w:top w:val="nil"/>
              <w:left w:val="nil"/>
              <w:bottom w:val="nil"/>
              <w:right w:val="nil"/>
            </w:tcBorders>
            <w:shd w:val="clear" w:color="000000" w:fill="FFFFFF"/>
            <w:noWrap/>
            <w:vAlign w:val="center"/>
            <w:hideMark/>
          </w:tcPr>
          <w:p w14:paraId="2C57A62C" w14:textId="77777777" w:rsidR="00764626" w:rsidRPr="00764626" w:rsidRDefault="00764626" w:rsidP="0076462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11%</w:t>
            </w:r>
          </w:p>
        </w:tc>
      </w:tr>
      <w:tr w:rsidR="00764626" w:rsidRPr="00764626" w14:paraId="0456DF6A" w14:textId="77777777" w:rsidTr="007C4BA6">
        <w:trPr>
          <w:trHeight w:val="300"/>
          <w:jc w:val="center"/>
        </w:trPr>
        <w:tc>
          <w:tcPr>
            <w:tcW w:w="1309" w:type="dxa"/>
            <w:tcBorders>
              <w:top w:val="nil"/>
              <w:left w:val="nil"/>
              <w:bottom w:val="nil"/>
              <w:right w:val="nil"/>
            </w:tcBorders>
            <w:shd w:val="clear" w:color="000000" w:fill="FFFFFF"/>
            <w:noWrap/>
            <w:vAlign w:val="center"/>
            <w:hideMark/>
          </w:tcPr>
          <w:p w14:paraId="34F18CDC" w14:textId="77777777" w:rsidR="00764626" w:rsidRPr="00764626" w:rsidRDefault="00764626" w:rsidP="0076462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11.0%</w:t>
            </w:r>
          </w:p>
        </w:tc>
        <w:tc>
          <w:tcPr>
            <w:tcW w:w="4891" w:type="dxa"/>
            <w:tcBorders>
              <w:top w:val="nil"/>
              <w:left w:val="nil"/>
              <w:bottom w:val="nil"/>
              <w:right w:val="nil"/>
            </w:tcBorders>
            <w:shd w:val="clear" w:color="000000" w:fill="FFFFFF"/>
            <w:noWrap/>
            <w:vAlign w:val="center"/>
            <w:hideMark/>
          </w:tcPr>
          <w:p w14:paraId="31B59F13" w14:textId="77777777" w:rsidR="00764626" w:rsidRPr="00764626" w:rsidRDefault="00764626" w:rsidP="00764626">
            <w:pPr>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INVESTMENT FUNDS &amp; UNIT TRUSTS</w:t>
            </w:r>
          </w:p>
        </w:tc>
        <w:tc>
          <w:tcPr>
            <w:tcW w:w="1560" w:type="dxa"/>
            <w:tcBorders>
              <w:top w:val="nil"/>
              <w:left w:val="nil"/>
              <w:bottom w:val="nil"/>
              <w:right w:val="nil"/>
            </w:tcBorders>
            <w:shd w:val="clear" w:color="000000" w:fill="FFFFFF"/>
            <w:noWrap/>
            <w:vAlign w:val="center"/>
            <w:hideMark/>
          </w:tcPr>
          <w:p w14:paraId="1FA47CDD" w14:textId="77777777" w:rsidR="00764626" w:rsidRPr="00764626" w:rsidRDefault="00764626" w:rsidP="0076462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11%</w:t>
            </w:r>
          </w:p>
        </w:tc>
      </w:tr>
      <w:tr w:rsidR="00764626" w:rsidRPr="00764626" w14:paraId="122B5205" w14:textId="77777777" w:rsidTr="007C4BA6">
        <w:trPr>
          <w:trHeight w:val="300"/>
          <w:jc w:val="center"/>
        </w:trPr>
        <w:tc>
          <w:tcPr>
            <w:tcW w:w="1309" w:type="dxa"/>
            <w:tcBorders>
              <w:top w:val="nil"/>
              <w:left w:val="nil"/>
              <w:bottom w:val="nil"/>
              <w:right w:val="nil"/>
            </w:tcBorders>
            <w:shd w:val="clear" w:color="000000" w:fill="FFFFFF"/>
            <w:noWrap/>
            <w:vAlign w:val="center"/>
            <w:hideMark/>
          </w:tcPr>
          <w:p w14:paraId="13C590AB" w14:textId="77777777" w:rsidR="00764626" w:rsidRPr="00764626" w:rsidRDefault="00764626" w:rsidP="0076462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11.0%</w:t>
            </w:r>
          </w:p>
        </w:tc>
        <w:tc>
          <w:tcPr>
            <w:tcW w:w="4891" w:type="dxa"/>
            <w:tcBorders>
              <w:top w:val="nil"/>
              <w:left w:val="nil"/>
              <w:bottom w:val="nil"/>
              <w:right w:val="nil"/>
            </w:tcBorders>
            <w:shd w:val="clear" w:color="000000" w:fill="FFFFFF"/>
            <w:noWrap/>
            <w:vAlign w:val="center"/>
            <w:hideMark/>
          </w:tcPr>
          <w:p w14:paraId="1D4BBB94" w14:textId="77777777" w:rsidR="00764626" w:rsidRPr="00764626" w:rsidRDefault="00764626" w:rsidP="00764626">
            <w:pPr>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DERIVATIVES</w:t>
            </w:r>
          </w:p>
        </w:tc>
        <w:tc>
          <w:tcPr>
            <w:tcW w:w="1560" w:type="dxa"/>
            <w:tcBorders>
              <w:top w:val="nil"/>
              <w:left w:val="nil"/>
              <w:bottom w:val="nil"/>
              <w:right w:val="nil"/>
            </w:tcBorders>
            <w:shd w:val="clear" w:color="000000" w:fill="FFFFFF"/>
            <w:noWrap/>
            <w:vAlign w:val="center"/>
            <w:hideMark/>
          </w:tcPr>
          <w:p w14:paraId="7D67CCDE" w14:textId="77777777" w:rsidR="00764626" w:rsidRPr="00764626" w:rsidRDefault="00764626" w:rsidP="0076462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11%</w:t>
            </w:r>
          </w:p>
        </w:tc>
      </w:tr>
      <w:tr w:rsidR="00764626" w:rsidRPr="00764626" w14:paraId="621FD7C0" w14:textId="77777777" w:rsidTr="007C4BA6">
        <w:trPr>
          <w:trHeight w:val="300"/>
          <w:jc w:val="center"/>
        </w:trPr>
        <w:tc>
          <w:tcPr>
            <w:tcW w:w="1309" w:type="dxa"/>
            <w:tcBorders>
              <w:top w:val="nil"/>
              <w:left w:val="nil"/>
              <w:bottom w:val="nil"/>
              <w:right w:val="nil"/>
            </w:tcBorders>
            <w:shd w:val="clear" w:color="000000" w:fill="FFFFFF"/>
            <w:noWrap/>
            <w:vAlign w:val="center"/>
            <w:hideMark/>
          </w:tcPr>
          <w:p w14:paraId="4059CEB8" w14:textId="77777777" w:rsidR="00764626" w:rsidRPr="00764626" w:rsidRDefault="00764626" w:rsidP="0076462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22.1</w:t>
            </w:r>
          </w:p>
        </w:tc>
        <w:tc>
          <w:tcPr>
            <w:tcW w:w="4891" w:type="dxa"/>
            <w:tcBorders>
              <w:top w:val="nil"/>
              <w:left w:val="nil"/>
              <w:bottom w:val="nil"/>
              <w:right w:val="nil"/>
            </w:tcBorders>
            <w:shd w:val="clear" w:color="000000" w:fill="FFFFFF"/>
            <w:noWrap/>
            <w:vAlign w:val="center"/>
            <w:hideMark/>
          </w:tcPr>
          <w:p w14:paraId="505C4D52" w14:textId="77777777" w:rsidR="00764626" w:rsidRPr="00764626" w:rsidRDefault="00764626" w:rsidP="00764626">
            <w:pPr>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Men</w:t>
            </w:r>
          </w:p>
        </w:tc>
        <w:tc>
          <w:tcPr>
            <w:tcW w:w="1560" w:type="dxa"/>
            <w:tcBorders>
              <w:top w:val="nil"/>
              <w:left w:val="nil"/>
              <w:bottom w:val="nil"/>
              <w:right w:val="nil"/>
            </w:tcBorders>
            <w:shd w:val="clear" w:color="000000" w:fill="FFFFFF"/>
            <w:noWrap/>
            <w:vAlign w:val="center"/>
            <w:hideMark/>
          </w:tcPr>
          <w:p w14:paraId="000F32E3" w14:textId="77777777" w:rsidR="00764626" w:rsidRPr="00764626" w:rsidRDefault="00764626" w:rsidP="0076462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22.1</w:t>
            </w:r>
          </w:p>
        </w:tc>
      </w:tr>
      <w:tr w:rsidR="00764626" w:rsidRPr="00764626" w14:paraId="3F83793D" w14:textId="77777777" w:rsidTr="007C4BA6">
        <w:trPr>
          <w:trHeight w:val="300"/>
          <w:jc w:val="center"/>
        </w:trPr>
        <w:tc>
          <w:tcPr>
            <w:tcW w:w="1309" w:type="dxa"/>
            <w:tcBorders>
              <w:top w:val="nil"/>
              <w:left w:val="nil"/>
              <w:bottom w:val="nil"/>
              <w:right w:val="nil"/>
            </w:tcBorders>
            <w:shd w:val="clear" w:color="000000" w:fill="FFFFFF"/>
            <w:noWrap/>
            <w:vAlign w:val="center"/>
            <w:hideMark/>
          </w:tcPr>
          <w:p w14:paraId="7AA4BDCF" w14:textId="77777777" w:rsidR="00764626" w:rsidRPr="00764626" w:rsidRDefault="00764626" w:rsidP="0076462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24.3</w:t>
            </w:r>
          </w:p>
        </w:tc>
        <w:tc>
          <w:tcPr>
            <w:tcW w:w="4891" w:type="dxa"/>
            <w:tcBorders>
              <w:top w:val="nil"/>
              <w:left w:val="nil"/>
              <w:bottom w:val="nil"/>
              <w:right w:val="nil"/>
            </w:tcBorders>
            <w:shd w:val="clear" w:color="000000" w:fill="FFFFFF"/>
            <w:noWrap/>
            <w:vAlign w:val="center"/>
            <w:hideMark/>
          </w:tcPr>
          <w:p w14:paraId="1D12AC9B" w14:textId="77777777" w:rsidR="00764626" w:rsidRPr="00764626" w:rsidRDefault="00764626" w:rsidP="00764626">
            <w:pPr>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Women</w:t>
            </w:r>
          </w:p>
        </w:tc>
        <w:tc>
          <w:tcPr>
            <w:tcW w:w="1560" w:type="dxa"/>
            <w:tcBorders>
              <w:top w:val="nil"/>
              <w:left w:val="nil"/>
              <w:bottom w:val="nil"/>
              <w:right w:val="nil"/>
            </w:tcBorders>
            <w:shd w:val="clear" w:color="000000" w:fill="FFFFFF"/>
            <w:noWrap/>
            <w:vAlign w:val="center"/>
            <w:hideMark/>
          </w:tcPr>
          <w:p w14:paraId="70747A44" w14:textId="77777777" w:rsidR="00764626" w:rsidRPr="00764626" w:rsidRDefault="00764626" w:rsidP="0076462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24.3</w:t>
            </w:r>
          </w:p>
        </w:tc>
      </w:tr>
      <w:tr w:rsidR="00764626" w:rsidRPr="00764626" w14:paraId="46CC3DA0" w14:textId="77777777" w:rsidTr="007C4BA6">
        <w:trPr>
          <w:trHeight w:val="300"/>
          <w:jc w:val="center"/>
        </w:trPr>
        <w:tc>
          <w:tcPr>
            <w:tcW w:w="1309" w:type="dxa"/>
            <w:tcBorders>
              <w:top w:val="nil"/>
              <w:left w:val="nil"/>
              <w:bottom w:val="nil"/>
              <w:right w:val="nil"/>
            </w:tcBorders>
            <w:shd w:val="clear" w:color="000000" w:fill="FFFFFF"/>
            <w:noWrap/>
            <w:vAlign w:val="center"/>
            <w:hideMark/>
          </w:tcPr>
          <w:p w14:paraId="31AB5D77" w14:textId="77777777" w:rsidR="00764626" w:rsidRPr="00764626" w:rsidRDefault="00764626" w:rsidP="0076462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22.9</w:t>
            </w:r>
          </w:p>
        </w:tc>
        <w:tc>
          <w:tcPr>
            <w:tcW w:w="4891" w:type="dxa"/>
            <w:tcBorders>
              <w:top w:val="nil"/>
              <w:left w:val="nil"/>
              <w:bottom w:val="nil"/>
              <w:right w:val="nil"/>
            </w:tcBorders>
            <w:shd w:val="clear" w:color="000000" w:fill="FFFFFF"/>
            <w:noWrap/>
            <w:vAlign w:val="center"/>
            <w:hideMark/>
          </w:tcPr>
          <w:p w14:paraId="162D6CAF" w14:textId="77777777" w:rsidR="00764626" w:rsidRPr="00764626" w:rsidRDefault="00764626" w:rsidP="00764626">
            <w:pPr>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Men</w:t>
            </w:r>
          </w:p>
        </w:tc>
        <w:tc>
          <w:tcPr>
            <w:tcW w:w="1560" w:type="dxa"/>
            <w:tcBorders>
              <w:top w:val="nil"/>
              <w:left w:val="nil"/>
              <w:bottom w:val="nil"/>
              <w:right w:val="nil"/>
            </w:tcBorders>
            <w:shd w:val="clear" w:color="000000" w:fill="FFFFFF"/>
            <w:noWrap/>
            <w:vAlign w:val="center"/>
            <w:hideMark/>
          </w:tcPr>
          <w:p w14:paraId="67AF2FDE" w14:textId="77777777" w:rsidR="00764626" w:rsidRPr="00764626" w:rsidRDefault="00764626" w:rsidP="0076462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22.9</w:t>
            </w:r>
          </w:p>
        </w:tc>
      </w:tr>
      <w:tr w:rsidR="00764626" w:rsidRPr="00764626" w14:paraId="6CDA4A86" w14:textId="77777777" w:rsidTr="007C4BA6">
        <w:trPr>
          <w:trHeight w:val="300"/>
          <w:jc w:val="center"/>
        </w:trPr>
        <w:tc>
          <w:tcPr>
            <w:tcW w:w="1309" w:type="dxa"/>
            <w:tcBorders>
              <w:top w:val="nil"/>
              <w:left w:val="nil"/>
              <w:bottom w:val="nil"/>
              <w:right w:val="nil"/>
            </w:tcBorders>
            <w:shd w:val="clear" w:color="000000" w:fill="FFFFFF"/>
            <w:noWrap/>
            <w:vAlign w:val="center"/>
            <w:hideMark/>
          </w:tcPr>
          <w:p w14:paraId="24650522" w14:textId="77777777" w:rsidR="00764626" w:rsidRPr="00764626" w:rsidRDefault="00764626" w:rsidP="0076462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25.7</w:t>
            </w:r>
          </w:p>
        </w:tc>
        <w:tc>
          <w:tcPr>
            <w:tcW w:w="4891" w:type="dxa"/>
            <w:tcBorders>
              <w:top w:val="nil"/>
              <w:left w:val="nil"/>
              <w:bottom w:val="nil"/>
              <w:right w:val="nil"/>
            </w:tcBorders>
            <w:shd w:val="clear" w:color="000000" w:fill="FFFFFF"/>
            <w:noWrap/>
            <w:vAlign w:val="center"/>
            <w:hideMark/>
          </w:tcPr>
          <w:p w14:paraId="5282B34E" w14:textId="77777777" w:rsidR="00764626" w:rsidRPr="00764626" w:rsidRDefault="00764626" w:rsidP="00764626">
            <w:pPr>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Women</w:t>
            </w:r>
          </w:p>
        </w:tc>
        <w:tc>
          <w:tcPr>
            <w:tcW w:w="1560" w:type="dxa"/>
            <w:tcBorders>
              <w:top w:val="nil"/>
              <w:left w:val="nil"/>
              <w:bottom w:val="nil"/>
              <w:right w:val="nil"/>
            </w:tcBorders>
            <w:shd w:val="clear" w:color="000000" w:fill="FFFFFF"/>
            <w:noWrap/>
            <w:vAlign w:val="center"/>
            <w:hideMark/>
          </w:tcPr>
          <w:p w14:paraId="7B259BE3" w14:textId="77777777" w:rsidR="00764626" w:rsidRPr="00764626" w:rsidRDefault="00764626" w:rsidP="0076462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25.7</w:t>
            </w:r>
          </w:p>
        </w:tc>
      </w:tr>
      <w:tr w:rsidR="00764626" w:rsidRPr="00764626" w14:paraId="6BD0687D" w14:textId="77777777" w:rsidTr="007C4BA6">
        <w:trPr>
          <w:trHeight w:val="300"/>
          <w:jc w:val="center"/>
        </w:trPr>
        <w:tc>
          <w:tcPr>
            <w:tcW w:w="1309" w:type="dxa"/>
            <w:tcBorders>
              <w:top w:val="nil"/>
              <w:left w:val="nil"/>
              <w:bottom w:val="nil"/>
              <w:right w:val="nil"/>
            </w:tcBorders>
            <w:shd w:val="clear" w:color="000000" w:fill="FFFFFF"/>
            <w:noWrap/>
            <w:vAlign w:val="center"/>
            <w:hideMark/>
          </w:tcPr>
          <w:p w14:paraId="4B58434D" w14:textId="77777777" w:rsidR="00764626" w:rsidRPr="00764626" w:rsidRDefault="00764626" w:rsidP="0076462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2.0%</w:t>
            </w:r>
          </w:p>
        </w:tc>
        <w:tc>
          <w:tcPr>
            <w:tcW w:w="4891" w:type="dxa"/>
            <w:tcBorders>
              <w:top w:val="nil"/>
              <w:left w:val="nil"/>
              <w:bottom w:val="nil"/>
              <w:right w:val="nil"/>
            </w:tcBorders>
            <w:shd w:val="clear" w:color="000000" w:fill="FFFFFF"/>
            <w:noWrap/>
            <w:vAlign w:val="center"/>
            <w:hideMark/>
          </w:tcPr>
          <w:p w14:paraId="141AAB88" w14:textId="77777777" w:rsidR="00764626" w:rsidRPr="00764626" w:rsidRDefault="00764626" w:rsidP="00764626">
            <w:pPr>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Rate of inflation</w:t>
            </w:r>
          </w:p>
        </w:tc>
        <w:tc>
          <w:tcPr>
            <w:tcW w:w="1560" w:type="dxa"/>
            <w:tcBorders>
              <w:top w:val="nil"/>
              <w:left w:val="nil"/>
              <w:bottom w:val="nil"/>
              <w:right w:val="nil"/>
            </w:tcBorders>
            <w:shd w:val="clear" w:color="000000" w:fill="FFFFFF"/>
            <w:noWrap/>
            <w:vAlign w:val="center"/>
            <w:hideMark/>
          </w:tcPr>
          <w:p w14:paraId="5E33299E" w14:textId="77777777" w:rsidR="00764626" w:rsidRPr="00764626" w:rsidRDefault="00764626" w:rsidP="0076462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2.0%</w:t>
            </w:r>
          </w:p>
        </w:tc>
      </w:tr>
      <w:tr w:rsidR="00764626" w:rsidRPr="00764626" w14:paraId="13BF270D" w14:textId="77777777" w:rsidTr="007C4BA6">
        <w:trPr>
          <w:trHeight w:val="300"/>
          <w:jc w:val="center"/>
        </w:trPr>
        <w:tc>
          <w:tcPr>
            <w:tcW w:w="1309" w:type="dxa"/>
            <w:tcBorders>
              <w:top w:val="nil"/>
              <w:left w:val="nil"/>
              <w:bottom w:val="nil"/>
              <w:right w:val="nil"/>
            </w:tcBorders>
            <w:shd w:val="clear" w:color="000000" w:fill="FFFFFF"/>
            <w:noWrap/>
            <w:vAlign w:val="center"/>
            <w:hideMark/>
          </w:tcPr>
          <w:p w14:paraId="3545784D" w14:textId="77777777" w:rsidR="00764626" w:rsidRPr="00764626" w:rsidRDefault="00764626" w:rsidP="0076462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2.7%</w:t>
            </w:r>
          </w:p>
        </w:tc>
        <w:tc>
          <w:tcPr>
            <w:tcW w:w="4891" w:type="dxa"/>
            <w:tcBorders>
              <w:top w:val="nil"/>
              <w:left w:val="nil"/>
              <w:bottom w:val="nil"/>
              <w:right w:val="nil"/>
            </w:tcBorders>
            <w:shd w:val="clear" w:color="000000" w:fill="FFFFFF"/>
            <w:noWrap/>
            <w:vAlign w:val="center"/>
            <w:hideMark/>
          </w:tcPr>
          <w:p w14:paraId="4524E33C" w14:textId="77777777" w:rsidR="00764626" w:rsidRPr="00764626" w:rsidRDefault="00764626" w:rsidP="00764626">
            <w:pPr>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Rate of increase in salaries</w:t>
            </w:r>
          </w:p>
        </w:tc>
        <w:tc>
          <w:tcPr>
            <w:tcW w:w="1560" w:type="dxa"/>
            <w:tcBorders>
              <w:top w:val="nil"/>
              <w:left w:val="nil"/>
              <w:bottom w:val="nil"/>
              <w:right w:val="nil"/>
            </w:tcBorders>
            <w:shd w:val="clear" w:color="000000" w:fill="FFFFFF"/>
            <w:noWrap/>
            <w:vAlign w:val="center"/>
            <w:hideMark/>
          </w:tcPr>
          <w:p w14:paraId="332E56A8" w14:textId="77777777" w:rsidR="00764626" w:rsidRPr="00764626" w:rsidRDefault="00764626" w:rsidP="0076462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3.7%</w:t>
            </w:r>
          </w:p>
        </w:tc>
      </w:tr>
      <w:tr w:rsidR="00764626" w:rsidRPr="00764626" w14:paraId="59826CE5" w14:textId="77777777" w:rsidTr="007C4BA6">
        <w:trPr>
          <w:trHeight w:val="300"/>
          <w:jc w:val="center"/>
        </w:trPr>
        <w:tc>
          <w:tcPr>
            <w:tcW w:w="1309" w:type="dxa"/>
            <w:tcBorders>
              <w:top w:val="nil"/>
              <w:left w:val="nil"/>
              <w:bottom w:val="nil"/>
              <w:right w:val="nil"/>
            </w:tcBorders>
            <w:shd w:val="clear" w:color="000000" w:fill="FFFFFF"/>
            <w:noWrap/>
            <w:vAlign w:val="center"/>
            <w:hideMark/>
          </w:tcPr>
          <w:p w14:paraId="2749E428" w14:textId="77777777" w:rsidR="00764626" w:rsidRPr="00764626" w:rsidRDefault="00764626" w:rsidP="0076462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1.8%</w:t>
            </w:r>
          </w:p>
        </w:tc>
        <w:tc>
          <w:tcPr>
            <w:tcW w:w="4891" w:type="dxa"/>
            <w:tcBorders>
              <w:top w:val="nil"/>
              <w:left w:val="nil"/>
              <w:bottom w:val="nil"/>
              <w:right w:val="nil"/>
            </w:tcBorders>
            <w:shd w:val="clear" w:color="000000" w:fill="FFFFFF"/>
            <w:noWrap/>
            <w:vAlign w:val="center"/>
            <w:hideMark/>
          </w:tcPr>
          <w:p w14:paraId="58C2A27B" w14:textId="77777777" w:rsidR="00764626" w:rsidRPr="00764626" w:rsidRDefault="00764626" w:rsidP="00764626">
            <w:pPr>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Rate of increase in pensions</w:t>
            </w:r>
          </w:p>
        </w:tc>
        <w:tc>
          <w:tcPr>
            <w:tcW w:w="1560" w:type="dxa"/>
            <w:tcBorders>
              <w:top w:val="nil"/>
              <w:left w:val="nil"/>
              <w:bottom w:val="nil"/>
              <w:right w:val="nil"/>
            </w:tcBorders>
            <w:shd w:val="clear" w:color="000000" w:fill="FFFFFF"/>
            <w:noWrap/>
            <w:vAlign w:val="center"/>
            <w:hideMark/>
          </w:tcPr>
          <w:p w14:paraId="3DE01B41" w14:textId="77777777" w:rsidR="00764626" w:rsidRPr="00764626" w:rsidRDefault="00764626" w:rsidP="0076462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2.8%</w:t>
            </w:r>
          </w:p>
        </w:tc>
      </w:tr>
      <w:tr w:rsidR="00764626" w:rsidRPr="00764626" w14:paraId="4D8DD901" w14:textId="77777777" w:rsidTr="007C4BA6">
        <w:trPr>
          <w:trHeight w:val="300"/>
          <w:jc w:val="center"/>
        </w:trPr>
        <w:tc>
          <w:tcPr>
            <w:tcW w:w="1309" w:type="dxa"/>
            <w:tcBorders>
              <w:top w:val="nil"/>
              <w:left w:val="nil"/>
              <w:bottom w:val="nil"/>
              <w:right w:val="nil"/>
            </w:tcBorders>
            <w:shd w:val="clear" w:color="000000" w:fill="FFFFFF"/>
            <w:noWrap/>
            <w:vAlign w:val="center"/>
            <w:hideMark/>
          </w:tcPr>
          <w:p w14:paraId="7B9876B0" w14:textId="77777777" w:rsidR="00764626" w:rsidRPr="00764626" w:rsidRDefault="00764626" w:rsidP="0076462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2.3%</w:t>
            </w:r>
          </w:p>
        </w:tc>
        <w:tc>
          <w:tcPr>
            <w:tcW w:w="4891" w:type="dxa"/>
            <w:tcBorders>
              <w:top w:val="nil"/>
              <w:left w:val="nil"/>
              <w:bottom w:val="nil"/>
              <w:right w:val="nil"/>
            </w:tcBorders>
            <w:shd w:val="clear" w:color="000000" w:fill="FFFFFF"/>
            <w:noWrap/>
            <w:vAlign w:val="center"/>
            <w:hideMark/>
          </w:tcPr>
          <w:p w14:paraId="230E348D" w14:textId="77777777" w:rsidR="00764626" w:rsidRPr="00764626" w:rsidRDefault="00764626" w:rsidP="00764626">
            <w:pPr>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Rate for discounting scheme liabilities</w:t>
            </w:r>
          </w:p>
        </w:tc>
        <w:tc>
          <w:tcPr>
            <w:tcW w:w="1560" w:type="dxa"/>
            <w:tcBorders>
              <w:top w:val="nil"/>
              <w:left w:val="nil"/>
              <w:bottom w:val="nil"/>
              <w:right w:val="nil"/>
            </w:tcBorders>
            <w:shd w:val="clear" w:color="000000" w:fill="FFFFFF"/>
            <w:noWrap/>
            <w:vAlign w:val="center"/>
            <w:hideMark/>
          </w:tcPr>
          <w:p w14:paraId="7302CD60" w14:textId="77777777" w:rsidR="00764626" w:rsidRPr="00764626" w:rsidRDefault="00764626" w:rsidP="0076462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2.1%</w:t>
            </w:r>
          </w:p>
        </w:tc>
      </w:tr>
    </w:tbl>
    <w:p w14:paraId="07E782F1" w14:textId="77777777" w:rsidR="00764626" w:rsidRDefault="00764626">
      <w:pPr>
        <w:pStyle w:val="T1TableStyle"/>
        <w:rPr>
          <w:rFonts w:ascii="Verdana" w:hAnsi="Verdana"/>
          <w:b/>
          <w:sz w:val="16"/>
          <w:szCs w:val="16"/>
          <w:highlight w:val="yellow"/>
          <w:lang w:val="en-GB"/>
        </w:rPr>
      </w:pPr>
    </w:p>
    <w:p w14:paraId="57971956" w14:textId="77777777" w:rsidR="00764626" w:rsidRDefault="00764626">
      <w:pPr>
        <w:pStyle w:val="T1TableStyle"/>
        <w:rPr>
          <w:rFonts w:ascii="Verdana" w:hAnsi="Verdana"/>
          <w:b/>
          <w:sz w:val="16"/>
          <w:szCs w:val="16"/>
          <w:highlight w:val="yellow"/>
          <w:lang w:val="en-GB"/>
        </w:rPr>
      </w:pPr>
    </w:p>
    <w:tbl>
      <w:tblPr>
        <w:tblW w:w="9360" w:type="dxa"/>
        <w:jc w:val="center"/>
        <w:tblLook w:val="04A0" w:firstRow="1" w:lastRow="0" w:firstColumn="1" w:lastColumn="0" w:noHBand="0" w:noVBand="1"/>
      </w:tblPr>
      <w:tblGrid>
        <w:gridCol w:w="4201"/>
        <w:gridCol w:w="3875"/>
        <w:gridCol w:w="1284"/>
      </w:tblGrid>
      <w:tr w:rsidR="00764626" w:rsidRPr="00764626" w14:paraId="17EFF2B3" w14:textId="77777777" w:rsidTr="007C4BA6">
        <w:trPr>
          <w:trHeight w:val="300"/>
          <w:jc w:val="center"/>
        </w:trPr>
        <w:tc>
          <w:tcPr>
            <w:tcW w:w="4201" w:type="dxa"/>
            <w:tcBorders>
              <w:top w:val="nil"/>
              <w:left w:val="nil"/>
              <w:bottom w:val="single" w:sz="4" w:space="0" w:color="auto"/>
              <w:right w:val="nil"/>
            </w:tcBorders>
            <w:shd w:val="clear" w:color="000000" w:fill="FFFFFF"/>
            <w:noWrap/>
            <w:vAlign w:val="center"/>
            <w:hideMark/>
          </w:tcPr>
          <w:p w14:paraId="28F3C4B8" w14:textId="77777777" w:rsidR="00764626" w:rsidRPr="00764626" w:rsidRDefault="00764626" w:rsidP="00764626">
            <w:pPr>
              <w:jc w:val="center"/>
              <w:rPr>
                <w:rFonts w:ascii="Verdana" w:eastAsia="Times New Roman" w:hAnsi="Verdana" w:cs="Times New Roman"/>
                <w:b/>
                <w:bCs/>
                <w:color w:val="000000"/>
                <w:sz w:val="16"/>
                <w:szCs w:val="16"/>
                <w:lang w:val="en-GB" w:eastAsia="en-GB"/>
              </w:rPr>
            </w:pPr>
            <w:r w:rsidRPr="00764626">
              <w:rPr>
                <w:rFonts w:ascii="Verdana" w:eastAsia="Times New Roman" w:hAnsi="Verdana" w:cs="Times New Roman"/>
                <w:b/>
                <w:bCs/>
                <w:color w:val="000000"/>
                <w:sz w:val="16"/>
                <w:szCs w:val="16"/>
                <w:lang w:val="en-GB" w:eastAsia="en-GB"/>
              </w:rPr>
              <w:t>2019/20</w:t>
            </w:r>
          </w:p>
        </w:tc>
        <w:tc>
          <w:tcPr>
            <w:tcW w:w="3875" w:type="dxa"/>
            <w:tcBorders>
              <w:top w:val="nil"/>
              <w:left w:val="nil"/>
              <w:bottom w:val="single" w:sz="4" w:space="0" w:color="auto"/>
              <w:right w:val="nil"/>
            </w:tcBorders>
            <w:shd w:val="clear" w:color="000000" w:fill="FFFFFF"/>
            <w:noWrap/>
            <w:vAlign w:val="center"/>
            <w:hideMark/>
          </w:tcPr>
          <w:p w14:paraId="2ACE7ED1" w14:textId="77777777" w:rsidR="00764626" w:rsidRPr="00764626" w:rsidRDefault="00764626" w:rsidP="00764626">
            <w:pPr>
              <w:jc w:val="center"/>
              <w:rPr>
                <w:rFonts w:ascii="Verdana" w:eastAsia="Times New Roman" w:hAnsi="Verdana" w:cs="Times New Roman"/>
                <w:b/>
                <w:bCs/>
                <w:color w:val="000000"/>
                <w:sz w:val="16"/>
                <w:szCs w:val="16"/>
                <w:lang w:val="en-GB" w:eastAsia="en-GB"/>
              </w:rPr>
            </w:pPr>
            <w:r w:rsidRPr="00764626">
              <w:rPr>
                <w:rFonts w:ascii="Verdana" w:eastAsia="Times New Roman" w:hAnsi="Verdana" w:cs="Times New Roman"/>
                <w:b/>
                <w:bCs/>
                <w:color w:val="000000"/>
                <w:sz w:val="16"/>
                <w:szCs w:val="16"/>
                <w:lang w:val="en-GB" w:eastAsia="en-GB"/>
              </w:rPr>
              <w:t>Police Officers</w:t>
            </w:r>
          </w:p>
        </w:tc>
        <w:tc>
          <w:tcPr>
            <w:tcW w:w="1284" w:type="dxa"/>
            <w:tcBorders>
              <w:top w:val="nil"/>
              <w:left w:val="nil"/>
              <w:bottom w:val="single" w:sz="4" w:space="0" w:color="auto"/>
              <w:right w:val="nil"/>
            </w:tcBorders>
            <w:shd w:val="clear" w:color="000000" w:fill="FFFFFF"/>
            <w:noWrap/>
            <w:vAlign w:val="center"/>
            <w:hideMark/>
          </w:tcPr>
          <w:p w14:paraId="4EE3E5B3" w14:textId="77777777" w:rsidR="00764626" w:rsidRPr="00764626" w:rsidRDefault="00764626" w:rsidP="00764626">
            <w:pPr>
              <w:jc w:val="center"/>
              <w:rPr>
                <w:rFonts w:ascii="Verdana" w:eastAsia="Times New Roman" w:hAnsi="Verdana" w:cs="Times New Roman"/>
                <w:b/>
                <w:bCs/>
                <w:color w:val="000000"/>
                <w:sz w:val="16"/>
                <w:szCs w:val="16"/>
                <w:lang w:val="en-GB" w:eastAsia="en-GB"/>
              </w:rPr>
            </w:pPr>
            <w:r w:rsidRPr="00764626">
              <w:rPr>
                <w:rFonts w:ascii="Verdana" w:eastAsia="Times New Roman" w:hAnsi="Verdana" w:cs="Times New Roman"/>
                <w:b/>
                <w:bCs/>
                <w:color w:val="000000"/>
                <w:sz w:val="16"/>
                <w:szCs w:val="16"/>
                <w:lang w:val="en-GB" w:eastAsia="en-GB"/>
              </w:rPr>
              <w:t>2020/21</w:t>
            </w:r>
          </w:p>
        </w:tc>
      </w:tr>
      <w:tr w:rsidR="00764626" w:rsidRPr="00764626" w14:paraId="0E0B1962" w14:textId="77777777" w:rsidTr="007C4BA6">
        <w:trPr>
          <w:trHeight w:val="300"/>
          <w:jc w:val="center"/>
        </w:trPr>
        <w:tc>
          <w:tcPr>
            <w:tcW w:w="8076" w:type="dxa"/>
            <w:gridSpan w:val="2"/>
            <w:tcBorders>
              <w:top w:val="nil"/>
              <w:left w:val="nil"/>
              <w:bottom w:val="nil"/>
              <w:right w:val="nil"/>
            </w:tcBorders>
            <w:shd w:val="clear" w:color="000000" w:fill="FFFFFF"/>
            <w:noWrap/>
            <w:vAlign w:val="center"/>
            <w:hideMark/>
          </w:tcPr>
          <w:p w14:paraId="6B3E7B5E" w14:textId="77777777" w:rsidR="00764626" w:rsidRPr="00764626" w:rsidRDefault="00764626" w:rsidP="00764626">
            <w:pPr>
              <w:rPr>
                <w:rFonts w:ascii="Verdana" w:eastAsia="Times New Roman" w:hAnsi="Verdana" w:cs="Times New Roman"/>
                <w:b/>
                <w:bCs/>
                <w:color w:val="000000"/>
                <w:sz w:val="16"/>
                <w:szCs w:val="16"/>
                <w:lang w:val="en-GB" w:eastAsia="en-GB"/>
              </w:rPr>
            </w:pPr>
            <w:r w:rsidRPr="00764626">
              <w:rPr>
                <w:rFonts w:ascii="Verdana" w:eastAsia="Times New Roman" w:hAnsi="Verdana" w:cs="Times New Roman"/>
                <w:b/>
                <w:bCs/>
                <w:color w:val="000000"/>
                <w:sz w:val="16"/>
                <w:szCs w:val="16"/>
                <w:lang w:val="en-GB" w:eastAsia="en-GB"/>
              </w:rPr>
              <w:t>Mortality assumptions</w:t>
            </w:r>
          </w:p>
        </w:tc>
        <w:tc>
          <w:tcPr>
            <w:tcW w:w="1284" w:type="dxa"/>
            <w:tcBorders>
              <w:top w:val="nil"/>
              <w:left w:val="nil"/>
              <w:bottom w:val="nil"/>
              <w:right w:val="nil"/>
            </w:tcBorders>
            <w:shd w:val="clear" w:color="000000" w:fill="FFFFFF"/>
            <w:noWrap/>
            <w:vAlign w:val="center"/>
            <w:hideMark/>
          </w:tcPr>
          <w:p w14:paraId="570FA3C8" w14:textId="77777777" w:rsidR="00764626" w:rsidRPr="00764626" w:rsidRDefault="00764626" w:rsidP="00764626">
            <w:pPr>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 </w:t>
            </w:r>
          </w:p>
        </w:tc>
      </w:tr>
      <w:tr w:rsidR="00764626" w:rsidRPr="00764626" w14:paraId="5CBB829B" w14:textId="77777777" w:rsidTr="007C4BA6">
        <w:trPr>
          <w:trHeight w:val="300"/>
          <w:jc w:val="center"/>
        </w:trPr>
        <w:tc>
          <w:tcPr>
            <w:tcW w:w="4201" w:type="dxa"/>
            <w:tcBorders>
              <w:top w:val="nil"/>
              <w:left w:val="nil"/>
              <w:bottom w:val="nil"/>
              <w:right w:val="nil"/>
            </w:tcBorders>
            <w:shd w:val="clear" w:color="auto" w:fill="auto"/>
            <w:noWrap/>
            <w:vAlign w:val="center"/>
            <w:hideMark/>
          </w:tcPr>
          <w:p w14:paraId="5AD98364" w14:textId="77777777" w:rsidR="00764626" w:rsidRPr="00764626" w:rsidRDefault="00764626" w:rsidP="00764626">
            <w:pPr>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 xml:space="preserve">Longevity at retirement for 65 year old current pensioners </w:t>
            </w:r>
          </w:p>
        </w:tc>
        <w:tc>
          <w:tcPr>
            <w:tcW w:w="3875" w:type="dxa"/>
            <w:tcBorders>
              <w:top w:val="nil"/>
              <w:left w:val="nil"/>
              <w:bottom w:val="nil"/>
              <w:right w:val="nil"/>
            </w:tcBorders>
            <w:shd w:val="clear" w:color="000000" w:fill="FFFFFF"/>
            <w:noWrap/>
            <w:vAlign w:val="center"/>
            <w:hideMark/>
          </w:tcPr>
          <w:p w14:paraId="65927568" w14:textId="77777777" w:rsidR="00764626" w:rsidRPr="00764626" w:rsidRDefault="00764626" w:rsidP="00764626">
            <w:pPr>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 </w:t>
            </w:r>
          </w:p>
        </w:tc>
        <w:tc>
          <w:tcPr>
            <w:tcW w:w="1284" w:type="dxa"/>
            <w:tcBorders>
              <w:top w:val="nil"/>
              <w:left w:val="nil"/>
              <w:bottom w:val="nil"/>
              <w:right w:val="nil"/>
            </w:tcBorders>
            <w:shd w:val="clear" w:color="000000" w:fill="FFFFFF"/>
            <w:noWrap/>
            <w:vAlign w:val="center"/>
            <w:hideMark/>
          </w:tcPr>
          <w:p w14:paraId="3EAF0E11" w14:textId="77777777" w:rsidR="00764626" w:rsidRPr="00764626" w:rsidRDefault="00764626" w:rsidP="00764626">
            <w:pPr>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 </w:t>
            </w:r>
          </w:p>
        </w:tc>
      </w:tr>
      <w:tr w:rsidR="00764626" w:rsidRPr="00764626" w14:paraId="6E14326F" w14:textId="77777777" w:rsidTr="007C4BA6">
        <w:trPr>
          <w:trHeight w:val="300"/>
          <w:jc w:val="center"/>
        </w:trPr>
        <w:tc>
          <w:tcPr>
            <w:tcW w:w="4201" w:type="dxa"/>
            <w:tcBorders>
              <w:top w:val="nil"/>
              <w:left w:val="nil"/>
              <w:bottom w:val="nil"/>
              <w:right w:val="nil"/>
            </w:tcBorders>
            <w:shd w:val="clear" w:color="000000" w:fill="FFFFFF"/>
            <w:noWrap/>
            <w:vAlign w:val="center"/>
            <w:hideMark/>
          </w:tcPr>
          <w:p w14:paraId="208E6BBF" w14:textId="77777777" w:rsidR="00764626" w:rsidRPr="00764626" w:rsidRDefault="00764626" w:rsidP="0076462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21.9</w:t>
            </w:r>
          </w:p>
        </w:tc>
        <w:tc>
          <w:tcPr>
            <w:tcW w:w="3875" w:type="dxa"/>
            <w:tcBorders>
              <w:top w:val="nil"/>
              <w:left w:val="nil"/>
              <w:bottom w:val="nil"/>
              <w:right w:val="nil"/>
            </w:tcBorders>
            <w:shd w:val="clear" w:color="000000" w:fill="FFFFFF"/>
            <w:noWrap/>
            <w:vAlign w:val="center"/>
            <w:hideMark/>
          </w:tcPr>
          <w:p w14:paraId="12C84665" w14:textId="77777777" w:rsidR="00764626" w:rsidRPr="00764626" w:rsidRDefault="00764626" w:rsidP="00764626">
            <w:pPr>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Men</w:t>
            </w:r>
          </w:p>
        </w:tc>
        <w:tc>
          <w:tcPr>
            <w:tcW w:w="1284" w:type="dxa"/>
            <w:tcBorders>
              <w:top w:val="nil"/>
              <w:left w:val="nil"/>
              <w:bottom w:val="nil"/>
              <w:right w:val="nil"/>
            </w:tcBorders>
            <w:shd w:val="clear" w:color="000000" w:fill="FFFFFF"/>
            <w:noWrap/>
            <w:vAlign w:val="center"/>
            <w:hideMark/>
          </w:tcPr>
          <w:p w14:paraId="28415986" w14:textId="77777777" w:rsidR="00764626" w:rsidRPr="00764626" w:rsidRDefault="00764626" w:rsidP="0076462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22.3</w:t>
            </w:r>
          </w:p>
        </w:tc>
      </w:tr>
      <w:tr w:rsidR="00764626" w:rsidRPr="00764626" w14:paraId="4676F514" w14:textId="77777777" w:rsidTr="007C4BA6">
        <w:trPr>
          <w:trHeight w:val="300"/>
          <w:jc w:val="center"/>
        </w:trPr>
        <w:tc>
          <w:tcPr>
            <w:tcW w:w="4201" w:type="dxa"/>
            <w:tcBorders>
              <w:top w:val="nil"/>
              <w:left w:val="nil"/>
              <w:bottom w:val="nil"/>
              <w:right w:val="nil"/>
            </w:tcBorders>
            <w:shd w:val="clear" w:color="000000" w:fill="FFFFFF"/>
            <w:noWrap/>
            <w:vAlign w:val="center"/>
            <w:hideMark/>
          </w:tcPr>
          <w:p w14:paraId="17DFB47A" w14:textId="77777777" w:rsidR="00764626" w:rsidRPr="00764626" w:rsidRDefault="00764626" w:rsidP="0076462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23.6</w:t>
            </w:r>
          </w:p>
        </w:tc>
        <w:tc>
          <w:tcPr>
            <w:tcW w:w="3875" w:type="dxa"/>
            <w:tcBorders>
              <w:top w:val="nil"/>
              <w:left w:val="nil"/>
              <w:bottom w:val="nil"/>
              <w:right w:val="nil"/>
            </w:tcBorders>
            <w:shd w:val="clear" w:color="000000" w:fill="FFFFFF"/>
            <w:noWrap/>
            <w:vAlign w:val="center"/>
            <w:hideMark/>
          </w:tcPr>
          <w:p w14:paraId="7C1B7260" w14:textId="77777777" w:rsidR="00764626" w:rsidRPr="00764626" w:rsidRDefault="00764626" w:rsidP="00764626">
            <w:pPr>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Women</w:t>
            </w:r>
          </w:p>
        </w:tc>
        <w:tc>
          <w:tcPr>
            <w:tcW w:w="1284" w:type="dxa"/>
            <w:tcBorders>
              <w:top w:val="nil"/>
              <w:left w:val="nil"/>
              <w:bottom w:val="nil"/>
              <w:right w:val="nil"/>
            </w:tcBorders>
            <w:shd w:val="clear" w:color="000000" w:fill="FFFFFF"/>
            <w:noWrap/>
            <w:vAlign w:val="center"/>
            <w:hideMark/>
          </w:tcPr>
          <w:p w14:paraId="43FFC6B5" w14:textId="77777777" w:rsidR="00764626" w:rsidRPr="00764626" w:rsidRDefault="00764626" w:rsidP="0076462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24.7</w:t>
            </w:r>
          </w:p>
        </w:tc>
      </w:tr>
      <w:tr w:rsidR="00764626" w:rsidRPr="00764626" w14:paraId="26ACF836" w14:textId="77777777" w:rsidTr="007C4BA6">
        <w:trPr>
          <w:trHeight w:val="300"/>
          <w:jc w:val="center"/>
        </w:trPr>
        <w:tc>
          <w:tcPr>
            <w:tcW w:w="4201" w:type="dxa"/>
            <w:tcBorders>
              <w:top w:val="nil"/>
              <w:left w:val="nil"/>
              <w:bottom w:val="nil"/>
              <w:right w:val="nil"/>
            </w:tcBorders>
            <w:shd w:val="clear" w:color="auto" w:fill="auto"/>
            <w:noWrap/>
            <w:vAlign w:val="center"/>
            <w:hideMark/>
          </w:tcPr>
          <w:p w14:paraId="5CA4EC9C" w14:textId="77777777" w:rsidR="00764626" w:rsidRPr="00764626" w:rsidRDefault="00764626" w:rsidP="00764626">
            <w:pPr>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Longevity at retirement for 45 year old future pensioners at 65</w:t>
            </w:r>
          </w:p>
        </w:tc>
        <w:tc>
          <w:tcPr>
            <w:tcW w:w="3875" w:type="dxa"/>
            <w:tcBorders>
              <w:top w:val="nil"/>
              <w:left w:val="nil"/>
              <w:bottom w:val="nil"/>
              <w:right w:val="nil"/>
            </w:tcBorders>
            <w:shd w:val="clear" w:color="000000" w:fill="FFFFFF"/>
            <w:noWrap/>
            <w:vAlign w:val="center"/>
            <w:hideMark/>
          </w:tcPr>
          <w:p w14:paraId="3E160F8A" w14:textId="77777777" w:rsidR="00764626" w:rsidRPr="00764626" w:rsidRDefault="00764626" w:rsidP="00764626">
            <w:pPr>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 </w:t>
            </w:r>
          </w:p>
        </w:tc>
        <w:tc>
          <w:tcPr>
            <w:tcW w:w="1284" w:type="dxa"/>
            <w:tcBorders>
              <w:top w:val="nil"/>
              <w:left w:val="nil"/>
              <w:bottom w:val="nil"/>
              <w:right w:val="nil"/>
            </w:tcBorders>
            <w:shd w:val="clear" w:color="000000" w:fill="FFFFFF"/>
            <w:noWrap/>
            <w:vAlign w:val="center"/>
            <w:hideMark/>
          </w:tcPr>
          <w:p w14:paraId="6F5EE610" w14:textId="77777777" w:rsidR="00764626" w:rsidRPr="00764626" w:rsidRDefault="00764626" w:rsidP="00764626">
            <w:pPr>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 </w:t>
            </w:r>
          </w:p>
        </w:tc>
      </w:tr>
      <w:tr w:rsidR="00764626" w:rsidRPr="00764626" w14:paraId="22B08ED5" w14:textId="77777777" w:rsidTr="007C4BA6">
        <w:trPr>
          <w:trHeight w:val="300"/>
          <w:jc w:val="center"/>
        </w:trPr>
        <w:tc>
          <w:tcPr>
            <w:tcW w:w="4201" w:type="dxa"/>
            <w:tcBorders>
              <w:top w:val="nil"/>
              <w:left w:val="nil"/>
              <w:bottom w:val="nil"/>
              <w:right w:val="nil"/>
            </w:tcBorders>
            <w:shd w:val="clear" w:color="000000" w:fill="FFFFFF"/>
            <w:noWrap/>
            <w:vAlign w:val="center"/>
            <w:hideMark/>
          </w:tcPr>
          <w:p w14:paraId="54BB07F5" w14:textId="77777777" w:rsidR="00764626" w:rsidRPr="00764626" w:rsidRDefault="00764626" w:rsidP="0076462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23.6</w:t>
            </w:r>
          </w:p>
        </w:tc>
        <w:tc>
          <w:tcPr>
            <w:tcW w:w="3875" w:type="dxa"/>
            <w:tcBorders>
              <w:top w:val="nil"/>
              <w:left w:val="nil"/>
              <w:bottom w:val="nil"/>
              <w:right w:val="nil"/>
            </w:tcBorders>
            <w:shd w:val="clear" w:color="000000" w:fill="FFFFFF"/>
            <w:noWrap/>
            <w:vAlign w:val="center"/>
            <w:hideMark/>
          </w:tcPr>
          <w:p w14:paraId="262D21C4" w14:textId="77777777" w:rsidR="00764626" w:rsidRPr="00764626" w:rsidRDefault="00764626" w:rsidP="00764626">
            <w:pPr>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Men</w:t>
            </w:r>
          </w:p>
        </w:tc>
        <w:tc>
          <w:tcPr>
            <w:tcW w:w="1284" w:type="dxa"/>
            <w:tcBorders>
              <w:top w:val="nil"/>
              <w:left w:val="nil"/>
              <w:bottom w:val="nil"/>
              <w:right w:val="nil"/>
            </w:tcBorders>
            <w:shd w:val="clear" w:color="000000" w:fill="FFFFFF"/>
            <w:noWrap/>
            <w:vAlign w:val="center"/>
            <w:hideMark/>
          </w:tcPr>
          <w:p w14:paraId="2C7514ED" w14:textId="77777777" w:rsidR="00764626" w:rsidRPr="00764626" w:rsidRDefault="00764626" w:rsidP="0076462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23.4</w:t>
            </w:r>
          </w:p>
        </w:tc>
      </w:tr>
      <w:tr w:rsidR="00764626" w:rsidRPr="00764626" w14:paraId="1F798C8B" w14:textId="77777777" w:rsidTr="007C4BA6">
        <w:trPr>
          <w:trHeight w:val="300"/>
          <w:jc w:val="center"/>
        </w:trPr>
        <w:tc>
          <w:tcPr>
            <w:tcW w:w="4201" w:type="dxa"/>
            <w:tcBorders>
              <w:top w:val="nil"/>
              <w:left w:val="nil"/>
              <w:bottom w:val="nil"/>
              <w:right w:val="nil"/>
            </w:tcBorders>
            <w:shd w:val="clear" w:color="000000" w:fill="FFFFFF"/>
            <w:noWrap/>
            <w:vAlign w:val="center"/>
            <w:hideMark/>
          </w:tcPr>
          <w:p w14:paraId="6A6446D6" w14:textId="77777777" w:rsidR="00764626" w:rsidRPr="00764626" w:rsidRDefault="00764626" w:rsidP="0076462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25.2</w:t>
            </w:r>
          </w:p>
        </w:tc>
        <w:tc>
          <w:tcPr>
            <w:tcW w:w="3875" w:type="dxa"/>
            <w:tcBorders>
              <w:top w:val="nil"/>
              <w:left w:val="nil"/>
              <w:bottom w:val="nil"/>
              <w:right w:val="nil"/>
            </w:tcBorders>
            <w:shd w:val="clear" w:color="000000" w:fill="FFFFFF"/>
            <w:noWrap/>
            <w:vAlign w:val="center"/>
            <w:hideMark/>
          </w:tcPr>
          <w:p w14:paraId="23FE6832" w14:textId="77777777" w:rsidR="00764626" w:rsidRPr="00764626" w:rsidRDefault="00764626" w:rsidP="00764626">
            <w:pPr>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Women</w:t>
            </w:r>
          </w:p>
        </w:tc>
        <w:tc>
          <w:tcPr>
            <w:tcW w:w="1284" w:type="dxa"/>
            <w:tcBorders>
              <w:top w:val="nil"/>
              <w:left w:val="nil"/>
              <w:bottom w:val="nil"/>
              <w:right w:val="nil"/>
            </w:tcBorders>
            <w:shd w:val="clear" w:color="000000" w:fill="FFFFFF"/>
            <w:noWrap/>
            <w:vAlign w:val="center"/>
            <w:hideMark/>
          </w:tcPr>
          <w:p w14:paraId="71F00194" w14:textId="77777777" w:rsidR="00764626" w:rsidRPr="00764626" w:rsidRDefault="00764626" w:rsidP="0076462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26.4</w:t>
            </w:r>
          </w:p>
        </w:tc>
      </w:tr>
      <w:tr w:rsidR="00764626" w:rsidRPr="00764626" w14:paraId="57C946B3" w14:textId="77777777" w:rsidTr="007C4BA6">
        <w:trPr>
          <w:trHeight w:val="300"/>
          <w:jc w:val="center"/>
        </w:trPr>
        <w:tc>
          <w:tcPr>
            <w:tcW w:w="8076" w:type="dxa"/>
            <w:gridSpan w:val="2"/>
            <w:tcBorders>
              <w:top w:val="nil"/>
              <w:left w:val="nil"/>
              <w:bottom w:val="nil"/>
              <w:right w:val="nil"/>
            </w:tcBorders>
            <w:shd w:val="clear" w:color="000000" w:fill="FFFFFF"/>
            <w:noWrap/>
            <w:vAlign w:val="center"/>
            <w:hideMark/>
          </w:tcPr>
          <w:p w14:paraId="15117B0D" w14:textId="77777777" w:rsidR="00764626" w:rsidRPr="00764626" w:rsidRDefault="00764626" w:rsidP="00764626">
            <w:pPr>
              <w:rPr>
                <w:rFonts w:ascii="Verdana" w:eastAsia="Times New Roman" w:hAnsi="Verdana" w:cs="Times New Roman"/>
                <w:b/>
                <w:bCs/>
                <w:color w:val="000000"/>
                <w:sz w:val="16"/>
                <w:szCs w:val="16"/>
                <w:lang w:val="en-GB" w:eastAsia="en-GB"/>
              </w:rPr>
            </w:pPr>
            <w:r w:rsidRPr="00764626">
              <w:rPr>
                <w:rFonts w:ascii="Verdana" w:eastAsia="Times New Roman" w:hAnsi="Verdana" w:cs="Times New Roman"/>
                <w:b/>
                <w:bCs/>
                <w:color w:val="000000"/>
                <w:sz w:val="16"/>
                <w:szCs w:val="16"/>
                <w:lang w:val="en-GB" w:eastAsia="en-GB"/>
              </w:rPr>
              <w:t>Other assumptions</w:t>
            </w:r>
          </w:p>
        </w:tc>
        <w:tc>
          <w:tcPr>
            <w:tcW w:w="1284" w:type="dxa"/>
            <w:tcBorders>
              <w:top w:val="nil"/>
              <w:left w:val="nil"/>
              <w:bottom w:val="nil"/>
              <w:right w:val="nil"/>
            </w:tcBorders>
            <w:shd w:val="clear" w:color="000000" w:fill="FFFFFF"/>
            <w:noWrap/>
            <w:vAlign w:val="center"/>
            <w:hideMark/>
          </w:tcPr>
          <w:p w14:paraId="5AAA714C" w14:textId="77777777" w:rsidR="00764626" w:rsidRPr="00764626" w:rsidRDefault="00764626" w:rsidP="00764626">
            <w:pPr>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 </w:t>
            </w:r>
          </w:p>
        </w:tc>
      </w:tr>
      <w:tr w:rsidR="00764626" w:rsidRPr="00764626" w14:paraId="4D144B22" w14:textId="77777777" w:rsidTr="007C4BA6">
        <w:trPr>
          <w:trHeight w:val="300"/>
          <w:jc w:val="center"/>
        </w:trPr>
        <w:tc>
          <w:tcPr>
            <w:tcW w:w="4201" w:type="dxa"/>
            <w:tcBorders>
              <w:top w:val="nil"/>
              <w:left w:val="nil"/>
              <w:bottom w:val="nil"/>
              <w:right w:val="nil"/>
            </w:tcBorders>
            <w:shd w:val="clear" w:color="000000" w:fill="FFFFFF"/>
            <w:noWrap/>
            <w:vAlign w:val="center"/>
            <w:hideMark/>
          </w:tcPr>
          <w:p w14:paraId="5FAA35EA" w14:textId="77777777" w:rsidR="00764626" w:rsidRPr="00764626" w:rsidRDefault="00764626" w:rsidP="0076462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2.0%</w:t>
            </w:r>
          </w:p>
        </w:tc>
        <w:tc>
          <w:tcPr>
            <w:tcW w:w="3875" w:type="dxa"/>
            <w:tcBorders>
              <w:top w:val="nil"/>
              <w:left w:val="nil"/>
              <w:bottom w:val="nil"/>
              <w:right w:val="nil"/>
            </w:tcBorders>
            <w:shd w:val="clear" w:color="000000" w:fill="FFFFFF"/>
            <w:noWrap/>
            <w:vAlign w:val="center"/>
            <w:hideMark/>
          </w:tcPr>
          <w:p w14:paraId="1FE339A3" w14:textId="77777777" w:rsidR="00764626" w:rsidRPr="00764626" w:rsidRDefault="00764626" w:rsidP="00764626">
            <w:pPr>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Rate of inflation</w:t>
            </w:r>
          </w:p>
        </w:tc>
        <w:tc>
          <w:tcPr>
            <w:tcW w:w="1284" w:type="dxa"/>
            <w:tcBorders>
              <w:top w:val="nil"/>
              <w:left w:val="nil"/>
              <w:bottom w:val="nil"/>
              <w:right w:val="nil"/>
            </w:tcBorders>
            <w:shd w:val="clear" w:color="000000" w:fill="FFFFFF"/>
            <w:noWrap/>
            <w:vAlign w:val="center"/>
            <w:hideMark/>
          </w:tcPr>
          <w:p w14:paraId="6B26DDB5" w14:textId="77777777" w:rsidR="00764626" w:rsidRPr="00764626" w:rsidRDefault="00764626" w:rsidP="0076462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2.0%</w:t>
            </w:r>
          </w:p>
        </w:tc>
      </w:tr>
      <w:tr w:rsidR="00764626" w:rsidRPr="00764626" w14:paraId="0A960D10" w14:textId="77777777" w:rsidTr="007C4BA6">
        <w:trPr>
          <w:trHeight w:val="300"/>
          <w:jc w:val="center"/>
        </w:trPr>
        <w:tc>
          <w:tcPr>
            <w:tcW w:w="4201" w:type="dxa"/>
            <w:tcBorders>
              <w:top w:val="nil"/>
              <w:left w:val="nil"/>
              <w:bottom w:val="nil"/>
              <w:right w:val="nil"/>
            </w:tcBorders>
            <w:shd w:val="clear" w:color="000000" w:fill="FFFFFF"/>
            <w:noWrap/>
            <w:vAlign w:val="center"/>
            <w:hideMark/>
          </w:tcPr>
          <w:p w14:paraId="1E93443A" w14:textId="77777777" w:rsidR="00764626" w:rsidRPr="00764626" w:rsidRDefault="00764626" w:rsidP="0076462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4.0%</w:t>
            </w:r>
          </w:p>
        </w:tc>
        <w:tc>
          <w:tcPr>
            <w:tcW w:w="3875" w:type="dxa"/>
            <w:tcBorders>
              <w:top w:val="nil"/>
              <w:left w:val="nil"/>
              <w:bottom w:val="nil"/>
              <w:right w:val="nil"/>
            </w:tcBorders>
            <w:shd w:val="clear" w:color="000000" w:fill="FFFFFF"/>
            <w:noWrap/>
            <w:vAlign w:val="center"/>
            <w:hideMark/>
          </w:tcPr>
          <w:p w14:paraId="12AD15A0" w14:textId="77777777" w:rsidR="00764626" w:rsidRPr="00764626" w:rsidRDefault="00764626" w:rsidP="00764626">
            <w:pPr>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Rate of increase in salaries</w:t>
            </w:r>
          </w:p>
        </w:tc>
        <w:tc>
          <w:tcPr>
            <w:tcW w:w="1284" w:type="dxa"/>
            <w:tcBorders>
              <w:top w:val="nil"/>
              <w:left w:val="nil"/>
              <w:bottom w:val="nil"/>
              <w:right w:val="nil"/>
            </w:tcBorders>
            <w:shd w:val="clear" w:color="000000" w:fill="FFFFFF"/>
            <w:noWrap/>
            <w:vAlign w:val="center"/>
            <w:hideMark/>
          </w:tcPr>
          <w:p w14:paraId="15236994" w14:textId="77777777" w:rsidR="00764626" w:rsidRPr="00764626" w:rsidRDefault="00764626" w:rsidP="0076462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3.7%</w:t>
            </w:r>
          </w:p>
        </w:tc>
      </w:tr>
      <w:tr w:rsidR="00764626" w:rsidRPr="00764626" w14:paraId="333EE7F8" w14:textId="77777777" w:rsidTr="007C4BA6">
        <w:trPr>
          <w:trHeight w:val="300"/>
          <w:jc w:val="center"/>
        </w:trPr>
        <w:tc>
          <w:tcPr>
            <w:tcW w:w="4201" w:type="dxa"/>
            <w:tcBorders>
              <w:top w:val="nil"/>
              <w:left w:val="nil"/>
              <w:bottom w:val="nil"/>
              <w:right w:val="nil"/>
            </w:tcBorders>
            <w:shd w:val="clear" w:color="000000" w:fill="FFFFFF"/>
            <w:noWrap/>
            <w:vAlign w:val="center"/>
            <w:hideMark/>
          </w:tcPr>
          <w:p w14:paraId="397FDE6D" w14:textId="77777777" w:rsidR="00764626" w:rsidRPr="00764626" w:rsidRDefault="00764626" w:rsidP="0076462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2.0%</w:t>
            </w:r>
          </w:p>
        </w:tc>
        <w:tc>
          <w:tcPr>
            <w:tcW w:w="3875" w:type="dxa"/>
            <w:tcBorders>
              <w:top w:val="nil"/>
              <w:left w:val="nil"/>
              <w:bottom w:val="nil"/>
              <w:right w:val="nil"/>
            </w:tcBorders>
            <w:shd w:val="clear" w:color="000000" w:fill="FFFFFF"/>
            <w:noWrap/>
            <w:vAlign w:val="center"/>
            <w:hideMark/>
          </w:tcPr>
          <w:p w14:paraId="7984DD9A" w14:textId="77777777" w:rsidR="00764626" w:rsidRPr="00764626" w:rsidRDefault="00764626" w:rsidP="00764626">
            <w:pPr>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Rate of increase in pensions</w:t>
            </w:r>
          </w:p>
        </w:tc>
        <w:tc>
          <w:tcPr>
            <w:tcW w:w="1284" w:type="dxa"/>
            <w:tcBorders>
              <w:top w:val="nil"/>
              <w:left w:val="nil"/>
              <w:bottom w:val="nil"/>
              <w:right w:val="nil"/>
            </w:tcBorders>
            <w:shd w:val="clear" w:color="000000" w:fill="FFFFFF"/>
            <w:noWrap/>
            <w:vAlign w:val="center"/>
            <w:hideMark/>
          </w:tcPr>
          <w:p w14:paraId="79364D42" w14:textId="77777777" w:rsidR="00764626" w:rsidRPr="00764626" w:rsidRDefault="00764626" w:rsidP="0076462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2.8%</w:t>
            </w:r>
          </w:p>
        </w:tc>
      </w:tr>
      <w:tr w:rsidR="00764626" w:rsidRPr="00764626" w14:paraId="0C29D8AB" w14:textId="77777777" w:rsidTr="007C4BA6">
        <w:trPr>
          <w:trHeight w:val="300"/>
          <w:jc w:val="center"/>
        </w:trPr>
        <w:tc>
          <w:tcPr>
            <w:tcW w:w="4201" w:type="dxa"/>
            <w:tcBorders>
              <w:top w:val="nil"/>
              <w:left w:val="nil"/>
              <w:bottom w:val="nil"/>
              <w:right w:val="nil"/>
            </w:tcBorders>
            <w:shd w:val="clear" w:color="000000" w:fill="FFFFFF"/>
            <w:noWrap/>
            <w:vAlign w:val="center"/>
            <w:hideMark/>
          </w:tcPr>
          <w:p w14:paraId="0F55ECD7" w14:textId="77777777" w:rsidR="00764626" w:rsidRPr="00764626" w:rsidRDefault="00764626" w:rsidP="0076462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2.3%</w:t>
            </w:r>
          </w:p>
        </w:tc>
        <w:tc>
          <w:tcPr>
            <w:tcW w:w="3875" w:type="dxa"/>
            <w:tcBorders>
              <w:top w:val="nil"/>
              <w:left w:val="nil"/>
              <w:bottom w:val="nil"/>
              <w:right w:val="nil"/>
            </w:tcBorders>
            <w:shd w:val="clear" w:color="000000" w:fill="FFFFFF"/>
            <w:noWrap/>
            <w:vAlign w:val="center"/>
            <w:hideMark/>
          </w:tcPr>
          <w:p w14:paraId="6E6B9C1D" w14:textId="77777777" w:rsidR="00764626" w:rsidRPr="00764626" w:rsidRDefault="00764626" w:rsidP="00764626">
            <w:pPr>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Rate for discounting scheme liabilities</w:t>
            </w:r>
          </w:p>
        </w:tc>
        <w:tc>
          <w:tcPr>
            <w:tcW w:w="1284" w:type="dxa"/>
            <w:tcBorders>
              <w:top w:val="nil"/>
              <w:left w:val="nil"/>
              <w:bottom w:val="nil"/>
              <w:right w:val="nil"/>
            </w:tcBorders>
            <w:shd w:val="clear" w:color="000000" w:fill="FFFFFF"/>
            <w:noWrap/>
            <w:vAlign w:val="center"/>
            <w:hideMark/>
          </w:tcPr>
          <w:p w14:paraId="31510497" w14:textId="77777777" w:rsidR="00764626" w:rsidRPr="00764626" w:rsidRDefault="00764626" w:rsidP="00764626">
            <w:pPr>
              <w:jc w:val="right"/>
              <w:rPr>
                <w:rFonts w:ascii="Verdana" w:eastAsia="Times New Roman" w:hAnsi="Verdana" w:cs="Times New Roman"/>
                <w:color w:val="000000"/>
                <w:sz w:val="16"/>
                <w:szCs w:val="16"/>
                <w:lang w:val="en-GB" w:eastAsia="en-GB"/>
              </w:rPr>
            </w:pPr>
            <w:r w:rsidRPr="00764626">
              <w:rPr>
                <w:rFonts w:ascii="Verdana" w:eastAsia="Times New Roman" w:hAnsi="Verdana" w:cs="Times New Roman"/>
                <w:color w:val="000000"/>
                <w:sz w:val="16"/>
                <w:szCs w:val="16"/>
                <w:lang w:val="en-GB" w:eastAsia="en-GB"/>
              </w:rPr>
              <w:t>2.1%</w:t>
            </w:r>
          </w:p>
        </w:tc>
      </w:tr>
    </w:tbl>
    <w:p w14:paraId="7D66745E" w14:textId="77777777" w:rsidR="00764626" w:rsidRDefault="00764626">
      <w:pPr>
        <w:pStyle w:val="T1TableStyle"/>
        <w:rPr>
          <w:rFonts w:ascii="Verdana" w:hAnsi="Verdana"/>
          <w:b/>
          <w:sz w:val="16"/>
          <w:szCs w:val="16"/>
          <w:highlight w:val="yellow"/>
          <w:lang w:val="en-GB"/>
        </w:rPr>
      </w:pPr>
    </w:p>
    <w:p w14:paraId="5E8B3D32" w14:textId="77777777" w:rsidR="00764626" w:rsidRDefault="00764626">
      <w:pPr>
        <w:pStyle w:val="T1TableStyle"/>
        <w:rPr>
          <w:rFonts w:ascii="Verdana" w:hAnsi="Verdana"/>
          <w:b/>
          <w:sz w:val="16"/>
          <w:szCs w:val="16"/>
          <w:highlight w:val="yellow"/>
          <w:lang w:val="en-GB"/>
        </w:rPr>
      </w:pPr>
    </w:p>
    <w:p w14:paraId="1EB79B88" w14:textId="77777777" w:rsidR="00764626" w:rsidRDefault="00764626">
      <w:pPr>
        <w:pStyle w:val="T1TableStyle"/>
        <w:rPr>
          <w:rFonts w:ascii="Verdana" w:hAnsi="Verdana"/>
          <w:b/>
          <w:sz w:val="16"/>
          <w:szCs w:val="16"/>
          <w:highlight w:val="yellow"/>
          <w:lang w:val="en-GB"/>
        </w:rPr>
      </w:pPr>
    </w:p>
    <w:p w14:paraId="775D60B0" w14:textId="77777777" w:rsidR="00764626" w:rsidRDefault="00764626">
      <w:pPr>
        <w:pStyle w:val="T1TableStyle"/>
        <w:rPr>
          <w:rFonts w:ascii="Verdana" w:hAnsi="Verdana"/>
          <w:b/>
          <w:sz w:val="16"/>
          <w:szCs w:val="16"/>
          <w:highlight w:val="yellow"/>
          <w:lang w:val="en-GB"/>
        </w:rPr>
      </w:pPr>
    </w:p>
    <w:p w14:paraId="5453252A" w14:textId="77777777" w:rsidR="00764626" w:rsidRDefault="00764626">
      <w:pPr>
        <w:pStyle w:val="T1TableStyle"/>
        <w:rPr>
          <w:rFonts w:ascii="Verdana" w:hAnsi="Verdana"/>
          <w:b/>
          <w:sz w:val="16"/>
          <w:szCs w:val="16"/>
          <w:highlight w:val="yellow"/>
          <w:lang w:val="en-GB"/>
        </w:rPr>
      </w:pPr>
    </w:p>
    <w:p w14:paraId="14C5A563" w14:textId="77777777" w:rsidR="00764626" w:rsidRPr="00DC1077" w:rsidRDefault="00764626">
      <w:pPr>
        <w:pStyle w:val="T1TableStyle"/>
        <w:rPr>
          <w:rFonts w:ascii="Verdana" w:hAnsi="Verdana"/>
          <w:b/>
          <w:sz w:val="16"/>
          <w:szCs w:val="16"/>
          <w:highlight w:val="yellow"/>
          <w:lang w:val="en-GB"/>
        </w:rPr>
      </w:pPr>
    </w:p>
    <w:p w14:paraId="2F639431" w14:textId="77777777" w:rsidR="000672D5" w:rsidRDefault="000672D5">
      <w:pPr>
        <w:pStyle w:val="T1TableStyle"/>
        <w:rPr>
          <w:rFonts w:ascii="Verdana" w:hAnsi="Verdana"/>
          <w:highlight w:val="yellow"/>
          <w:lang w:val="en-GB"/>
        </w:rPr>
      </w:pPr>
    </w:p>
    <w:p w14:paraId="38CF8EF1" w14:textId="77777777" w:rsidR="00CD5AAA" w:rsidRDefault="00CD5AAA">
      <w:pPr>
        <w:pStyle w:val="T1TableStyle"/>
        <w:rPr>
          <w:rFonts w:ascii="Verdana" w:hAnsi="Verdana"/>
          <w:highlight w:val="yellow"/>
          <w:lang w:val="en-GB"/>
        </w:rPr>
      </w:pPr>
    </w:p>
    <w:tbl>
      <w:tblPr>
        <w:tblW w:w="10351" w:type="dxa"/>
        <w:jc w:val="center"/>
        <w:tblLook w:val="04A0" w:firstRow="1" w:lastRow="0" w:firstColumn="1" w:lastColumn="0" w:noHBand="0" w:noVBand="1"/>
      </w:tblPr>
      <w:tblGrid>
        <w:gridCol w:w="1303"/>
        <w:gridCol w:w="1561"/>
        <w:gridCol w:w="4256"/>
        <w:gridCol w:w="1615"/>
        <w:gridCol w:w="1616"/>
      </w:tblGrid>
      <w:tr w:rsidR="00CD5AAA" w:rsidRPr="00CD5AAA" w14:paraId="77EAA18C" w14:textId="77777777" w:rsidTr="007C4BA6">
        <w:trPr>
          <w:trHeight w:val="234"/>
          <w:jc w:val="center"/>
        </w:trPr>
        <w:tc>
          <w:tcPr>
            <w:tcW w:w="10351" w:type="dxa"/>
            <w:gridSpan w:val="5"/>
            <w:tcBorders>
              <w:top w:val="nil"/>
              <w:left w:val="nil"/>
              <w:bottom w:val="nil"/>
              <w:right w:val="nil"/>
            </w:tcBorders>
            <w:shd w:val="clear" w:color="000000" w:fill="FFFFFF"/>
            <w:noWrap/>
            <w:vAlign w:val="center"/>
            <w:hideMark/>
          </w:tcPr>
          <w:p w14:paraId="65E72FEF" w14:textId="77777777" w:rsidR="00CD5AAA" w:rsidRPr="00CD5AAA" w:rsidRDefault="00CD5AAA" w:rsidP="007C4BA6">
            <w:pPr>
              <w:rPr>
                <w:rFonts w:ascii="Verdana" w:eastAsia="Times New Roman" w:hAnsi="Verdana" w:cs="Times New Roman"/>
                <w:b/>
                <w:bCs/>
                <w:color w:val="000000"/>
                <w:sz w:val="16"/>
                <w:szCs w:val="16"/>
                <w:lang w:val="en-GB" w:eastAsia="en-GB"/>
              </w:rPr>
            </w:pPr>
            <w:r w:rsidRPr="00CD5AAA">
              <w:rPr>
                <w:rFonts w:ascii="Verdana" w:eastAsia="Times New Roman" w:hAnsi="Verdana" w:cs="Times New Roman"/>
                <w:b/>
                <w:bCs/>
                <w:color w:val="000000"/>
                <w:sz w:val="16"/>
                <w:szCs w:val="16"/>
                <w:lang w:val="en-GB" w:eastAsia="en-GB"/>
              </w:rPr>
              <w:t>Impact of assumptions on the LGPS obligation:</w:t>
            </w:r>
          </w:p>
          <w:p w14:paraId="7126C89A" w14:textId="77777777" w:rsidR="00CD5AAA" w:rsidRPr="00CD5AAA" w:rsidRDefault="00CD5AAA" w:rsidP="007C4BA6">
            <w:pPr>
              <w:rPr>
                <w:rFonts w:ascii="Verdana" w:eastAsia="Times New Roman" w:hAnsi="Verdana" w:cs="Times New Roman"/>
                <w:b/>
                <w:bCs/>
                <w:color w:val="000000"/>
                <w:sz w:val="16"/>
                <w:szCs w:val="16"/>
                <w:lang w:val="en-GB" w:eastAsia="en-GB"/>
              </w:rPr>
            </w:pPr>
          </w:p>
        </w:tc>
      </w:tr>
      <w:tr w:rsidR="00CD5AAA" w:rsidRPr="00CD5AAA" w14:paraId="6CC96296" w14:textId="77777777" w:rsidTr="007C4BA6">
        <w:trPr>
          <w:trHeight w:val="234"/>
          <w:jc w:val="center"/>
        </w:trPr>
        <w:tc>
          <w:tcPr>
            <w:tcW w:w="1303" w:type="dxa"/>
            <w:tcBorders>
              <w:top w:val="nil"/>
              <w:left w:val="nil"/>
              <w:bottom w:val="nil"/>
              <w:right w:val="nil"/>
            </w:tcBorders>
            <w:shd w:val="clear" w:color="000000" w:fill="FFFFFF"/>
            <w:noWrap/>
            <w:vAlign w:val="center"/>
            <w:hideMark/>
          </w:tcPr>
          <w:p w14:paraId="7F445D62" w14:textId="77777777" w:rsidR="00CD5AAA" w:rsidRPr="00CD5AAA" w:rsidRDefault="00CD5AAA" w:rsidP="007C4BA6">
            <w:pPr>
              <w:jc w:val="center"/>
              <w:rPr>
                <w:rFonts w:ascii="Verdana" w:eastAsia="Times New Roman" w:hAnsi="Verdana" w:cs="Times New Roman"/>
                <w:b/>
                <w:bCs/>
                <w:color w:val="000000"/>
                <w:sz w:val="16"/>
                <w:szCs w:val="16"/>
                <w:lang w:val="en-GB" w:eastAsia="en-GB"/>
              </w:rPr>
            </w:pPr>
            <w:r w:rsidRPr="00CD5AAA">
              <w:rPr>
                <w:rFonts w:ascii="Verdana" w:eastAsia="Times New Roman" w:hAnsi="Verdana" w:cs="Times New Roman"/>
                <w:b/>
                <w:bCs/>
                <w:color w:val="000000"/>
                <w:sz w:val="16"/>
                <w:szCs w:val="16"/>
                <w:lang w:val="en-GB" w:eastAsia="en-GB"/>
              </w:rPr>
              <w:t>2019/20</w:t>
            </w:r>
          </w:p>
        </w:tc>
        <w:tc>
          <w:tcPr>
            <w:tcW w:w="1561" w:type="dxa"/>
            <w:tcBorders>
              <w:top w:val="nil"/>
              <w:left w:val="nil"/>
              <w:bottom w:val="nil"/>
              <w:right w:val="nil"/>
            </w:tcBorders>
            <w:shd w:val="clear" w:color="000000" w:fill="FFFFFF"/>
            <w:noWrap/>
            <w:vAlign w:val="center"/>
            <w:hideMark/>
          </w:tcPr>
          <w:p w14:paraId="7CBF7D99" w14:textId="77777777" w:rsidR="00CD5AAA" w:rsidRPr="00CD5AAA" w:rsidRDefault="00CD5AAA" w:rsidP="007C4BA6">
            <w:pPr>
              <w:jc w:val="center"/>
              <w:rPr>
                <w:rFonts w:ascii="Verdana" w:eastAsia="Times New Roman" w:hAnsi="Verdana" w:cs="Times New Roman"/>
                <w:b/>
                <w:bCs/>
                <w:color w:val="000000"/>
                <w:sz w:val="16"/>
                <w:szCs w:val="16"/>
                <w:lang w:val="en-GB" w:eastAsia="en-GB"/>
              </w:rPr>
            </w:pPr>
            <w:r w:rsidRPr="00CD5AAA">
              <w:rPr>
                <w:rFonts w:ascii="Verdana" w:eastAsia="Times New Roman" w:hAnsi="Verdana" w:cs="Times New Roman"/>
                <w:b/>
                <w:bCs/>
                <w:color w:val="000000"/>
                <w:sz w:val="16"/>
                <w:szCs w:val="16"/>
                <w:lang w:val="en-GB" w:eastAsia="en-GB"/>
              </w:rPr>
              <w:t>2019/20</w:t>
            </w:r>
          </w:p>
        </w:tc>
        <w:tc>
          <w:tcPr>
            <w:tcW w:w="4256" w:type="dxa"/>
            <w:tcBorders>
              <w:top w:val="nil"/>
              <w:left w:val="nil"/>
              <w:bottom w:val="nil"/>
              <w:right w:val="nil"/>
            </w:tcBorders>
            <w:shd w:val="clear" w:color="000000" w:fill="FFFFFF"/>
            <w:noWrap/>
            <w:vAlign w:val="center"/>
            <w:hideMark/>
          </w:tcPr>
          <w:p w14:paraId="5942404E" w14:textId="77777777" w:rsidR="00CD5AAA" w:rsidRPr="00CD5AAA" w:rsidRDefault="00CD5AAA" w:rsidP="007C4BA6">
            <w:pPr>
              <w:rPr>
                <w:rFonts w:ascii="Verdana" w:eastAsia="Times New Roman" w:hAnsi="Verdana" w:cs="Times New Roman"/>
                <w:color w:val="000000"/>
                <w:sz w:val="16"/>
                <w:szCs w:val="16"/>
                <w:lang w:val="en-GB" w:eastAsia="en-GB"/>
              </w:rPr>
            </w:pPr>
            <w:r w:rsidRPr="00CD5AAA">
              <w:rPr>
                <w:rFonts w:ascii="Verdana" w:eastAsia="Times New Roman" w:hAnsi="Verdana" w:cs="Times New Roman"/>
                <w:color w:val="000000"/>
                <w:sz w:val="16"/>
                <w:szCs w:val="16"/>
                <w:lang w:val="en-GB" w:eastAsia="en-GB"/>
              </w:rPr>
              <w:t> </w:t>
            </w:r>
          </w:p>
        </w:tc>
        <w:tc>
          <w:tcPr>
            <w:tcW w:w="1615" w:type="dxa"/>
            <w:tcBorders>
              <w:top w:val="nil"/>
              <w:left w:val="nil"/>
              <w:bottom w:val="nil"/>
              <w:right w:val="nil"/>
            </w:tcBorders>
            <w:shd w:val="clear" w:color="000000" w:fill="FFFFFF"/>
            <w:noWrap/>
            <w:vAlign w:val="center"/>
            <w:hideMark/>
          </w:tcPr>
          <w:p w14:paraId="5DA9D590" w14:textId="77777777" w:rsidR="00CD5AAA" w:rsidRPr="00CD5AAA" w:rsidRDefault="00CD5AAA" w:rsidP="007C4BA6">
            <w:pPr>
              <w:jc w:val="center"/>
              <w:rPr>
                <w:rFonts w:ascii="Verdana" w:eastAsia="Times New Roman" w:hAnsi="Verdana" w:cs="Times New Roman"/>
                <w:b/>
                <w:bCs/>
                <w:color w:val="000000"/>
                <w:sz w:val="16"/>
                <w:szCs w:val="16"/>
                <w:lang w:val="en-GB" w:eastAsia="en-GB"/>
              </w:rPr>
            </w:pPr>
            <w:r w:rsidRPr="00CD5AAA">
              <w:rPr>
                <w:rFonts w:ascii="Verdana" w:eastAsia="Times New Roman" w:hAnsi="Verdana" w:cs="Times New Roman"/>
                <w:b/>
                <w:bCs/>
                <w:color w:val="000000"/>
                <w:sz w:val="16"/>
                <w:szCs w:val="16"/>
                <w:lang w:val="en-GB" w:eastAsia="en-GB"/>
              </w:rPr>
              <w:t>2020/21</w:t>
            </w:r>
          </w:p>
        </w:tc>
        <w:tc>
          <w:tcPr>
            <w:tcW w:w="1615" w:type="dxa"/>
            <w:tcBorders>
              <w:top w:val="nil"/>
              <w:left w:val="nil"/>
              <w:bottom w:val="nil"/>
              <w:right w:val="nil"/>
            </w:tcBorders>
            <w:shd w:val="clear" w:color="000000" w:fill="FFFFFF"/>
            <w:noWrap/>
            <w:vAlign w:val="center"/>
            <w:hideMark/>
          </w:tcPr>
          <w:p w14:paraId="5772DE5C" w14:textId="77777777" w:rsidR="00CD5AAA" w:rsidRPr="00CD5AAA" w:rsidRDefault="00CD5AAA" w:rsidP="007C4BA6">
            <w:pPr>
              <w:jc w:val="center"/>
              <w:rPr>
                <w:rFonts w:ascii="Verdana" w:eastAsia="Times New Roman" w:hAnsi="Verdana" w:cs="Times New Roman"/>
                <w:b/>
                <w:bCs/>
                <w:color w:val="000000"/>
                <w:sz w:val="16"/>
                <w:szCs w:val="16"/>
                <w:lang w:val="en-GB" w:eastAsia="en-GB"/>
              </w:rPr>
            </w:pPr>
            <w:r w:rsidRPr="00CD5AAA">
              <w:rPr>
                <w:rFonts w:ascii="Verdana" w:eastAsia="Times New Roman" w:hAnsi="Verdana" w:cs="Times New Roman"/>
                <w:b/>
                <w:bCs/>
                <w:color w:val="000000"/>
                <w:sz w:val="16"/>
                <w:szCs w:val="16"/>
                <w:lang w:val="en-GB" w:eastAsia="en-GB"/>
              </w:rPr>
              <w:t>2020/21</w:t>
            </w:r>
          </w:p>
        </w:tc>
      </w:tr>
      <w:tr w:rsidR="00CD5AAA" w:rsidRPr="00CD5AAA" w14:paraId="28C327C7" w14:textId="77777777" w:rsidTr="007C4BA6">
        <w:trPr>
          <w:trHeight w:val="328"/>
          <w:jc w:val="center"/>
        </w:trPr>
        <w:tc>
          <w:tcPr>
            <w:tcW w:w="1303" w:type="dxa"/>
            <w:tcBorders>
              <w:top w:val="nil"/>
              <w:left w:val="nil"/>
              <w:bottom w:val="nil"/>
              <w:right w:val="nil"/>
            </w:tcBorders>
            <w:shd w:val="clear" w:color="000000" w:fill="FFFFFF"/>
            <w:vAlign w:val="center"/>
            <w:hideMark/>
          </w:tcPr>
          <w:p w14:paraId="04D7F54E" w14:textId="77777777" w:rsidR="00CD5AAA" w:rsidRPr="00CD5AAA" w:rsidRDefault="00CD5AAA" w:rsidP="007C4BA6">
            <w:pPr>
              <w:jc w:val="center"/>
              <w:rPr>
                <w:rFonts w:ascii="Verdana" w:eastAsia="Times New Roman" w:hAnsi="Verdana" w:cs="Times New Roman"/>
                <w:b/>
                <w:bCs/>
                <w:color w:val="000000"/>
                <w:sz w:val="16"/>
                <w:szCs w:val="16"/>
                <w:lang w:val="en-GB" w:eastAsia="en-GB"/>
              </w:rPr>
            </w:pPr>
            <w:r w:rsidRPr="00CD5AAA">
              <w:rPr>
                <w:rFonts w:ascii="Verdana" w:eastAsia="Times New Roman" w:hAnsi="Verdana" w:cs="Times New Roman"/>
                <w:b/>
                <w:bCs/>
                <w:color w:val="000000"/>
                <w:sz w:val="16"/>
                <w:szCs w:val="16"/>
                <w:lang w:val="en-GB" w:eastAsia="en-GB"/>
              </w:rPr>
              <w:t>Increase by 0.5%</w:t>
            </w:r>
          </w:p>
        </w:tc>
        <w:tc>
          <w:tcPr>
            <w:tcW w:w="1561" w:type="dxa"/>
            <w:tcBorders>
              <w:top w:val="nil"/>
              <w:left w:val="nil"/>
              <w:bottom w:val="nil"/>
              <w:right w:val="nil"/>
            </w:tcBorders>
            <w:shd w:val="clear" w:color="000000" w:fill="FFFFFF"/>
            <w:vAlign w:val="center"/>
            <w:hideMark/>
          </w:tcPr>
          <w:p w14:paraId="6BEA5885" w14:textId="77777777" w:rsidR="00CD5AAA" w:rsidRPr="00CD5AAA" w:rsidRDefault="00CD5AAA" w:rsidP="007C4BA6">
            <w:pPr>
              <w:jc w:val="center"/>
              <w:rPr>
                <w:rFonts w:ascii="Verdana" w:eastAsia="Times New Roman" w:hAnsi="Verdana" w:cs="Times New Roman"/>
                <w:b/>
                <w:bCs/>
                <w:color w:val="000000"/>
                <w:sz w:val="16"/>
                <w:szCs w:val="16"/>
                <w:lang w:val="en-GB" w:eastAsia="en-GB"/>
              </w:rPr>
            </w:pPr>
            <w:r w:rsidRPr="00CD5AAA">
              <w:rPr>
                <w:rFonts w:ascii="Verdana" w:eastAsia="Times New Roman" w:hAnsi="Verdana" w:cs="Times New Roman"/>
                <w:b/>
                <w:bCs/>
                <w:color w:val="000000"/>
                <w:sz w:val="16"/>
                <w:szCs w:val="16"/>
                <w:lang w:val="en-GB" w:eastAsia="en-GB"/>
              </w:rPr>
              <w:t xml:space="preserve">Increase </w:t>
            </w:r>
            <w:r w:rsidRPr="00CD5AAA">
              <w:rPr>
                <w:rFonts w:ascii="Verdana" w:eastAsia="Times New Roman" w:hAnsi="Verdana" w:cs="Times New Roman"/>
                <w:b/>
                <w:bCs/>
                <w:color w:val="000000"/>
                <w:sz w:val="16"/>
                <w:szCs w:val="16"/>
                <w:lang w:val="en-GB" w:eastAsia="en-GB"/>
              </w:rPr>
              <w:br/>
              <w:t>by 0.5%</w:t>
            </w:r>
          </w:p>
        </w:tc>
        <w:tc>
          <w:tcPr>
            <w:tcW w:w="4256" w:type="dxa"/>
            <w:tcBorders>
              <w:top w:val="nil"/>
              <w:left w:val="nil"/>
              <w:bottom w:val="nil"/>
              <w:right w:val="nil"/>
            </w:tcBorders>
            <w:shd w:val="clear" w:color="000000" w:fill="FFFFFF"/>
            <w:noWrap/>
            <w:vAlign w:val="center"/>
            <w:hideMark/>
          </w:tcPr>
          <w:p w14:paraId="1852E672" w14:textId="77777777" w:rsidR="00CD5AAA" w:rsidRPr="00CD5AAA" w:rsidRDefault="00CD5AAA" w:rsidP="007C4BA6">
            <w:pPr>
              <w:jc w:val="center"/>
              <w:rPr>
                <w:rFonts w:ascii="Verdana" w:eastAsia="Times New Roman" w:hAnsi="Verdana" w:cs="Times New Roman"/>
                <w:b/>
                <w:bCs/>
                <w:color w:val="000000"/>
                <w:sz w:val="16"/>
                <w:szCs w:val="16"/>
                <w:lang w:val="en-GB" w:eastAsia="en-GB"/>
              </w:rPr>
            </w:pPr>
            <w:r w:rsidRPr="00CD5AAA">
              <w:rPr>
                <w:rFonts w:ascii="Verdana" w:eastAsia="Times New Roman" w:hAnsi="Verdana" w:cs="Times New Roman"/>
                <w:b/>
                <w:bCs/>
                <w:color w:val="000000"/>
                <w:sz w:val="16"/>
                <w:szCs w:val="16"/>
                <w:lang w:val="en-GB" w:eastAsia="en-GB"/>
              </w:rPr>
              <w:t>LGPS</w:t>
            </w:r>
          </w:p>
        </w:tc>
        <w:tc>
          <w:tcPr>
            <w:tcW w:w="1615" w:type="dxa"/>
            <w:tcBorders>
              <w:top w:val="nil"/>
              <w:left w:val="nil"/>
              <w:bottom w:val="nil"/>
              <w:right w:val="nil"/>
            </w:tcBorders>
            <w:shd w:val="clear" w:color="000000" w:fill="FFFFFF"/>
            <w:vAlign w:val="center"/>
            <w:hideMark/>
          </w:tcPr>
          <w:p w14:paraId="3F5F6E45" w14:textId="77777777" w:rsidR="00CD5AAA" w:rsidRPr="00CD5AAA" w:rsidRDefault="00CD5AAA" w:rsidP="007C4BA6">
            <w:pPr>
              <w:jc w:val="center"/>
              <w:rPr>
                <w:rFonts w:ascii="Verdana" w:eastAsia="Times New Roman" w:hAnsi="Verdana" w:cs="Times New Roman"/>
                <w:b/>
                <w:bCs/>
                <w:color w:val="000000"/>
                <w:sz w:val="16"/>
                <w:szCs w:val="16"/>
                <w:lang w:val="en-GB" w:eastAsia="en-GB"/>
              </w:rPr>
            </w:pPr>
            <w:r w:rsidRPr="00CD5AAA">
              <w:rPr>
                <w:rFonts w:ascii="Verdana" w:eastAsia="Times New Roman" w:hAnsi="Verdana" w:cs="Times New Roman"/>
                <w:b/>
                <w:bCs/>
                <w:color w:val="000000"/>
                <w:sz w:val="16"/>
                <w:szCs w:val="16"/>
                <w:lang w:val="en-GB" w:eastAsia="en-GB"/>
              </w:rPr>
              <w:t xml:space="preserve">Increase </w:t>
            </w:r>
            <w:r w:rsidRPr="00CD5AAA">
              <w:rPr>
                <w:rFonts w:ascii="Verdana" w:eastAsia="Times New Roman" w:hAnsi="Verdana" w:cs="Times New Roman"/>
                <w:b/>
                <w:bCs/>
                <w:color w:val="000000"/>
                <w:sz w:val="16"/>
                <w:szCs w:val="16"/>
                <w:lang w:val="en-GB" w:eastAsia="en-GB"/>
              </w:rPr>
              <w:br/>
              <w:t>by 0.5%</w:t>
            </w:r>
          </w:p>
        </w:tc>
        <w:tc>
          <w:tcPr>
            <w:tcW w:w="1615" w:type="dxa"/>
            <w:tcBorders>
              <w:top w:val="nil"/>
              <w:left w:val="nil"/>
              <w:bottom w:val="nil"/>
              <w:right w:val="nil"/>
            </w:tcBorders>
            <w:shd w:val="clear" w:color="000000" w:fill="FFFFFF"/>
            <w:vAlign w:val="center"/>
            <w:hideMark/>
          </w:tcPr>
          <w:p w14:paraId="4B161226" w14:textId="77777777" w:rsidR="00CD5AAA" w:rsidRPr="00CD5AAA" w:rsidRDefault="00CD5AAA" w:rsidP="007C4BA6">
            <w:pPr>
              <w:jc w:val="center"/>
              <w:rPr>
                <w:rFonts w:ascii="Verdana" w:eastAsia="Times New Roman" w:hAnsi="Verdana" w:cs="Times New Roman"/>
                <w:b/>
                <w:bCs/>
                <w:color w:val="000000"/>
                <w:sz w:val="16"/>
                <w:szCs w:val="16"/>
                <w:lang w:val="en-GB" w:eastAsia="en-GB"/>
              </w:rPr>
            </w:pPr>
            <w:r w:rsidRPr="00CD5AAA">
              <w:rPr>
                <w:rFonts w:ascii="Verdana" w:eastAsia="Times New Roman" w:hAnsi="Verdana" w:cs="Times New Roman"/>
                <w:b/>
                <w:bCs/>
                <w:color w:val="000000"/>
                <w:sz w:val="16"/>
                <w:szCs w:val="16"/>
                <w:lang w:val="en-GB" w:eastAsia="en-GB"/>
              </w:rPr>
              <w:t xml:space="preserve">Increase </w:t>
            </w:r>
            <w:r w:rsidRPr="00CD5AAA">
              <w:rPr>
                <w:rFonts w:ascii="Verdana" w:eastAsia="Times New Roman" w:hAnsi="Verdana" w:cs="Times New Roman"/>
                <w:b/>
                <w:bCs/>
                <w:color w:val="000000"/>
                <w:sz w:val="16"/>
                <w:szCs w:val="16"/>
                <w:lang w:val="en-GB" w:eastAsia="en-GB"/>
              </w:rPr>
              <w:br/>
              <w:t>by 0.5%</w:t>
            </w:r>
          </w:p>
        </w:tc>
      </w:tr>
      <w:tr w:rsidR="00CD5AAA" w:rsidRPr="00CD5AAA" w14:paraId="1959AE85" w14:textId="77777777" w:rsidTr="007C4BA6">
        <w:trPr>
          <w:trHeight w:val="480"/>
          <w:jc w:val="center"/>
        </w:trPr>
        <w:tc>
          <w:tcPr>
            <w:tcW w:w="1303" w:type="dxa"/>
            <w:tcBorders>
              <w:top w:val="nil"/>
              <w:left w:val="nil"/>
              <w:bottom w:val="single" w:sz="4" w:space="0" w:color="auto"/>
              <w:right w:val="nil"/>
            </w:tcBorders>
            <w:shd w:val="clear" w:color="000000" w:fill="FFFFFF"/>
            <w:vAlign w:val="center"/>
            <w:hideMark/>
          </w:tcPr>
          <w:p w14:paraId="61D9CD51" w14:textId="77777777" w:rsidR="00CD5AAA" w:rsidRPr="00CD5AAA" w:rsidRDefault="00CD5AAA" w:rsidP="007C4BA6">
            <w:pPr>
              <w:jc w:val="right"/>
              <w:rPr>
                <w:rFonts w:ascii="Verdana" w:eastAsia="Times New Roman" w:hAnsi="Verdana" w:cs="Times New Roman"/>
                <w:b/>
                <w:bCs/>
                <w:color w:val="000000"/>
                <w:sz w:val="16"/>
                <w:szCs w:val="16"/>
                <w:lang w:val="en-GB" w:eastAsia="en-GB"/>
              </w:rPr>
            </w:pPr>
            <w:r w:rsidRPr="00CD5AAA">
              <w:rPr>
                <w:rFonts w:ascii="Verdana" w:eastAsia="Times New Roman" w:hAnsi="Verdana" w:cs="Times New Roman"/>
                <w:b/>
                <w:bCs/>
                <w:color w:val="000000"/>
                <w:sz w:val="16"/>
                <w:szCs w:val="16"/>
                <w:lang w:val="en-GB" w:eastAsia="en-GB"/>
              </w:rPr>
              <w:t>PCC</w:t>
            </w:r>
            <w:r w:rsidRPr="00CD5AAA">
              <w:rPr>
                <w:rFonts w:ascii="Verdana" w:eastAsia="Times New Roman" w:hAnsi="Verdana" w:cs="Times New Roman"/>
                <w:b/>
                <w:bCs/>
                <w:color w:val="000000"/>
                <w:sz w:val="16"/>
                <w:szCs w:val="16"/>
                <w:lang w:val="en-GB" w:eastAsia="en-GB"/>
              </w:rPr>
              <w:br/>
              <w:t>£000</w:t>
            </w:r>
          </w:p>
        </w:tc>
        <w:tc>
          <w:tcPr>
            <w:tcW w:w="1561" w:type="dxa"/>
            <w:tcBorders>
              <w:top w:val="nil"/>
              <w:left w:val="nil"/>
              <w:bottom w:val="single" w:sz="4" w:space="0" w:color="auto"/>
              <w:right w:val="nil"/>
            </w:tcBorders>
            <w:shd w:val="clear" w:color="000000" w:fill="FFFFFF"/>
            <w:vAlign w:val="center"/>
            <w:hideMark/>
          </w:tcPr>
          <w:p w14:paraId="7BA675F6" w14:textId="77777777" w:rsidR="00CD5AAA" w:rsidRPr="00CD5AAA" w:rsidRDefault="00CD5AAA" w:rsidP="007C4BA6">
            <w:pPr>
              <w:jc w:val="right"/>
              <w:rPr>
                <w:rFonts w:ascii="Verdana" w:eastAsia="Times New Roman" w:hAnsi="Verdana" w:cs="Times New Roman"/>
                <w:b/>
                <w:bCs/>
                <w:color w:val="000000"/>
                <w:sz w:val="16"/>
                <w:szCs w:val="16"/>
                <w:lang w:val="en-GB" w:eastAsia="en-GB"/>
              </w:rPr>
            </w:pPr>
            <w:r w:rsidRPr="00CD5AAA">
              <w:rPr>
                <w:rFonts w:ascii="Verdana" w:eastAsia="Times New Roman" w:hAnsi="Verdana" w:cs="Times New Roman"/>
                <w:b/>
                <w:bCs/>
                <w:color w:val="000000"/>
                <w:sz w:val="16"/>
                <w:szCs w:val="16"/>
                <w:lang w:val="en-GB" w:eastAsia="en-GB"/>
              </w:rPr>
              <w:t>CC</w:t>
            </w:r>
            <w:r w:rsidRPr="00CD5AAA">
              <w:rPr>
                <w:rFonts w:ascii="Verdana" w:eastAsia="Times New Roman" w:hAnsi="Verdana" w:cs="Times New Roman"/>
                <w:b/>
                <w:bCs/>
                <w:color w:val="000000"/>
                <w:sz w:val="16"/>
                <w:szCs w:val="16"/>
                <w:lang w:val="en-GB" w:eastAsia="en-GB"/>
              </w:rPr>
              <w:br/>
              <w:t>£000</w:t>
            </w:r>
          </w:p>
        </w:tc>
        <w:tc>
          <w:tcPr>
            <w:tcW w:w="4256" w:type="dxa"/>
            <w:tcBorders>
              <w:top w:val="nil"/>
              <w:left w:val="nil"/>
              <w:bottom w:val="single" w:sz="4" w:space="0" w:color="auto"/>
              <w:right w:val="nil"/>
            </w:tcBorders>
            <w:shd w:val="clear" w:color="000000" w:fill="FFFFFF"/>
            <w:noWrap/>
            <w:vAlign w:val="center"/>
            <w:hideMark/>
          </w:tcPr>
          <w:p w14:paraId="3C0860E5" w14:textId="77777777" w:rsidR="00CD5AAA" w:rsidRPr="00CD5AAA" w:rsidRDefault="00CD5AAA" w:rsidP="007C4BA6">
            <w:pPr>
              <w:rPr>
                <w:rFonts w:ascii="Verdana" w:eastAsia="Times New Roman" w:hAnsi="Verdana" w:cs="Times New Roman"/>
                <w:b/>
                <w:bCs/>
                <w:color w:val="000000"/>
                <w:sz w:val="16"/>
                <w:szCs w:val="16"/>
                <w:lang w:val="en-GB" w:eastAsia="en-GB"/>
              </w:rPr>
            </w:pPr>
            <w:r w:rsidRPr="00CD5AAA">
              <w:rPr>
                <w:rFonts w:ascii="Verdana" w:eastAsia="Times New Roman" w:hAnsi="Verdana" w:cs="Times New Roman"/>
                <w:b/>
                <w:bCs/>
                <w:color w:val="000000"/>
                <w:sz w:val="16"/>
                <w:szCs w:val="16"/>
                <w:lang w:val="en-GB" w:eastAsia="en-GB"/>
              </w:rPr>
              <w:t> </w:t>
            </w:r>
          </w:p>
        </w:tc>
        <w:tc>
          <w:tcPr>
            <w:tcW w:w="1615" w:type="dxa"/>
            <w:tcBorders>
              <w:top w:val="nil"/>
              <w:left w:val="nil"/>
              <w:bottom w:val="single" w:sz="4" w:space="0" w:color="auto"/>
              <w:right w:val="nil"/>
            </w:tcBorders>
            <w:shd w:val="clear" w:color="000000" w:fill="FFFFFF"/>
            <w:vAlign w:val="center"/>
            <w:hideMark/>
          </w:tcPr>
          <w:p w14:paraId="2879F4DA" w14:textId="77777777" w:rsidR="00CD5AAA" w:rsidRPr="00CD5AAA" w:rsidRDefault="00CD5AAA" w:rsidP="007C4BA6">
            <w:pPr>
              <w:jc w:val="right"/>
              <w:rPr>
                <w:rFonts w:ascii="Verdana" w:eastAsia="Times New Roman" w:hAnsi="Verdana" w:cs="Times New Roman"/>
                <w:b/>
                <w:bCs/>
                <w:color w:val="000000"/>
                <w:sz w:val="16"/>
                <w:szCs w:val="16"/>
                <w:lang w:val="en-GB" w:eastAsia="en-GB"/>
              </w:rPr>
            </w:pPr>
            <w:r w:rsidRPr="00CD5AAA">
              <w:rPr>
                <w:rFonts w:ascii="Verdana" w:eastAsia="Times New Roman" w:hAnsi="Verdana" w:cs="Times New Roman"/>
                <w:b/>
                <w:bCs/>
                <w:color w:val="000000"/>
                <w:sz w:val="16"/>
                <w:szCs w:val="16"/>
                <w:lang w:val="en-GB" w:eastAsia="en-GB"/>
              </w:rPr>
              <w:t>PCC</w:t>
            </w:r>
            <w:r w:rsidRPr="00CD5AAA">
              <w:rPr>
                <w:rFonts w:ascii="Verdana" w:eastAsia="Times New Roman" w:hAnsi="Verdana" w:cs="Times New Roman"/>
                <w:b/>
                <w:bCs/>
                <w:color w:val="000000"/>
                <w:sz w:val="16"/>
                <w:szCs w:val="16"/>
                <w:lang w:val="en-GB" w:eastAsia="en-GB"/>
              </w:rPr>
              <w:br/>
              <w:t>£000</w:t>
            </w:r>
          </w:p>
        </w:tc>
        <w:tc>
          <w:tcPr>
            <w:tcW w:w="1615" w:type="dxa"/>
            <w:tcBorders>
              <w:top w:val="nil"/>
              <w:left w:val="nil"/>
              <w:bottom w:val="single" w:sz="4" w:space="0" w:color="auto"/>
              <w:right w:val="nil"/>
            </w:tcBorders>
            <w:shd w:val="clear" w:color="000000" w:fill="FFFFFF"/>
            <w:vAlign w:val="center"/>
            <w:hideMark/>
          </w:tcPr>
          <w:p w14:paraId="69B329DB" w14:textId="77777777" w:rsidR="00CD5AAA" w:rsidRPr="00CD5AAA" w:rsidRDefault="00CD5AAA" w:rsidP="007C4BA6">
            <w:pPr>
              <w:jc w:val="right"/>
              <w:rPr>
                <w:rFonts w:ascii="Verdana" w:eastAsia="Times New Roman" w:hAnsi="Verdana" w:cs="Times New Roman"/>
                <w:b/>
                <w:bCs/>
                <w:color w:val="000000"/>
                <w:sz w:val="16"/>
                <w:szCs w:val="16"/>
                <w:lang w:val="en-GB" w:eastAsia="en-GB"/>
              </w:rPr>
            </w:pPr>
            <w:r w:rsidRPr="00CD5AAA">
              <w:rPr>
                <w:rFonts w:ascii="Verdana" w:eastAsia="Times New Roman" w:hAnsi="Verdana" w:cs="Times New Roman"/>
                <w:b/>
                <w:bCs/>
                <w:color w:val="000000"/>
                <w:sz w:val="16"/>
                <w:szCs w:val="16"/>
                <w:lang w:val="en-GB" w:eastAsia="en-GB"/>
              </w:rPr>
              <w:t>CC</w:t>
            </w:r>
            <w:r w:rsidRPr="00CD5AAA">
              <w:rPr>
                <w:rFonts w:ascii="Verdana" w:eastAsia="Times New Roman" w:hAnsi="Verdana" w:cs="Times New Roman"/>
                <w:b/>
                <w:bCs/>
                <w:color w:val="000000"/>
                <w:sz w:val="16"/>
                <w:szCs w:val="16"/>
                <w:lang w:val="en-GB" w:eastAsia="en-GB"/>
              </w:rPr>
              <w:br/>
              <w:t>£000</w:t>
            </w:r>
          </w:p>
        </w:tc>
      </w:tr>
      <w:tr w:rsidR="00CD5AAA" w:rsidRPr="00CD5AAA" w14:paraId="7E78C04B" w14:textId="77777777" w:rsidTr="007C4BA6">
        <w:trPr>
          <w:trHeight w:val="70"/>
          <w:jc w:val="center"/>
        </w:trPr>
        <w:tc>
          <w:tcPr>
            <w:tcW w:w="1303" w:type="dxa"/>
            <w:tcBorders>
              <w:top w:val="nil"/>
              <w:left w:val="nil"/>
              <w:bottom w:val="nil"/>
              <w:right w:val="nil"/>
            </w:tcBorders>
            <w:shd w:val="clear" w:color="000000" w:fill="FFFFFF"/>
            <w:noWrap/>
            <w:vAlign w:val="center"/>
            <w:hideMark/>
          </w:tcPr>
          <w:p w14:paraId="2088F6BD" w14:textId="77777777" w:rsidR="00CD5AAA" w:rsidRPr="00CD5AAA" w:rsidRDefault="00CD5AAA" w:rsidP="007C4BA6">
            <w:pPr>
              <w:rPr>
                <w:rFonts w:ascii="Verdana" w:eastAsia="Times New Roman" w:hAnsi="Verdana" w:cs="Times New Roman"/>
                <w:color w:val="000000"/>
                <w:sz w:val="16"/>
                <w:szCs w:val="16"/>
                <w:lang w:val="en-GB" w:eastAsia="en-GB"/>
              </w:rPr>
            </w:pPr>
            <w:r w:rsidRPr="00CD5AAA">
              <w:rPr>
                <w:rFonts w:ascii="Verdana" w:eastAsia="Times New Roman" w:hAnsi="Verdana" w:cs="Times New Roman"/>
                <w:color w:val="000000"/>
                <w:sz w:val="16"/>
                <w:szCs w:val="16"/>
                <w:lang w:val="en-GB" w:eastAsia="en-GB"/>
              </w:rPr>
              <w:t> </w:t>
            </w:r>
          </w:p>
        </w:tc>
        <w:tc>
          <w:tcPr>
            <w:tcW w:w="1561" w:type="dxa"/>
            <w:tcBorders>
              <w:top w:val="nil"/>
              <w:left w:val="nil"/>
              <w:bottom w:val="nil"/>
              <w:right w:val="nil"/>
            </w:tcBorders>
            <w:shd w:val="clear" w:color="000000" w:fill="FFFFFF"/>
            <w:noWrap/>
            <w:vAlign w:val="center"/>
            <w:hideMark/>
          </w:tcPr>
          <w:p w14:paraId="416E8302" w14:textId="77777777" w:rsidR="00CD5AAA" w:rsidRPr="00CD5AAA" w:rsidRDefault="00CD5AAA" w:rsidP="007C4BA6">
            <w:pPr>
              <w:rPr>
                <w:rFonts w:ascii="Verdana" w:eastAsia="Times New Roman" w:hAnsi="Verdana" w:cs="Times New Roman"/>
                <w:color w:val="000000"/>
                <w:sz w:val="16"/>
                <w:szCs w:val="16"/>
                <w:lang w:val="en-GB" w:eastAsia="en-GB"/>
              </w:rPr>
            </w:pPr>
            <w:r w:rsidRPr="00CD5AAA">
              <w:rPr>
                <w:rFonts w:ascii="Verdana" w:eastAsia="Times New Roman" w:hAnsi="Verdana" w:cs="Times New Roman"/>
                <w:color w:val="000000"/>
                <w:sz w:val="16"/>
                <w:szCs w:val="16"/>
                <w:lang w:val="en-GB" w:eastAsia="en-GB"/>
              </w:rPr>
              <w:t> </w:t>
            </w:r>
          </w:p>
        </w:tc>
        <w:tc>
          <w:tcPr>
            <w:tcW w:w="4256" w:type="dxa"/>
            <w:tcBorders>
              <w:top w:val="nil"/>
              <w:left w:val="nil"/>
              <w:bottom w:val="nil"/>
              <w:right w:val="nil"/>
            </w:tcBorders>
            <w:shd w:val="clear" w:color="000000" w:fill="FFFFFF"/>
            <w:noWrap/>
            <w:vAlign w:val="center"/>
            <w:hideMark/>
          </w:tcPr>
          <w:p w14:paraId="47A4AF1B" w14:textId="77777777" w:rsidR="00CD5AAA" w:rsidRPr="00CD5AAA" w:rsidRDefault="00CD5AAA" w:rsidP="007C4BA6">
            <w:pPr>
              <w:rPr>
                <w:rFonts w:ascii="Verdana" w:eastAsia="Times New Roman" w:hAnsi="Verdana" w:cs="Times New Roman"/>
                <w:color w:val="000000"/>
                <w:sz w:val="16"/>
                <w:szCs w:val="16"/>
                <w:lang w:val="en-GB" w:eastAsia="en-GB"/>
              </w:rPr>
            </w:pPr>
            <w:r w:rsidRPr="00CD5AAA">
              <w:rPr>
                <w:rFonts w:ascii="Verdana" w:eastAsia="Times New Roman" w:hAnsi="Verdana" w:cs="Times New Roman"/>
                <w:color w:val="000000"/>
                <w:sz w:val="16"/>
                <w:szCs w:val="16"/>
                <w:lang w:val="en-GB" w:eastAsia="en-GB"/>
              </w:rPr>
              <w:t> </w:t>
            </w:r>
          </w:p>
        </w:tc>
        <w:tc>
          <w:tcPr>
            <w:tcW w:w="1615" w:type="dxa"/>
            <w:tcBorders>
              <w:top w:val="nil"/>
              <w:left w:val="nil"/>
              <w:bottom w:val="nil"/>
              <w:right w:val="nil"/>
            </w:tcBorders>
            <w:shd w:val="clear" w:color="000000" w:fill="FFFFFF"/>
            <w:noWrap/>
            <w:vAlign w:val="center"/>
            <w:hideMark/>
          </w:tcPr>
          <w:p w14:paraId="13DE6E4F" w14:textId="77777777" w:rsidR="00CD5AAA" w:rsidRPr="00CD5AAA" w:rsidRDefault="00CD5AAA" w:rsidP="007C4BA6">
            <w:pPr>
              <w:rPr>
                <w:rFonts w:ascii="Verdana" w:eastAsia="Times New Roman" w:hAnsi="Verdana" w:cs="Times New Roman"/>
                <w:color w:val="000000"/>
                <w:sz w:val="16"/>
                <w:szCs w:val="16"/>
                <w:lang w:val="en-GB" w:eastAsia="en-GB"/>
              </w:rPr>
            </w:pPr>
            <w:r w:rsidRPr="00CD5AAA">
              <w:rPr>
                <w:rFonts w:ascii="Verdana" w:eastAsia="Times New Roman" w:hAnsi="Verdana" w:cs="Times New Roman"/>
                <w:color w:val="000000"/>
                <w:sz w:val="16"/>
                <w:szCs w:val="16"/>
                <w:lang w:val="en-GB" w:eastAsia="en-GB"/>
              </w:rPr>
              <w:t> </w:t>
            </w:r>
          </w:p>
        </w:tc>
        <w:tc>
          <w:tcPr>
            <w:tcW w:w="1615" w:type="dxa"/>
            <w:tcBorders>
              <w:top w:val="nil"/>
              <w:left w:val="nil"/>
              <w:bottom w:val="nil"/>
              <w:right w:val="nil"/>
            </w:tcBorders>
            <w:shd w:val="clear" w:color="000000" w:fill="FFFFFF"/>
            <w:noWrap/>
            <w:vAlign w:val="center"/>
            <w:hideMark/>
          </w:tcPr>
          <w:p w14:paraId="573A9BD3" w14:textId="77777777" w:rsidR="00CD5AAA" w:rsidRPr="00CD5AAA" w:rsidRDefault="00CD5AAA" w:rsidP="007C4BA6">
            <w:pPr>
              <w:rPr>
                <w:rFonts w:ascii="Verdana" w:eastAsia="Times New Roman" w:hAnsi="Verdana" w:cs="Times New Roman"/>
                <w:color w:val="000000"/>
                <w:sz w:val="16"/>
                <w:szCs w:val="16"/>
                <w:lang w:val="en-GB" w:eastAsia="en-GB"/>
              </w:rPr>
            </w:pPr>
            <w:r w:rsidRPr="00CD5AAA">
              <w:rPr>
                <w:rFonts w:ascii="Verdana" w:eastAsia="Times New Roman" w:hAnsi="Verdana" w:cs="Times New Roman"/>
                <w:color w:val="000000"/>
                <w:sz w:val="16"/>
                <w:szCs w:val="16"/>
                <w:lang w:val="en-GB" w:eastAsia="en-GB"/>
              </w:rPr>
              <w:t> </w:t>
            </w:r>
          </w:p>
        </w:tc>
      </w:tr>
      <w:tr w:rsidR="00CD5AAA" w:rsidRPr="00CD5AAA" w14:paraId="1CF0D3AA" w14:textId="77777777" w:rsidTr="007C4BA6">
        <w:trPr>
          <w:trHeight w:val="234"/>
          <w:jc w:val="center"/>
        </w:trPr>
        <w:tc>
          <w:tcPr>
            <w:tcW w:w="1303" w:type="dxa"/>
            <w:tcBorders>
              <w:top w:val="nil"/>
              <w:left w:val="nil"/>
              <w:bottom w:val="nil"/>
              <w:right w:val="nil"/>
            </w:tcBorders>
            <w:shd w:val="clear" w:color="auto" w:fill="auto"/>
            <w:noWrap/>
            <w:vAlign w:val="center"/>
            <w:hideMark/>
          </w:tcPr>
          <w:p w14:paraId="79760ADB" w14:textId="77777777" w:rsidR="00CD5AAA" w:rsidRPr="00CD5AAA" w:rsidRDefault="00CD5AAA" w:rsidP="007C4BA6">
            <w:pPr>
              <w:jc w:val="right"/>
              <w:rPr>
                <w:rFonts w:ascii="Verdana" w:eastAsia="Times New Roman" w:hAnsi="Verdana" w:cs="Times New Roman"/>
                <w:color w:val="000000"/>
                <w:sz w:val="16"/>
                <w:szCs w:val="16"/>
                <w:lang w:val="en-GB" w:eastAsia="en-GB"/>
              </w:rPr>
            </w:pPr>
            <w:r w:rsidRPr="00CD5AAA">
              <w:rPr>
                <w:rFonts w:ascii="Verdana" w:eastAsia="Times New Roman" w:hAnsi="Verdana" w:cs="Times New Roman"/>
                <w:color w:val="000000"/>
                <w:sz w:val="16"/>
                <w:szCs w:val="16"/>
                <w:lang w:val="en-GB" w:eastAsia="en-GB"/>
              </w:rPr>
              <w:t>106</w:t>
            </w:r>
          </w:p>
        </w:tc>
        <w:tc>
          <w:tcPr>
            <w:tcW w:w="1561" w:type="dxa"/>
            <w:tcBorders>
              <w:top w:val="nil"/>
              <w:left w:val="nil"/>
              <w:bottom w:val="nil"/>
              <w:right w:val="nil"/>
            </w:tcBorders>
            <w:shd w:val="clear" w:color="auto" w:fill="auto"/>
            <w:noWrap/>
            <w:vAlign w:val="center"/>
            <w:hideMark/>
          </w:tcPr>
          <w:p w14:paraId="408B7F73" w14:textId="77777777" w:rsidR="00CD5AAA" w:rsidRPr="00CD5AAA" w:rsidRDefault="00CD5AAA" w:rsidP="007C4BA6">
            <w:pPr>
              <w:jc w:val="right"/>
              <w:rPr>
                <w:rFonts w:ascii="Verdana" w:eastAsia="Times New Roman" w:hAnsi="Verdana" w:cs="Times New Roman"/>
                <w:color w:val="000000"/>
                <w:sz w:val="16"/>
                <w:szCs w:val="16"/>
                <w:lang w:val="en-GB" w:eastAsia="en-GB"/>
              </w:rPr>
            </w:pPr>
            <w:r w:rsidRPr="00CD5AAA">
              <w:rPr>
                <w:rFonts w:ascii="Verdana" w:eastAsia="Times New Roman" w:hAnsi="Verdana" w:cs="Times New Roman"/>
                <w:color w:val="000000"/>
                <w:sz w:val="16"/>
                <w:szCs w:val="16"/>
                <w:lang w:val="en-GB" w:eastAsia="en-GB"/>
              </w:rPr>
              <w:t>4,976</w:t>
            </w:r>
          </w:p>
        </w:tc>
        <w:tc>
          <w:tcPr>
            <w:tcW w:w="4256" w:type="dxa"/>
            <w:tcBorders>
              <w:top w:val="nil"/>
              <w:left w:val="nil"/>
              <w:bottom w:val="nil"/>
              <w:right w:val="nil"/>
            </w:tcBorders>
            <w:shd w:val="clear" w:color="000000" w:fill="FFFFFF"/>
            <w:noWrap/>
            <w:vAlign w:val="center"/>
            <w:hideMark/>
          </w:tcPr>
          <w:p w14:paraId="42A53D69" w14:textId="77777777" w:rsidR="00CD5AAA" w:rsidRPr="00CD5AAA" w:rsidRDefault="00CD5AAA" w:rsidP="007C4BA6">
            <w:pPr>
              <w:rPr>
                <w:rFonts w:ascii="Verdana" w:eastAsia="Times New Roman" w:hAnsi="Verdana" w:cs="Times New Roman"/>
                <w:color w:val="000000"/>
                <w:sz w:val="16"/>
                <w:szCs w:val="16"/>
                <w:lang w:val="en-GB" w:eastAsia="en-GB"/>
              </w:rPr>
            </w:pPr>
            <w:r w:rsidRPr="00CD5AAA">
              <w:rPr>
                <w:rFonts w:ascii="Verdana" w:eastAsia="Times New Roman" w:hAnsi="Verdana" w:cs="Times New Roman"/>
                <w:color w:val="000000"/>
                <w:sz w:val="16"/>
                <w:szCs w:val="16"/>
                <w:lang w:val="en-GB" w:eastAsia="en-GB"/>
              </w:rPr>
              <w:t>Rate of increase in salaries</w:t>
            </w:r>
          </w:p>
        </w:tc>
        <w:tc>
          <w:tcPr>
            <w:tcW w:w="1615" w:type="dxa"/>
            <w:tcBorders>
              <w:top w:val="nil"/>
              <w:left w:val="nil"/>
              <w:bottom w:val="nil"/>
              <w:right w:val="nil"/>
            </w:tcBorders>
            <w:shd w:val="clear" w:color="auto" w:fill="auto"/>
            <w:noWrap/>
            <w:vAlign w:val="center"/>
            <w:hideMark/>
          </w:tcPr>
          <w:p w14:paraId="5831CECB" w14:textId="77777777" w:rsidR="00CD5AAA" w:rsidRPr="00CD5AAA" w:rsidRDefault="00CD5AAA" w:rsidP="007C4BA6">
            <w:pPr>
              <w:jc w:val="right"/>
              <w:rPr>
                <w:rFonts w:ascii="Verdana" w:eastAsia="Times New Roman" w:hAnsi="Verdana" w:cs="Times New Roman"/>
                <w:color w:val="000000"/>
                <w:sz w:val="16"/>
                <w:szCs w:val="16"/>
                <w:lang w:val="en-GB" w:eastAsia="en-GB"/>
              </w:rPr>
            </w:pPr>
            <w:r w:rsidRPr="00CD5AAA">
              <w:rPr>
                <w:rFonts w:ascii="Verdana" w:eastAsia="Times New Roman" w:hAnsi="Verdana" w:cs="Times New Roman"/>
                <w:color w:val="000000"/>
                <w:sz w:val="16"/>
                <w:szCs w:val="16"/>
                <w:lang w:val="en-GB" w:eastAsia="en-GB"/>
              </w:rPr>
              <w:t>143</w:t>
            </w:r>
          </w:p>
        </w:tc>
        <w:tc>
          <w:tcPr>
            <w:tcW w:w="1615" w:type="dxa"/>
            <w:tcBorders>
              <w:top w:val="nil"/>
              <w:left w:val="nil"/>
              <w:bottom w:val="nil"/>
              <w:right w:val="nil"/>
            </w:tcBorders>
            <w:shd w:val="clear" w:color="auto" w:fill="auto"/>
            <w:noWrap/>
            <w:vAlign w:val="center"/>
            <w:hideMark/>
          </w:tcPr>
          <w:p w14:paraId="09D71FEF" w14:textId="77777777" w:rsidR="00CD5AAA" w:rsidRPr="00CD5AAA" w:rsidRDefault="00CD5AAA" w:rsidP="007C4BA6">
            <w:pPr>
              <w:jc w:val="right"/>
              <w:rPr>
                <w:rFonts w:ascii="Verdana" w:eastAsia="Times New Roman" w:hAnsi="Verdana" w:cs="Times New Roman"/>
                <w:color w:val="000000"/>
                <w:sz w:val="16"/>
                <w:szCs w:val="16"/>
                <w:lang w:val="en-GB" w:eastAsia="en-GB"/>
              </w:rPr>
            </w:pPr>
            <w:r w:rsidRPr="00CD5AAA">
              <w:rPr>
                <w:rFonts w:ascii="Verdana" w:eastAsia="Times New Roman" w:hAnsi="Verdana" w:cs="Times New Roman"/>
                <w:color w:val="000000"/>
                <w:sz w:val="16"/>
                <w:szCs w:val="16"/>
                <w:lang w:val="en-GB" w:eastAsia="en-GB"/>
              </w:rPr>
              <w:t>6,759</w:t>
            </w:r>
          </w:p>
        </w:tc>
      </w:tr>
      <w:tr w:rsidR="00CD5AAA" w:rsidRPr="00CD5AAA" w14:paraId="5CA5FF41" w14:textId="77777777" w:rsidTr="007C4BA6">
        <w:trPr>
          <w:trHeight w:val="234"/>
          <w:jc w:val="center"/>
        </w:trPr>
        <w:tc>
          <w:tcPr>
            <w:tcW w:w="1303" w:type="dxa"/>
            <w:tcBorders>
              <w:top w:val="nil"/>
              <w:left w:val="nil"/>
              <w:bottom w:val="nil"/>
              <w:right w:val="nil"/>
            </w:tcBorders>
            <w:shd w:val="clear" w:color="auto" w:fill="auto"/>
            <w:noWrap/>
            <w:vAlign w:val="center"/>
            <w:hideMark/>
          </w:tcPr>
          <w:p w14:paraId="5DF4F14E" w14:textId="77777777" w:rsidR="00CD5AAA" w:rsidRPr="00CD5AAA" w:rsidRDefault="00CD5AAA" w:rsidP="007C4BA6">
            <w:pPr>
              <w:jc w:val="right"/>
              <w:rPr>
                <w:rFonts w:ascii="Verdana" w:eastAsia="Times New Roman" w:hAnsi="Verdana" w:cs="Times New Roman"/>
                <w:color w:val="000000"/>
                <w:sz w:val="16"/>
                <w:szCs w:val="16"/>
                <w:lang w:val="en-GB" w:eastAsia="en-GB"/>
              </w:rPr>
            </w:pPr>
            <w:r w:rsidRPr="00CD5AAA">
              <w:rPr>
                <w:rFonts w:ascii="Verdana" w:eastAsia="Times New Roman" w:hAnsi="Verdana" w:cs="Times New Roman"/>
                <w:color w:val="000000"/>
                <w:sz w:val="16"/>
                <w:szCs w:val="16"/>
                <w:lang w:val="en-GB" w:eastAsia="en-GB"/>
              </w:rPr>
              <w:t>424</w:t>
            </w:r>
          </w:p>
        </w:tc>
        <w:tc>
          <w:tcPr>
            <w:tcW w:w="1561" w:type="dxa"/>
            <w:tcBorders>
              <w:top w:val="nil"/>
              <w:left w:val="nil"/>
              <w:bottom w:val="nil"/>
              <w:right w:val="nil"/>
            </w:tcBorders>
            <w:shd w:val="clear" w:color="auto" w:fill="auto"/>
            <w:noWrap/>
            <w:vAlign w:val="center"/>
            <w:hideMark/>
          </w:tcPr>
          <w:p w14:paraId="18DA214B" w14:textId="77777777" w:rsidR="00CD5AAA" w:rsidRPr="00CD5AAA" w:rsidRDefault="00CD5AAA" w:rsidP="007C4BA6">
            <w:pPr>
              <w:jc w:val="right"/>
              <w:rPr>
                <w:rFonts w:ascii="Verdana" w:eastAsia="Times New Roman" w:hAnsi="Verdana" w:cs="Times New Roman"/>
                <w:color w:val="000000"/>
                <w:sz w:val="16"/>
                <w:szCs w:val="16"/>
                <w:lang w:val="en-GB" w:eastAsia="en-GB"/>
              </w:rPr>
            </w:pPr>
            <w:r w:rsidRPr="00CD5AAA">
              <w:rPr>
                <w:rFonts w:ascii="Verdana" w:eastAsia="Times New Roman" w:hAnsi="Verdana" w:cs="Times New Roman"/>
                <w:color w:val="000000"/>
                <w:sz w:val="16"/>
                <w:szCs w:val="16"/>
                <w:lang w:val="en-GB" w:eastAsia="en-GB"/>
              </w:rPr>
              <w:t>44,545</w:t>
            </w:r>
          </w:p>
        </w:tc>
        <w:tc>
          <w:tcPr>
            <w:tcW w:w="4256" w:type="dxa"/>
            <w:tcBorders>
              <w:top w:val="nil"/>
              <w:left w:val="nil"/>
              <w:bottom w:val="nil"/>
              <w:right w:val="nil"/>
            </w:tcBorders>
            <w:shd w:val="clear" w:color="000000" w:fill="FFFFFF"/>
            <w:noWrap/>
            <w:vAlign w:val="center"/>
            <w:hideMark/>
          </w:tcPr>
          <w:p w14:paraId="033BF991" w14:textId="77777777" w:rsidR="00CD5AAA" w:rsidRPr="00CD5AAA" w:rsidRDefault="00CD5AAA" w:rsidP="007C4BA6">
            <w:pPr>
              <w:rPr>
                <w:rFonts w:ascii="Verdana" w:eastAsia="Times New Roman" w:hAnsi="Verdana" w:cs="Times New Roman"/>
                <w:color w:val="000000"/>
                <w:sz w:val="16"/>
                <w:szCs w:val="16"/>
                <w:lang w:val="en-GB" w:eastAsia="en-GB"/>
              </w:rPr>
            </w:pPr>
            <w:r w:rsidRPr="00CD5AAA">
              <w:rPr>
                <w:rFonts w:ascii="Verdana" w:eastAsia="Times New Roman" w:hAnsi="Verdana" w:cs="Times New Roman"/>
                <w:color w:val="000000"/>
                <w:sz w:val="16"/>
                <w:szCs w:val="16"/>
                <w:lang w:val="en-GB" w:eastAsia="en-GB"/>
              </w:rPr>
              <w:t>Rate of increase in pensions</w:t>
            </w:r>
          </w:p>
        </w:tc>
        <w:tc>
          <w:tcPr>
            <w:tcW w:w="1615" w:type="dxa"/>
            <w:tcBorders>
              <w:top w:val="nil"/>
              <w:left w:val="nil"/>
              <w:bottom w:val="nil"/>
              <w:right w:val="nil"/>
            </w:tcBorders>
            <w:shd w:val="clear" w:color="auto" w:fill="auto"/>
            <w:noWrap/>
            <w:vAlign w:val="center"/>
            <w:hideMark/>
          </w:tcPr>
          <w:p w14:paraId="2EE1CF72" w14:textId="77777777" w:rsidR="00CD5AAA" w:rsidRPr="00CD5AAA" w:rsidRDefault="00CD5AAA" w:rsidP="007C4BA6">
            <w:pPr>
              <w:jc w:val="right"/>
              <w:rPr>
                <w:rFonts w:ascii="Verdana" w:eastAsia="Times New Roman" w:hAnsi="Verdana" w:cs="Times New Roman"/>
                <w:color w:val="000000"/>
                <w:sz w:val="16"/>
                <w:szCs w:val="16"/>
                <w:lang w:val="en-GB" w:eastAsia="en-GB"/>
              </w:rPr>
            </w:pPr>
            <w:r w:rsidRPr="00CD5AAA">
              <w:rPr>
                <w:rFonts w:ascii="Verdana" w:eastAsia="Times New Roman" w:hAnsi="Verdana" w:cs="Times New Roman"/>
                <w:color w:val="000000"/>
                <w:sz w:val="16"/>
                <w:szCs w:val="16"/>
                <w:lang w:val="en-GB" w:eastAsia="en-GB"/>
              </w:rPr>
              <w:t>633</w:t>
            </w:r>
          </w:p>
        </w:tc>
        <w:tc>
          <w:tcPr>
            <w:tcW w:w="1615" w:type="dxa"/>
            <w:tcBorders>
              <w:top w:val="nil"/>
              <w:left w:val="nil"/>
              <w:bottom w:val="nil"/>
              <w:right w:val="nil"/>
            </w:tcBorders>
            <w:shd w:val="clear" w:color="auto" w:fill="auto"/>
            <w:noWrap/>
            <w:vAlign w:val="center"/>
            <w:hideMark/>
          </w:tcPr>
          <w:p w14:paraId="27E022DB" w14:textId="77777777" w:rsidR="00CD5AAA" w:rsidRPr="00CD5AAA" w:rsidRDefault="00CD5AAA" w:rsidP="007C4BA6">
            <w:pPr>
              <w:jc w:val="right"/>
              <w:rPr>
                <w:rFonts w:ascii="Verdana" w:eastAsia="Times New Roman" w:hAnsi="Verdana" w:cs="Times New Roman"/>
                <w:color w:val="000000"/>
                <w:sz w:val="16"/>
                <w:szCs w:val="16"/>
                <w:lang w:val="en-GB" w:eastAsia="en-GB"/>
              </w:rPr>
            </w:pPr>
            <w:r w:rsidRPr="00CD5AAA">
              <w:rPr>
                <w:rFonts w:ascii="Verdana" w:eastAsia="Times New Roman" w:hAnsi="Verdana" w:cs="Times New Roman"/>
                <w:color w:val="000000"/>
                <w:sz w:val="16"/>
                <w:szCs w:val="16"/>
                <w:lang w:val="en-GB" w:eastAsia="en-GB"/>
              </w:rPr>
              <w:t>65,948</w:t>
            </w:r>
          </w:p>
        </w:tc>
      </w:tr>
      <w:tr w:rsidR="00CD5AAA" w:rsidRPr="00CD5AAA" w14:paraId="45C4E28A" w14:textId="77777777" w:rsidTr="007C4BA6">
        <w:trPr>
          <w:trHeight w:val="234"/>
          <w:jc w:val="center"/>
        </w:trPr>
        <w:tc>
          <w:tcPr>
            <w:tcW w:w="1303" w:type="dxa"/>
            <w:tcBorders>
              <w:top w:val="nil"/>
              <w:left w:val="nil"/>
              <w:bottom w:val="nil"/>
              <w:right w:val="nil"/>
            </w:tcBorders>
            <w:shd w:val="clear" w:color="auto" w:fill="auto"/>
            <w:noWrap/>
            <w:vAlign w:val="center"/>
            <w:hideMark/>
          </w:tcPr>
          <w:p w14:paraId="673E3654" w14:textId="77777777" w:rsidR="00CD5AAA" w:rsidRPr="00CD5AAA" w:rsidRDefault="00CD5AAA" w:rsidP="007C4BA6">
            <w:pPr>
              <w:jc w:val="right"/>
              <w:rPr>
                <w:rFonts w:ascii="Verdana" w:eastAsia="Times New Roman" w:hAnsi="Verdana" w:cs="Times New Roman"/>
                <w:color w:val="000000"/>
                <w:sz w:val="16"/>
                <w:szCs w:val="16"/>
                <w:lang w:val="en-GB" w:eastAsia="en-GB"/>
              </w:rPr>
            </w:pPr>
            <w:r w:rsidRPr="00CD5AAA">
              <w:rPr>
                <w:rFonts w:ascii="Verdana" w:eastAsia="Times New Roman" w:hAnsi="Verdana" w:cs="Times New Roman"/>
                <w:color w:val="000000"/>
                <w:sz w:val="16"/>
                <w:szCs w:val="16"/>
                <w:lang w:val="en-GB" w:eastAsia="en-GB"/>
              </w:rPr>
              <w:t>(538)</w:t>
            </w:r>
          </w:p>
        </w:tc>
        <w:tc>
          <w:tcPr>
            <w:tcW w:w="1561" w:type="dxa"/>
            <w:tcBorders>
              <w:top w:val="nil"/>
              <w:left w:val="nil"/>
              <w:bottom w:val="nil"/>
              <w:right w:val="nil"/>
            </w:tcBorders>
            <w:shd w:val="clear" w:color="auto" w:fill="auto"/>
            <w:noWrap/>
            <w:vAlign w:val="center"/>
            <w:hideMark/>
          </w:tcPr>
          <w:p w14:paraId="58B72CED" w14:textId="77777777" w:rsidR="00CD5AAA" w:rsidRPr="00CD5AAA" w:rsidRDefault="00CD5AAA" w:rsidP="007C4BA6">
            <w:pPr>
              <w:jc w:val="right"/>
              <w:rPr>
                <w:rFonts w:ascii="Verdana" w:eastAsia="Times New Roman" w:hAnsi="Verdana" w:cs="Times New Roman"/>
                <w:color w:val="000000"/>
                <w:sz w:val="16"/>
                <w:szCs w:val="16"/>
                <w:lang w:val="en-GB" w:eastAsia="en-GB"/>
              </w:rPr>
            </w:pPr>
            <w:r w:rsidRPr="00CD5AAA">
              <w:rPr>
                <w:rFonts w:ascii="Verdana" w:eastAsia="Times New Roman" w:hAnsi="Verdana" w:cs="Times New Roman"/>
                <w:color w:val="000000"/>
                <w:sz w:val="16"/>
                <w:szCs w:val="16"/>
                <w:lang w:val="en-GB" w:eastAsia="en-GB"/>
              </w:rPr>
              <w:t>(49,907)</w:t>
            </w:r>
          </w:p>
        </w:tc>
        <w:tc>
          <w:tcPr>
            <w:tcW w:w="4256" w:type="dxa"/>
            <w:tcBorders>
              <w:top w:val="nil"/>
              <w:left w:val="nil"/>
              <w:bottom w:val="nil"/>
              <w:right w:val="nil"/>
            </w:tcBorders>
            <w:shd w:val="clear" w:color="000000" w:fill="FFFFFF"/>
            <w:noWrap/>
            <w:vAlign w:val="center"/>
            <w:hideMark/>
          </w:tcPr>
          <w:p w14:paraId="064355F8" w14:textId="77777777" w:rsidR="00CD5AAA" w:rsidRPr="00CD5AAA" w:rsidRDefault="00CD5AAA" w:rsidP="007C4BA6">
            <w:pPr>
              <w:rPr>
                <w:rFonts w:ascii="Verdana" w:eastAsia="Times New Roman" w:hAnsi="Verdana" w:cs="Times New Roman"/>
                <w:color w:val="000000"/>
                <w:sz w:val="16"/>
                <w:szCs w:val="16"/>
                <w:lang w:val="en-GB" w:eastAsia="en-GB"/>
              </w:rPr>
            </w:pPr>
            <w:r w:rsidRPr="00CD5AAA">
              <w:rPr>
                <w:rFonts w:ascii="Verdana" w:eastAsia="Times New Roman" w:hAnsi="Verdana" w:cs="Times New Roman"/>
                <w:color w:val="000000"/>
                <w:sz w:val="16"/>
                <w:szCs w:val="16"/>
                <w:lang w:val="en-GB" w:eastAsia="en-GB"/>
              </w:rPr>
              <w:t>Rate for discounting scheme liabilities</w:t>
            </w:r>
          </w:p>
        </w:tc>
        <w:tc>
          <w:tcPr>
            <w:tcW w:w="1615" w:type="dxa"/>
            <w:tcBorders>
              <w:top w:val="nil"/>
              <w:left w:val="nil"/>
              <w:bottom w:val="nil"/>
              <w:right w:val="nil"/>
            </w:tcBorders>
            <w:shd w:val="clear" w:color="auto" w:fill="auto"/>
            <w:noWrap/>
            <w:vAlign w:val="center"/>
            <w:hideMark/>
          </w:tcPr>
          <w:p w14:paraId="6045C4B6" w14:textId="77777777" w:rsidR="00CD5AAA" w:rsidRPr="00CD5AAA" w:rsidRDefault="00CD5AAA" w:rsidP="007C4BA6">
            <w:pPr>
              <w:jc w:val="right"/>
              <w:rPr>
                <w:rFonts w:ascii="Verdana" w:eastAsia="Times New Roman" w:hAnsi="Verdana" w:cs="Times New Roman"/>
                <w:color w:val="000000"/>
                <w:sz w:val="16"/>
                <w:szCs w:val="16"/>
                <w:lang w:val="en-GB" w:eastAsia="en-GB"/>
              </w:rPr>
            </w:pPr>
            <w:r w:rsidRPr="00CD5AAA">
              <w:rPr>
                <w:rFonts w:ascii="Verdana" w:eastAsia="Times New Roman" w:hAnsi="Verdana" w:cs="Times New Roman"/>
                <w:color w:val="000000"/>
                <w:sz w:val="16"/>
                <w:szCs w:val="16"/>
                <w:lang w:val="en-GB" w:eastAsia="en-GB"/>
              </w:rPr>
              <w:t>(797)</w:t>
            </w:r>
          </w:p>
        </w:tc>
        <w:tc>
          <w:tcPr>
            <w:tcW w:w="1615" w:type="dxa"/>
            <w:tcBorders>
              <w:top w:val="nil"/>
              <w:left w:val="nil"/>
              <w:bottom w:val="nil"/>
              <w:right w:val="nil"/>
            </w:tcBorders>
            <w:shd w:val="clear" w:color="auto" w:fill="auto"/>
            <w:noWrap/>
            <w:vAlign w:val="center"/>
            <w:hideMark/>
          </w:tcPr>
          <w:p w14:paraId="6F986E1B" w14:textId="77777777" w:rsidR="00CD5AAA" w:rsidRPr="00CD5AAA" w:rsidRDefault="00CD5AAA" w:rsidP="007C4BA6">
            <w:pPr>
              <w:jc w:val="right"/>
              <w:rPr>
                <w:rFonts w:ascii="Verdana" w:eastAsia="Times New Roman" w:hAnsi="Verdana" w:cs="Times New Roman"/>
                <w:color w:val="000000"/>
                <w:sz w:val="16"/>
                <w:szCs w:val="16"/>
                <w:lang w:val="en-GB" w:eastAsia="en-GB"/>
              </w:rPr>
            </w:pPr>
            <w:r w:rsidRPr="00CD5AAA">
              <w:rPr>
                <w:rFonts w:ascii="Verdana" w:eastAsia="Times New Roman" w:hAnsi="Verdana" w:cs="Times New Roman"/>
                <w:color w:val="000000"/>
                <w:sz w:val="16"/>
                <w:szCs w:val="16"/>
                <w:lang w:val="en-GB" w:eastAsia="en-GB"/>
              </w:rPr>
              <w:t>(74,176)</w:t>
            </w:r>
          </w:p>
        </w:tc>
      </w:tr>
    </w:tbl>
    <w:p w14:paraId="0DAB7A70" w14:textId="77777777" w:rsidR="00CD5AAA" w:rsidRDefault="00CD5AAA">
      <w:pPr>
        <w:pStyle w:val="T1TableStyle"/>
        <w:rPr>
          <w:rFonts w:ascii="Verdana" w:hAnsi="Verdana"/>
          <w:highlight w:val="yellow"/>
          <w:lang w:val="en-GB"/>
        </w:rPr>
      </w:pPr>
    </w:p>
    <w:p w14:paraId="0684C7B9" w14:textId="77777777" w:rsidR="00CD5AAA" w:rsidRDefault="00CD5AAA">
      <w:pPr>
        <w:pStyle w:val="T1TableStyle"/>
        <w:rPr>
          <w:rFonts w:ascii="Verdana" w:hAnsi="Verdana"/>
          <w:highlight w:val="yellow"/>
          <w:lang w:val="en-GB"/>
        </w:rPr>
      </w:pPr>
    </w:p>
    <w:tbl>
      <w:tblPr>
        <w:tblW w:w="10420" w:type="dxa"/>
        <w:jc w:val="center"/>
        <w:tblLook w:val="04A0" w:firstRow="1" w:lastRow="0" w:firstColumn="1" w:lastColumn="0" w:noHBand="0" w:noVBand="1"/>
      </w:tblPr>
      <w:tblGrid>
        <w:gridCol w:w="2140"/>
        <w:gridCol w:w="5717"/>
        <w:gridCol w:w="2247"/>
        <w:gridCol w:w="316"/>
      </w:tblGrid>
      <w:tr w:rsidR="00CD5AAA" w:rsidRPr="00CD5AAA" w14:paraId="283A252F" w14:textId="77777777" w:rsidTr="007C4BA6">
        <w:trPr>
          <w:trHeight w:val="300"/>
          <w:jc w:val="center"/>
        </w:trPr>
        <w:tc>
          <w:tcPr>
            <w:tcW w:w="10420" w:type="dxa"/>
            <w:gridSpan w:val="4"/>
            <w:tcBorders>
              <w:top w:val="nil"/>
              <w:left w:val="nil"/>
              <w:bottom w:val="nil"/>
              <w:right w:val="nil"/>
            </w:tcBorders>
            <w:shd w:val="clear" w:color="000000" w:fill="FFFFFF"/>
            <w:noWrap/>
            <w:vAlign w:val="center"/>
            <w:hideMark/>
          </w:tcPr>
          <w:p w14:paraId="007F21A3" w14:textId="77777777" w:rsidR="00CD5AAA" w:rsidRPr="00CD5AAA" w:rsidRDefault="00CD5AAA" w:rsidP="00CD5AAA">
            <w:pPr>
              <w:rPr>
                <w:rFonts w:ascii="Verdana" w:eastAsia="Times New Roman" w:hAnsi="Verdana" w:cs="Times New Roman"/>
                <w:b/>
                <w:bCs/>
                <w:color w:val="000000"/>
                <w:sz w:val="16"/>
                <w:szCs w:val="16"/>
                <w:lang w:val="en-GB" w:eastAsia="en-GB"/>
              </w:rPr>
            </w:pPr>
            <w:r w:rsidRPr="00CD5AAA">
              <w:rPr>
                <w:rFonts w:ascii="Verdana" w:eastAsia="Times New Roman" w:hAnsi="Verdana" w:cs="Times New Roman"/>
                <w:b/>
                <w:bCs/>
                <w:color w:val="000000"/>
                <w:sz w:val="16"/>
                <w:szCs w:val="16"/>
                <w:lang w:val="en-GB" w:eastAsia="en-GB"/>
              </w:rPr>
              <w:t>Impact of assumptions on the police pension fund obligation:</w:t>
            </w:r>
          </w:p>
        </w:tc>
      </w:tr>
      <w:tr w:rsidR="00CD5AAA" w:rsidRPr="00CD5AAA" w14:paraId="3666D242" w14:textId="77777777" w:rsidTr="007C4BA6">
        <w:trPr>
          <w:gridAfter w:val="1"/>
          <w:wAfter w:w="316" w:type="dxa"/>
          <w:trHeight w:val="300"/>
          <w:jc w:val="center"/>
        </w:trPr>
        <w:tc>
          <w:tcPr>
            <w:tcW w:w="2140" w:type="dxa"/>
            <w:tcBorders>
              <w:top w:val="nil"/>
              <w:left w:val="nil"/>
              <w:bottom w:val="nil"/>
              <w:right w:val="nil"/>
            </w:tcBorders>
            <w:shd w:val="clear" w:color="000000" w:fill="FFFFFF"/>
            <w:noWrap/>
            <w:vAlign w:val="center"/>
            <w:hideMark/>
          </w:tcPr>
          <w:p w14:paraId="59B1540A" w14:textId="77777777" w:rsidR="00CD5AAA" w:rsidRPr="00CD5AAA" w:rsidRDefault="00CD5AAA" w:rsidP="00CD5AAA">
            <w:pPr>
              <w:jc w:val="center"/>
              <w:rPr>
                <w:rFonts w:ascii="Verdana" w:eastAsia="Times New Roman" w:hAnsi="Verdana" w:cs="Times New Roman"/>
                <w:b/>
                <w:bCs/>
                <w:color w:val="000000"/>
                <w:sz w:val="16"/>
                <w:szCs w:val="16"/>
                <w:lang w:val="en-GB" w:eastAsia="en-GB"/>
              </w:rPr>
            </w:pPr>
            <w:r w:rsidRPr="00CD5AAA">
              <w:rPr>
                <w:rFonts w:ascii="Verdana" w:eastAsia="Times New Roman" w:hAnsi="Verdana" w:cs="Times New Roman"/>
                <w:b/>
                <w:bCs/>
                <w:color w:val="000000"/>
                <w:sz w:val="16"/>
                <w:szCs w:val="16"/>
                <w:lang w:val="en-GB" w:eastAsia="en-GB"/>
              </w:rPr>
              <w:t>2019/20</w:t>
            </w:r>
          </w:p>
        </w:tc>
        <w:tc>
          <w:tcPr>
            <w:tcW w:w="5717" w:type="dxa"/>
            <w:tcBorders>
              <w:top w:val="nil"/>
              <w:left w:val="nil"/>
              <w:bottom w:val="nil"/>
              <w:right w:val="nil"/>
            </w:tcBorders>
            <w:shd w:val="clear" w:color="000000" w:fill="FFFFFF"/>
            <w:noWrap/>
            <w:vAlign w:val="center"/>
            <w:hideMark/>
          </w:tcPr>
          <w:p w14:paraId="02F1F26B" w14:textId="77777777" w:rsidR="00CD5AAA" w:rsidRPr="00CD5AAA" w:rsidRDefault="00CD5AAA" w:rsidP="00CD5AAA">
            <w:pPr>
              <w:rPr>
                <w:rFonts w:ascii="Verdana" w:eastAsia="Times New Roman" w:hAnsi="Verdana" w:cs="Times New Roman"/>
                <w:b/>
                <w:bCs/>
                <w:color w:val="000000"/>
                <w:sz w:val="16"/>
                <w:szCs w:val="16"/>
                <w:lang w:val="en-GB" w:eastAsia="en-GB"/>
              </w:rPr>
            </w:pPr>
            <w:r w:rsidRPr="00CD5AAA">
              <w:rPr>
                <w:rFonts w:ascii="Verdana" w:eastAsia="Times New Roman" w:hAnsi="Verdana" w:cs="Times New Roman"/>
                <w:b/>
                <w:bCs/>
                <w:color w:val="000000"/>
                <w:sz w:val="16"/>
                <w:szCs w:val="16"/>
                <w:lang w:val="en-GB" w:eastAsia="en-GB"/>
              </w:rPr>
              <w:t> </w:t>
            </w:r>
          </w:p>
        </w:tc>
        <w:tc>
          <w:tcPr>
            <w:tcW w:w="2247" w:type="dxa"/>
            <w:tcBorders>
              <w:top w:val="nil"/>
              <w:left w:val="nil"/>
              <w:bottom w:val="nil"/>
              <w:right w:val="nil"/>
            </w:tcBorders>
            <w:shd w:val="clear" w:color="000000" w:fill="FFFFFF"/>
            <w:noWrap/>
            <w:vAlign w:val="center"/>
            <w:hideMark/>
          </w:tcPr>
          <w:p w14:paraId="16EDA886" w14:textId="77777777" w:rsidR="00CD5AAA" w:rsidRPr="00CD5AAA" w:rsidRDefault="00CD5AAA" w:rsidP="00CD5AAA">
            <w:pPr>
              <w:jc w:val="center"/>
              <w:rPr>
                <w:rFonts w:ascii="Verdana" w:eastAsia="Times New Roman" w:hAnsi="Verdana" w:cs="Times New Roman"/>
                <w:b/>
                <w:bCs/>
                <w:color w:val="000000"/>
                <w:sz w:val="16"/>
                <w:szCs w:val="16"/>
                <w:lang w:val="en-GB" w:eastAsia="en-GB"/>
              </w:rPr>
            </w:pPr>
            <w:r w:rsidRPr="00CD5AAA">
              <w:rPr>
                <w:rFonts w:ascii="Verdana" w:eastAsia="Times New Roman" w:hAnsi="Verdana" w:cs="Times New Roman"/>
                <w:b/>
                <w:bCs/>
                <w:color w:val="000000"/>
                <w:sz w:val="16"/>
                <w:szCs w:val="16"/>
                <w:lang w:val="en-GB" w:eastAsia="en-GB"/>
              </w:rPr>
              <w:t>2020/21</w:t>
            </w:r>
          </w:p>
        </w:tc>
      </w:tr>
      <w:tr w:rsidR="00CD5AAA" w:rsidRPr="00CD5AAA" w14:paraId="6F2013EF" w14:textId="77777777" w:rsidTr="007C4BA6">
        <w:trPr>
          <w:gridAfter w:val="1"/>
          <w:wAfter w:w="316" w:type="dxa"/>
          <w:trHeight w:val="420"/>
          <w:jc w:val="center"/>
        </w:trPr>
        <w:tc>
          <w:tcPr>
            <w:tcW w:w="2140" w:type="dxa"/>
            <w:tcBorders>
              <w:top w:val="nil"/>
              <w:left w:val="nil"/>
              <w:bottom w:val="nil"/>
              <w:right w:val="nil"/>
            </w:tcBorders>
            <w:shd w:val="clear" w:color="auto" w:fill="auto"/>
            <w:vAlign w:val="center"/>
            <w:hideMark/>
          </w:tcPr>
          <w:p w14:paraId="219CF396" w14:textId="77777777" w:rsidR="00CD5AAA" w:rsidRPr="00CD5AAA" w:rsidRDefault="00CD5AAA" w:rsidP="00CD5AAA">
            <w:pPr>
              <w:jc w:val="center"/>
              <w:rPr>
                <w:rFonts w:ascii="Verdana" w:eastAsia="Times New Roman" w:hAnsi="Verdana" w:cs="Times New Roman"/>
                <w:b/>
                <w:bCs/>
                <w:color w:val="000000"/>
                <w:sz w:val="16"/>
                <w:szCs w:val="16"/>
                <w:lang w:val="en-GB" w:eastAsia="en-GB"/>
              </w:rPr>
            </w:pPr>
            <w:r w:rsidRPr="00CD5AAA">
              <w:rPr>
                <w:rFonts w:ascii="Verdana" w:eastAsia="Times New Roman" w:hAnsi="Verdana" w:cs="Times New Roman"/>
                <w:b/>
                <w:bCs/>
                <w:color w:val="000000"/>
                <w:sz w:val="16"/>
                <w:szCs w:val="16"/>
                <w:lang w:val="en-GB" w:eastAsia="en-GB"/>
              </w:rPr>
              <w:t xml:space="preserve">Increase </w:t>
            </w:r>
            <w:r w:rsidRPr="00CD5AAA">
              <w:rPr>
                <w:rFonts w:ascii="Verdana" w:eastAsia="Times New Roman" w:hAnsi="Verdana" w:cs="Times New Roman"/>
                <w:b/>
                <w:bCs/>
                <w:color w:val="000000"/>
                <w:sz w:val="16"/>
                <w:szCs w:val="16"/>
                <w:lang w:val="en-GB" w:eastAsia="en-GB"/>
              </w:rPr>
              <w:br/>
              <w:t>by 0.5%</w:t>
            </w:r>
          </w:p>
        </w:tc>
        <w:tc>
          <w:tcPr>
            <w:tcW w:w="5717" w:type="dxa"/>
            <w:tcBorders>
              <w:top w:val="nil"/>
              <w:left w:val="nil"/>
              <w:bottom w:val="nil"/>
              <w:right w:val="nil"/>
            </w:tcBorders>
            <w:shd w:val="clear" w:color="auto" w:fill="auto"/>
            <w:noWrap/>
            <w:vAlign w:val="center"/>
            <w:hideMark/>
          </w:tcPr>
          <w:p w14:paraId="1D399185" w14:textId="77777777" w:rsidR="00CD5AAA" w:rsidRPr="00CD5AAA" w:rsidRDefault="00CD5AAA" w:rsidP="00CD5AAA">
            <w:pPr>
              <w:jc w:val="center"/>
              <w:rPr>
                <w:rFonts w:ascii="Verdana" w:eastAsia="Times New Roman" w:hAnsi="Verdana" w:cs="Times New Roman"/>
                <w:b/>
                <w:bCs/>
                <w:color w:val="000000"/>
                <w:sz w:val="16"/>
                <w:szCs w:val="16"/>
                <w:lang w:val="en-GB" w:eastAsia="en-GB"/>
              </w:rPr>
            </w:pPr>
            <w:r w:rsidRPr="00CD5AAA">
              <w:rPr>
                <w:rFonts w:ascii="Verdana" w:eastAsia="Times New Roman" w:hAnsi="Verdana" w:cs="Times New Roman"/>
                <w:b/>
                <w:bCs/>
                <w:color w:val="000000"/>
                <w:sz w:val="16"/>
                <w:szCs w:val="16"/>
                <w:lang w:val="en-GB" w:eastAsia="en-GB"/>
              </w:rPr>
              <w:t>Police Officers</w:t>
            </w:r>
          </w:p>
        </w:tc>
        <w:tc>
          <w:tcPr>
            <w:tcW w:w="2247" w:type="dxa"/>
            <w:tcBorders>
              <w:top w:val="nil"/>
              <w:left w:val="nil"/>
              <w:bottom w:val="nil"/>
              <w:right w:val="nil"/>
            </w:tcBorders>
            <w:shd w:val="clear" w:color="auto" w:fill="auto"/>
            <w:vAlign w:val="center"/>
            <w:hideMark/>
          </w:tcPr>
          <w:p w14:paraId="44904E7E" w14:textId="77777777" w:rsidR="00CD5AAA" w:rsidRPr="00CD5AAA" w:rsidRDefault="00CD5AAA" w:rsidP="00CD5AAA">
            <w:pPr>
              <w:jc w:val="center"/>
              <w:rPr>
                <w:rFonts w:ascii="Verdana" w:eastAsia="Times New Roman" w:hAnsi="Verdana" w:cs="Times New Roman"/>
                <w:b/>
                <w:bCs/>
                <w:color w:val="000000"/>
                <w:sz w:val="16"/>
                <w:szCs w:val="16"/>
                <w:lang w:val="en-GB" w:eastAsia="en-GB"/>
              </w:rPr>
            </w:pPr>
            <w:r w:rsidRPr="00CD5AAA">
              <w:rPr>
                <w:rFonts w:ascii="Verdana" w:eastAsia="Times New Roman" w:hAnsi="Verdana" w:cs="Times New Roman"/>
                <w:b/>
                <w:bCs/>
                <w:color w:val="000000"/>
                <w:sz w:val="16"/>
                <w:szCs w:val="16"/>
                <w:lang w:val="en-GB" w:eastAsia="en-GB"/>
              </w:rPr>
              <w:t>Decrease</w:t>
            </w:r>
            <w:r w:rsidRPr="00CD5AAA">
              <w:rPr>
                <w:rFonts w:ascii="Verdana" w:eastAsia="Times New Roman" w:hAnsi="Verdana" w:cs="Times New Roman"/>
                <w:b/>
                <w:bCs/>
                <w:color w:val="000000"/>
                <w:sz w:val="16"/>
                <w:szCs w:val="16"/>
                <w:lang w:val="en-GB" w:eastAsia="en-GB"/>
              </w:rPr>
              <w:br/>
              <w:t xml:space="preserve"> by 0.5%</w:t>
            </w:r>
          </w:p>
        </w:tc>
      </w:tr>
      <w:tr w:rsidR="00CD5AAA" w:rsidRPr="00CD5AAA" w14:paraId="36795934" w14:textId="77777777" w:rsidTr="007C4BA6">
        <w:trPr>
          <w:gridAfter w:val="1"/>
          <w:wAfter w:w="316" w:type="dxa"/>
          <w:trHeight w:val="210"/>
          <w:jc w:val="center"/>
        </w:trPr>
        <w:tc>
          <w:tcPr>
            <w:tcW w:w="2140" w:type="dxa"/>
            <w:tcBorders>
              <w:top w:val="nil"/>
              <w:left w:val="nil"/>
              <w:bottom w:val="single" w:sz="4" w:space="0" w:color="auto"/>
              <w:right w:val="nil"/>
            </w:tcBorders>
            <w:shd w:val="clear" w:color="auto" w:fill="auto"/>
            <w:noWrap/>
            <w:vAlign w:val="center"/>
            <w:hideMark/>
          </w:tcPr>
          <w:p w14:paraId="3CA9A1B3" w14:textId="77777777" w:rsidR="00CD5AAA" w:rsidRPr="00CD5AAA" w:rsidRDefault="00CD5AAA" w:rsidP="00CD5AAA">
            <w:pPr>
              <w:jc w:val="right"/>
              <w:rPr>
                <w:rFonts w:ascii="Verdana" w:eastAsia="Times New Roman" w:hAnsi="Verdana" w:cs="Times New Roman"/>
                <w:b/>
                <w:bCs/>
                <w:color w:val="000000"/>
                <w:sz w:val="16"/>
                <w:szCs w:val="16"/>
                <w:lang w:val="en-GB" w:eastAsia="en-GB"/>
              </w:rPr>
            </w:pPr>
            <w:r w:rsidRPr="00CD5AAA">
              <w:rPr>
                <w:rFonts w:ascii="Verdana" w:eastAsia="Times New Roman" w:hAnsi="Verdana" w:cs="Times New Roman"/>
                <w:b/>
                <w:bCs/>
                <w:color w:val="000000"/>
                <w:sz w:val="16"/>
                <w:szCs w:val="16"/>
                <w:lang w:val="en-GB" w:eastAsia="en-GB"/>
              </w:rPr>
              <w:t>£000</w:t>
            </w:r>
          </w:p>
        </w:tc>
        <w:tc>
          <w:tcPr>
            <w:tcW w:w="5717" w:type="dxa"/>
            <w:tcBorders>
              <w:top w:val="nil"/>
              <w:left w:val="nil"/>
              <w:bottom w:val="single" w:sz="4" w:space="0" w:color="auto"/>
              <w:right w:val="nil"/>
            </w:tcBorders>
            <w:shd w:val="clear" w:color="auto" w:fill="auto"/>
            <w:noWrap/>
            <w:vAlign w:val="center"/>
            <w:hideMark/>
          </w:tcPr>
          <w:p w14:paraId="52AD1CD4" w14:textId="77777777" w:rsidR="00CD5AAA" w:rsidRPr="00CD5AAA" w:rsidRDefault="00CD5AAA" w:rsidP="00CD5AAA">
            <w:pPr>
              <w:rPr>
                <w:rFonts w:ascii="Verdana" w:eastAsia="Times New Roman" w:hAnsi="Verdana" w:cs="Times New Roman"/>
                <w:b/>
                <w:bCs/>
                <w:color w:val="000000"/>
                <w:sz w:val="16"/>
                <w:szCs w:val="16"/>
                <w:lang w:val="en-GB" w:eastAsia="en-GB"/>
              </w:rPr>
            </w:pPr>
            <w:r w:rsidRPr="00CD5AAA">
              <w:rPr>
                <w:rFonts w:ascii="Verdana" w:eastAsia="Times New Roman" w:hAnsi="Verdana" w:cs="Times New Roman"/>
                <w:b/>
                <w:bCs/>
                <w:color w:val="000000"/>
                <w:sz w:val="16"/>
                <w:szCs w:val="16"/>
                <w:lang w:val="en-GB" w:eastAsia="en-GB"/>
              </w:rPr>
              <w:t>Assumption</w:t>
            </w:r>
          </w:p>
        </w:tc>
        <w:tc>
          <w:tcPr>
            <w:tcW w:w="2247" w:type="dxa"/>
            <w:tcBorders>
              <w:top w:val="nil"/>
              <w:left w:val="nil"/>
              <w:bottom w:val="single" w:sz="4" w:space="0" w:color="auto"/>
              <w:right w:val="nil"/>
            </w:tcBorders>
            <w:shd w:val="clear" w:color="auto" w:fill="auto"/>
            <w:noWrap/>
            <w:vAlign w:val="center"/>
            <w:hideMark/>
          </w:tcPr>
          <w:p w14:paraId="5637D1D2" w14:textId="77777777" w:rsidR="00CD5AAA" w:rsidRPr="00CD5AAA" w:rsidRDefault="00CD5AAA" w:rsidP="00CD5AAA">
            <w:pPr>
              <w:jc w:val="right"/>
              <w:rPr>
                <w:rFonts w:ascii="Verdana" w:eastAsia="Times New Roman" w:hAnsi="Verdana" w:cs="Times New Roman"/>
                <w:b/>
                <w:bCs/>
                <w:color w:val="000000"/>
                <w:sz w:val="16"/>
                <w:szCs w:val="16"/>
                <w:lang w:val="en-GB" w:eastAsia="en-GB"/>
              </w:rPr>
            </w:pPr>
            <w:r w:rsidRPr="00CD5AAA">
              <w:rPr>
                <w:rFonts w:ascii="Verdana" w:eastAsia="Times New Roman" w:hAnsi="Verdana" w:cs="Times New Roman"/>
                <w:b/>
                <w:bCs/>
                <w:color w:val="000000"/>
                <w:sz w:val="16"/>
                <w:szCs w:val="16"/>
                <w:lang w:val="en-GB" w:eastAsia="en-GB"/>
              </w:rPr>
              <w:t>£000</w:t>
            </w:r>
          </w:p>
        </w:tc>
      </w:tr>
      <w:tr w:rsidR="00CD5AAA" w:rsidRPr="00CD5AAA" w14:paraId="70FBE40C" w14:textId="77777777" w:rsidTr="007C4BA6">
        <w:trPr>
          <w:gridAfter w:val="1"/>
          <w:wAfter w:w="316" w:type="dxa"/>
          <w:trHeight w:val="210"/>
          <w:jc w:val="center"/>
        </w:trPr>
        <w:tc>
          <w:tcPr>
            <w:tcW w:w="2140" w:type="dxa"/>
            <w:tcBorders>
              <w:top w:val="nil"/>
              <w:left w:val="nil"/>
              <w:bottom w:val="nil"/>
              <w:right w:val="nil"/>
            </w:tcBorders>
            <w:shd w:val="clear" w:color="auto" w:fill="auto"/>
            <w:noWrap/>
            <w:vAlign w:val="center"/>
            <w:hideMark/>
          </w:tcPr>
          <w:p w14:paraId="685FF9A7" w14:textId="3659ADD8" w:rsidR="00CD5AAA" w:rsidRPr="00CD5AAA" w:rsidRDefault="00CD5AAA" w:rsidP="00CD5AAA">
            <w:pPr>
              <w:jc w:val="right"/>
              <w:rPr>
                <w:rFonts w:ascii="Verdana" w:eastAsia="Times New Roman" w:hAnsi="Verdana" w:cs="Times New Roman"/>
                <w:color w:val="000000"/>
                <w:sz w:val="16"/>
                <w:szCs w:val="16"/>
                <w:lang w:val="en-GB" w:eastAsia="en-GB"/>
              </w:rPr>
            </w:pPr>
            <w:r>
              <w:rPr>
                <w:rFonts w:ascii="Verdana" w:eastAsia="Times New Roman" w:hAnsi="Verdana" w:cs="Times New Roman"/>
                <w:color w:val="000000"/>
                <w:sz w:val="16"/>
                <w:szCs w:val="16"/>
                <w:lang w:val="en-GB" w:eastAsia="en-GB"/>
              </w:rPr>
              <w:t>27</w:t>
            </w:r>
            <w:r w:rsidRPr="00CD5AAA">
              <w:rPr>
                <w:rFonts w:ascii="Verdana" w:eastAsia="Times New Roman" w:hAnsi="Verdana" w:cs="Times New Roman"/>
                <w:color w:val="000000"/>
                <w:sz w:val="16"/>
                <w:szCs w:val="16"/>
                <w:lang w:val="en-GB" w:eastAsia="en-GB"/>
              </w:rPr>
              <w:t>,000</w:t>
            </w:r>
          </w:p>
        </w:tc>
        <w:tc>
          <w:tcPr>
            <w:tcW w:w="5717" w:type="dxa"/>
            <w:tcBorders>
              <w:top w:val="nil"/>
              <w:left w:val="nil"/>
              <w:bottom w:val="nil"/>
              <w:right w:val="nil"/>
            </w:tcBorders>
            <w:shd w:val="clear" w:color="auto" w:fill="auto"/>
            <w:noWrap/>
            <w:vAlign w:val="center"/>
            <w:hideMark/>
          </w:tcPr>
          <w:p w14:paraId="44F96CBC" w14:textId="77777777" w:rsidR="00CD5AAA" w:rsidRPr="00CD5AAA" w:rsidRDefault="00CD5AAA" w:rsidP="00CD5AAA">
            <w:pPr>
              <w:rPr>
                <w:rFonts w:ascii="Verdana" w:eastAsia="Times New Roman" w:hAnsi="Verdana" w:cs="Times New Roman"/>
                <w:color w:val="000000"/>
                <w:sz w:val="16"/>
                <w:szCs w:val="16"/>
                <w:lang w:val="en-GB" w:eastAsia="en-GB"/>
              </w:rPr>
            </w:pPr>
            <w:r w:rsidRPr="00CD5AAA">
              <w:rPr>
                <w:rFonts w:ascii="Verdana" w:eastAsia="Times New Roman" w:hAnsi="Verdana" w:cs="Times New Roman"/>
                <w:color w:val="000000"/>
                <w:sz w:val="16"/>
                <w:szCs w:val="16"/>
                <w:lang w:val="en-GB" w:eastAsia="en-GB"/>
              </w:rPr>
              <w:t>Rate of increase in salaries</w:t>
            </w:r>
          </w:p>
        </w:tc>
        <w:tc>
          <w:tcPr>
            <w:tcW w:w="2247" w:type="dxa"/>
            <w:tcBorders>
              <w:top w:val="nil"/>
              <w:left w:val="nil"/>
              <w:bottom w:val="nil"/>
              <w:right w:val="nil"/>
            </w:tcBorders>
            <w:shd w:val="clear" w:color="auto" w:fill="auto"/>
            <w:noWrap/>
            <w:vAlign w:val="center"/>
            <w:hideMark/>
          </w:tcPr>
          <w:p w14:paraId="2FCD45CF" w14:textId="77777777" w:rsidR="00CD5AAA" w:rsidRPr="00CD5AAA" w:rsidRDefault="00CD5AAA" w:rsidP="00CD5AAA">
            <w:pPr>
              <w:jc w:val="right"/>
              <w:rPr>
                <w:rFonts w:ascii="Verdana" w:eastAsia="Times New Roman" w:hAnsi="Verdana" w:cs="Times New Roman"/>
                <w:color w:val="000000"/>
                <w:sz w:val="16"/>
                <w:szCs w:val="16"/>
                <w:lang w:val="en-GB" w:eastAsia="en-GB"/>
              </w:rPr>
            </w:pPr>
            <w:r w:rsidRPr="00CD5AAA">
              <w:rPr>
                <w:rFonts w:ascii="Verdana" w:eastAsia="Times New Roman" w:hAnsi="Verdana" w:cs="Times New Roman"/>
                <w:color w:val="000000"/>
                <w:sz w:val="16"/>
                <w:szCs w:val="16"/>
                <w:lang w:val="en-GB" w:eastAsia="en-GB"/>
              </w:rPr>
              <w:t>28,000</w:t>
            </w:r>
          </w:p>
        </w:tc>
      </w:tr>
      <w:tr w:rsidR="00CD5AAA" w:rsidRPr="00CD5AAA" w14:paraId="69DD859A" w14:textId="77777777" w:rsidTr="007C4BA6">
        <w:trPr>
          <w:gridAfter w:val="1"/>
          <w:wAfter w:w="316" w:type="dxa"/>
          <w:trHeight w:val="300"/>
          <w:jc w:val="center"/>
        </w:trPr>
        <w:tc>
          <w:tcPr>
            <w:tcW w:w="2140" w:type="dxa"/>
            <w:tcBorders>
              <w:top w:val="nil"/>
              <w:left w:val="nil"/>
              <w:bottom w:val="nil"/>
              <w:right w:val="nil"/>
            </w:tcBorders>
            <w:shd w:val="clear" w:color="auto" w:fill="auto"/>
            <w:noWrap/>
            <w:vAlign w:val="center"/>
            <w:hideMark/>
          </w:tcPr>
          <w:p w14:paraId="0A689600" w14:textId="21F29829" w:rsidR="00CD5AAA" w:rsidRPr="00CD5AAA" w:rsidRDefault="00CD5AAA" w:rsidP="00CD5AAA">
            <w:pPr>
              <w:jc w:val="right"/>
              <w:rPr>
                <w:rFonts w:ascii="Verdana" w:eastAsia="Times New Roman" w:hAnsi="Verdana" w:cs="Times New Roman"/>
                <w:color w:val="000000"/>
                <w:sz w:val="16"/>
                <w:szCs w:val="16"/>
                <w:lang w:val="en-GB" w:eastAsia="en-GB"/>
              </w:rPr>
            </w:pPr>
            <w:r>
              <w:rPr>
                <w:rFonts w:ascii="Verdana" w:eastAsia="Times New Roman" w:hAnsi="Verdana" w:cs="Times New Roman"/>
                <w:color w:val="000000"/>
                <w:sz w:val="16"/>
                <w:szCs w:val="16"/>
                <w:lang w:val="en-GB" w:eastAsia="en-GB"/>
              </w:rPr>
              <w:t>157</w:t>
            </w:r>
            <w:r w:rsidRPr="00CD5AAA">
              <w:rPr>
                <w:rFonts w:ascii="Verdana" w:eastAsia="Times New Roman" w:hAnsi="Verdana" w:cs="Times New Roman"/>
                <w:color w:val="000000"/>
                <w:sz w:val="16"/>
                <w:szCs w:val="16"/>
                <w:lang w:val="en-GB" w:eastAsia="en-GB"/>
              </w:rPr>
              <w:t>,000</w:t>
            </w:r>
          </w:p>
        </w:tc>
        <w:tc>
          <w:tcPr>
            <w:tcW w:w="5717" w:type="dxa"/>
            <w:tcBorders>
              <w:top w:val="nil"/>
              <w:left w:val="nil"/>
              <w:bottom w:val="nil"/>
              <w:right w:val="nil"/>
            </w:tcBorders>
            <w:shd w:val="clear" w:color="auto" w:fill="auto"/>
            <w:noWrap/>
            <w:vAlign w:val="center"/>
            <w:hideMark/>
          </w:tcPr>
          <w:p w14:paraId="694F385E" w14:textId="77777777" w:rsidR="00CD5AAA" w:rsidRPr="00CD5AAA" w:rsidRDefault="00CD5AAA" w:rsidP="00CD5AAA">
            <w:pPr>
              <w:rPr>
                <w:rFonts w:ascii="Verdana" w:eastAsia="Times New Roman" w:hAnsi="Verdana" w:cs="Times New Roman"/>
                <w:color w:val="000000"/>
                <w:sz w:val="16"/>
                <w:szCs w:val="16"/>
                <w:lang w:val="en-GB" w:eastAsia="en-GB"/>
              </w:rPr>
            </w:pPr>
            <w:r w:rsidRPr="00CD5AAA">
              <w:rPr>
                <w:rFonts w:ascii="Verdana" w:eastAsia="Times New Roman" w:hAnsi="Verdana" w:cs="Times New Roman"/>
                <w:color w:val="000000"/>
                <w:sz w:val="16"/>
                <w:szCs w:val="16"/>
                <w:lang w:val="en-GB" w:eastAsia="en-GB"/>
              </w:rPr>
              <w:t>Rate of increase in pensions</w:t>
            </w:r>
          </w:p>
        </w:tc>
        <w:tc>
          <w:tcPr>
            <w:tcW w:w="2247" w:type="dxa"/>
            <w:tcBorders>
              <w:top w:val="nil"/>
              <w:left w:val="nil"/>
              <w:bottom w:val="nil"/>
              <w:right w:val="nil"/>
            </w:tcBorders>
            <w:shd w:val="clear" w:color="auto" w:fill="auto"/>
            <w:noWrap/>
            <w:vAlign w:val="center"/>
            <w:hideMark/>
          </w:tcPr>
          <w:p w14:paraId="1F325B19" w14:textId="77777777" w:rsidR="00CD5AAA" w:rsidRPr="00CD5AAA" w:rsidRDefault="00CD5AAA" w:rsidP="00CD5AAA">
            <w:pPr>
              <w:jc w:val="right"/>
              <w:rPr>
                <w:rFonts w:ascii="Verdana" w:eastAsia="Times New Roman" w:hAnsi="Verdana" w:cs="Times New Roman"/>
                <w:color w:val="000000"/>
                <w:sz w:val="16"/>
                <w:szCs w:val="16"/>
                <w:lang w:val="en-GB" w:eastAsia="en-GB"/>
              </w:rPr>
            </w:pPr>
            <w:r w:rsidRPr="00CD5AAA">
              <w:rPr>
                <w:rFonts w:ascii="Verdana" w:eastAsia="Times New Roman" w:hAnsi="Verdana" w:cs="Times New Roman"/>
                <w:color w:val="000000"/>
                <w:sz w:val="16"/>
                <w:szCs w:val="16"/>
                <w:lang w:val="en-GB" w:eastAsia="en-GB"/>
              </w:rPr>
              <w:t>189,000</w:t>
            </w:r>
          </w:p>
        </w:tc>
      </w:tr>
      <w:tr w:rsidR="00CD5AAA" w:rsidRPr="00CD5AAA" w14:paraId="749BEB3D" w14:textId="77777777" w:rsidTr="007C4BA6">
        <w:trPr>
          <w:gridAfter w:val="1"/>
          <w:wAfter w:w="316" w:type="dxa"/>
          <w:trHeight w:val="300"/>
          <w:jc w:val="center"/>
        </w:trPr>
        <w:tc>
          <w:tcPr>
            <w:tcW w:w="2140" w:type="dxa"/>
            <w:tcBorders>
              <w:top w:val="nil"/>
              <w:left w:val="nil"/>
              <w:bottom w:val="nil"/>
              <w:right w:val="nil"/>
            </w:tcBorders>
            <w:shd w:val="clear" w:color="auto" w:fill="auto"/>
            <w:noWrap/>
            <w:vAlign w:val="center"/>
            <w:hideMark/>
          </w:tcPr>
          <w:p w14:paraId="725B55A2" w14:textId="09259142" w:rsidR="00CD5AAA" w:rsidRPr="00CD5AAA" w:rsidRDefault="00CD5AAA" w:rsidP="00CD5AAA">
            <w:pPr>
              <w:jc w:val="right"/>
              <w:rPr>
                <w:rFonts w:ascii="Verdana" w:eastAsia="Times New Roman" w:hAnsi="Verdana" w:cs="Times New Roman"/>
                <w:color w:val="000000"/>
                <w:sz w:val="16"/>
                <w:szCs w:val="16"/>
                <w:lang w:val="en-GB" w:eastAsia="en-GB"/>
              </w:rPr>
            </w:pPr>
            <w:r>
              <w:rPr>
                <w:rFonts w:ascii="Verdana" w:eastAsia="Times New Roman" w:hAnsi="Verdana" w:cs="Times New Roman"/>
                <w:color w:val="000000"/>
                <w:sz w:val="16"/>
                <w:szCs w:val="16"/>
                <w:lang w:val="en-GB" w:eastAsia="en-GB"/>
              </w:rPr>
              <w:t>(197</w:t>
            </w:r>
            <w:r w:rsidRPr="00CD5AAA">
              <w:rPr>
                <w:rFonts w:ascii="Verdana" w:eastAsia="Times New Roman" w:hAnsi="Verdana" w:cs="Times New Roman"/>
                <w:color w:val="000000"/>
                <w:sz w:val="16"/>
                <w:szCs w:val="16"/>
                <w:lang w:val="en-GB" w:eastAsia="en-GB"/>
              </w:rPr>
              <w:t>,000)</w:t>
            </w:r>
          </w:p>
        </w:tc>
        <w:tc>
          <w:tcPr>
            <w:tcW w:w="5717" w:type="dxa"/>
            <w:tcBorders>
              <w:top w:val="nil"/>
              <w:left w:val="nil"/>
              <w:bottom w:val="nil"/>
              <w:right w:val="nil"/>
            </w:tcBorders>
            <w:shd w:val="clear" w:color="auto" w:fill="auto"/>
            <w:noWrap/>
            <w:vAlign w:val="center"/>
            <w:hideMark/>
          </w:tcPr>
          <w:p w14:paraId="34F12F3F" w14:textId="77777777" w:rsidR="00CD5AAA" w:rsidRPr="00CD5AAA" w:rsidRDefault="00CD5AAA" w:rsidP="00CD5AAA">
            <w:pPr>
              <w:rPr>
                <w:rFonts w:ascii="Verdana" w:eastAsia="Times New Roman" w:hAnsi="Verdana" w:cs="Times New Roman"/>
                <w:color w:val="000000"/>
                <w:sz w:val="16"/>
                <w:szCs w:val="16"/>
                <w:lang w:val="en-GB" w:eastAsia="en-GB"/>
              </w:rPr>
            </w:pPr>
            <w:r w:rsidRPr="00CD5AAA">
              <w:rPr>
                <w:rFonts w:ascii="Verdana" w:eastAsia="Times New Roman" w:hAnsi="Verdana" w:cs="Times New Roman"/>
                <w:color w:val="000000"/>
                <w:sz w:val="16"/>
                <w:szCs w:val="16"/>
                <w:lang w:val="en-GB" w:eastAsia="en-GB"/>
              </w:rPr>
              <w:t>Rate for discounting scheme liabilities</w:t>
            </w:r>
          </w:p>
        </w:tc>
        <w:tc>
          <w:tcPr>
            <w:tcW w:w="2247" w:type="dxa"/>
            <w:tcBorders>
              <w:top w:val="nil"/>
              <w:left w:val="nil"/>
              <w:bottom w:val="nil"/>
              <w:right w:val="nil"/>
            </w:tcBorders>
            <w:shd w:val="clear" w:color="auto" w:fill="auto"/>
            <w:noWrap/>
            <w:vAlign w:val="center"/>
            <w:hideMark/>
          </w:tcPr>
          <w:p w14:paraId="23AE666B" w14:textId="77777777" w:rsidR="00CD5AAA" w:rsidRPr="00CD5AAA" w:rsidRDefault="00CD5AAA" w:rsidP="00CD5AAA">
            <w:pPr>
              <w:jc w:val="right"/>
              <w:rPr>
                <w:rFonts w:ascii="Verdana" w:eastAsia="Times New Roman" w:hAnsi="Verdana" w:cs="Times New Roman"/>
                <w:color w:val="000000"/>
                <w:sz w:val="16"/>
                <w:szCs w:val="16"/>
                <w:lang w:val="en-GB" w:eastAsia="en-GB"/>
              </w:rPr>
            </w:pPr>
            <w:r w:rsidRPr="00CD5AAA">
              <w:rPr>
                <w:rFonts w:ascii="Verdana" w:eastAsia="Times New Roman" w:hAnsi="Verdana" w:cs="Times New Roman"/>
                <w:color w:val="000000"/>
                <w:sz w:val="16"/>
                <w:szCs w:val="16"/>
                <w:lang w:val="en-GB" w:eastAsia="en-GB"/>
              </w:rPr>
              <w:t>(202,000)</w:t>
            </w:r>
          </w:p>
        </w:tc>
      </w:tr>
      <w:tr w:rsidR="00CD5AAA" w:rsidRPr="00CD5AAA" w14:paraId="1DA60D3D" w14:textId="77777777" w:rsidTr="007C4BA6">
        <w:trPr>
          <w:gridAfter w:val="1"/>
          <w:wAfter w:w="316" w:type="dxa"/>
          <w:trHeight w:val="120"/>
          <w:jc w:val="center"/>
        </w:trPr>
        <w:tc>
          <w:tcPr>
            <w:tcW w:w="2140" w:type="dxa"/>
            <w:tcBorders>
              <w:top w:val="nil"/>
              <w:left w:val="nil"/>
              <w:bottom w:val="nil"/>
              <w:right w:val="nil"/>
            </w:tcBorders>
            <w:shd w:val="clear" w:color="auto" w:fill="auto"/>
            <w:noWrap/>
            <w:vAlign w:val="center"/>
            <w:hideMark/>
          </w:tcPr>
          <w:p w14:paraId="1C9C713B" w14:textId="77777777" w:rsidR="00CD5AAA" w:rsidRPr="00CD5AAA" w:rsidRDefault="00CD5AAA" w:rsidP="00CD5AAA">
            <w:pPr>
              <w:rPr>
                <w:rFonts w:ascii="Times New Roman" w:eastAsia="Times New Roman" w:hAnsi="Times New Roman" w:cs="Times New Roman"/>
                <w:sz w:val="20"/>
                <w:szCs w:val="20"/>
                <w:lang w:val="en-GB" w:eastAsia="en-GB"/>
              </w:rPr>
            </w:pPr>
          </w:p>
        </w:tc>
        <w:tc>
          <w:tcPr>
            <w:tcW w:w="5717" w:type="dxa"/>
            <w:tcBorders>
              <w:top w:val="nil"/>
              <w:left w:val="nil"/>
              <w:bottom w:val="nil"/>
              <w:right w:val="nil"/>
            </w:tcBorders>
            <w:shd w:val="clear" w:color="auto" w:fill="auto"/>
            <w:noWrap/>
            <w:vAlign w:val="center"/>
            <w:hideMark/>
          </w:tcPr>
          <w:p w14:paraId="38B0B7D4" w14:textId="77777777" w:rsidR="00CD5AAA" w:rsidRPr="00CD5AAA" w:rsidRDefault="00CD5AAA" w:rsidP="00CD5AAA">
            <w:pPr>
              <w:jc w:val="right"/>
              <w:rPr>
                <w:rFonts w:ascii="Times New Roman" w:eastAsia="Times New Roman" w:hAnsi="Times New Roman" w:cs="Times New Roman"/>
                <w:sz w:val="20"/>
                <w:szCs w:val="20"/>
                <w:lang w:val="en-GB" w:eastAsia="en-GB"/>
              </w:rPr>
            </w:pPr>
          </w:p>
        </w:tc>
        <w:tc>
          <w:tcPr>
            <w:tcW w:w="2247" w:type="dxa"/>
            <w:tcBorders>
              <w:top w:val="nil"/>
              <w:left w:val="nil"/>
              <w:bottom w:val="nil"/>
              <w:right w:val="nil"/>
            </w:tcBorders>
            <w:shd w:val="clear" w:color="auto" w:fill="auto"/>
            <w:noWrap/>
            <w:vAlign w:val="center"/>
            <w:hideMark/>
          </w:tcPr>
          <w:p w14:paraId="6E892039" w14:textId="77777777" w:rsidR="00CD5AAA" w:rsidRPr="00CD5AAA" w:rsidRDefault="00CD5AAA" w:rsidP="00CD5AAA">
            <w:pPr>
              <w:rPr>
                <w:rFonts w:ascii="Times New Roman" w:eastAsia="Times New Roman" w:hAnsi="Times New Roman" w:cs="Times New Roman"/>
                <w:sz w:val="20"/>
                <w:szCs w:val="20"/>
                <w:lang w:val="en-GB" w:eastAsia="en-GB"/>
              </w:rPr>
            </w:pPr>
          </w:p>
        </w:tc>
      </w:tr>
      <w:tr w:rsidR="00CD5AAA" w:rsidRPr="00CD5AAA" w14:paraId="1C604001" w14:textId="77777777" w:rsidTr="007C4BA6">
        <w:trPr>
          <w:gridAfter w:val="1"/>
          <w:wAfter w:w="316" w:type="dxa"/>
          <w:trHeight w:val="420"/>
          <w:jc w:val="center"/>
        </w:trPr>
        <w:tc>
          <w:tcPr>
            <w:tcW w:w="2140" w:type="dxa"/>
            <w:tcBorders>
              <w:top w:val="nil"/>
              <w:left w:val="nil"/>
              <w:bottom w:val="nil"/>
              <w:right w:val="nil"/>
            </w:tcBorders>
            <w:shd w:val="clear" w:color="auto" w:fill="auto"/>
            <w:vAlign w:val="center"/>
            <w:hideMark/>
          </w:tcPr>
          <w:p w14:paraId="0656B19C" w14:textId="77777777" w:rsidR="00CD5AAA" w:rsidRPr="00CD5AAA" w:rsidRDefault="00CD5AAA" w:rsidP="00CD5AAA">
            <w:pPr>
              <w:jc w:val="center"/>
              <w:rPr>
                <w:rFonts w:ascii="Verdana" w:eastAsia="Times New Roman" w:hAnsi="Verdana" w:cs="Times New Roman"/>
                <w:b/>
                <w:bCs/>
                <w:color w:val="000000"/>
                <w:sz w:val="16"/>
                <w:szCs w:val="16"/>
                <w:lang w:val="en-GB" w:eastAsia="en-GB"/>
              </w:rPr>
            </w:pPr>
            <w:r w:rsidRPr="00CD5AAA">
              <w:rPr>
                <w:rFonts w:ascii="Verdana" w:eastAsia="Times New Roman" w:hAnsi="Verdana" w:cs="Times New Roman"/>
                <w:b/>
                <w:bCs/>
                <w:color w:val="000000"/>
                <w:sz w:val="16"/>
                <w:szCs w:val="16"/>
                <w:lang w:val="en-GB" w:eastAsia="en-GB"/>
              </w:rPr>
              <w:t xml:space="preserve">Increase </w:t>
            </w:r>
            <w:r w:rsidRPr="00CD5AAA">
              <w:rPr>
                <w:rFonts w:ascii="Verdana" w:eastAsia="Times New Roman" w:hAnsi="Verdana" w:cs="Times New Roman"/>
                <w:b/>
                <w:bCs/>
                <w:color w:val="000000"/>
                <w:sz w:val="16"/>
                <w:szCs w:val="16"/>
                <w:lang w:val="en-GB" w:eastAsia="en-GB"/>
              </w:rPr>
              <w:br/>
              <w:t>by 1 year</w:t>
            </w:r>
          </w:p>
        </w:tc>
        <w:tc>
          <w:tcPr>
            <w:tcW w:w="5717" w:type="dxa"/>
            <w:tcBorders>
              <w:top w:val="nil"/>
              <w:left w:val="nil"/>
              <w:bottom w:val="nil"/>
              <w:right w:val="nil"/>
            </w:tcBorders>
            <w:shd w:val="clear" w:color="auto" w:fill="auto"/>
            <w:noWrap/>
            <w:vAlign w:val="center"/>
            <w:hideMark/>
          </w:tcPr>
          <w:p w14:paraId="46E855FC" w14:textId="77777777" w:rsidR="00CD5AAA" w:rsidRPr="00CD5AAA" w:rsidRDefault="00CD5AAA" w:rsidP="00CD5AAA">
            <w:pPr>
              <w:jc w:val="center"/>
              <w:rPr>
                <w:rFonts w:ascii="Verdana" w:eastAsia="Times New Roman" w:hAnsi="Verdana" w:cs="Times New Roman"/>
                <w:b/>
                <w:bCs/>
                <w:color w:val="000000"/>
                <w:sz w:val="16"/>
                <w:szCs w:val="16"/>
                <w:lang w:val="en-GB" w:eastAsia="en-GB"/>
              </w:rPr>
            </w:pPr>
            <w:r w:rsidRPr="00CD5AAA">
              <w:rPr>
                <w:rFonts w:ascii="Verdana" w:eastAsia="Times New Roman" w:hAnsi="Verdana" w:cs="Times New Roman"/>
                <w:b/>
                <w:bCs/>
                <w:color w:val="000000"/>
                <w:sz w:val="16"/>
                <w:szCs w:val="16"/>
                <w:lang w:val="en-GB" w:eastAsia="en-GB"/>
              </w:rPr>
              <w:t>Police Officers</w:t>
            </w:r>
          </w:p>
        </w:tc>
        <w:tc>
          <w:tcPr>
            <w:tcW w:w="2247" w:type="dxa"/>
            <w:tcBorders>
              <w:top w:val="nil"/>
              <w:left w:val="nil"/>
              <w:bottom w:val="nil"/>
              <w:right w:val="nil"/>
            </w:tcBorders>
            <w:shd w:val="clear" w:color="auto" w:fill="auto"/>
            <w:vAlign w:val="center"/>
            <w:hideMark/>
          </w:tcPr>
          <w:p w14:paraId="5A3773BF" w14:textId="77777777" w:rsidR="00CD5AAA" w:rsidRPr="00CD5AAA" w:rsidRDefault="00CD5AAA" w:rsidP="00CD5AAA">
            <w:pPr>
              <w:jc w:val="center"/>
              <w:rPr>
                <w:rFonts w:ascii="Verdana" w:eastAsia="Times New Roman" w:hAnsi="Verdana" w:cs="Times New Roman"/>
                <w:b/>
                <w:bCs/>
                <w:color w:val="000000"/>
                <w:sz w:val="16"/>
                <w:szCs w:val="16"/>
                <w:lang w:val="en-GB" w:eastAsia="en-GB"/>
              </w:rPr>
            </w:pPr>
            <w:r w:rsidRPr="00CD5AAA">
              <w:rPr>
                <w:rFonts w:ascii="Verdana" w:eastAsia="Times New Roman" w:hAnsi="Verdana" w:cs="Times New Roman"/>
                <w:b/>
                <w:bCs/>
                <w:color w:val="000000"/>
                <w:sz w:val="16"/>
                <w:szCs w:val="16"/>
                <w:lang w:val="en-GB" w:eastAsia="en-GB"/>
              </w:rPr>
              <w:t xml:space="preserve">Decrease </w:t>
            </w:r>
            <w:r w:rsidRPr="00CD5AAA">
              <w:rPr>
                <w:rFonts w:ascii="Verdana" w:eastAsia="Times New Roman" w:hAnsi="Verdana" w:cs="Times New Roman"/>
                <w:b/>
                <w:bCs/>
                <w:color w:val="000000"/>
                <w:sz w:val="16"/>
                <w:szCs w:val="16"/>
                <w:lang w:val="en-GB" w:eastAsia="en-GB"/>
              </w:rPr>
              <w:br/>
              <w:t>by 1 year</w:t>
            </w:r>
          </w:p>
        </w:tc>
      </w:tr>
      <w:tr w:rsidR="00CD5AAA" w:rsidRPr="00CD5AAA" w14:paraId="051D8E05" w14:textId="77777777" w:rsidTr="007C4BA6">
        <w:trPr>
          <w:gridAfter w:val="1"/>
          <w:wAfter w:w="316" w:type="dxa"/>
          <w:trHeight w:val="300"/>
          <w:jc w:val="center"/>
        </w:trPr>
        <w:tc>
          <w:tcPr>
            <w:tcW w:w="2140" w:type="dxa"/>
            <w:tcBorders>
              <w:top w:val="nil"/>
              <w:left w:val="nil"/>
              <w:bottom w:val="single" w:sz="4" w:space="0" w:color="auto"/>
              <w:right w:val="nil"/>
            </w:tcBorders>
            <w:shd w:val="clear" w:color="auto" w:fill="auto"/>
            <w:noWrap/>
            <w:vAlign w:val="center"/>
            <w:hideMark/>
          </w:tcPr>
          <w:p w14:paraId="33842322" w14:textId="77777777" w:rsidR="00CD5AAA" w:rsidRPr="00CD5AAA" w:rsidRDefault="00CD5AAA" w:rsidP="00CD5AAA">
            <w:pPr>
              <w:jc w:val="right"/>
              <w:rPr>
                <w:rFonts w:ascii="Verdana" w:eastAsia="Times New Roman" w:hAnsi="Verdana" w:cs="Times New Roman"/>
                <w:b/>
                <w:bCs/>
                <w:color w:val="000000"/>
                <w:sz w:val="16"/>
                <w:szCs w:val="16"/>
                <w:lang w:val="en-GB" w:eastAsia="en-GB"/>
              </w:rPr>
            </w:pPr>
            <w:r w:rsidRPr="00CD5AAA">
              <w:rPr>
                <w:rFonts w:ascii="Verdana" w:eastAsia="Times New Roman" w:hAnsi="Verdana" w:cs="Times New Roman"/>
                <w:b/>
                <w:bCs/>
                <w:color w:val="000000"/>
                <w:sz w:val="16"/>
                <w:szCs w:val="16"/>
                <w:lang w:val="en-GB" w:eastAsia="en-GB"/>
              </w:rPr>
              <w:t>£000</w:t>
            </w:r>
          </w:p>
        </w:tc>
        <w:tc>
          <w:tcPr>
            <w:tcW w:w="5717" w:type="dxa"/>
            <w:tcBorders>
              <w:top w:val="nil"/>
              <w:left w:val="nil"/>
              <w:bottom w:val="single" w:sz="4" w:space="0" w:color="auto"/>
              <w:right w:val="nil"/>
            </w:tcBorders>
            <w:shd w:val="clear" w:color="auto" w:fill="auto"/>
            <w:noWrap/>
            <w:vAlign w:val="center"/>
            <w:hideMark/>
          </w:tcPr>
          <w:p w14:paraId="6F448EBD" w14:textId="77777777" w:rsidR="00CD5AAA" w:rsidRPr="00CD5AAA" w:rsidRDefault="00CD5AAA" w:rsidP="00CD5AAA">
            <w:pPr>
              <w:rPr>
                <w:rFonts w:ascii="Verdana" w:eastAsia="Times New Roman" w:hAnsi="Verdana" w:cs="Times New Roman"/>
                <w:b/>
                <w:bCs/>
                <w:color w:val="000000"/>
                <w:sz w:val="16"/>
                <w:szCs w:val="16"/>
                <w:lang w:val="en-GB" w:eastAsia="en-GB"/>
              </w:rPr>
            </w:pPr>
            <w:r w:rsidRPr="00CD5AAA">
              <w:rPr>
                <w:rFonts w:ascii="Verdana" w:eastAsia="Times New Roman" w:hAnsi="Verdana" w:cs="Times New Roman"/>
                <w:b/>
                <w:bCs/>
                <w:color w:val="000000"/>
                <w:sz w:val="16"/>
                <w:szCs w:val="16"/>
                <w:lang w:val="en-GB" w:eastAsia="en-GB"/>
              </w:rPr>
              <w:t>Assumption</w:t>
            </w:r>
          </w:p>
        </w:tc>
        <w:tc>
          <w:tcPr>
            <w:tcW w:w="2247" w:type="dxa"/>
            <w:tcBorders>
              <w:top w:val="nil"/>
              <w:left w:val="nil"/>
              <w:bottom w:val="single" w:sz="4" w:space="0" w:color="auto"/>
              <w:right w:val="nil"/>
            </w:tcBorders>
            <w:shd w:val="clear" w:color="auto" w:fill="auto"/>
            <w:noWrap/>
            <w:vAlign w:val="center"/>
            <w:hideMark/>
          </w:tcPr>
          <w:p w14:paraId="3424DC20" w14:textId="77777777" w:rsidR="00CD5AAA" w:rsidRPr="00CD5AAA" w:rsidRDefault="00CD5AAA" w:rsidP="00CD5AAA">
            <w:pPr>
              <w:jc w:val="right"/>
              <w:rPr>
                <w:rFonts w:ascii="Verdana" w:eastAsia="Times New Roman" w:hAnsi="Verdana" w:cs="Times New Roman"/>
                <w:b/>
                <w:bCs/>
                <w:color w:val="000000"/>
                <w:sz w:val="16"/>
                <w:szCs w:val="16"/>
                <w:lang w:val="en-GB" w:eastAsia="en-GB"/>
              </w:rPr>
            </w:pPr>
            <w:r w:rsidRPr="00CD5AAA">
              <w:rPr>
                <w:rFonts w:ascii="Verdana" w:eastAsia="Times New Roman" w:hAnsi="Verdana" w:cs="Times New Roman"/>
                <w:b/>
                <w:bCs/>
                <w:color w:val="000000"/>
                <w:sz w:val="16"/>
                <w:szCs w:val="16"/>
                <w:lang w:val="en-GB" w:eastAsia="en-GB"/>
              </w:rPr>
              <w:t>£000</w:t>
            </w:r>
          </w:p>
        </w:tc>
      </w:tr>
      <w:tr w:rsidR="00CD5AAA" w:rsidRPr="00CD5AAA" w14:paraId="14783EE1" w14:textId="77777777" w:rsidTr="007C4BA6">
        <w:trPr>
          <w:gridAfter w:val="1"/>
          <w:wAfter w:w="316" w:type="dxa"/>
          <w:trHeight w:val="210"/>
          <w:jc w:val="center"/>
        </w:trPr>
        <w:tc>
          <w:tcPr>
            <w:tcW w:w="2140" w:type="dxa"/>
            <w:tcBorders>
              <w:top w:val="nil"/>
              <w:left w:val="nil"/>
              <w:bottom w:val="nil"/>
              <w:right w:val="nil"/>
            </w:tcBorders>
            <w:shd w:val="clear" w:color="auto" w:fill="auto"/>
            <w:noWrap/>
            <w:vAlign w:val="center"/>
            <w:hideMark/>
          </w:tcPr>
          <w:p w14:paraId="59DE19DA" w14:textId="66FDFFAA" w:rsidR="00CD5AAA" w:rsidRPr="00CD5AAA" w:rsidRDefault="00CD5AAA" w:rsidP="00CD5AAA">
            <w:pPr>
              <w:jc w:val="right"/>
              <w:rPr>
                <w:rFonts w:ascii="Verdana" w:eastAsia="Times New Roman" w:hAnsi="Verdana" w:cs="Times New Roman"/>
                <w:color w:val="000000"/>
                <w:sz w:val="16"/>
                <w:szCs w:val="16"/>
                <w:lang w:val="en-GB" w:eastAsia="en-GB"/>
              </w:rPr>
            </w:pPr>
            <w:r>
              <w:rPr>
                <w:rFonts w:ascii="Verdana" w:eastAsia="Times New Roman" w:hAnsi="Verdana" w:cs="Times New Roman"/>
                <w:color w:val="000000"/>
                <w:sz w:val="16"/>
                <w:szCs w:val="16"/>
                <w:lang w:val="en-GB" w:eastAsia="en-GB"/>
              </w:rPr>
              <w:t>54</w:t>
            </w:r>
            <w:r w:rsidRPr="00CD5AAA">
              <w:rPr>
                <w:rFonts w:ascii="Verdana" w:eastAsia="Times New Roman" w:hAnsi="Verdana" w:cs="Times New Roman"/>
                <w:color w:val="000000"/>
                <w:sz w:val="16"/>
                <w:szCs w:val="16"/>
                <w:lang w:val="en-GB" w:eastAsia="en-GB"/>
              </w:rPr>
              <w:t>,000</w:t>
            </w:r>
          </w:p>
        </w:tc>
        <w:tc>
          <w:tcPr>
            <w:tcW w:w="5717" w:type="dxa"/>
            <w:tcBorders>
              <w:top w:val="nil"/>
              <w:left w:val="nil"/>
              <w:bottom w:val="nil"/>
              <w:right w:val="nil"/>
            </w:tcBorders>
            <w:shd w:val="clear" w:color="auto" w:fill="auto"/>
            <w:noWrap/>
            <w:vAlign w:val="center"/>
            <w:hideMark/>
          </w:tcPr>
          <w:p w14:paraId="38929756" w14:textId="77777777" w:rsidR="00CD5AAA" w:rsidRPr="00CD5AAA" w:rsidRDefault="00CD5AAA" w:rsidP="00CD5AAA">
            <w:pPr>
              <w:rPr>
                <w:rFonts w:ascii="Verdana" w:eastAsia="Times New Roman" w:hAnsi="Verdana" w:cs="Times New Roman"/>
                <w:color w:val="000000"/>
                <w:sz w:val="16"/>
                <w:szCs w:val="16"/>
                <w:lang w:val="en-GB" w:eastAsia="en-GB"/>
              </w:rPr>
            </w:pPr>
            <w:r w:rsidRPr="00CD5AAA">
              <w:rPr>
                <w:rFonts w:ascii="Verdana" w:eastAsia="Times New Roman" w:hAnsi="Verdana" w:cs="Times New Roman"/>
                <w:color w:val="000000"/>
                <w:sz w:val="16"/>
                <w:szCs w:val="16"/>
                <w:lang w:val="en-GB" w:eastAsia="en-GB"/>
              </w:rPr>
              <w:t>Longevity</w:t>
            </w:r>
          </w:p>
        </w:tc>
        <w:tc>
          <w:tcPr>
            <w:tcW w:w="2247" w:type="dxa"/>
            <w:tcBorders>
              <w:top w:val="nil"/>
              <w:left w:val="nil"/>
              <w:bottom w:val="nil"/>
              <w:right w:val="nil"/>
            </w:tcBorders>
            <w:shd w:val="clear" w:color="auto" w:fill="auto"/>
            <w:noWrap/>
            <w:vAlign w:val="center"/>
            <w:hideMark/>
          </w:tcPr>
          <w:p w14:paraId="6AC4A198" w14:textId="77777777" w:rsidR="00CD5AAA" w:rsidRPr="00CD5AAA" w:rsidRDefault="00CD5AAA" w:rsidP="00CD5AAA">
            <w:pPr>
              <w:jc w:val="right"/>
              <w:rPr>
                <w:rFonts w:ascii="Verdana" w:eastAsia="Times New Roman" w:hAnsi="Verdana" w:cs="Times New Roman"/>
                <w:color w:val="000000"/>
                <w:sz w:val="16"/>
                <w:szCs w:val="16"/>
                <w:lang w:val="en-GB" w:eastAsia="en-GB"/>
              </w:rPr>
            </w:pPr>
            <w:r w:rsidRPr="00CD5AAA">
              <w:rPr>
                <w:rFonts w:ascii="Verdana" w:eastAsia="Times New Roman" w:hAnsi="Verdana" w:cs="Times New Roman"/>
                <w:color w:val="000000"/>
                <w:sz w:val="16"/>
                <w:szCs w:val="16"/>
                <w:lang w:val="en-GB" w:eastAsia="en-GB"/>
              </w:rPr>
              <w:t>68,000</w:t>
            </w:r>
          </w:p>
        </w:tc>
      </w:tr>
    </w:tbl>
    <w:p w14:paraId="00D120FD" w14:textId="77777777" w:rsidR="00CD5AAA" w:rsidRDefault="00CD5AAA">
      <w:pPr>
        <w:pStyle w:val="T1TableStyle"/>
        <w:rPr>
          <w:rFonts w:ascii="Verdana" w:hAnsi="Verdana"/>
          <w:highlight w:val="yellow"/>
          <w:lang w:val="en-GB"/>
        </w:rPr>
      </w:pPr>
    </w:p>
    <w:p w14:paraId="71EB2B40" w14:textId="77777777" w:rsidR="00CD5AAA" w:rsidRPr="00CD5AAA" w:rsidRDefault="00CD5AAA">
      <w:pPr>
        <w:pStyle w:val="T1TableStyle"/>
        <w:rPr>
          <w:rFonts w:ascii="Verdana" w:hAnsi="Verdana"/>
          <w:lang w:val="en-GB"/>
        </w:rPr>
      </w:pPr>
    </w:p>
    <w:p w14:paraId="091AD012" w14:textId="0B0025C6" w:rsidR="00CA25CE" w:rsidRPr="00CD5AAA" w:rsidRDefault="00CA25CE">
      <w:pPr>
        <w:rPr>
          <w:rFonts w:ascii="Verdana" w:eastAsia="Times New Roman" w:hAnsi="Verdana"/>
          <w:b/>
          <w:sz w:val="16"/>
          <w:szCs w:val="16"/>
          <w:lang w:val="en-GB"/>
        </w:rPr>
      </w:pPr>
    </w:p>
    <w:p w14:paraId="33230124" w14:textId="77777777" w:rsidR="00F227D9" w:rsidRPr="00CD5AAA" w:rsidRDefault="00F227D9" w:rsidP="007C11F3">
      <w:pPr>
        <w:pStyle w:val="Normal0"/>
        <w:spacing w:after="160" w:line="259" w:lineRule="auto"/>
        <w:jc w:val="both"/>
        <w:rPr>
          <w:rFonts w:ascii="Verdana" w:hAnsi="Verdana"/>
          <w:sz w:val="22"/>
          <w:szCs w:val="22"/>
          <w:lang w:val="en-GB"/>
        </w:rPr>
      </w:pPr>
      <w:r w:rsidRPr="00CD5AAA">
        <w:rPr>
          <w:rFonts w:ascii="Verdana" w:eastAsia="Calibri" w:hAnsi="Verdana" w:cs="Arial"/>
          <w:sz w:val="22"/>
          <w:szCs w:val="22"/>
          <w:lang w:val="en-GB"/>
        </w:rPr>
        <w:t>The expected return on scheme assets is determined by considering the expected returns available on the assets underlying the current investment policy.  Expected yields on fixed interest investments are based on gross redemption yields as at the Balance Sheet date.  Expected returns on equity investments reflect long-term real rates of return experienced in the respective markets.</w:t>
      </w:r>
    </w:p>
    <w:p w14:paraId="60EF9732" w14:textId="77777777" w:rsidR="00F227D9" w:rsidRPr="00CD5AAA" w:rsidRDefault="00F227D9" w:rsidP="007C11F3">
      <w:pPr>
        <w:pStyle w:val="Normal0"/>
        <w:spacing w:after="160" w:line="259" w:lineRule="auto"/>
        <w:jc w:val="both"/>
        <w:rPr>
          <w:rFonts w:ascii="Verdana" w:hAnsi="Verdana"/>
          <w:sz w:val="22"/>
          <w:szCs w:val="22"/>
          <w:lang w:val="en-GB"/>
        </w:rPr>
      </w:pPr>
      <w:r w:rsidRPr="00CD5AAA">
        <w:rPr>
          <w:rFonts w:ascii="Verdana" w:eastAsia="Calibri" w:hAnsi="Verdana" w:cs="Arial"/>
          <w:sz w:val="22"/>
          <w:szCs w:val="22"/>
          <w:lang w:val="en-GB"/>
        </w:rPr>
        <w:t>The cost of retirement benefits are recognised in the reported cost of services when they are earned by employees, rather than when the benefits are eventually paid as pensions. However, the charge required against council tax is based on the cash payable in the year, so the real cost of post-employment/retirement benefits is reversed out of the General Fund via the Movement in Reserves Statement.</w:t>
      </w:r>
    </w:p>
    <w:p w14:paraId="62884E93" w14:textId="09C7D706" w:rsidR="00F227D9" w:rsidRPr="00CD5AAA" w:rsidRDefault="00F227D9" w:rsidP="007C11F3">
      <w:pPr>
        <w:pStyle w:val="Normal0"/>
        <w:spacing w:after="160" w:line="259" w:lineRule="auto"/>
        <w:jc w:val="both"/>
        <w:rPr>
          <w:rFonts w:ascii="Verdana" w:hAnsi="Verdana"/>
          <w:sz w:val="22"/>
          <w:szCs w:val="22"/>
          <w:lang w:val="en-GB"/>
        </w:rPr>
      </w:pPr>
      <w:r w:rsidRPr="00CD5AAA">
        <w:rPr>
          <w:rFonts w:ascii="Verdana" w:eastAsia="Calibri" w:hAnsi="Verdana" w:cs="Arial"/>
          <w:sz w:val="22"/>
          <w:szCs w:val="22"/>
          <w:lang w:val="en-GB"/>
        </w:rPr>
        <w:t xml:space="preserve">The liabilities show the underlying commitments that the </w:t>
      </w:r>
      <w:r w:rsidR="001022EE" w:rsidRPr="00CD5AAA">
        <w:rPr>
          <w:rFonts w:ascii="Verdana" w:eastAsia="Calibri" w:hAnsi="Verdana" w:cs="Arial"/>
          <w:sz w:val="22"/>
          <w:szCs w:val="22"/>
          <w:lang w:val="en-GB"/>
        </w:rPr>
        <w:t xml:space="preserve">Chief Constable </w:t>
      </w:r>
      <w:r w:rsidRPr="00CD5AAA">
        <w:rPr>
          <w:rFonts w:ascii="Verdana" w:eastAsia="Calibri" w:hAnsi="Verdana" w:cs="Arial"/>
          <w:sz w:val="22"/>
          <w:szCs w:val="22"/>
          <w:lang w:val="en-GB"/>
        </w:rPr>
        <w:t>has in the long run to pay retirement benefits.  The total liability of £2</w:t>
      </w:r>
      <w:r w:rsidR="00CD5AAA" w:rsidRPr="00CD5AAA">
        <w:rPr>
          <w:rFonts w:ascii="Verdana" w:eastAsia="Calibri" w:hAnsi="Verdana" w:cs="Arial"/>
          <w:sz w:val="22"/>
          <w:szCs w:val="22"/>
          <w:lang w:val="en-GB"/>
        </w:rPr>
        <w:t>.174</w:t>
      </w:r>
      <w:r w:rsidRPr="00CD5AAA">
        <w:rPr>
          <w:rFonts w:ascii="Verdana" w:eastAsia="Calibri" w:hAnsi="Verdana" w:cs="Arial"/>
          <w:sz w:val="22"/>
          <w:szCs w:val="22"/>
          <w:lang w:val="en-GB"/>
        </w:rPr>
        <w:t xml:space="preserve">m has a substantial impact on the net worth of the </w:t>
      </w:r>
      <w:r w:rsidR="001022EE" w:rsidRPr="00CD5AAA">
        <w:rPr>
          <w:rFonts w:ascii="Verdana" w:eastAsia="Calibri" w:hAnsi="Verdana" w:cs="Arial"/>
          <w:sz w:val="22"/>
          <w:szCs w:val="22"/>
          <w:lang w:val="en-GB"/>
        </w:rPr>
        <w:t xml:space="preserve">Chief Constable </w:t>
      </w:r>
      <w:r w:rsidRPr="00CD5AAA">
        <w:rPr>
          <w:rFonts w:ascii="Verdana" w:eastAsia="Calibri" w:hAnsi="Verdana" w:cs="Arial"/>
          <w:sz w:val="22"/>
          <w:szCs w:val="22"/>
          <w:lang w:val="en-GB"/>
        </w:rPr>
        <w:t>as recorded in the Balance Sheet, resulting in a negative overall balance of £</w:t>
      </w:r>
      <w:r w:rsidR="001022EE" w:rsidRPr="00CD5AAA">
        <w:rPr>
          <w:rFonts w:ascii="Verdana" w:eastAsia="Calibri" w:hAnsi="Verdana" w:cs="Arial"/>
          <w:sz w:val="22"/>
          <w:szCs w:val="22"/>
          <w:lang w:val="en-GB"/>
        </w:rPr>
        <w:t>2</w:t>
      </w:r>
      <w:r w:rsidR="00CD5AAA" w:rsidRPr="00CD5AAA">
        <w:rPr>
          <w:rFonts w:ascii="Verdana" w:eastAsia="Calibri" w:hAnsi="Verdana" w:cs="Arial"/>
          <w:sz w:val="22"/>
          <w:szCs w:val="22"/>
          <w:lang w:val="en-GB"/>
        </w:rPr>
        <w:t>.176</w:t>
      </w:r>
      <w:r w:rsidRPr="00CD5AAA">
        <w:rPr>
          <w:rFonts w:ascii="Verdana" w:eastAsia="Calibri" w:hAnsi="Verdana" w:cs="Arial"/>
          <w:sz w:val="22"/>
          <w:szCs w:val="22"/>
          <w:lang w:val="en-GB"/>
        </w:rPr>
        <w:t>m. However statutory arrangements for funding the deficit mean that the financial position of the Group remains healthy.</w:t>
      </w:r>
    </w:p>
    <w:p w14:paraId="223B4F72" w14:textId="77777777" w:rsidR="00F227D9" w:rsidRPr="00CD5AAA" w:rsidRDefault="00F227D9" w:rsidP="007C11F3">
      <w:pPr>
        <w:pStyle w:val="Normal0"/>
        <w:spacing w:after="160" w:line="259" w:lineRule="auto"/>
        <w:jc w:val="both"/>
        <w:rPr>
          <w:rFonts w:ascii="Verdana" w:hAnsi="Verdana"/>
          <w:sz w:val="22"/>
          <w:szCs w:val="22"/>
          <w:lang w:val="en-GB"/>
        </w:rPr>
      </w:pPr>
      <w:r w:rsidRPr="00CD5AAA">
        <w:rPr>
          <w:rFonts w:ascii="Verdana" w:eastAsia="Calibri" w:hAnsi="Verdana" w:cs="Arial"/>
          <w:sz w:val="22"/>
          <w:szCs w:val="22"/>
          <w:lang w:val="en-GB"/>
        </w:rPr>
        <w:t>The deficit on the Local Government Pension Scheme will be made good by increased contributions over the remaining working life of employees, as assessed by the Scheme actuary.</w:t>
      </w:r>
    </w:p>
    <w:p w14:paraId="58638D6C" w14:textId="77777777" w:rsidR="00F227D9" w:rsidRPr="00CD5AAA" w:rsidRDefault="00F227D9" w:rsidP="007C11F3">
      <w:pPr>
        <w:pStyle w:val="Normal0"/>
        <w:spacing w:after="160" w:line="259" w:lineRule="auto"/>
        <w:jc w:val="both"/>
        <w:rPr>
          <w:rFonts w:ascii="Verdana" w:eastAsia="Calibri" w:hAnsi="Verdana" w:cs="Arial"/>
          <w:sz w:val="22"/>
          <w:szCs w:val="22"/>
          <w:lang w:val="en-GB"/>
        </w:rPr>
      </w:pPr>
      <w:r w:rsidRPr="00CD5AAA">
        <w:rPr>
          <w:rFonts w:ascii="Verdana" w:eastAsia="Calibri" w:hAnsi="Verdana" w:cs="Arial"/>
          <w:sz w:val="22"/>
          <w:szCs w:val="22"/>
          <w:lang w:val="en-GB"/>
        </w:rPr>
        <w:t>Finance is only required to be raised to cover police pensions when the pensions are actually paid and is restricted to the level of employers’ contribution payable by the Chief Constable and funded by the PCC.</w:t>
      </w:r>
    </w:p>
    <w:p w14:paraId="5290AEA9" w14:textId="77777777" w:rsidR="00CD5AAA" w:rsidRDefault="00CD5AAA" w:rsidP="000F4F3E">
      <w:pPr>
        <w:pStyle w:val="Heading1"/>
        <w:spacing w:after="240"/>
        <w:rPr>
          <w:lang w:val="pt-BR"/>
        </w:rPr>
      </w:pPr>
    </w:p>
    <w:p w14:paraId="3FBA65C9" w14:textId="77777777" w:rsidR="000F4F3E" w:rsidRPr="000F4F3E" w:rsidRDefault="000F4F3E" w:rsidP="000F4F3E">
      <w:pPr>
        <w:pStyle w:val="Heading1"/>
        <w:spacing w:after="240"/>
        <w:rPr>
          <w:lang w:val="pt-BR"/>
        </w:rPr>
      </w:pPr>
      <w:bookmarkStart w:id="26" w:name="_Toc77095577"/>
      <w:r w:rsidRPr="000F4F3E">
        <w:rPr>
          <w:lang w:val="pt-BR"/>
        </w:rPr>
        <w:t>Note 18 - Contingent Liabilities</w:t>
      </w:r>
      <w:bookmarkEnd w:id="26"/>
      <w:r w:rsidRPr="000F4F3E">
        <w:rPr>
          <w:lang w:val="pt-BR"/>
        </w:rPr>
        <w:t xml:space="preserve"> </w:t>
      </w:r>
    </w:p>
    <w:p w14:paraId="6CDF939A" w14:textId="77777777" w:rsidR="00F227D9" w:rsidRPr="000F4F3E" w:rsidRDefault="00F227D9">
      <w:pPr>
        <w:pStyle w:val="Normal0"/>
        <w:spacing w:after="160"/>
        <w:rPr>
          <w:rFonts w:ascii="Verdana" w:eastAsia="Verdana" w:hAnsi="Verdana" w:cs="Verdana"/>
          <w:sz w:val="22"/>
          <w:szCs w:val="22"/>
          <w:lang w:val="en-GB"/>
        </w:rPr>
      </w:pPr>
      <w:r w:rsidRPr="000F4F3E">
        <w:rPr>
          <w:rFonts w:ascii="Verdana" w:eastAsia="Verdana" w:hAnsi="Verdana" w:cs="Verdana"/>
          <w:sz w:val="22"/>
          <w:szCs w:val="22"/>
          <w:lang w:val="en-GB"/>
        </w:rPr>
        <w:t>At 31 March 20</w:t>
      </w:r>
      <w:r w:rsidR="004D44FF" w:rsidRPr="000F4F3E">
        <w:rPr>
          <w:rFonts w:ascii="Verdana" w:eastAsia="Verdana" w:hAnsi="Verdana" w:cs="Verdana"/>
          <w:sz w:val="22"/>
          <w:szCs w:val="22"/>
          <w:lang w:val="en-GB"/>
        </w:rPr>
        <w:t>2</w:t>
      </w:r>
      <w:r w:rsidR="000F4F3E" w:rsidRPr="000F4F3E">
        <w:rPr>
          <w:rFonts w:ascii="Verdana" w:eastAsia="Verdana" w:hAnsi="Verdana" w:cs="Verdana"/>
          <w:sz w:val="22"/>
          <w:szCs w:val="22"/>
          <w:lang w:val="en-GB"/>
        </w:rPr>
        <w:t>1</w:t>
      </w:r>
      <w:r w:rsidRPr="000F4F3E">
        <w:rPr>
          <w:rFonts w:ascii="Verdana" w:eastAsia="Verdana" w:hAnsi="Verdana" w:cs="Verdana"/>
          <w:sz w:val="22"/>
          <w:szCs w:val="22"/>
          <w:lang w:val="en-GB"/>
        </w:rPr>
        <w:t>, the Chief Constable of Surrey had the following contingent liability issues:</w:t>
      </w:r>
    </w:p>
    <w:p w14:paraId="582E7501" w14:textId="77777777" w:rsidR="00F227D9" w:rsidRPr="000F4F3E" w:rsidRDefault="00F227D9">
      <w:pPr>
        <w:pStyle w:val="Normal0"/>
        <w:spacing w:after="160"/>
        <w:rPr>
          <w:rFonts w:ascii="Verdana" w:eastAsia="Verdana" w:hAnsi="Verdana" w:cs="Verdana"/>
          <w:sz w:val="22"/>
          <w:szCs w:val="22"/>
          <w:lang w:val="en-GB"/>
        </w:rPr>
      </w:pPr>
      <w:r w:rsidRPr="000F4F3E">
        <w:rPr>
          <w:rFonts w:ascii="Verdana" w:eastAsia="Verdana" w:hAnsi="Verdana" w:cs="Verdana"/>
          <w:sz w:val="22"/>
          <w:szCs w:val="22"/>
          <w:lang w:val="en-GB"/>
        </w:rPr>
        <w:t>•</w:t>
      </w:r>
      <w:r w:rsidRPr="000F4F3E">
        <w:rPr>
          <w:rFonts w:ascii="Verdana" w:eastAsia="Verdana" w:hAnsi="Verdana" w:cs="Verdana"/>
          <w:sz w:val="22"/>
          <w:szCs w:val="22"/>
          <w:lang w:val="en-GB"/>
        </w:rPr>
        <w:tab/>
      </w:r>
      <w:r w:rsidRPr="000F4F3E">
        <w:rPr>
          <w:rFonts w:ascii="Verdana" w:eastAsia="Verdana" w:hAnsi="Verdana" w:cs="Verdana"/>
          <w:b/>
          <w:sz w:val="22"/>
          <w:szCs w:val="22"/>
          <w:lang w:val="en-GB"/>
        </w:rPr>
        <w:t>Police Regulations On-call Payments</w:t>
      </w:r>
    </w:p>
    <w:p w14:paraId="094B7D29" w14:textId="77777777" w:rsidR="00F227D9" w:rsidRPr="000F4F3E" w:rsidRDefault="00F227D9" w:rsidP="007C11F3">
      <w:pPr>
        <w:pStyle w:val="Normal0"/>
        <w:spacing w:after="160"/>
        <w:jc w:val="both"/>
        <w:rPr>
          <w:rFonts w:ascii="Verdana" w:eastAsia="Verdana" w:hAnsi="Verdana" w:cs="Verdana"/>
          <w:sz w:val="22"/>
          <w:szCs w:val="22"/>
          <w:lang w:val="en-GB"/>
        </w:rPr>
      </w:pPr>
      <w:r w:rsidRPr="000F4F3E">
        <w:rPr>
          <w:rFonts w:ascii="Verdana" w:eastAsia="Verdana" w:hAnsi="Verdana" w:cs="Verdana"/>
          <w:sz w:val="22"/>
          <w:szCs w:val="22"/>
          <w:lang w:val="en-GB"/>
        </w:rPr>
        <w:t>The Chief Constable for Surrey Police, along with other Chief Constables has a contingent liability following successful claims in the court case Allard v Devon and Cornwall Police for unpaid overtime following recalls to duty.</w:t>
      </w:r>
    </w:p>
    <w:p w14:paraId="300D408C" w14:textId="77777777" w:rsidR="00F227D9" w:rsidRPr="000F4F3E" w:rsidRDefault="00F227D9" w:rsidP="007C11F3">
      <w:pPr>
        <w:pStyle w:val="Normal0"/>
        <w:spacing w:after="160"/>
        <w:jc w:val="both"/>
        <w:rPr>
          <w:rFonts w:ascii="Verdana" w:eastAsia="Verdana" w:hAnsi="Verdana" w:cs="Verdana"/>
          <w:sz w:val="22"/>
          <w:szCs w:val="22"/>
          <w:lang w:val="en-GB"/>
        </w:rPr>
      </w:pPr>
      <w:r w:rsidRPr="000F4F3E">
        <w:rPr>
          <w:rFonts w:ascii="Verdana" w:eastAsia="Verdana" w:hAnsi="Verdana" w:cs="Verdana"/>
          <w:sz w:val="22"/>
          <w:szCs w:val="22"/>
          <w:lang w:val="en-GB"/>
        </w:rPr>
        <w:t>This case arises from under-cover officers in Devon and Cornwall Police claiming under Police Regulations that they were entitled to on-call payments arising from having to take telephone calls throughout the course of their duties and outside of their normal working hours. This case was upheld against Devon and Cornwall at the High Court and the judge has selected a number of test cases to consider all of the issues arising in these claims against forces across the country.</w:t>
      </w:r>
    </w:p>
    <w:p w14:paraId="07720C9C" w14:textId="77777777" w:rsidR="00F227D9" w:rsidRPr="000F4F3E" w:rsidRDefault="00F227D9" w:rsidP="007C11F3">
      <w:pPr>
        <w:pStyle w:val="Normal0"/>
        <w:spacing w:after="160"/>
        <w:jc w:val="both"/>
        <w:rPr>
          <w:rFonts w:ascii="Verdana" w:eastAsia="Verdana" w:hAnsi="Verdana" w:cs="Verdana"/>
          <w:sz w:val="22"/>
          <w:szCs w:val="22"/>
          <w:lang w:val="en-GB"/>
        </w:rPr>
      </w:pPr>
      <w:r w:rsidRPr="000F4F3E">
        <w:rPr>
          <w:rFonts w:ascii="Verdana" w:eastAsia="Verdana" w:hAnsi="Verdana" w:cs="Verdana"/>
          <w:sz w:val="22"/>
          <w:szCs w:val="22"/>
          <w:lang w:val="en-GB"/>
        </w:rPr>
        <w:t>Whilst the outcome of the legal case is not in doubt, the timings and amount of any payments due to the claimants are yet to be ascertained. Work remains ongoing by all forces to identify all claims and the quantum of each payment that is due. For these reasons no provision has been made in the 20</w:t>
      </w:r>
      <w:r w:rsidR="000F4F3E" w:rsidRPr="000F4F3E">
        <w:rPr>
          <w:rFonts w:ascii="Verdana" w:eastAsia="Verdana" w:hAnsi="Verdana" w:cs="Verdana"/>
          <w:sz w:val="22"/>
          <w:szCs w:val="22"/>
          <w:lang w:val="en-GB"/>
        </w:rPr>
        <w:t>20</w:t>
      </w:r>
      <w:r w:rsidRPr="000F4F3E">
        <w:rPr>
          <w:rFonts w:ascii="Verdana" w:eastAsia="Verdana" w:hAnsi="Verdana" w:cs="Verdana"/>
          <w:sz w:val="22"/>
          <w:szCs w:val="22"/>
          <w:lang w:val="en-GB"/>
        </w:rPr>
        <w:t>/</w:t>
      </w:r>
      <w:r w:rsidR="004D44FF" w:rsidRPr="000F4F3E">
        <w:rPr>
          <w:rFonts w:ascii="Verdana" w:eastAsia="Verdana" w:hAnsi="Verdana" w:cs="Verdana"/>
          <w:sz w:val="22"/>
          <w:szCs w:val="22"/>
          <w:lang w:val="en-GB"/>
        </w:rPr>
        <w:t>2</w:t>
      </w:r>
      <w:r w:rsidR="000F4F3E" w:rsidRPr="000F4F3E">
        <w:rPr>
          <w:rFonts w:ascii="Verdana" w:eastAsia="Verdana" w:hAnsi="Verdana" w:cs="Verdana"/>
          <w:sz w:val="22"/>
          <w:szCs w:val="22"/>
          <w:lang w:val="en-GB"/>
        </w:rPr>
        <w:t>1</w:t>
      </w:r>
      <w:r w:rsidRPr="000F4F3E">
        <w:rPr>
          <w:rFonts w:ascii="Verdana" w:eastAsia="Verdana" w:hAnsi="Verdana" w:cs="Verdana"/>
          <w:sz w:val="22"/>
          <w:szCs w:val="22"/>
          <w:lang w:val="en-GB"/>
        </w:rPr>
        <w:t xml:space="preserve"> Statement of Accounts. </w:t>
      </w:r>
    </w:p>
    <w:p w14:paraId="3D5A76AB" w14:textId="77777777" w:rsidR="00F227D9" w:rsidRPr="000F4F3E" w:rsidRDefault="00F227D9">
      <w:pPr>
        <w:pStyle w:val="Normal0"/>
        <w:spacing w:after="160"/>
        <w:rPr>
          <w:rFonts w:ascii="Verdana" w:eastAsia="Verdana" w:hAnsi="Verdana" w:cs="Verdana"/>
          <w:sz w:val="22"/>
          <w:szCs w:val="22"/>
          <w:lang w:val="en-GB"/>
        </w:rPr>
      </w:pPr>
      <w:r w:rsidRPr="000F4F3E">
        <w:rPr>
          <w:rFonts w:ascii="Verdana" w:eastAsia="Verdana" w:hAnsi="Verdana" w:cs="Verdana"/>
          <w:sz w:val="22"/>
          <w:szCs w:val="22"/>
          <w:lang w:val="en-GB"/>
        </w:rPr>
        <w:t>•</w:t>
      </w:r>
      <w:r w:rsidRPr="000F4F3E">
        <w:rPr>
          <w:rFonts w:ascii="Verdana" w:eastAsia="Verdana" w:hAnsi="Verdana" w:cs="Verdana"/>
          <w:sz w:val="22"/>
          <w:szCs w:val="22"/>
          <w:lang w:val="en-GB"/>
        </w:rPr>
        <w:tab/>
      </w:r>
      <w:r w:rsidRPr="000F4F3E">
        <w:rPr>
          <w:rFonts w:ascii="Verdana" w:eastAsia="Verdana" w:hAnsi="Verdana" w:cs="Verdana"/>
          <w:b/>
          <w:sz w:val="22"/>
          <w:szCs w:val="22"/>
          <w:lang w:val="en-GB"/>
        </w:rPr>
        <w:t>Forensic Service Uncertainty</w:t>
      </w:r>
    </w:p>
    <w:p w14:paraId="52874839" w14:textId="77777777" w:rsidR="00F227D9" w:rsidRPr="000F4F3E" w:rsidRDefault="00F227D9" w:rsidP="00DB7E44">
      <w:pPr>
        <w:pStyle w:val="Normal0"/>
        <w:spacing w:after="160"/>
        <w:jc w:val="both"/>
        <w:rPr>
          <w:rFonts w:ascii="Verdana" w:eastAsia="Verdana" w:hAnsi="Verdana" w:cs="Verdana"/>
          <w:sz w:val="22"/>
          <w:szCs w:val="22"/>
          <w:lang w:val="en-GB"/>
        </w:rPr>
      </w:pPr>
      <w:r w:rsidRPr="000F4F3E">
        <w:rPr>
          <w:rFonts w:ascii="Verdana" w:eastAsia="Verdana" w:hAnsi="Verdana" w:cs="Verdana"/>
          <w:sz w:val="22"/>
          <w:szCs w:val="22"/>
          <w:lang w:val="en-GB"/>
        </w:rPr>
        <w:t xml:space="preserve">The validity of evidence provided by a forensic testing company to the police service is currently under investigation and is an issue impacting on policing across England &amp; Wales. Re-testing is still underway and it is reasonable to anticipate that some people may have been convicted of offences based on flawed data, and that conviction will have had a significant impact on their personal circumstances. As a result some kind of litigation may be forthcoming. At this point in time it is not possible to assess the number of likely claims or the financial exposure arising from them. </w:t>
      </w:r>
    </w:p>
    <w:p w14:paraId="2AEAA533" w14:textId="77777777" w:rsidR="00F227D9" w:rsidRPr="000F4F3E" w:rsidRDefault="00F227D9" w:rsidP="00F227D9">
      <w:pPr>
        <w:pStyle w:val="Normal0"/>
        <w:spacing w:after="160"/>
        <w:rPr>
          <w:rFonts w:ascii="Verdana" w:hAnsi="Verdana"/>
          <w:sz w:val="4"/>
          <w:szCs w:val="4"/>
          <w:lang w:val="pt-BR"/>
        </w:rPr>
      </w:pPr>
    </w:p>
    <w:p w14:paraId="06D05DFD" w14:textId="77777777" w:rsidR="00F227D9" w:rsidRPr="000F4F3E" w:rsidRDefault="008979A0" w:rsidP="00F227D9">
      <w:pPr>
        <w:pStyle w:val="Heading1"/>
        <w:spacing w:after="240"/>
        <w:rPr>
          <w:lang w:val="pt-BR"/>
        </w:rPr>
      </w:pPr>
      <w:bookmarkStart w:id="27" w:name="_Toc77095578"/>
      <w:r w:rsidRPr="000F4F3E">
        <w:rPr>
          <w:lang w:val="pt-BR"/>
        </w:rPr>
        <w:t xml:space="preserve">Note </w:t>
      </w:r>
      <w:r w:rsidR="00D02B10" w:rsidRPr="000F4F3E">
        <w:rPr>
          <w:lang w:val="pt-BR"/>
        </w:rPr>
        <w:t>19</w:t>
      </w:r>
      <w:r w:rsidR="00F227D9" w:rsidRPr="000F4F3E">
        <w:rPr>
          <w:lang w:val="pt-BR"/>
        </w:rPr>
        <w:t xml:space="preserve"> - Contingent Assets</w:t>
      </w:r>
      <w:bookmarkEnd w:id="27"/>
      <w:r w:rsidR="00F227D9" w:rsidRPr="000F4F3E">
        <w:rPr>
          <w:lang w:val="pt-BR"/>
        </w:rPr>
        <w:t xml:space="preserve"> </w:t>
      </w:r>
    </w:p>
    <w:p w14:paraId="02B258D4" w14:textId="77777777" w:rsidR="00F227D9" w:rsidRPr="000F4F3E" w:rsidRDefault="00F227D9">
      <w:pPr>
        <w:pStyle w:val="Normal0"/>
        <w:spacing w:after="160"/>
        <w:rPr>
          <w:rFonts w:ascii="Verdana" w:eastAsia="Verdana" w:hAnsi="Verdana" w:cs="Verdana"/>
          <w:sz w:val="22"/>
          <w:szCs w:val="22"/>
          <w:lang w:val="en-GB"/>
        </w:rPr>
      </w:pPr>
      <w:r w:rsidRPr="000F4F3E">
        <w:rPr>
          <w:rFonts w:ascii="Verdana" w:eastAsia="Verdana" w:hAnsi="Verdana" w:cs="Verdana"/>
          <w:sz w:val="22"/>
          <w:szCs w:val="22"/>
          <w:lang w:val="en-GB"/>
        </w:rPr>
        <w:t>The Chief Constable has no contingent assets to disclose at 31 March 20</w:t>
      </w:r>
      <w:r w:rsidR="004D44FF" w:rsidRPr="000F4F3E">
        <w:rPr>
          <w:rFonts w:ascii="Verdana" w:eastAsia="Verdana" w:hAnsi="Verdana" w:cs="Verdana"/>
          <w:sz w:val="22"/>
          <w:szCs w:val="22"/>
          <w:lang w:val="en-GB"/>
        </w:rPr>
        <w:t>2</w:t>
      </w:r>
      <w:r w:rsidR="000F4F3E">
        <w:rPr>
          <w:rFonts w:ascii="Verdana" w:eastAsia="Verdana" w:hAnsi="Verdana" w:cs="Verdana"/>
          <w:sz w:val="22"/>
          <w:szCs w:val="22"/>
          <w:lang w:val="en-GB"/>
        </w:rPr>
        <w:t>1</w:t>
      </w:r>
      <w:r w:rsidRPr="000F4F3E">
        <w:rPr>
          <w:rFonts w:ascii="Verdana" w:eastAsia="Verdana" w:hAnsi="Verdana" w:cs="Verdana"/>
          <w:sz w:val="22"/>
          <w:szCs w:val="22"/>
          <w:lang w:val="en-GB"/>
        </w:rPr>
        <w:t>.</w:t>
      </w:r>
    </w:p>
    <w:p w14:paraId="0F066D0C" w14:textId="77777777" w:rsidR="00F227D9" w:rsidRPr="00DC1077" w:rsidRDefault="00F227D9" w:rsidP="00F227D9">
      <w:pPr>
        <w:pStyle w:val="Normal0"/>
        <w:spacing w:after="160"/>
        <w:rPr>
          <w:rFonts w:ascii="Verdana" w:hAnsi="Verdana"/>
          <w:sz w:val="4"/>
          <w:szCs w:val="4"/>
          <w:highlight w:val="yellow"/>
          <w:lang w:val="pt-BR"/>
        </w:rPr>
      </w:pPr>
    </w:p>
    <w:p w14:paraId="04922967" w14:textId="77777777" w:rsidR="00F227D9" w:rsidRPr="00547260" w:rsidRDefault="00F227D9" w:rsidP="00F227D9">
      <w:pPr>
        <w:pStyle w:val="Heading1"/>
        <w:spacing w:after="240"/>
        <w:rPr>
          <w:lang w:val="pt-BR"/>
        </w:rPr>
      </w:pPr>
      <w:bookmarkStart w:id="28" w:name="_Toc77095579"/>
      <w:r w:rsidRPr="00547260">
        <w:rPr>
          <w:lang w:val="pt-BR"/>
        </w:rPr>
        <w:t>Note 2</w:t>
      </w:r>
      <w:r w:rsidR="00D02B10" w:rsidRPr="00547260">
        <w:rPr>
          <w:lang w:val="pt-BR"/>
        </w:rPr>
        <w:t>0</w:t>
      </w:r>
      <w:r w:rsidRPr="00547260">
        <w:rPr>
          <w:lang w:val="pt-BR"/>
        </w:rPr>
        <w:t xml:space="preserve"> - Financing and Investment Income and Expenditure</w:t>
      </w:r>
      <w:bookmarkEnd w:id="28"/>
      <w:r w:rsidRPr="00547260">
        <w:rPr>
          <w:lang w:val="pt-BR"/>
        </w:rPr>
        <w:t xml:space="preserve"> </w:t>
      </w:r>
    </w:p>
    <w:tbl>
      <w:tblPr>
        <w:tblW w:w="0" w:type="auto"/>
        <w:jc w:val="center"/>
        <w:tblLayout w:type="fixed"/>
        <w:tblLook w:val="04A0" w:firstRow="1" w:lastRow="0" w:firstColumn="1" w:lastColumn="0" w:noHBand="0" w:noVBand="1"/>
      </w:tblPr>
      <w:tblGrid>
        <w:gridCol w:w="1276"/>
        <w:gridCol w:w="239"/>
        <w:gridCol w:w="3750"/>
        <w:gridCol w:w="1335"/>
      </w:tblGrid>
      <w:tr w:rsidR="0053376B" w:rsidRPr="00547260" w14:paraId="7BBE8D9D" w14:textId="77777777" w:rsidTr="0090634C">
        <w:trPr>
          <w:trHeight w:val="300"/>
          <w:jc w:val="center"/>
        </w:trPr>
        <w:tc>
          <w:tcPr>
            <w:tcW w:w="1276" w:type="dxa"/>
            <w:shd w:val="clear" w:color="auto" w:fill="auto"/>
            <w:tcMar>
              <w:top w:w="20" w:type="dxa"/>
              <w:left w:w="20" w:type="dxa"/>
              <w:bottom w:w="20" w:type="dxa"/>
              <w:right w:w="20" w:type="dxa"/>
            </w:tcMar>
            <w:vAlign w:val="bottom"/>
          </w:tcPr>
          <w:p w14:paraId="764AF5D5" w14:textId="77777777" w:rsidR="00F227D9" w:rsidRPr="00547260" w:rsidRDefault="00F227D9" w:rsidP="00D842D6">
            <w:pPr>
              <w:pStyle w:val="T1TableStyle"/>
              <w:jc w:val="center"/>
              <w:rPr>
                <w:rFonts w:ascii="Verdana" w:eastAsia="Verdana" w:hAnsi="Verdana" w:cs="Verdana"/>
                <w:b/>
                <w:color w:val="000000"/>
                <w:sz w:val="16"/>
                <w:lang w:val="en-GB"/>
              </w:rPr>
            </w:pPr>
            <w:r w:rsidRPr="00547260">
              <w:rPr>
                <w:rFonts w:ascii="Verdana" w:eastAsia="Verdana" w:hAnsi="Verdana" w:cs="Verdana"/>
                <w:b/>
                <w:color w:val="000000"/>
                <w:sz w:val="16"/>
                <w:lang w:val="en-GB"/>
              </w:rPr>
              <w:t>201</w:t>
            </w:r>
            <w:r w:rsidR="00D842D6" w:rsidRPr="00547260">
              <w:rPr>
                <w:rFonts w:ascii="Verdana" w:eastAsia="Verdana" w:hAnsi="Verdana" w:cs="Verdana"/>
                <w:b/>
                <w:color w:val="000000"/>
                <w:sz w:val="16"/>
                <w:lang w:val="en-GB"/>
              </w:rPr>
              <w:t>9</w:t>
            </w:r>
            <w:r w:rsidRPr="00547260">
              <w:rPr>
                <w:rFonts w:ascii="Verdana" w:eastAsia="Verdana" w:hAnsi="Verdana" w:cs="Verdana"/>
                <w:b/>
                <w:color w:val="000000"/>
                <w:sz w:val="16"/>
                <w:lang w:val="en-GB"/>
              </w:rPr>
              <w:t>/</w:t>
            </w:r>
            <w:r w:rsidR="00D842D6" w:rsidRPr="00547260">
              <w:rPr>
                <w:rFonts w:ascii="Verdana" w:eastAsia="Verdana" w:hAnsi="Verdana" w:cs="Verdana"/>
                <w:b/>
                <w:color w:val="000000"/>
                <w:sz w:val="16"/>
                <w:lang w:val="en-GB"/>
              </w:rPr>
              <w:t>20</w:t>
            </w:r>
          </w:p>
        </w:tc>
        <w:tc>
          <w:tcPr>
            <w:tcW w:w="239" w:type="dxa"/>
            <w:shd w:val="clear" w:color="auto" w:fill="auto"/>
            <w:tcMar>
              <w:top w:w="20" w:type="dxa"/>
              <w:left w:w="20" w:type="dxa"/>
              <w:bottom w:w="20" w:type="dxa"/>
              <w:right w:w="20" w:type="dxa"/>
            </w:tcMar>
            <w:vAlign w:val="bottom"/>
          </w:tcPr>
          <w:p w14:paraId="34C5ED08" w14:textId="77777777" w:rsidR="00F227D9" w:rsidRPr="00547260" w:rsidRDefault="00F227D9">
            <w:pPr>
              <w:pStyle w:val="T1TableStyle"/>
              <w:jc w:val="center"/>
              <w:rPr>
                <w:rFonts w:ascii="Calibri" w:eastAsia="Calibri" w:hAnsi="Calibri" w:cs="Calibri"/>
                <w:color w:val="000000"/>
                <w:sz w:val="2"/>
                <w:lang w:val="en-GB"/>
              </w:rPr>
            </w:pPr>
            <w:r w:rsidRPr="00547260">
              <w:rPr>
                <w:rFonts w:ascii="Calibri" w:eastAsia="Calibri" w:hAnsi="Calibri" w:cs="Calibri"/>
                <w:color w:val="000000"/>
                <w:sz w:val="2"/>
                <w:lang w:val="en-GB"/>
              </w:rPr>
              <w:t xml:space="preserve"> </w:t>
            </w:r>
          </w:p>
        </w:tc>
        <w:tc>
          <w:tcPr>
            <w:tcW w:w="3750" w:type="dxa"/>
            <w:shd w:val="clear" w:color="auto" w:fill="auto"/>
            <w:tcMar>
              <w:top w:w="20" w:type="dxa"/>
              <w:left w:w="20" w:type="dxa"/>
              <w:bottom w:w="20" w:type="dxa"/>
              <w:right w:w="20" w:type="dxa"/>
            </w:tcMar>
            <w:vAlign w:val="bottom"/>
          </w:tcPr>
          <w:p w14:paraId="2823211A" w14:textId="77777777" w:rsidR="00F227D9" w:rsidRPr="00547260" w:rsidRDefault="00F227D9">
            <w:pPr>
              <w:pStyle w:val="T1TableStyle"/>
              <w:jc w:val="center"/>
              <w:rPr>
                <w:rFonts w:ascii="Calibri" w:eastAsia="Calibri" w:hAnsi="Calibri" w:cs="Calibri"/>
                <w:color w:val="000000"/>
                <w:sz w:val="2"/>
                <w:lang w:val="en-GB"/>
              </w:rPr>
            </w:pPr>
            <w:r w:rsidRPr="00547260">
              <w:rPr>
                <w:rFonts w:ascii="Calibri" w:eastAsia="Calibri" w:hAnsi="Calibri" w:cs="Calibri"/>
                <w:color w:val="000000"/>
                <w:sz w:val="2"/>
                <w:lang w:val="en-GB"/>
              </w:rPr>
              <w:t xml:space="preserve"> </w:t>
            </w:r>
          </w:p>
        </w:tc>
        <w:tc>
          <w:tcPr>
            <w:tcW w:w="1335" w:type="dxa"/>
            <w:shd w:val="clear" w:color="auto" w:fill="auto"/>
            <w:tcMar>
              <w:top w:w="20" w:type="dxa"/>
              <w:left w:w="20" w:type="dxa"/>
              <w:bottom w:w="20" w:type="dxa"/>
              <w:right w:w="20" w:type="dxa"/>
            </w:tcMar>
            <w:vAlign w:val="bottom"/>
          </w:tcPr>
          <w:p w14:paraId="66B9AA13" w14:textId="77777777" w:rsidR="00F227D9" w:rsidRPr="00547260" w:rsidRDefault="00F227D9" w:rsidP="00D842D6">
            <w:pPr>
              <w:pStyle w:val="T1TableStyle"/>
              <w:jc w:val="center"/>
              <w:rPr>
                <w:rFonts w:ascii="Verdana" w:eastAsia="Verdana" w:hAnsi="Verdana" w:cs="Verdana"/>
                <w:b/>
                <w:color w:val="000000"/>
                <w:sz w:val="16"/>
                <w:lang w:val="en-GB"/>
              </w:rPr>
            </w:pPr>
            <w:r w:rsidRPr="00547260">
              <w:rPr>
                <w:rFonts w:ascii="Verdana" w:eastAsia="Verdana" w:hAnsi="Verdana" w:cs="Verdana"/>
                <w:b/>
                <w:color w:val="000000"/>
                <w:sz w:val="16"/>
                <w:lang w:val="en-GB"/>
              </w:rPr>
              <w:t>20</w:t>
            </w:r>
            <w:r w:rsidR="00D842D6" w:rsidRPr="00547260">
              <w:rPr>
                <w:rFonts w:ascii="Verdana" w:eastAsia="Verdana" w:hAnsi="Verdana" w:cs="Verdana"/>
                <w:b/>
                <w:color w:val="000000"/>
                <w:sz w:val="16"/>
                <w:lang w:val="en-GB"/>
              </w:rPr>
              <w:t>20</w:t>
            </w:r>
            <w:r w:rsidRPr="00547260">
              <w:rPr>
                <w:rFonts w:ascii="Verdana" w:eastAsia="Verdana" w:hAnsi="Verdana" w:cs="Verdana"/>
                <w:b/>
                <w:color w:val="000000"/>
                <w:sz w:val="16"/>
                <w:lang w:val="en-GB"/>
              </w:rPr>
              <w:t>/2</w:t>
            </w:r>
            <w:r w:rsidR="00D842D6" w:rsidRPr="00547260">
              <w:rPr>
                <w:rFonts w:ascii="Verdana" w:eastAsia="Verdana" w:hAnsi="Verdana" w:cs="Verdana"/>
                <w:b/>
                <w:color w:val="000000"/>
                <w:sz w:val="16"/>
                <w:lang w:val="en-GB"/>
              </w:rPr>
              <w:t>1</w:t>
            </w:r>
          </w:p>
        </w:tc>
      </w:tr>
      <w:tr w:rsidR="0053376B" w:rsidRPr="00547260" w14:paraId="4CCAB610" w14:textId="77777777" w:rsidTr="0090634C">
        <w:trPr>
          <w:trHeight w:val="300"/>
          <w:jc w:val="center"/>
        </w:trPr>
        <w:tc>
          <w:tcPr>
            <w:tcW w:w="1276" w:type="dxa"/>
            <w:tcBorders>
              <w:bottom w:val="single" w:sz="2" w:space="0" w:color="000000"/>
            </w:tcBorders>
            <w:shd w:val="clear" w:color="auto" w:fill="auto"/>
            <w:tcMar>
              <w:top w:w="20" w:type="dxa"/>
              <w:left w:w="20" w:type="dxa"/>
              <w:bottom w:w="20" w:type="dxa"/>
              <w:right w:w="20" w:type="dxa"/>
            </w:tcMar>
          </w:tcPr>
          <w:p w14:paraId="584BC3C2" w14:textId="77777777" w:rsidR="00F227D9" w:rsidRPr="00547260" w:rsidRDefault="00F227D9">
            <w:pPr>
              <w:pStyle w:val="T1TableStyle"/>
              <w:jc w:val="right"/>
              <w:rPr>
                <w:rFonts w:ascii="Verdana" w:eastAsia="Verdana" w:hAnsi="Verdana" w:cs="Verdana"/>
                <w:b/>
                <w:color w:val="000000"/>
                <w:sz w:val="16"/>
                <w:lang w:val="en-GB"/>
              </w:rPr>
            </w:pPr>
            <w:r w:rsidRPr="00547260">
              <w:rPr>
                <w:rFonts w:ascii="Verdana" w:eastAsia="Verdana" w:hAnsi="Verdana" w:cs="Verdana"/>
                <w:b/>
                <w:color w:val="000000"/>
                <w:sz w:val="16"/>
                <w:lang w:val="en-GB"/>
              </w:rPr>
              <w:t>£000</w:t>
            </w:r>
          </w:p>
        </w:tc>
        <w:tc>
          <w:tcPr>
            <w:tcW w:w="239" w:type="dxa"/>
            <w:tcBorders>
              <w:bottom w:val="single" w:sz="2" w:space="0" w:color="000000"/>
            </w:tcBorders>
            <w:shd w:val="clear" w:color="auto" w:fill="auto"/>
            <w:tcMar>
              <w:top w:w="20" w:type="dxa"/>
              <w:left w:w="20" w:type="dxa"/>
              <w:bottom w:w="20" w:type="dxa"/>
              <w:right w:w="20" w:type="dxa"/>
            </w:tcMar>
          </w:tcPr>
          <w:p w14:paraId="6DA1CFE7" w14:textId="77777777" w:rsidR="00F227D9" w:rsidRPr="00547260" w:rsidRDefault="00F227D9">
            <w:pPr>
              <w:pStyle w:val="T1TableStyle"/>
              <w:jc w:val="right"/>
              <w:rPr>
                <w:rFonts w:ascii="Verdana" w:eastAsia="Verdana" w:hAnsi="Verdana" w:cs="Verdana"/>
                <w:b/>
                <w:color w:val="000000"/>
                <w:sz w:val="2"/>
                <w:lang w:val="en-GB"/>
              </w:rPr>
            </w:pPr>
            <w:r w:rsidRPr="00547260">
              <w:rPr>
                <w:rFonts w:ascii="Verdana" w:eastAsia="Verdana" w:hAnsi="Verdana" w:cs="Verdana"/>
                <w:b/>
                <w:color w:val="000000"/>
                <w:sz w:val="2"/>
                <w:lang w:val="en-GB"/>
              </w:rPr>
              <w:t xml:space="preserve"> </w:t>
            </w:r>
          </w:p>
        </w:tc>
        <w:tc>
          <w:tcPr>
            <w:tcW w:w="3750" w:type="dxa"/>
            <w:tcBorders>
              <w:bottom w:val="single" w:sz="2" w:space="0" w:color="000000"/>
            </w:tcBorders>
            <w:shd w:val="clear" w:color="auto" w:fill="auto"/>
            <w:tcMar>
              <w:top w:w="20" w:type="dxa"/>
              <w:left w:w="20" w:type="dxa"/>
              <w:bottom w:w="20" w:type="dxa"/>
              <w:right w:w="20" w:type="dxa"/>
            </w:tcMar>
          </w:tcPr>
          <w:p w14:paraId="73B1B65E" w14:textId="77777777" w:rsidR="00F227D9" w:rsidRPr="00547260" w:rsidRDefault="00F227D9">
            <w:pPr>
              <w:pStyle w:val="T1TableStyle"/>
              <w:jc w:val="right"/>
              <w:rPr>
                <w:rFonts w:ascii="Verdana" w:eastAsia="Verdana" w:hAnsi="Verdana" w:cs="Verdana"/>
                <w:b/>
                <w:color w:val="000000"/>
                <w:sz w:val="2"/>
                <w:lang w:val="en-GB"/>
              </w:rPr>
            </w:pPr>
            <w:r w:rsidRPr="00547260">
              <w:rPr>
                <w:rFonts w:ascii="Verdana" w:eastAsia="Verdana" w:hAnsi="Verdana" w:cs="Verdana"/>
                <w:b/>
                <w:color w:val="000000"/>
                <w:sz w:val="2"/>
                <w:lang w:val="en-GB"/>
              </w:rPr>
              <w:t xml:space="preserve"> </w:t>
            </w:r>
          </w:p>
        </w:tc>
        <w:tc>
          <w:tcPr>
            <w:tcW w:w="1335" w:type="dxa"/>
            <w:tcBorders>
              <w:bottom w:val="single" w:sz="2" w:space="0" w:color="000000"/>
            </w:tcBorders>
            <w:shd w:val="clear" w:color="auto" w:fill="auto"/>
            <w:tcMar>
              <w:top w:w="20" w:type="dxa"/>
              <w:left w:w="20" w:type="dxa"/>
              <w:bottom w:w="20" w:type="dxa"/>
              <w:right w:w="20" w:type="dxa"/>
            </w:tcMar>
          </w:tcPr>
          <w:p w14:paraId="03AE3242" w14:textId="77777777" w:rsidR="00F227D9" w:rsidRPr="00547260" w:rsidRDefault="00F227D9">
            <w:pPr>
              <w:pStyle w:val="T1TableStyle"/>
              <w:jc w:val="right"/>
              <w:rPr>
                <w:rFonts w:ascii="Verdana" w:eastAsia="Verdana" w:hAnsi="Verdana" w:cs="Verdana"/>
                <w:b/>
                <w:color w:val="000000"/>
                <w:sz w:val="16"/>
                <w:lang w:val="en-GB"/>
              </w:rPr>
            </w:pPr>
            <w:r w:rsidRPr="00547260">
              <w:rPr>
                <w:rFonts w:ascii="Verdana" w:eastAsia="Verdana" w:hAnsi="Verdana" w:cs="Verdana"/>
                <w:b/>
                <w:color w:val="000000"/>
                <w:sz w:val="16"/>
                <w:lang w:val="en-GB"/>
              </w:rPr>
              <w:t>£000</w:t>
            </w:r>
          </w:p>
        </w:tc>
      </w:tr>
      <w:tr w:rsidR="00D842D6" w:rsidRPr="00547260" w14:paraId="4F42839E" w14:textId="77777777" w:rsidTr="0090634C">
        <w:trPr>
          <w:trHeight w:val="300"/>
          <w:jc w:val="center"/>
        </w:trPr>
        <w:tc>
          <w:tcPr>
            <w:tcW w:w="1276" w:type="dxa"/>
            <w:shd w:val="clear" w:color="auto" w:fill="auto"/>
            <w:tcMar>
              <w:top w:w="20" w:type="dxa"/>
              <w:left w:w="20" w:type="dxa"/>
              <w:bottom w:w="20" w:type="dxa"/>
              <w:right w:w="20" w:type="dxa"/>
            </w:tcMar>
          </w:tcPr>
          <w:p w14:paraId="17B76479" w14:textId="77777777" w:rsidR="00D842D6" w:rsidRPr="00547260" w:rsidRDefault="0090634C" w:rsidP="00D842D6">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239" w:type="dxa"/>
            <w:shd w:val="clear" w:color="auto" w:fill="auto"/>
            <w:tcMar>
              <w:top w:w="20" w:type="dxa"/>
              <w:left w:w="20" w:type="dxa"/>
              <w:bottom w:w="20" w:type="dxa"/>
              <w:right w:w="20" w:type="dxa"/>
            </w:tcMar>
          </w:tcPr>
          <w:p w14:paraId="71963592" w14:textId="77777777" w:rsidR="00D842D6" w:rsidRPr="00547260" w:rsidRDefault="00D842D6" w:rsidP="00D842D6">
            <w:pPr>
              <w:pStyle w:val="T1TableStyle"/>
              <w:jc w:val="center"/>
              <w:rPr>
                <w:rFonts w:ascii="Verdana" w:eastAsia="Verdana" w:hAnsi="Verdana" w:cs="Verdana"/>
                <w:color w:val="000000"/>
                <w:sz w:val="2"/>
                <w:lang w:val="en-GB"/>
              </w:rPr>
            </w:pPr>
            <w:r w:rsidRPr="00547260">
              <w:rPr>
                <w:rFonts w:ascii="Verdana" w:eastAsia="Verdana" w:hAnsi="Verdana" w:cs="Verdana"/>
                <w:color w:val="000000"/>
                <w:sz w:val="2"/>
                <w:lang w:val="en-GB"/>
              </w:rPr>
              <w:t xml:space="preserve"> </w:t>
            </w:r>
          </w:p>
        </w:tc>
        <w:tc>
          <w:tcPr>
            <w:tcW w:w="3750" w:type="dxa"/>
            <w:shd w:val="clear" w:color="auto" w:fill="auto"/>
            <w:tcMar>
              <w:top w:w="20" w:type="dxa"/>
              <w:left w:w="20" w:type="dxa"/>
              <w:bottom w:w="20" w:type="dxa"/>
              <w:right w:w="20" w:type="dxa"/>
            </w:tcMar>
          </w:tcPr>
          <w:p w14:paraId="2A92040C" w14:textId="77777777" w:rsidR="00D842D6" w:rsidRPr="00547260" w:rsidRDefault="00D842D6" w:rsidP="00D842D6">
            <w:pPr>
              <w:pStyle w:val="T1TableStyle"/>
              <w:rPr>
                <w:rFonts w:ascii="Verdana" w:eastAsia="Verdana" w:hAnsi="Verdana" w:cs="Verdana"/>
                <w:color w:val="000000"/>
                <w:sz w:val="16"/>
                <w:lang w:val="en-GB"/>
              </w:rPr>
            </w:pPr>
            <w:r w:rsidRPr="00547260">
              <w:rPr>
                <w:rFonts w:ascii="Verdana" w:eastAsia="Verdana" w:hAnsi="Verdana" w:cs="Verdana"/>
                <w:color w:val="000000"/>
                <w:sz w:val="16"/>
                <w:lang w:val="en-GB"/>
              </w:rPr>
              <w:t>Interest payable and similar charges</w:t>
            </w:r>
          </w:p>
        </w:tc>
        <w:tc>
          <w:tcPr>
            <w:tcW w:w="1335" w:type="dxa"/>
            <w:shd w:val="clear" w:color="auto" w:fill="auto"/>
            <w:tcMar>
              <w:top w:w="20" w:type="dxa"/>
              <w:left w:w="20" w:type="dxa"/>
              <w:bottom w:w="20" w:type="dxa"/>
              <w:right w:w="20" w:type="dxa"/>
            </w:tcMar>
          </w:tcPr>
          <w:p w14:paraId="3EB20A50" w14:textId="281B3DFE" w:rsidR="00D842D6" w:rsidRPr="0091312C" w:rsidRDefault="0091312C" w:rsidP="00D842D6">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r>
      <w:tr w:rsidR="00D842D6" w:rsidRPr="00547260" w14:paraId="53D3C65A" w14:textId="77777777" w:rsidTr="0090634C">
        <w:trPr>
          <w:trHeight w:val="420"/>
          <w:jc w:val="center"/>
        </w:trPr>
        <w:tc>
          <w:tcPr>
            <w:tcW w:w="1276" w:type="dxa"/>
            <w:shd w:val="clear" w:color="auto" w:fill="auto"/>
            <w:tcMar>
              <w:top w:w="20" w:type="dxa"/>
              <w:left w:w="20" w:type="dxa"/>
              <w:bottom w:w="20" w:type="dxa"/>
              <w:right w:w="20" w:type="dxa"/>
            </w:tcMar>
          </w:tcPr>
          <w:p w14:paraId="45C01519" w14:textId="77777777" w:rsidR="00D842D6" w:rsidRPr="00547260" w:rsidRDefault="00D842D6" w:rsidP="00D842D6">
            <w:pPr>
              <w:pStyle w:val="T1TableStyle"/>
              <w:jc w:val="right"/>
              <w:rPr>
                <w:rFonts w:ascii="Verdana" w:eastAsia="Verdana" w:hAnsi="Verdana" w:cs="Verdana"/>
                <w:color w:val="000000"/>
                <w:sz w:val="16"/>
                <w:lang w:val="en-GB"/>
              </w:rPr>
            </w:pPr>
            <w:r w:rsidRPr="00547260">
              <w:rPr>
                <w:rFonts w:ascii="Verdana" w:eastAsia="Verdana" w:hAnsi="Verdana" w:cs="Verdana"/>
                <w:color w:val="000000"/>
                <w:sz w:val="16"/>
                <w:lang w:val="en-GB"/>
              </w:rPr>
              <w:t>53,109</w:t>
            </w:r>
          </w:p>
        </w:tc>
        <w:tc>
          <w:tcPr>
            <w:tcW w:w="239" w:type="dxa"/>
            <w:shd w:val="clear" w:color="auto" w:fill="auto"/>
            <w:tcMar>
              <w:top w:w="20" w:type="dxa"/>
              <w:left w:w="20" w:type="dxa"/>
              <w:bottom w:w="20" w:type="dxa"/>
              <w:right w:w="20" w:type="dxa"/>
            </w:tcMar>
          </w:tcPr>
          <w:p w14:paraId="74F62B9B" w14:textId="77777777" w:rsidR="00D842D6" w:rsidRPr="00547260" w:rsidRDefault="00D842D6" w:rsidP="00D842D6">
            <w:pPr>
              <w:pStyle w:val="T1TableStyle"/>
              <w:jc w:val="center"/>
              <w:rPr>
                <w:rFonts w:ascii="Verdana" w:eastAsia="Verdana" w:hAnsi="Verdana" w:cs="Verdana"/>
                <w:color w:val="000000"/>
                <w:sz w:val="2"/>
                <w:lang w:val="en-GB"/>
              </w:rPr>
            </w:pPr>
            <w:r w:rsidRPr="00547260">
              <w:rPr>
                <w:rFonts w:ascii="Verdana" w:eastAsia="Verdana" w:hAnsi="Verdana" w:cs="Verdana"/>
                <w:color w:val="000000"/>
                <w:sz w:val="2"/>
                <w:lang w:val="en-GB"/>
              </w:rPr>
              <w:t xml:space="preserve"> </w:t>
            </w:r>
          </w:p>
        </w:tc>
        <w:tc>
          <w:tcPr>
            <w:tcW w:w="3750" w:type="dxa"/>
            <w:shd w:val="clear" w:color="auto" w:fill="auto"/>
            <w:tcMar>
              <w:top w:w="20" w:type="dxa"/>
              <w:left w:w="20" w:type="dxa"/>
              <w:bottom w:w="20" w:type="dxa"/>
              <w:right w:w="20" w:type="dxa"/>
            </w:tcMar>
          </w:tcPr>
          <w:p w14:paraId="22F3DD1C" w14:textId="77777777" w:rsidR="00D842D6" w:rsidRPr="00547260" w:rsidRDefault="00D842D6" w:rsidP="00D842D6">
            <w:pPr>
              <w:pStyle w:val="T1TableStyle"/>
              <w:rPr>
                <w:rFonts w:ascii="Verdana" w:eastAsia="Verdana" w:hAnsi="Verdana" w:cs="Verdana"/>
                <w:color w:val="000000"/>
                <w:sz w:val="16"/>
                <w:lang w:val="en-GB"/>
              </w:rPr>
            </w:pPr>
            <w:r w:rsidRPr="00547260">
              <w:rPr>
                <w:rFonts w:ascii="Verdana" w:eastAsia="Verdana" w:hAnsi="Verdana" w:cs="Verdana"/>
                <w:color w:val="000000"/>
                <w:sz w:val="16"/>
                <w:lang w:val="en-GB"/>
              </w:rPr>
              <w:t>Net interest on the net defined benefit liability (asset)</w:t>
            </w:r>
          </w:p>
        </w:tc>
        <w:tc>
          <w:tcPr>
            <w:tcW w:w="1335" w:type="dxa"/>
            <w:shd w:val="clear" w:color="auto" w:fill="auto"/>
            <w:tcMar>
              <w:top w:w="20" w:type="dxa"/>
              <w:left w:w="20" w:type="dxa"/>
              <w:bottom w:w="20" w:type="dxa"/>
              <w:right w:w="20" w:type="dxa"/>
            </w:tcMar>
          </w:tcPr>
          <w:p w14:paraId="00764222" w14:textId="77777777" w:rsidR="00D842D6" w:rsidRPr="0091312C" w:rsidRDefault="00547260" w:rsidP="00D842D6">
            <w:pPr>
              <w:pStyle w:val="T1TableStyle"/>
              <w:jc w:val="right"/>
              <w:rPr>
                <w:rFonts w:ascii="Verdana" w:eastAsia="Verdana" w:hAnsi="Verdana" w:cs="Verdana"/>
                <w:color w:val="000000"/>
                <w:sz w:val="16"/>
                <w:lang w:val="en-GB"/>
              </w:rPr>
            </w:pPr>
            <w:r w:rsidRPr="0091312C">
              <w:rPr>
                <w:rFonts w:ascii="Verdana" w:eastAsia="Verdana" w:hAnsi="Verdana" w:cs="Verdana"/>
                <w:color w:val="000000"/>
                <w:sz w:val="16"/>
                <w:lang w:val="en-GB"/>
              </w:rPr>
              <w:t>45,897</w:t>
            </w:r>
          </w:p>
        </w:tc>
      </w:tr>
      <w:tr w:rsidR="00D842D6" w:rsidRPr="00DC1077" w14:paraId="2977F789" w14:textId="77777777" w:rsidTr="0090634C">
        <w:trPr>
          <w:trHeight w:val="315"/>
          <w:jc w:val="center"/>
        </w:trPr>
        <w:tc>
          <w:tcPr>
            <w:tcW w:w="1276" w:type="dxa"/>
            <w:tcBorders>
              <w:top w:val="single" w:sz="2" w:space="0" w:color="000000"/>
              <w:bottom w:val="single" w:sz="12" w:space="0" w:color="000000"/>
            </w:tcBorders>
            <w:shd w:val="clear" w:color="auto" w:fill="auto"/>
            <w:tcMar>
              <w:top w:w="20" w:type="dxa"/>
              <w:left w:w="20" w:type="dxa"/>
              <w:bottom w:w="20" w:type="dxa"/>
              <w:right w:w="20" w:type="dxa"/>
            </w:tcMar>
          </w:tcPr>
          <w:p w14:paraId="7E6D46C8" w14:textId="77777777" w:rsidR="00D842D6" w:rsidRPr="00547260" w:rsidRDefault="00D842D6" w:rsidP="00D842D6">
            <w:pPr>
              <w:pStyle w:val="T1TableStyle"/>
              <w:jc w:val="right"/>
              <w:rPr>
                <w:rFonts w:ascii="Verdana" w:eastAsia="Verdana" w:hAnsi="Verdana" w:cs="Verdana"/>
                <w:b/>
                <w:color w:val="000000"/>
                <w:sz w:val="16"/>
                <w:lang w:val="en-GB"/>
              </w:rPr>
            </w:pPr>
            <w:r w:rsidRPr="00547260">
              <w:rPr>
                <w:rFonts w:ascii="Verdana" w:eastAsia="Verdana" w:hAnsi="Verdana" w:cs="Verdana"/>
                <w:b/>
                <w:color w:val="000000"/>
                <w:sz w:val="16"/>
                <w:lang w:val="en-GB"/>
              </w:rPr>
              <w:t>53,109</w:t>
            </w:r>
          </w:p>
        </w:tc>
        <w:tc>
          <w:tcPr>
            <w:tcW w:w="239" w:type="dxa"/>
            <w:tcBorders>
              <w:top w:val="single" w:sz="2" w:space="0" w:color="000000"/>
              <w:bottom w:val="single" w:sz="12" w:space="0" w:color="000000"/>
            </w:tcBorders>
            <w:shd w:val="clear" w:color="auto" w:fill="auto"/>
            <w:tcMar>
              <w:top w:w="20" w:type="dxa"/>
              <w:left w:w="20" w:type="dxa"/>
              <w:bottom w:w="20" w:type="dxa"/>
              <w:right w:w="20" w:type="dxa"/>
            </w:tcMar>
          </w:tcPr>
          <w:p w14:paraId="41415507" w14:textId="77777777" w:rsidR="00D842D6" w:rsidRPr="00547260" w:rsidRDefault="00D842D6" w:rsidP="00D842D6">
            <w:pPr>
              <w:pStyle w:val="T1TableStyle"/>
              <w:jc w:val="center"/>
              <w:rPr>
                <w:rFonts w:ascii="Verdana" w:eastAsia="Verdana" w:hAnsi="Verdana" w:cs="Verdana"/>
                <w:b/>
                <w:color w:val="000000"/>
                <w:sz w:val="2"/>
                <w:lang w:val="en-GB"/>
              </w:rPr>
            </w:pPr>
            <w:r w:rsidRPr="00547260">
              <w:rPr>
                <w:rFonts w:ascii="Verdana" w:eastAsia="Verdana" w:hAnsi="Verdana" w:cs="Verdana"/>
                <w:b/>
                <w:color w:val="000000"/>
                <w:sz w:val="2"/>
                <w:lang w:val="en-GB"/>
              </w:rPr>
              <w:t xml:space="preserve"> </w:t>
            </w:r>
          </w:p>
        </w:tc>
        <w:tc>
          <w:tcPr>
            <w:tcW w:w="3750" w:type="dxa"/>
            <w:tcBorders>
              <w:top w:val="single" w:sz="2" w:space="0" w:color="000000"/>
              <w:bottom w:val="single" w:sz="12" w:space="0" w:color="000000"/>
            </w:tcBorders>
            <w:shd w:val="clear" w:color="auto" w:fill="auto"/>
            <w:tcMar>
              <w:top w:w="20" w:type="dxa"/>
              <w:left w:w="20" w:type="dxa"/>
              <w:bottom w:w="20" w:type="dxa"/>
              <w:right w:w="20" w:type="dxa"/>
            </w:tcMar>
          </w:tcPr>
          <w:p w14:paraId="0267B674" w14:textId="77777777" w:rsidR="00D842D6" w:rsidRPr="00547260" w:rsidRDefault="00D842D6" w:rsidP="00D842D6">
            <w:pPr>
              <w:pStyle w:val="T1TableStyle"/>
              <w:rPr>
                <w:rFonts w:ascii="Verdana" w:eastAsia="Verdana" w:hAnsi="Verdana" w:cs="Verdana"/>
                <w:b/>
                <w:color w:val="000000"/>
                <w:sz w:val="16"/>
                <w:lang w:val="en-GB"/>
              </w:rPr>
            </w:pPr>
            <w:r w:rsidRPr="00547260">
              <w:rPr>
                <w:rFonts w:ascii="Verdana" w:eastAsia="Verdana" w:hAnsi="Verdana" w:cs="Verdana"/>
                <w:b/>
                <w:color w:val="000000"/>
                <w:sz w:val="16"/>
                <w:lang w:val="en-GB"/>
              </w:rPr>
              <w:t>Total</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14:paraId="5FCF2980" w14:textId="77777777" w:rsidR="00D842D6" w:rsidRPr="0091312C" w:rsidRDefault="00547260" w:rsidP="00D842D6">
            <w:pPr>
              <w:pStyle w:val="T1TableStyle"/>
              <w:jc w:val="right"/>
              <w:rPr>
                <w:rFonts w:ascii="Verdana" w:eastAsia="Verdana" w:hAnsi="Verdana" w:cs="Verdana"/>
                <w:b/>
                <w:color w:val="000000"/>
                <w:sz w:val="16"/>
                <w:lang w:val="en-GB"/>
              </w:rPr>
            </w:pPr>
            <w:r w:rsidRPr="0091312C">
              <w:rPr>
                <w:rFonts w:ascii="Verdana" w:eastAsia="Verdana" w:hAnsi="Verdana" w:cs="Verdana"/>
                <w:b/>
                <w:color w:val="000000"/>
                <w:sz w:val="16"/>
                <w:lang w:val="en-GB"/>
              </w:rPr>
              <w:t>45,897</w:t>
            </w:r>
          </w:p>
        </w:tc>
      </w:tr>
    </w:tbl>
    <w:p w14:paraId="7A5FF9B0" w14:textId="77777777" w:rsidR="00F227D9" w:rsidRPr="00DC1077" w:rsidRDefault="00F227D9">
      <w:pPr>
        <w:pStyle w:val="T1TableStyle"/>
        <w:rPr>
          <w:rFonts w:ascii="Verdana" w:eastAsia="Verdana" w:hAnsi="Verdana" w:cs="Verdana"/>
          <w:sz w:val="22"/>
          <w:highlight w:val="yellow"/>
          <w:lang w:val="en-GB"/>
        </w:rPr>
      </w:pPr>
    </w:p>
    <w:p w14:paraId="4EFADA9C" w14:textId="77777777" w:rsidR="00F227D9" w:rsidRPr="00547260" w:rsidRDefault="00F227D9" w:rsidP="00F227D9">
      <w:pPr>
        <w:pStyle w:val="Heading1"/>
        <w:spacing w:after="240"/>
        <w:rPr>
          <w:lang w:val="pt-BR"/>
        </w:rPr>
      </w:pPr>
      <w:bookmarkStart w:id="29" w:name="_Toc77095580"/>
      <w:r w:rsidRPr="00547260">
        <w:rPr>
          <w:lang w:val="pt-BR"/>
        </w:rPr>
        <w:t>Note 2</w:t>
      </w:r>
      <w:r w:rsidR="00D02B10" w:rsidRPr="00547260">
        <w:rPr>
          <w:lang w:val="pt-BR"/>
        </w:rPr>
        <w:t>1</w:t>
      </w:r>
      <w:r w:rsidRPr="00547260">
        <w:rPr>
          <w:lang w:val="pt-BR"/>
        </w:rPr>
        <w:t xml:space="preserve"> - Other Operating Expenditure</w:t>
      </w:r>
      <w:bookmarkEnd w:id="29"/>
      <w:r w:rsidRPr="00547260">
        <w:rPr>
          <w:lang w:val="pt-BR"/>
        </w:rPr>
        <w:t xml:space="preserve"> </w:t>
      </w:r>
    </w:p>
    <w:tbl>
      <w:tblPr>
        <w:tblW w:w="0" w:type="auto"/>
        <w:jc w:val="center"/>
        <w:tblLayout w:type="fixed"/>
        <w:tblLook w:val="04A0" w:firstRow="1" w:lastRow="0" w:firstColumn="1" w:lastColumn="0" w:noHBand="0" w:noVBand="1"/>
      </w:tblPr>
      <w:tblGrid>
        <w:gridCol w:w="1335"/>
        <w:gridCol w:w="180"/>
        <w:gridCol w:w="3750"/>
        <w:gridCol w:w="1335"/>
      </w:tblGrid>
      <w:tr w:rsidR="0053376B" w:rsidRPr="00547260" w14:paraId="57BACB80" w14:textId="77777777" w:rsidTr="00884CD8">
        <w:trPr>
          <w:trHeight w:val="300"/>
          <w:jc w:val="center"/>
        </w:trPr>
        <w:tc>
          <w:tcPr>
            <w:tcW w:w="1335" w:type="dxa"/>
            <w:shd w:val="clear" w:color="auto" w:fill="auto"/>
            <w:tcMar>
              <w:top w:w="20" w:type="dxa"/>
              <w:left w:w="20" w:type="dxa"/>
              <w:bottom w:w="20" w:type="dxa"/>
              <w:right w:w="20" w:type="dxa"/>
            </w:tcMar>
            <w:vAlign w:val="bottom"/>
          </w:tcPr>
          <w:p w14:paraId="08A16E50" w14:textId="77777777" w:rsidR="00F227D9" w:rsidRPr="00547260" w:rsidRDefault="00F227D9" w:rsidP="006D0B9D">
            <w:pPr>
              <w:pStyle w:val="T1TableStyle"/>
              <w:jc w:val="center"/>
              <w:rPr>
                <w:rFonts w:ascii="Verdana" w:eastAsia="Verdana" w:hAnsi="Verdana" w:cs="Verdana"/>
                <w:b/>
                <w:color w:val="000000"/>
                <w:sz w:val="16"/>
                <w:lang w:val="en-GB"/>
              </w:rPr>
            </w:pPr>
            <w:r w:rsidRPr="00547260">
              <w:rPr>
                <w:rFonts w:ascii="Verdana" w:eastAsia="Verdana" w:hAnsi="Verdana" w:cs="Verdana"/>
                <w:b/>
                <w:color w:val="000000"/>
                <w:sz w:val="16"/>
                <w:lang w:val="en-GB"/>
              </w:rPr>
              <w:t>201</w:t>
            </w:r>
            <w:r w:rsidR="006D0B9D" w:rsidRPr="00547260">
              <w:rPr>
                <w:rFonts w:ascii="Verdana" w:eastAsia="Verdana" w:hAnsi="Verdana" w:cs="Verdana"/>
                <w:b/>
                <w:color w:val="000000"/>
                <w:sz w:val="16"/>
                <w:lang w:val="en-GB"/>
              </w:rPr>
              <w:t>9</w:t>
            </w:r>
            <w:r w:rsidRPr="00547260">
              <w:rPr>
                <w:rFonts w:ascii="Verdana" w:eastAsia="Verdana" w:hAnsi="Verdana" w:cs="Verdana"/>
                <w:b/>
                <w:color w:val="000000"/>
                <w:sz w:val="16"/>
                <w:lang w:val="en-GB"/>
              </w:rPr>
              <w:t>/</w:t>
            </w:r>
            <w:r w:rsidR="006D0B9D" w:rsidRPr="00547260">
              <w:rPr>
                <w:rFonts w:ascii="Verdana" w:eastAsia="Verdana" w:hAnsi="Verdana" w:cs="Verdana"/>
                <w:b/>
                <w:color w:val="000000"/>
                <w:sz w:val="16"/>
                <w:lang w:val="en-GB"/>
              </w:rPr>
              <w:t>20</w:t>
            </w:r>
          </w:p>
        </w:tc>
        <w:tc>
          <w:tcPr>
            <w:tcW w:w="180" w:type="dxa"/>
            <w:shd w:val="clear" w:color="auto" w:fill="auto"/>
            <w:tcMar>
              <w:top w:w="20" w:type="dxa"/>
              <w:left w:w="20" w:type="dxa"/>
              <w:bottom w:w="20" w:type="dxa"/>
              <w:right w:w="20" w:type="dxa"/>
            </w:tcMar>
          </w:tcPr>
          <w:p w14:paraId="3411AC29" w14:textId="77777777" w:rsidR="00F227D9" w:rsidRPr="00547260" w:rsidRDefault="00F227D9">
            <w:pPr>
              <w:pStyle w:val="T1TableStyle"/>
              <w:jc w:val="center"/>
              <w:rPr>
                <w:rFonts w:ascii="Verdana" w:eastAsia="Verdana" w:hAnsi="Verdana" w:cs="Verdana"/>
                <w:b/>
                <w:color w:val="000000"/>
                <w:sz w:val="2"/>
                <w:lang w:val="en-GB"/>
              </w:rPr>
            </w:pPr>
            <w:r w:rsidRPr="00547260">
              <w:rPr>
                <w:rFonts w:ascii="Verdana" w:eastAsia="Verdana" w:hAnsi="Verdana" w:cs="Verdana"/>
                <w:b/>
                <w:color w:val="000000"/>
                <w:sz w:val="2"/>
                <w:lang w:val="en-GB"/>
              </w:rPr>
              <w:t xml:space="preserve"> </w:t>
            </w:r>
          </w:p>
        </w:tc>
        <w:tc>
          <w:tcPr>
            <w:tcW w:w="3750" w:type="dxa"/>
            <w:shd w:val="clear" w:color="auto" w:fill="auto"/>
            <w:tcMar>
              <w:top w:w="20" w:type="dxa"/>
              <w:left w:w="20" w:type="dxa"/>
              <w:bottom w:w="20" w:type="dxa"/>
              <w:right w:w="20" w:type="dxa"/>
            </w:tcMar>
          </w:tcPr>
          <w:p w14:paraId="2506641B" w14:textId="77777777" w:rsidR="00F227D9" w:rsidRPr="00547260" w:rsidRDefault="00F227D9">
            <w:pPr>
              <w:pStyle w:val="T1TableStyle"/>
              <w:jc w:val="center"/>
              <w:rPr>
                <w:rFonts w:ascii="Verdana" w:eastAsia="Verdana" w:hAnsi="Verdana" w:cs="Verdana"/>
                <w:b/>
                <w:color w:val="000000"/>
                <w:sz w:val="2"/>
                <w:lang w:val="en-GB"/>
              </w:rPr>
            </w:pPr>
            <w:r w:rsidRPr="00547260">
              <w:rPr>
                <w:rFonts w:ascii="Verdana" w:eastAsia="Verdana" w:hAnsi="Verdana" w:cs="Verdana"/>
                <w:b/>
                <w:color w:val="000000"/>
                <w:sz w:val="2"/>
                <w:lang w:val="en-GB"/>
              </w:rPr>
              <w:t xml:space="preserve"> </w:t>
            </w:r>
          </w:p>
        </w:tc>
        <w:tc>
          <w:tcPr>
            <w:tcW w:w="1335" w:type="dxa"/>
            <w:shd w:val="clear" w:color="auto" w:fill="auto"/>
            <w:tcMar>
              <w:top w:w="20" w:type="dxa"/>
              <w:left w:w="20" w:type="dxa"/>
              <w:bottom w:w="20" w:type="dxa"/>
              <w:right w:w="20" w:type="dxa"/>
            </w:tcMar>
            <w:vAlign w:val="bottom"/>
          </w:tcPr>
          <w:p w14:paraId="013B3707" w14:textId="77777777" w:rsidR="00F227D9" w:rsidRPr="00547260" w:rsidRDefault="00F227D9" w:rsidP="006D0B9D">
            <w:pPr>
              <w:pStyle w:val="T1TableStyle"/>
              <w:jc w:val="center"/>
              <w:rPr>
                <w:rFonts w:ascii="Verdana" w:eastAsia="Verdana" w:hAnsi="Verdana" w:cs="Verdana"/>
                <w:b/>
                <w:color w:val="000000"/>
                <w:sz w:val="16"/>
                <w:lang w:val="en-GB"/>
              </w:rPr>
            </w:pPr>
            <w:r w:rsidRPr="00547260">
              <w:rPr>
                <w:rFonts w:ascii="Verdana" w:eastAsia="Verdana" w:hAnsi="Verdana" w:cs="Verdana"/>
                <w:b/>
                <w:color w:val="000000"/>
                <w:sz w:val="16"/>
                <w:lang w:val="en-GB"/>
              </w:rPr>
              <w:t>20</w:t>
            </w:r>
            <w:r w:rsidR="006D0B9D" w:rsidRPr="00547260">
              <w:rPr>
                <w:rFonts w:ascii="Verdana" w:eastAsia="Verdana" w:hAnsi="Verdana" w:cs="Verdana"/>
                <w:b/>
                <w:color w:val="000000"/>
                <w:sz w:val="16"/>
                <w:lang w:val="en-GB"/>
              </w:rPr>
              <w:t>20</w:t>
            </w:r>
            <w:r w:rsidRPr="00547260">
              <w:rPr>
                <w:rFonts w:ascii="Verdana" w:eastAsia="Verdana" w:hAnsi="Verdana" w:cs="Verdana"/>
                <w:b/>
                <w:color w:val="000000"/>
                <w:sz w:val="16"/>
                <w:lang w:val="en-GB"/>
              </w:rPr>
              <w:t>/2</w:t>
            </w:r>
            <w:r w:rsidR="006D0B9D" w:rsidRPr="00547260">
              <w:rPr>
                <w:rFonts w:ascii="Verdana" w:eastAsia="Verdana" w:hAnsi="Verdana" w:cs="Verdana"/>
                <w:b/>
                <w:color w:val="000000"/>
                <w:sz w:val="16"/>
                <w:lang w:val="en-GB"/>
              </w:rPr>
              <w:t>1</w:t>
            </w:r>
          </w:p>
        </w:tc>
      </w:tr>
      <w:tr w:rsidR="0053376B" w:rsidRPr="00547260" w14:paraId="497912F2" w14:textId="77777777" w:rsidTr="00884CD8">
        <w:trPr>
          <w:trHeight w:val="300"/>
          <w:jc w:val="center"/>
        </w:trPr>
        <w:tc>
          <w:tcPr>
            <w:tcW w:w="1335" w:type="dxa"/>
            <w:tcBorders>
              <w:bottom w:val="single" w:sz="2" w:space="0" w:color="000000"/>
            </w:tcBorders>
            <w:shd w:val="clear" w:color="auto" w:fill="auto"/>
            <w:tcMar>
              <w:top w:w="20" w:type="dxa"/>
              <w:left w:w="20" w:type="dxa"/>
              <w:bottom w:w="20" w:type="dxa"/>
              <w:right w:w="20" w:type="dxa"/>
            </w:tcMar>
          </w:tcPr>
          <w:p w14:paraId="341DE40A" w14:textId="77777777" w:rsidR="00F227D9" w:rsidRPr="00547260" w:rsidRDefault="00F227D9">
            <w:pPr>
              <w:pStyle w:val="T1TableStyle"/>
              <w:jc w:val="right"/>
              <w:rPr>
                <w:rFonts w:ascii="Verdana" w:eastAsia="Verdana" w:hAnsi="Verdana" w:cs="Verdana"/>
                <w:b/>
                <w:color w:val="000000"/>
                <w:sz w:val="16"/>
                <w:lang w:val="en-GB"/>
              </w:rPr>
            </w:pPr>
            <w:r w:rsidRPr="00547260">
              <w:rPr>
                <w:rFonts w:ascii="Verdana" w:eastAsia="Verdana" w:hAnsi="Verdana" w:cs="Verdana"/>
                <w:b/>
                <w:color w:val="000000"/>
                <w:sz w:val="16"/>
                <w:lang w:val="en-GB"/>
              </w:rPr>
              <w:t>£000</w:t>
            </w:r>
          </w:p>
        </w:tc>
        <w:tc>
          <w:tcPr>
            <w:tcW w:w="180" w:type="dxa"/>
            <w:tcBorders>
              <w:bottom w:val="single" w:sz="2" w:space="0" w:color="000000"/>
            </w:tcBorders>
            <w:shd w:val="clear" w:color="auto" w:fill="auto"/>
            <w:tcMar>
              <w:top w:w="20" w:type="dxa"/>
              <w:left w:w="20" w:type="dxa"/>
              <w:bottom w:w="20" w:type="dxa"/>
              <w:right w:w="20" w:type="dxa"/>
            </w:tcMar>
          </w:tcPr>
          <w:p w14:paraId="79C22035" w14:textId="77777777" w:rsidR="00F227D9" w:rsidRPr="00547260" w:rsidRDefault="00F227D9">
            <w:pPr>
              <w:pStyle w:val="T1TableStyle"/>
              <w:jc w:val="right"/>
              <w:rPr>
                <w:rFonts w:ascii="Verdana" w:eastAsia="Verdana" w:hAnsi="Verdana" w:cs="Verdana"/>
                <w:b/>
                <w:color w:val="000000"/>
                <w:sz w:val="2"/>
                <w:lang w:val="en-GB"/>
              </w:rPr>
            </w:pPr>
            <w:r w:rsidRPr="00547260">
              <w:rPr>
                <w:rFonts w:ascii="Verdana" w:eastAsia="Verdana" w:hAnsi="Verdana" w:cs="Verdana"/>
                <w:b/>
                <w:color w:val="000000"/>
                <w:sz w:val="2"/>
                <w:lang w:val="en-GB"/>
              </w:rPr>
              <w:t xml:space="preserve"> </w:t>
            </w:r>
          </w:p>
        </w:tc>
        <w:tc>
          <w:tcPr>
            <w:tcW w:w="3750" w:type="dxa"/>
            <w:tcBorders>
              <w:bottom w:val="single" w:sz="2" w:space="0" w:color="000000"/>
            </w:tcBorders>
            <w:shd w:val="clear" w:color="auto" w:fill="auto"/>
            <w:tcMar>
              <w:top w:w="20" w:type="dxa"/>
              <w:left w:w="20" w:type="dxa"/>
              <w:bottom w:w="20" w:type="dxa"/>
              <w:right w:w="20" w:type="dxa"/>
            </w:tcMar>
          </w:tcPr>
          <w:p w14:paraId="275A8385" w14:textId="77777777" w:rsidR="00F227D9" w:rsidRPr="00547260" w:rsidRDefault="00F227D9">
            <w:pPr>
              <w:pStyle w:val="T1TableStyle"/>
              <w:jc w:val="right"/>
              <w:rPr>
                <w:rFonts w:ascii="Verdana" w:eastAsia="Verdana" w:hAnsi="Verdana" w:cs="Verdana"/>
                <w:b/>
                <w:color w:val="000000"/>
                <w:sz w:val="2"/>
                <w:lang w:val="en-GB"/>
              </w:rPr>
            </w:pPr>
            <w:r w:rsidRPr="00547260">
              <w:rPr>
                <w:rFonts w:ascii="Verdana" w:eastAsia="Verdana" w:hAnsi="Verdana" w:cs="Verdana"/>
                <w:b/>
                <w:color w:val="000000"/>
                <w:sz w:val="2"/>
                <w:lang w:val="en-GB"/>
              </w:rPr>
              <w:t xml:space="preserve"> </w:t>
            </w:r>
          </w:p>
        </w:tc>
        <w:tc>
          <w:tcPr>
            <w:tcW w:w="1335" w:type="dxa"/>
            <w:tcBorders>
              <w:bottom w:val="single" w:sz="2" w:space="0" w:color="000000"/>
            </w:tcBorders>
            <w:shd w:val="clear" w:color="auto" w:fill="auto"/>
            <w:tcMar>
              <w:top w:w="20" w:type="dxa"/>
              <w:left w:w="20" w:type="dxa"/>
              <w:bottom w:w="20" w:type="dxa"/>
              <w:right w:w="20" w:type="dxa"/>
            </w:tcMar>
          </w:tcPr>
          <w:p w14:paraId="56745F4E" w14:textId="77777777" w:rsidR="00F227D9" w:rsidRPr="00547260" w:rsidRDefault="00F227D9">
            <w:pPr>
              <w:pStyle w:val="T1TableStyle"/>
              <w:jc w:val="right"/>
              <w:rPr>
                <w:rFonts w:ascii="Verdana" w:eastAsia="Verdana" w:hAnsi="Verdana" w:cs="Verdana"/>
                <w:b/>
                <w:color w:val="000000"/>
                <w:sz w:val="16"/>
                <w:lang w:val="en-GB"/>
              </w:rPr>
            </w:pPr>
            <w:r w:rsidRPr="00547260">
              <w:rPr>
                <w:rFonts w:ascii="Verdana" w:eastAsia="Verdana" w:hAnsi="Verdana" w:cs="Verdana"/>
                <w:b/>
                <w:color w:val="000000"/>
                <w:sz w:val="16"/>
                <w:lang w:val="en-GB"/>
              </w:rPr>
              <w:t>£000</w:t>
            </w:r>
          </w:p>
        </w:tc>
      </w:tr>
      <w:tr w:rsidR="006D0B9D" w:rsidRPr="00547260" w14:paraId="70725375" w14:textId="77777777" w:rsidTr="00884CD8">
        <w:trPr>
          <w:trHeight w:val="300"/>
          <w:jc w:val="center"/>
        </w:trPr>
        <w:tc>
          <w:tcPr>
            <w:tcW w:w="1335" w:type="dxa"/>
            <w:shd w:val="clear" w:color="auto" w:fill="auto"/>
            <w:tcMar>
              <w:top w:w="20" w:type="dxa"/>
              <w:left w:w="20" w:type="dxa"/>
              <w:bottom w:w="20" w:type="dxa"/>
              <w:right w:w="20" w:type="dxa"/>
            </w:tcMar>
          </w:tcPr>
          <w:p w14:paraId="44D89F10" w14:textId="77777777" w:rsidR="006D0B9D" w:rsidRPr="00547260" w:rsidRDefault="006D0B9D" w:rsidP="006D0B9D">
            <w:pPr>
              <w:pStyle w:val="T1TableStyle"/>
              <w:jc w:val="right"/>
              <w:rPr>
                <w:rFonts w:ascii="Verdana" w:eastAsia="Verdana" w:hAnsi="Verdana" w:cs="Verdana"/>
                <w:color w:val="000000"/>
                <w:sz w:val="16"/>
                <w:lang w:val="en-GB"/>
              </w:rPr>
            </w:pPr>
            <w:r w:rsidRPr="00547260">
              <w:rPr>
                <w:rFonts w:ascii="Verdana" w:eastAsia="Verdana" w:hAnsi="Verdana" w:cs="Verdana"/>
                <w:color w:val="000000"/>
                <w:sz w:val="16"/>
                <w:lang w:val="en-GB"/>
              </w:rPr>
              <w:t>522</w:t>
            </w:r>
          </w:p>
        </w:tc>
        <w:tc>
          <w:tcPr>
            <w:tcW w:w="180" w:type="dxa"/>
            <w:shd w:val="clear" w:color="auto" w:fill="auto"/>
            <w:tcMar>
              <w:top w:w="20" w:type="dxa"/>
              <w:left w:w="20" w:type="dxa"/>
              <w:bottom w:w="20" w:type="dxa"/>
              <w:right w:w="20" w:type="dxa"/>
            </w:tcMar>
          </w:tcPr>
          <w:p w14:paraId="455AF7C9" w14:textId="77777777" w:rsidR="006D0B9D" w:rsidRPr="00547260" w:rsidRDefault="006D0B9D" w:rsidP="006D0B9D">
            <w:pPr>
              <w:pStyle w:val="T1TableStyle"/>
              <w:jc w:val="center"/>
              <w:rPr>
                <w:rFonts w:ascii="Verdana" w:eastAsia="Verdana" w:hAnsi="Verdana" w:cs="Verdana"/>
                <w:color w:val="000000"/>
                <w:sz w:val="2"/>
                <w:lang w:val="en-GB"/>
              </w:rPr>
            </w:pPr>
            <w:r w:rsidRPr="00547260">
              <w:rPr>
                <w:rFonts w:ascii="Verdana" w:eastAsia="Verdana" w:hAnsi="Verdana" w:cs="Verdana"/>
                <w:color w:val="000000"/>
                <w:sz w:val="2"/>
                <w:lang w:val="en-GB"/>
              </w:rPr>
              <w:t xml:space="preserve"> </w:t>
            </w:r>
          </w:p>
        </w:tc>
        <w:tc>
          <w:tcPr>
            <w:tcW w:w="3750" w:type="dxa"/>
            <w:shd w:val="clear" w:color="auto" w:fill="auto"/>
            <w:tcMar>
              <w:top w:w="20" w:type="dxa"/>
              <w:left w:w="20" w:type="dxa"/>
              <w:bottom w:w="20" w:type="dxa"/>
              <w:right w:w="20" w:type="dxa"/>
            </w:tcMar>
          </w:tcPr>
          <w:p w14:paraId="4DE0C517" w14:textId="77777777" w:rsidR="006D0B9D" w:rsidRPr="00547260" w:rsidRDefault="006D0B9D" w:rsidP="006D0B9D">
            <w:pPr>
              <w:pStyle w:val="T1TableStyle"/>
              <w:rPr>
                <w:rFonts w:ascii="Verdana" w:eastAsia="Verdana" w:hAnsi="Verdana" w:cs="Verdana"/>
                <w:color w:val="000000"/>
                <w:sz w:val="16"/>
                <w:lang w:val="en-GB"/>
              </w:rPr>
            </w:pPr>
            <w:r w:rsidRPr="00547260">
              <w:rPr>
                <w:rFonts w:ascii="Verdana" w:eastAsia="Verdana" w:hAnsi="Verdana" w:cs="Verdana"/>
                <w:color w:val="000000"/>
                <w:sz w:val="16"/>
                <w:lang w:val="en-GB"/>
              </w:rPr>
              <w:t>Levies</w:t>
            </w:r>
          </w:p>
        </w:tc>
        <w:tc>
          <w:tcPr>
            <w:tcW w:w="1335" w:type="dxa"/>
            <w:shd w:val="clear" w:color="auto" w:fill="auto"/>
            <w:tcMar>
              <w:top w:w="20" w:type="dxa"/>
              <w:left w:w="20" w:type="dxa"/>
              <w:bottom w:w="20" w:type="dxa"/>
              <w:right w:w="20" w:type="dxa"/>
            </w:tcMar>
          </w:tcPr>
          <w:p w14:paraId="42F5F2D9" w14:textId="78CDF335" w:rsidR="006D0B9D" w:rsidRPr="00547260" w:rsidRDefault="00BD023B" w:rsidP="006D0B9D">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r>
      <w:tr w:rsidR="006D0B9D" w:rsidRPr="00547260" w14:paraId="23D43911" w14:textId="77777777" w:rsidTr="00884CD8">
        <w:trPr>
          <w:trHeight w:val="300"/>
          <w:jc w:val="center"/>
        </w:trPr>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14:paraId="6CF8AD88" w14:textId="77777777" w:rsidR="006D0B9D" w:rsidRPr="00547260" w:rsidRDefault="006D0B9D" w:rsidP="006D0B9D">
            <w:pPr>
              <w:pStyle w:val="T1TableStyle"/>
              <w:jc w:val="right"/>
              <w:rPr>
                <w:rFonts w:ascii="Verdana" w:eastAsia="Verdana" w:hAnsi="Verdana" w:cs="Verdana"/>
                <w:b/>
                <w:color w:val="000000"/>
                <w:sz w:val="16"/>
                <w:lang w:val="en-GB"/>
              </w:rPr>
            </w:pPr>
            <w:r w:rsidRPr="00547260">
              <w:rPr>
                <w:rFonts w:ascii="Verdana" w:eastAsia="Verdana" w:hAnsi="Verdana" w:cs="Verdana"/>
                <w:b/>
                <w:color w:val="000000"/>
                <w:sz w:val="16"/>
                <w:lang w:val="en-GB"/>
              </w:rPr>
              <w:t>522</w:t>
            </w:r>
          </w:p>
        </w:tc>
        <w:tc>
          <w:tcPr>
            <w:tcW w:w="180" w:type="dxa"/>
            <w:tcBorders>
              <w:top w:val="single" w:sz="2" w:space="0" w:color="000000"/>
              <w:bottom w:val="single" w:sz="12" w:space="0" w:color="000000"/>
            </w:tcBorders>
            <w:shd w:val="clear" w:color="auto" w:fill="auto"/>
            <w:tcMar>
              <w:top w:w="20" w:type="dxa"/>
              <w:left w:w="20" w:type="dxa"/>
              <w:bottom w:w="20" w:type="dxa"/>
              <w:right w:w="20" w:type="dxa"/>
            </w:tcMar>
          </w:tcPr>
          <w:p w14:paraId="1B262854" w14:textId="77777777" w:rsidR="006D0B9D" w:rsidRPr="00547260" w:rsidRDefault="006D0B9D" w:rsidP="006D0B9D">
            <w:pPr>
              <w:pStyle w:val="T1TableStyle"/>
              <w:jc w:val="center"/>
              <w:rPr>
                <w:rFonts w:ascii="Verdana" w:eastAsia="Verdana" w:hAnsi="Verdana" w:cs="Verdana"/>
                <w:b/>
                <w:color w:val="000000"/>
                <w:sz w:val="2"/>
                <w:lang w:val="en-GB"/>
              </w:rPr>
            </w:pPr>
            <w:r w:rsidRPr="00547260">
              <w:rPr>
                <w:rFonts w:ascii="Verdana" w:eastAsia="Verdana" w:hAnsi="Verdana" w:cs="Verdana"/>
                <w:b/>
                <w:color w:val="000000"/>
                <w:sz w:val="2"/>
                <w:lang w:val="en-GB"/>
              </w:rPr>
              <w:t xml:space="preserve"> </w:t>
            </w:r>
          </w:p>
        </w:tc>
        <w:tc>
          <w:tcPr>
            <w:tcW w:w="3750" w:type="dxa"/>
            <w:tcBorders>
              <w:top w:val="single" w:sz="2" w:space="0" w:color="000000"/>
              <w:bottom w:val="single" w:sz="12" w:space="0" w:color="000000"/>
            </w:tcBorders>
            <w:shd w:val="clear" w:color="auto" w:fill="auto"/>
            <w:tcMar>
              <w:top w:w="20" w:type="dxa"/>
              <w:left w:w="20" w:type="dxa"/>
              <w:bottom w:w="20" w:type="dxa"/>
              <w:right w:w="20" w:type="dxa"/>
            </w:tcMar>
          </w:tcPr>
          <w:p w14:paraId="21E5E3FA" w14:textId="77777777" w:rsidR="006D0B9D" w:rsidRPr="00547260" w:rsidRDefault="006D0B9D" w:rsidP="006D0B9D">
            <w:pPr>
              <w:pStyle w:val="T1TableStyle"/>
              <w:rPr>
                <w:rFonts w:ascii="Verdana" w:eastAsia="Verdana" w:hAnsi="Verdana" w:cs="Verdana"/>
                <w:b/>
                <w:color w:val="000000"/>
                <w:sz w:val="16"/>
                <w:lang w:val="en-GB"/>
              </w:rPr>
            </w:pPr>
            <w:r w:rsidRPr="00547260">
              <w:rPr>
                <w:rFonts w:ascii="Verdana" w:eastAsia="Verdana" w:hAnsi="Verdana" w:cs="Verdana"/>
                <w:b/>
                <w:color w:val="000000"/>
                <w:sz w:val="16"/>
                <w:lang w:val="en-GB"/>
              </w:rPr>
              <w:t>Total Other Operating Expenditure</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14:paraId="0B67AFE9" w14:textId="0FF824FA" w:rsidR="006D0B9D" w:rsidRPr="00547260" w:rsidRDefault="00BD023B" w:rsidP="006D0B9D">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w:t>
            </w:r>
          </w:p>
        </w:tc>
      </w:tr>
    </w:tbl>
    <w:p w14:paraId="1F9DF63A" w14:textId="77777777" w:rsidR="00F227D9" w:rsidRPr="00DC1077" w:rsidRDefault="00F227D9">
      <w:pPr>
        <w:pStyle w:val="T1TableStyle"/>
        <w:rPr>
          <w:rFonts w:ascii="Verdana" w:eastAsia="Verdana" w:hAnsi="Verdana" w:cs="Verdana"/>
          <w:sz w:val="22"/>
          <w:highlight w:val="yellow"/>
          <w:lang w:val="en-GB"/>
        </w:rPr>
      </w:pPr>
    </w:p>
    <w:p w14:paraId="09FBD9A1" w14:textId="77777777" w:rsidR="00F227D9" w:rsidRPr="00932742" w:rsidRDefault="00EB0483" w:rsidP="00F227D9">
      <w:pPr>
        <w:pStyle w:val="Heading1"/>
        <w:rPr>
          <w:lang w:val="en-GB" w:eastAsia="en-GB"/>
        </w:rPr>
      </w:pPr>
      <w:bookmarkStart w:id="30" w:name="_Toc77095581"/>
      <w:r w:rsidRPr="00932742">
        <w:rPr>
          <w:lang w:val="en-GB" w:eastAsia="en-GB"/>
        </w:rPr>
        <w:t>Note 2</w:t>
      </w:r>
      <w:r w:rsidR="00D02B10" w:rsidRPr="00932742">
        <w:rPr>
          <w:lang w:val="en-GB" w:eastAsia="en-GB"/>
        </w:rPr>
        <w:t>2</w:t>
      </w:r>
      <w:r w:rsidRPr="00932742">
        <w:rPr>
          <w:lang w:val="en-GB" w:eastAsia="en-GB"/>
        </w:rPr>
        <w:t xml:space="preserve"> - </w:t>
      </w:r>
      <w:r w:rsidR="00F227D9" w:rsidRPr="00932742">
        <w:rPr>
          <w:lang w:val="en-GB" w:eastAsia="en-GB"/>
        </w:rPr>
        <w:t>Accounting Policies</w:t>
      </w:r>
      <w:bookmarkEnd w:id="30"/>
    </w:p>
    <w:p w14:paraId="1DD89EB4" w14:textId="77777777" w:rsidR="00F227D9" w:rsidRPr="00932742" w:rsidRDefault="00F227D9" w:rsidP="00F227D9">
      <w:pPr>
        <w:pStyle w:val="Style1"/>
        <w:numPr>
          <w:ilvl w:val="0"/>
          <w:numId w:val="0"/>
        </w:numPr>
        <w:ind w:left="5606" w:hanging="360"/>
        <w:rPr>
          <w:rFonts w:ascii="Verdana" w:hAnsi="Verdana"/>
          <w:sz w:val="22"/>
          <w:szCs w:val="22"/>
          <w:lang w:val="en-GB" w:eastAsia="en-GB"/>
        </w:rPr>
      </w:pPr>
    </w:p>
    <w:p w14:paraId="1A4D0F1F" w14:textId="77777777" w:rsidR="003E44C5" w:rsidRPr="00932742" w:rsidRDefault="003E44C5" w:rsidP="003E44C5">
      <w:pPr>
        <w:pStyle w:val="Style1"/>
        <w:numPr>
          <w:ilvl w:val="0"/>
          <w:numId w:val="0"/>
        </w:numPr>
        <w:rPr>
          <w:rFonts w:ascii="Verdana" w:hAnsi="Verdana"/>
          <w:sz w:val="22"/>
          <w:szCs w:val="22"/>
        </w:rPr>
      </w:pPr>
      <w:bookmarkStart w:id="31" w:name="_Toc489957273"/>
      <w:r w:rsidRPr="00932742">
        <w:rPr>
          <w:rFonts w:ascii="Verdana" w:hAnsi="Verdana"/>
          <w:sz w:val="22"/>
          <w:szCs w:val="22"/>
        </w:rPr>
        <w:t>General Principles</w:t>
      </w:r>
    </w:p>
    <w:p w14:paraId="1949E6CA" w14:textId="77777777" w:rsidR="003E44C5" w:rsidRPr="00DC1077" w:rsidRDefault="003E44C5" w:rsidP="003E44C5">
      <w:pPr>
        <w:pStyle w:val="Style1"/>
        <w:numPr>
          <w:ilvl w:val="0"/>
          <w:numId w:val="0"/>
        </w:numPr>
        <w:ind w:left="5606"/>
        <w:rPr>
          <w:rFonts w:ascii="Verdana" w:hAnsi="Verdana"/>
          <w:sz w:val="22"/>
          <w:szCs w:val="22"/>
          <w:highlight w:val="yellow"/>
        </w:rPr>
      </w:pPr>
    </w:p>
    <w:p w14:paraId="432794A5" w14:textId="77777777" w:rsidR="00932742" w:rsidRPr="00932742" w:rsidRDefault="00932742" w:rsidP="00932742">
      <w:pPr>
        <w:jc w:val="both"/>
        <w:rPr>
          <w:rFonts w:ascii="Verdana" w:hAnsi="Verdana" w:cs="Arial"/>
          <w:sz w:val="22"/>
          <w:szCs w:val="22"/>
        </w:rPr>
      </w:pPr>
      <w:r w:rsidRPr="00932742">
        <w:rPr>
          <w:rFonts w:ascii="Verdana" w:hAnsi="Verdana" w:cs="Arial"/>
          <w:sz w:val="22"/>
          <w:szCs w:val="22"/>
        </w:rPr>
        <w:t>The Statement of accounts summarises the organisation’s transactions for the financial year and its position at the year-end of 31 March. The organisation is required to prepare an annual statement of accounts by the Accounts and Audit Regulations 2015, which require to be prepared in accordance with proper accounting practices. These practices primarily comprise the Code of Practice on Local Authority Accounting in the United Kingdom (the Code).</w:t>
      </w:r>
    </w:p>
    <w:p w14:paraId="607E5FCC" w14:textId="77777777" w:rsidR="00932742" w:rsidRPr="00932742" w:rsidRDefault="00932742" w:rsidP="00932742">
      <w:pPr>
        <w:jc w:val="both"/>
        <w:rPr>
          <w:rFonts w:ascii="Verdana" w:hAnsi="Verdana" w:cs="Arial"/>
          <w:sz w:val="22"/>
          <w:szCs w:val="22"/>
        </w:rPr>
      </w:pPr>
    </w:p>
    <w:p w14:paraId="6B2DF77D" w14:textId="77777777" w:rsidR="00932742" w:rsidRPr="00932742" w:rsidRDefault="00932742" w:rsidP="00932742">
      <w:pPr>
        <w:jc w:val="both"/>
        <w:rPr>
          <w:rFonts w:ascii="Verdana" w:hAnsi="Verdana" w:cs="Arial"/>
          <w:sz w:val="22"/>
          <w:szCs w:val="22"/>
        </w:rPr>
      </w:pPr>
      <w:r w:rsidRPr="00932742">
        <w:rPr>
          <w:rFonts w:ascii="Verdana" w:hAnsi="Verdana" w:cs="Arial"/>
          <w:sz w:val="22"/>
          <w:szCs w:val="22"/>
        </w:rPr>
        <w:t xml:space="preserve">The financial statements have been prepared in accordance with the Code, issued by the Chartered Institute of Public Finance and Accountancy (CIPFA) and reviewed by the Financial Reporting Advisory Board (FRAB).  The Code is based on approved accounting standards issued by the International Accounting Standards Board (IASB) and interpretations of the International Financial Reporting Interpretations Committee, except where these are inconsistent with specific statutory requirements.  The Code also draws on approved accounting standards issued by the International Public Sector Accounting Standards Board (IPSAS) and the UK Accounting Standards Board (ASB) where these provide additional guidance.  </w:t>
      </w:r>
    </w:p>
    <w:p w14:paraId="5D7C6334" w14:textId="77777777" w:rsidR="00932742" w:rsidRPr="00932742" w:rsidRDefault="00932742" w:rsidP="00932742">
      <w:pPr>
        <w:jc w:val="both"/>
        <w:rPr>
          <w:rFonts w:ascii="Verdana" w:hAnsi="Verdana" w:cs="Arial"/>
          <w:sz w:val="22"/>
          <w:szCs w:val="22"/>
        </w:rPr>
      </w:pPr>
    </w:p>
    <w:p w14:paraId="07F6B835" w14:textId="77777777" w:rsidR="00932742" w:rsidRPr="00932742" w:rsidRDefault="00932742" w:rsidP="00932742">
      <w:pPr>
        <w:jc w:val="both"/>
        <w:rPr>
          <w:rFonts w:ascii="Verdana" w:hAnsi="Verdana" w:cs="Arial"/>
          <w:sz w:val="22"/>
          <w:szCs w:val="22"/>
        </w:rPr>
      </w:pPr>
      <w:r w:rsidRPr="00932742">
        <w:rPr>
          <w:rFonts w:ascii="Verdana" w:hAnsi="Verdana" w:cs="Arial"/>
          <w:sz w:val="22"/>
          <w:szCs w:val="22"/>
        </w:rPr>
        <w:t>Following the passing of the Police Reform and Social Responsibility Act 2011 the Police and Crime Commissioner for Surrey (PCC) and the Chief Constable of Surrey (CC) were set up as two ‘corporation sole’ bodies.  Both bodies are required to prepare separate Statement of Accounts.</w:t>
      </w:r>
    </w:p>
    <w:p w14:paraId="1F057577" w14:textId="77777777" w:rsidR="00932742" w:rsidRPr="00932742" w:rsidRDefault="00932742" w:rsidP="00932742">
      <w:pPr>
        <w:jc w:val="both"/>
        <w:rPr>
          <w:rFonts w:ascii="Verdana" w:hAnsi="Verdana" w:cs="Arial"/>
          <w:sz w:val="22"/>
          <w:szCs w:val="22"/>
        </w:rPr>
      </w:pPr>
    </w:p>
    <w:p w14:paraId="2F781027" w14:textId="77777777" w:rsidR="00932742" w:rsidRPr="00932742" w:rsidRDefault="00932742" w:rsidP="00932742">
      <w:pPr>
        <w:jc w:val="both"/>
        <w:rPr>
          <w:rFonts w:ascii="Verdana" w:hAnsi="Verdana" w:cs="Arial"/>
          <w:sz w:val="22"/>
          <w:szCs w:val="22"/>
        </w:rPr>
      </w:pPr>
      <w:r w:rsidRPr="00932742">
        <w:rPr>
          <w:rFonts w:ascii="Verdana" w:hAnsi="Verdana" w:cs="Arial"/>
          <w:sz w:val="22"/>
          <w:szCs w:val="22"/>
        </w:rPr>
        <w:t xml:space="preserve">The Financial Statements (Statement of accounts) included here represent the accounts of the Chief Constable of Surrey as designated by the Police Reform and Social Responsibility Act 2011 and the Home Office Financial Management Code of Practice for the Police Service, England and Wales 2012.  The accounts cover the 12 months to 31 March 2021.  </w:t>
      </w:r>
    </w:p>
    <w:p w14:paraId="2C106B4E" w14:textId="77777777" w:rsidR="00932742" w:rsidRPr="00932742" w:rsidRDefault="00932742" w:rsidP="00932742">
      <w:pPr>
        <w:jc w:val="both"/>
        <w:rPr>
          <w:rFonts w:ascii="Verdana" w:hAnsi="Verdana" w:cs="Arial"/>
          <w:sz w:val="22"/>
          <w:szCs w:val="22"/>
        </w:rPr>
      </w:pPr>
    </w:p>
    <w:p w14:paraId="0CF15F96" w14:textId="77777777" w:rsidR="00932742" w:rsidRDefault="00932742" w:rsidP="00932742">
      <w:pPr>
        <w:jc w:val="both"/>
        <w:rPr>
          <w:rFonts w:ascii="Verdana" w:hAnsi="Verdana" w:cs="Arial"/>
          <w:sz w:val="22"/>
          <w:szCs w:val="22"/>
        </w:rPr>
      </w:pPr>
      <w:r w:rsidRPr="00932742">
        <w:rPr>
          <w:rFonts w:ascii="Verdana" w:hAnsi="Verdana" w:cs="Arial"/>
          <w:sz w:val="22"/>
          <w:szCs w:val="22"/>
        </w:rPr>
        <w:t>The Police Reform and Social Responsibility Act 2011 (Transitional Provision) Order 2013 allows the same provisions of the Local Government Act 2003 for financial arrangements to apply in relation to the Chief Constable as they apply in relation to a local authority.</w:t>
      </w:r>
    </w:p>
    <w:p w14:paraId="22ECC593" w14:textId="77777777" w:rsidR="00932742" w:rsidRPr="00932742" w:rsidRDefault="00932742" w:rsidP="00932742">
      <w:pPr>
        <w:jc w:val="both"/>
        <w:rPr>
          <w:rFonts w:ascii="Verdana" w:hAnsi="Verdana" w:cs="Arial"/>
          <w:sz w:val="22"/>
          <w:szCs w:val="22"/>
        </w:rPr>
      </w:pPr>
    </w:p>
    <w:p w14:paraId="70646833" w14:textId="77777777" w:rsidR="00932742" w:rsidRPr="00F146A6" w:rsidRDefault="00932742" w:rsidP="00932742">
      <w:pPr>
        <w:jc w:val="both"/>
        <w:rPr>
          <w:rFonts w:ascii="Verdana" w:hAnsi="Verdana" w:cs="Arial"/>
          <w:sz w:val="22"/>
          <w:szCs w:val="22"/>
        </w:rPr>
      </w:pPr>
      <w:r w:rsidRPr="00F146A6">
        <w:rPr>
          <w:rFonts w:ascii="Verdana" w:hAnsi="Verdana" w:cs="Arial"/>
          <w:sz w:val="22"/>
          <w:szCs w:val="22"/>
        </w:rPr>
        <w:t>The accounting convention adopted in the statement of accounts is principally historical cost, modified by the revaluation of certain categories of non-current asset and financial instruments.</w:t>
      </w:r>
    </w:p>
    <w:p w14:paraId="56FE5786" w14:textId="77777777" w:rsidR="003E44C5" w:rsidRPr="00F146A6" w:rsidRDefault="003E44C5" w:rsidP="003E44C5">
      <w:pPr>
        <w:jc w:val="both"/>
        <w:rPr>
          <w:rFonts w:ascii="Verdana" w:hAnsi="Verdana" w:cs="Arial"/>
          <w:sz w:val="22"/>
          <w:szCs w:val="22"/>
        </w:rPr>
      </w:pPr>
    </w:p>
    <w:p w14:paraId="76709834" w14:textId="77777777" w:rsidR="003E44C5" w:rsidRPr="00F146A6" w:rsidRDefault="003E44C5" w:rsidP="003E44C5">
      <w:pPr>
        <w:pStyle w:val="Style1"/>
        <w:numPr>
          <w:ilvl w:val="0"/>
          <w:numId w:val="0"/>
        </w:numPr>
        <w:rPr>
          <w:rFonts w:ascii="Verdana" w:hAnsi="Verdana"/>
          <w:sz w:val="22"/>
          <w:szCs w:val="22"/>
        </w:rPr>
      </w:pPr>
      <w:r w:rsidRPr="00F146A6">
        <w:rPr>
          <w:rFonts w:ascii="Verdana" w:hAnsi="Verdana"/>
          <w:sz w:val="22"/>
          <w:szCs w:val="22"/>
        </w:rPr>
        <w:t>Fundamental Accounting Policies</w:t>
      </w:r>
    </w:p>
    <w:p w14:paraId="588BEBA4" w14:textId="77777777" w:rsidR="003E44C5" w:rsidRPr="00F146A6" w:rsidRDefault="003E44C5" w:rsidP="003E44C5">
      <w:pPr>
        <w:jc w:val="both"/>
        <w:rPr>
          <w:rFonts w:ascii="Verdana" w:hAnsi="Verdana" w:cs="Arial"/>
          <w:sz w:val="22"/>
          <w:szCs w:val="22"/>
        </w:rPr>
      </w:pPr>
    </w:p>
    <w:p w14:paraId="0ADBCA06" w14:textId="77777777" w:rsidR="003E44C5" w:rsidRPr="00F146A6" w:rsidRDefault="003E44C5" w:rsidP="003E44C5">
      <w:pPr>
        <w:jc w:val="both"/>
        <w:rPr>
          <w:rFonts w:ascii="Verdana" w:hAnsi="Verdana" w:cs="Arial"/>
          <w:sz w:val="22"/>
          <w:szCs w:val="22"/>
        </w:rPr>
      </w:pPr>
      <w:r w:rsidRPr="00F146A6">
        <w:rPr>
          <w:rFonts w:ascii="Verdana" w:hAnsi="Verdana" w:cs="Arial"/>
          <w:sz w:val="22"/>
          <w:szCs w:val="22"/>
        </w:rPr>
        <w:t>The Statement of Accounts has been prepared in accordance with the following accounting concepts and principles:</w:t>
      </w:r>
    </w:p>
    <w:p w14:paraId="2CE1FAAF" w14:textId="77777777" w:rsidR="003E44C5" w:rsidRPr="00F146A6" w:rsidRDefault="003E44C5" w:rsidP="003E44C5">
      <w:pPr>
        <w:jc w:val="both"/>
        <w:rPr>
          <w:rFonts w:ascii="Verdana" w:hAnsi="Verdana" w:cs="Arial"/>
          <w:sz w:val="22"/>
          <w:szCs w:val="22"/>
        </w:rPr>
      </w:pPr>
    </w:p>
    <w:p w14:paraId="745ACF62" w14:textId="77777777" w:rsidR="003E44C5" w:rsidRPr="00F146A6" w:rsidRDefault="003E44C5" w:rsidP="003E44C5">
      <w:pPr>
        <w:ind w:left="720" w:hanging="720"/>
        <w:jc w:val="both"/>
        <w:rPr>
          <w:rFonts w:ascii="Verdana" w:hAnsi="Verdana" w:cs="Arial"/>
          <w:sz w:val="22"/>
          <w:szCs w:val="22"/>
        </w:rPr>
      </w:pPr>
      <w:r w:rsidRPr="00F146A6">
        <w:rPr>
          <w:rFonts w:ascii="Verdana" w:hAnsi="Verdana" w:cs="Arial"/>
          <w:sz w:val="22"/>
          <w:szCs w:val="22"/>
        </w:rPr>
        <w:t>•</w:t>
      </w:r>
      <w:r w:rsidRPr="00F146A6">
        <w:rPr>
          <w:rFonts w:ascii="Verdana" w:hAnsi="Verdana" w:cs="Arial"/>
          <w:sz w:val="22"/>
          <w:szCs w:val="22"/>
        </w:rPr>
        <w:tab/>
      </w:r>
      <w:r w:rsidRPr="00F146A6">
        <w:rPr>
          <w:rFonts w:ascii="Verdana" w:hAnsi="Verdana" w:cs="Arial"/>
          <w:b/>
          <w:sz w:val="22"/>
          <w:szCs w:val="22"/>
        </w:rPr>
        <w:t>Accruals</w:t>
      </w:r>
      <w:r w:rsidRPr="00F146A6">
        <w:rPr>
          <w:rFonts w:ascii="Verdana" w:hAnsi="Verdana" w:cs="Arial"/>
          <w:sz w:val="22"/>
          <w:szCs w:val="22"/>
        </w:rPr>
        <w:t xml:space="preserve"> – the accruals basis of accounting establishes that the non-cash effects of transactions are reflected in the accounting period in which those effects are experienced and not in the period in which any cash is received or paid.</w:t>
      </w:r>
    </w:p>
    <w:p w14:paraId="5AD2CB33" w14:textId="77777777" w:rsidR="003E44C5" w:rsidRPr="00F146A6" w:rsidRDefault="003E44C5" w:rsidP="003E44C5">
      <w:pPr>
        <w:jc w:val="both"/>
        <w:rPr>
          <w:rFonts w:ascii="Verdana" w:hAnsi="Verdana" w:cs="Arial"/>
          <w:sz w:val="22"/>
          <w:szCs w:val="22"/>
        </w:rPr>
      </w:pPr>
    </w:p>
    <w:p w14:paraId="63CA533E" w14:textId="77777777" w:rsidR="003E44C5" w:rsidRPr="00F146A6" w:rsidRDefault="003E44C5" w:rsidP="003E44C5">
      <w:pPr>
        <w:ind w:left="720" w:hanging="720"/>
        <w:jc w:val="both"/>
        <w:rPr>
          <w:rFonts w:ascii="Verdana" w:hAnsi="Verdana" w:cs="Arial"/>
          <w:sz w:val="22"/>
          <w:szCs w:val="22"/>
        </w:rPr>
      </w:pPr>
      <w:r w:rsidRPr="00F146A6">
        <w:rPr>
          <w:rFonts w:ascii="Verdana" w:hAnsi="Verdana" w:cs="Arial"/>
          <w:sz w:val="22"/>
          <w:szCs w:val="22"/>
        </w:rPr>
        <w:t>•</w:t>
      </w:r>
      <w:r w:rsidRPr="00F146A6">
        <w:rPr>
          <w:rFonts w:ascii="Verdana" w:hAnsi="Verdana" w:cs="Arial"/>
          <w:sz w:val="22"/>
          <w:szCs w:val="22"/>
        </w:rPr>
        <w:tab/>
      </w:r>
      <w:r w:rsidRPr="00F146A6">
        <w:rPr>
          <w:rFonts w:ascii="Verdana" w:hAnsi="Verdana" w:cs="Arial"/>
          <w:b/>
          <w:sz w:val="22"/>
          <w:szCs w:val="22"/>
        </w:rPr>
        <w:t>Going Concern</w:t>
      </w:r>
      <w:r w:rsidRPr="00F146A6">
        <w:rPr>
          <w:rFonts w:ascii="Verdana" w:hAnsi="Verdana" w:cs="Arial"/>
          <w:sz w:val="22"/>
          <w:szCs w:val="22"/>
        </w:rPr>
        <w:t xml:space="preserve"> – the Accounts have been prepared on the assumption that the Chief Constable will operate for the foreseeable future. This means in particular that the Comprehensive Income &amp; Expenditure Statement and Balance Sheet assume no intention to curtail significantly the scale of operation. </w:t>
      </w:r>
    </w:p>
    <w:p w14:paraId="63E86B0E" w14:textId="77777777" w:rsidR="003E44C5" w:rsidRPr="00F146A6" w:rsidRDefault="003E44C5" w:rsidP="003E44C5">
      <w:pPr>
        <w:jc w:val="both"/>
        <w:rPr>
          <w:rFonts w:ascii="Verdana" w:hAnsi="Verdana" w:cs="Arial"/>
          <w:sz w:val="22"/>
          <w:szCs w:val="22"/>
        </w:rPr>
      </w:pPr>
    </w:p>
    <w:p w14:paraId="665FE9C0" w14:textId="77777777" w:rsidR="003E44C5" w:rsidRPr="00F146A6" w:rsidRDefault="003E44C5" w:rsidP="003E44C5">
      <w:pPr>
        <w:ind w:left="720" w:hanging="720"/>
        <w:jc w:val="both"/>
        <w:rPr>
          <w:rFonts w:ascii="Verdana" w:hAnsi="Verdana" w:cs="Arial"/>
          <w:sz w:val="22"/>
          <w:szCs w:val="22"/>
        </w:rPr>
      </w:pPr>
      <w:r w:rsidRPr="00F146A6">
        <w:rPr>
          <w:rFonts w:ascii="Verdana" w:hAnsi="Verdana" w:cs="Arial"/>
          <w:sz w:val="22"/>
          <w:szCs w:val="22"/>
        </w:rPr>
        <w:t>•</w:t>
      </w:r>
      <w:r w:rsidRPr="00F146A6">
        <w:rPr>
          <w:rFonts w:ascii="Verdana" w:hAnsi="Verdana" w:cs="Arial"/>
          <w:sz w:val="22"/>
          <w:szCs w:val="22"/>
        </w:rPr>
        <w:tab/>
      </w:r>
      <w:r w:rsidRPr="00F146A6">
        <w:rPr>
          <w:rFonts w:ascii="Verdana" w:hAnsi="Verdana" w:cs="Arial"/>
          <w:b/>
          <w:sz w:val="22"/>
          <w:szCs w:val="22"/>
        </w:rPr>
        <w:t>Understandable</w:t>
      </w:r>
      <w:r w:rsidRPr="00F146A6">
        <w:rPr>
          <w:rFonts w:ascii="Verdana" w:hAnsi="Verdana" w:cs="Arial"/>
          <w:sz w:val="22"/>
          <w:szCs w:val="22"/>
        </w:rPr>
        <w:t xml:space="preserve"> – to ensure that the Statement of Accounts produced can be understood by readers who have a reasonable knowledge of business and economic activities.</w:t>
      </w:r>
    </w:p>
    <w:p w14:paraId="089759A6" w14:textId="77777777" w:rsidR="003E44C5" w:rsidRPr="00F146A6" w:rsidRDefault="003E44C5" w:rsidP="003E44C5">
      <w:pPr>
        <w:jc w:val="both"/>
        <w:rPr>
          <w:rFonts w:ascii="Verdana" w:hAnsi="Verdana" w:cs="Arial"/>
          <w:sz w:val="22"/>
          <w:szCs w:val="22"/>
        </w:rPr>
      </w:pPr>
    </w:p>
    <w:p w14:paraId="3156E230" w14:textId="77777777" w:rsidR="003E44C5" w:rsidRPr="00F146A6" w:rsidRDefault="003E44C5" w:rsidP="003E44C5">
      <w:pPr>
        <w:ind w:left="720" w:hanging="720"/>
        <w:jc w:val="both"/>
        <w:rPr>
          <w:rFonts w:ascii="Verdana" w:hAnsi="Verdana" w:cs="Arial"/>
          <w:sz w:val="22"/>
          <w:szCs w:val="22"/>
        </w:rPr>
      </w:pPr>
      <w:r w:rsidRPr="00F146A6">
        <w:rPr>
          <w:rFonts w:ascii="Verdana" w:hAnsi="Verdana" w:cs="Arial"/>
          <w:sz w:val="22"/>
          <w:szCs w:val="22"/>
        </w:rPr>
        <w:t>•</w:t>
      </w:r>
      <w:r w:rsidRPr="00F146A6">
        <w:rPr>
          <w:rFonts w:ascii="Verdana" w:hAnsi="Verdana" w:cs="Arial"/>
          <w:sz w:val="22"/>
          <w:szCs w:val="22"/>
        </w:rPr>
        <w:tab/>
      </w:r>
      <w:r w:rsidRPr="00F146A6">
        <w:rPr>
          <w:rFonts w:ascii="Verdana" w:hAnsi="Verdana" w:cs="Arial"/>
          <w:b/>
          <w:sz w:val="22"/>
          <w:szCs w:val="22"/>
        </w:rPr>
        <w:t>Relevance</w:t>
      </w:r>
      <w:r w:rsidRPr="00F146A6">
        <w:rPr>
          <w:rFonts w:ascii="Verdana" w:hAnsi="Verdana" w:cs="Arial"/>
          <w:sz w:val="22"/>
          <w:szCs w:val="22"/>
        </w:rPr>
        <w:t xml:space="preserve"> – to ensure that the information provided about the Force’s financial position, performance and cash flow is useful for assessing stewardship of public funds and for making economic decisions.</w:t>
      </w:r>
    </w:p>
    <w:p w14:paraId="6D301DB5" w14:textId="77777777" w:rsidR="003E44C5" w:rsidRPr="00F146A6" w:rsidRDefault="003E44C5" w:rsidP="003E44C5">
      <w:pPr>
        <w:jc w:val="both"/>
        <w:rPr>
          <w:rFonts w:ascii="Verdana" w:hAnsi="Verdana" w:cs="Arial"/>
          <w:sz w:val="22"/>
          <w:szCs w:val="22"/>
        </w:rPr>
      </w:pPr>
    </w:p>
    <w:p w14:paraId="69F09386" w14:textId="77777777" w:rsidR="003E44C5" w:rsidRPr="00F146A6" w:rsidRDefault="003E44C5" w:rsidP="003E44C5">
      <w:pPr>
        <w:ind w:left="720" w:hanging="720"/>
        <w:jc w:val="both"/>
        <w:rPr>
          <w:rFonts w:ascii="Verdana" w:hAnsi="Verdana" w:cs="Arial"/>
          <w:sz w:val="22"/>
          <w:szCs w:val="22"/>
        </w:rPr>
      </w:pPr>
      <w:r w:rsidRPr="00F146A6">
        <w:rPr>
          <w:rFonts w:ascii="Verdana" w:hAnsi="Verdana" w:cs="Arial"/>
          <w:sz w:val="22"/>
          <w:szCs w:val="22"/>
        </w:rPr>
        <w:t>•</w:t>
      </w:r>
      <w:r w:rsidRPr="00F146A6">
        <w:rPr>
          <w:rFonts w:ascii="Verdana" w:hAnsi="Verdana" w:cs="Arial"/>
          <w:sz w:val="22"/>
          <w:szCs w:val="22"/>
        </w:rPr>
        <w:tab/>
      </w:r>
      <w:r w:rsidRPr="00F146A6">
        <w:rPr>
          <w:rFonts w:ascii="Verdana" w:hAnsi="Verdana" w:cs="Arial"/>
          <w:b/>
          <w:sz w:val="22"/>
          <w:szCs w:val="22"/>
        </w:rPr>
        <w:t>Materiality</w:t>
      </w:r>
      <w:r w:rsidRPr="00F146A6">
        <w:rPr>
          <w:rFonts w:ascii="Verdana" w:hAnsi="Verdana" w:cs="Arial"/>
          <w:sz w:val="22"/>
          <w:szCs w:val="22"/>
        </w:rPr>
        <w:t xml:space="preserve"> – provides a threshold or cut-off point to ensure that the information included in the Financial Statements is of such significance as to justify its inclusion. Omissions or misstatements of items are material if they could, individually or collectively, influence users decisions or assessment of the Financial Statements.</w:t>
      </w:r>
    </w:p>
    <w:p w14:paraId="4D5875BD" w14:textId="77777777" w:rsidR="003E44C5" w:rsidRPr="00F146A6" w:rsidRDefault="003E44C5" w:rsidP="003E44C5">
      <w:pPr>
        <w:jc w:val="both"/>
        <w:rPr>
          <w:rFonts w:ascii="Verdana" w:hAnsi="Verdana" w:cs="Arial"/>
          <w:sz w:val="22"/>
          <w:szCs w:val="22"/>
        </w:rPr>
      </w:pPr>
    </w:p>
    <w:p w14:paraId="55A9A961" w14:textId="77777777" w:rsidR="003E44C5" w:rsidRPr="00F146A6" w:rsidRDefault="003E44C5" w:rsidP="003E44C5">
      <w:pPr>
        <w:ind w:left="720" w:hanging="720"/>
        <w:jc w:val="both"/>
        <w:rPr>
          <w:rFonts w:ascii="Verdana" w:hAnsi="Verdana" w:cs="Arial"/>
          <w:sz w:val="22"/>
          <w:szCs w:val="22"/>
        </w:rPr>
      </w:pPr>
      <w:r w:rsidRPr="00F146A6">
        <w:rPr>
          <w:rFonts w:ascii="Verdana" w:hAnsi="Verdana" w:cs="Arial"/>
          <w:sz w:val="22"/>
          <w:szCs w:val="22"/>
        </w:rPr>
        <w:t>•</w:t>
      </w:r>
      <w:r w:rsidRPr="00F146A6">
        <w:rPr>
          <w:rFonts w:ascii="Verdana" w:hAnsi="Verdana" w:cs="Arial"/>
          <w:sz w:val="22"/>
          <w:szCs w:val="22"/>
        </w:rPr>
        <w:tab/>
      </w:r>
      <w:r w:rsidRPr="00F146A6">
        <w:rPr>
          <w:rFonts w:ascii="Verdana" w:hAnsi="Verdana" w:cs="Arial"/>
          <w:b/>
          <w:sz w:val="22"/>
          <w:szCs w:val="22"/>
        </w:rPr>
        <w:t>Reliability</w:t>
      </w:r>
      <w:r w:rsidRPr="00F146A6">
        <w:rPr>
          <w:rFonts w:ascii="Verdana" w:hAnsi="Verdana" w:cs="Arial"/>
          <w:sz w:val="22"/>
          <w:szCs w:val="22"/>
        </w:rPr>
        <w:t xml:space="preserve"> – to ensure that the financial information provided accurately reflects the substance of the transactions and other events that have taken place.</w:t>
      </w:r>
    </w:p>
    <w:p w14:paraId="68D3C048" w14:textId="77777777" w:rsidR="003E44C5" w:rsidRPr="00F146A6" w:rsidRDefault="003E44C5" w:rsidP="003E44C5">
      <w:pPr>
        <w:jc w:val="both"/>
        <w:rPr>
          <w:rFonts w:ascii="Verdana" w:hAnsi="Verdana" w:cs="Arial"/>
          <w:sz w:val="22"/>
          <w:szCs w:val="22"/>
        </w:rPr>
      </w:pPr>
    </w:p>
    <w:p w14:paraId="1E848664" w14:textId="77777777" w:rsidR="003E44C5" w:rsidRPr="00F146A6" w:rsidRDefault="003E44C5" w:rsidP="003E44C5">
      <w:pPr>
        <w:ind w:left="720" w:hanging="720"/>
        <w:jc w:val="both"/>
        <w:rPr>
          <w:rFonts w:ascii="Verdana" w:hAnsi="Verdana" w:cs="Arial"/>
          <w:sz w:val="22"/>
          <w:szCs w:val="22"/>
        </w:rPr>
      </w:pPr>
      <w:r w:rsidRPr="00F146A6">
        <w:rPr>
          <w:rFonts w:ascii="Verdana" w:hAnsi="Verdana" w:cs="Arial"/>
          <w:sz w:val="22"/>
          <w:szCs w:val="22"/>
        </w:rPr>
        <w:t>•</w:t>
      </w:r>
      <w:r w:rsidRPr="00F146A6">
        <w:rPr>
          <w:rFonts w:ascii="Verdana" w:hAnsi="Verdana" w:cs="Arial"/>
          <w:sz w:val="22"/>
          <w:szCs w:val="22"/>
        </w:rPr>
        <w:tab/>
      </w:r>
      <w:r w:rsidRPr="00F146A6">
        <w:rPr>
          <w:rFonts w:ascii="Verdana" w:hAnsi="Verdana" w:cs="Arial"/>
          <w:b/>
          <w:sz w:val="22"/>
          <w:szCs w:val="22"/>
        </w:rPr>
        <w:t>Comparability</w:t>
      </w:r>
      <w:r w:rsidRPr="00F146A6">
        <w:rPr>
          <w:rFonts w:ascii="Verdana" w:hAnsi="Verdana" w:cs="Arial"/>
          <w:sz w:val="22"/>
          <w:szCs w:val="22"/>
        </w:rPr>
        <w:t xml:space="preserve"> – the information contained in the Financial Statements has been prepared so that it can be readily compared with similar information about the same entity for different accounting periods and with similar information about other entities.</w:t>
      </w:r>
      <w:r w:rsidRPr="00F146A6">
        <w:rPr>
          <w:rFonts w:ascii="Verdana" w:hAnsi="Verdana" w:cs="Arial"/>
          <w:sz w:val="22"/>
          <w:szCs w:val="22"/>
        </w:rPr>
        <w:cr/>
      </w:r>
    </w:p>
    <w:p w14:paraId="5D2463F2" w14:textId="77777777" w:rsidR="003E44C5" w:rsidRPr="00F146A6" w:rsidRDefault="003E44C5" w:rsidP="003E44C5">
      <w:pPr>
        <w:ind w:left="720" w:hanging="720"/>
        <w:jc w:val="both"/>
        <w:rPr>
          <w:rFonts w:ascii="Verdana" w:hAnsi="Verdana" w:cs="Arial"/>
          <w:sz w:val="22"/>
          <w:szCs w:val="22"/>
        </w:rPr>
      </w:pPr>
      <w:r w:rsidRPr="00F146A6">
        <w:rPr>
          <w:rFonts w:ascii="Verdana" w:hAnsi="Verdana" w:cs="Arial"/>
          <w:sz w:val="22"/>
          <w:szCs w:val="22"/>
        </w:rPr>
        <w:t>•</w:t>
      </w:r>
      <w:r w:rsidRPr="00F146A6">
        <w:rPr>
          <w:rFonts w:ascii="Verdana" w:hAnsi="Verdana" w:cs="Arial"/>
          <w:sz w:val="22"/>
          <w:szCs w:val="22"/>
        </w:rPr>
        <w:tab/>
      </w:r>
      <w:r w:rsidRPr="00F146A6">
        <w:rPr>
          <w:rFonts w:ascii="Verdana" w:hAnsi="Verdana" w:cs="Arial"/>
          <w:b/>
          <w:sz w:val="22"/>
          <w:szCs w:val="22"/>
        </w:rPr>
        <w:t>Primacy of Legislative Requirements</w:t>
      </w:r>
      <w:r w:rsidRPr="00F146A6">
        <w:rPr>
          <w:rFonts w:ascii="Verdana" w:hAnsi="Verdana" w:cs="Arial"/>
          <w:sz w:val="22"/>
          <w:szCs w:val="22"/>
        </w:rPr>
        <w:t xml:space="preserve"> – Chief Constables derive their powers from statute and their financial and accounting framework is closely controlled by primary and secondary legislation. Where specific legislative requirements and accounting principles conflict, the legislative requirement is applied. However, the Code deals with such conflicts by showing the position required by the Code’s accounting requirements in the Comprehensive Income and Expenditure Statement, and the effect of the legislative requirements in the Movement in Reserves Statement.  These accounting entries are included in the Group Accounts</w:t>
      </w:r>
    </w:p>
    <w:p w14:paraId="581B2EE7" w14:textId="77777777" w:rsidR="003E44C5" w:rsidRPr="00F146A6" w:rsidRDefault="003E44C5" w:rsidP="003E44C5">
      <w:pPr>
        <w:jc w:val="both"/>
        <w:rPr>
          <w:rFonts w:ascii="Verdana" w:hAnsi="Verdana" w:cs="Arial"/>
          <w:sz w:val="22"/>
          <w:szCs w:val="22"/>
        </w:rPr>
      </w:pPr>
    </w:p>
    <w:p w14:paraId="25E334A7" w14:textId="77777777" w:rsidR="003E44C5" w:rsidRPr="00F146A6" w:rsidRDefault="003E44C5" w:rsidP="003E44C5">
      <w:pPr>
        <w:jc w:val="both"/>
        <w:rPr>
          <w:rFonts w:ascii="Verdana" w:hAnsi="Verdana" w:cs="Arial"/>
          <w:sz w:val="22"/>
          <w:szCs w:val="22"/>
        </w:rPr>
      </w:pPr>
      <w:r w:rsidRPr="00F146A6">
        <w:rPr>
          <w:rFonts w:ascii="Verdana" w:hAnsi="Verdana" w:cs="Arial"/>
          <w:sz w:val="22"/>
          <w:szCs w:val="22"/>
        </w:rPr>
        <w:t xml:space="preserve">The following sections set out the Chief Constable’s general accounting policies, which have been followed in </w:t>
      </w:r>
      <w:r w:rsidR="00F146A6" w:rsidRPr="00F146A6">
        <w:rPr>
          <w:rFonts w:ascii="Verdana" w:hAnsi="Verdana" w:cs="Arial"/>
          <w:sz w:val="22"/>
          <w:szCs w:val="22"/>
        </w:rPr>
        <w:t>2020</w:t>
      </w:r>
      <w:r w:rsidRPr="00F146A6">
        <w:rPr>
          <w:rFonts w:ascii="Verdana" w:hAnsi="Verdana" w:cs="Arial"/>
          <w:sz w:val="22"/>
          <w:szCs w:val="22"/>
        </w:rPr>
        <w:t>/2</w:t>
      </w:r>
      <w:r w:rsidR="00F146A6" w:rsidRPr="00F146A6">
        <w:rPr>
          <w:rFonts w:ascii="Verdana" w:hAnsi="Verdana" w:cs="Arial"/>
          <w:sz w:val="22"/>
          <w:szCs w:val="22"/>
        </w:rPr>
        <w:t>1</w:t>
      </w:r>
      <w:r w:rsidRPr="00F146A6">
        <w:rPr>
          <w:rFonts w:ascii="Verdana" w:hAnsi="Verdana" w:cs="Arial"/>
          <w:sz w:val="22"/>
          <w:szCs w:val="22"/>
        </w:rPr>
        <w:t>.</w:t>
      </w:r>
    </w:p>
    <w:p w14:paraId="1867B141" w14:textId="77777777" w:rsidR="003E44C5" w:rsidRPr="00F146A6" w:rsidRDefault="003E44C5" w:rsidP="003E44C5">
      <w:pPr>
        <w:jc w:val="both"/>
        <w:rPr>
          <w:rFonts w:ascii="Verdana" w:hAnsi="Verdana" w:cs="Arial"/>
          <w:sz w:val="22"/>
          <w:szCs w:val="22"/>
        </w:rPr>
      </w:pPr>
    </w:p>
    <w:p w14:paraId="5D07C222" w14:textId="77777777" w:rsidR="003E44C5" w:rsidRPr="00F146A6" w:rsidRDefault="003E44C5" w:rsidP="003E44C5">
      <w:pPr>
        <w:pStyle w:val="Style1"/>
        <w:numPr>
          <w:ilvl w:val="0"/>
          <w:numId w:val="0"/>
        </w:numPr>
        <w:rPr>
          <w:rFonts w:ascii="Verdana" w:hAnsi="Verdana"/>
          <w:sz w:val="22"/>
          <w:szCs w:val="22"/>
        </w:rPr>
      </w:pPr>
      <w:r w:rsidRPr="00F146A6">
        <w:rPr>
          <w:rFonts w:ascii="Verdana" w:hAnsi="Verdana"/>
          <w:sz w:val="22"/>
          <w:szCs w:val="22"/>
        </w:rPr>
        <w:t>Income and Expenditure Recognition</w:t>
      </w:r>
    </w:p>
    <w:p w14:paraId="0DAF830C" w14:textId="77777777" w:rsidR="003E44C5" w:rsidRPr="00F146A6" w:rsidRDefault="003E44C5" w:rsidP="003E44C5">
      <w:pPr>
        <w:pStyle w:val="Style1"/>
        <w:numPr>
          <w:ilvl w:val="0"/>
          <w:numId w:val="0"/>
        </w:numPr>
        <w:rPr>
          <w:rFonts w:ascii="Verdana" w:hAnsi="Verdana"/>
          <w:sz w:val="22"/>
          <w:szCs w:val="22"/>
          <w:u w:val="single"/>
        </w:rPr>
      </w:pPr>
    </w:p>
    <w:p w14:paraId="21431E08" w14:textId="77777777" w:rsidR="003E44C5" w:rsidRPr="00F146A6" w:rsidRDefault="003E44C5" w:rsidP="003E44C5">
      <w:pPr>
        <w:jc w:val="both"/>
        <w:rPr>
          <w:rFonts w:ascii="Verdana" w:hAnsi="Verdana" w:cs="Arial"/>
          <w:sz w:val="22"/>
          <w:szCs w:val="22"/>
        </w:rPr>
      </w:pPr>
      <w:r w:rsidRPr="00F146A6">
        <w:rPr>
          <w:rFonts w:ascii="Verdana" w:hAnsi="Verdana" w:cs="Arial"/>
          <w:sz w:val="22"/>
          <w:szCs w:val="22"/>
        </w:rPr>
        <w:t xml:space="preserve">Revenue (Income) is measured at the fair value of the consideration received or receivable and represents the amounts receivable for goods or services provided in the normal course of business less discounts and VAT.  </w:t>
      </w:r>
    </w:p>
    <w:p w14:paraId="26E3D500" w14:textId="77777777" w:rsidR="003E44C5" w:rsidRPr="00F146A6" w:rsidRDefault="003E44C5" w:rsidP="003E44C5">
      <w:pPr>
        <w:jc w:val="both"/>
        <w:rPr>
          <w:rFonts w:ascii="Verdana" w:hAnsi="Verdana" w:cs="Arial"/>
          <w:sz w:val="22"/>
          <w:szCs w:val="22"/>
        </w:rPr>
      </w:pPr>
    </w:p>
    <w:p w14:paraId="0D6F2E68" w14:textId="77777777" w:rsidR="003E44C5" w:rsidRPr="00F146A6" w:rsidRDefault="003E44C5" w:rsidP="003E44C5">
      <w:pPr>
        <w:jc w:val="both"/>
        <w:rPr>
          <w:rFonts w:ascii="Verdana" w:hAnsi="Verdana" w:cs="Arial"/>
          <w:sz w:val="22"/>
          <w:szCs w:val="22"/>
        </w:rPr>
      </w:pPr>
      <w:r w:rsidRPr="00F146A6">
        <w:rPr>
          <w:rFonts w:ascii="Verdana" w:hAnsi="Verdana" w:cs="Arial"/>
          <w:sz w:val="22"/>
          <w:szCs w:val="22"/>
        </w:rPr>
        <w:t>Revenue is recognised when goods are delivered and title has passed.  The provision of services contains many accounting aspects and revenue is only recognised when all related work has been completed or when the percentage of completion of the transaction can be reliably measured and it is probable that economic benefits or service potential associated with the transaction will flow to the PCC and group.  Whilst all income is received by the PCC and all expenditure is paid for by the PCC including wages of police staff and officers, the actual recognition in the respective Police and Crime Commissioner and Chief Constable Accounts is based on economic benefit.</w:t>
      </w:r>
    </w:p>
    <w:p w14:paraId="7D53F13E" w14:textId="77777777" w:rsidR="003E44C5" w:rsidRPr="00F146A6" w:rsidRDefault="003E44C5" w:rsidP="003E44C5">
      <w:pPr>
        <w:jc w:val="both"/>
        <w:rPr>
          <w:rFonts w:ascii="Verdana" w:hAnsi="Verdana" w:cs="Arial"/>
          <w:sz w:val="22"/>
          <w:szCs w:val="22"/>
        </w:rPr>
      </w:pPr>
    </w:p>
    <w:p w14:paraId="185AD0D6" w14:textId="77777777" w:rsidR="003E44C5" w:rsidRPr="00F146A6" w:rsidRDefault="003E44C5" w:rsidP="003E44C5">
      <w:pPr>
        <w:jc w:val="both"/>
        <w:rPr>
          <w:rFonts w:ascii="Verdana" w:hAnsi="Verdana" w:cs="Arial"/>
          <w:sz w:val="22"/>
          <w:szCs w:val="22"/>
        </w:rPr>
      </w:pPr>
      <w:r w:rsidRPr="00F146A6">
        <w:rPr>
          <w:rFonts w:ascii="Verdana" w:hAnsi="Verdana" w:cs="Arial"/>
          <w:sz w:val="22"/>
          <w:szCs w:val="22"/>
        </w:rPr>
        <w:t>Supplies are recorded as expenditure when they are consumed – where there is a gap between the date on which supplies are received and when they are consumed, they are carried as inventories or stocks on the Balance Sheet.</w:t>
      </w:r>
    </w:p>
    <w:p w14:paraId="6F0A5836" w14:textId="77777777" w:rsidR="003E44C5" w:rsidRPr="00F146A6" w:rsidRDefault="003E44C5" w:rsidP="003E44C5">
      <w:pPr>
        <w:jc w:val="both"/>
        <w:rPr>
          <w:rFonts w:ascii="Verdana" w:hAnsi="Verdana" w:cs="Arial"/>
          <w:sz w:val="22"/>
          <w:szCs w:val="22"/>
        </w:rPr>
      </w:pPr>
    </w:p>
    <w:p w14:paraId="7AE711D7" w14:textId="77777777" w:rsidR="003E44C5" w:rsidRPr="00F146A6" w:rsidRDefault="003E44C5" w:rsidP="003E44C5">
      <w:pPr>
        <w:jc w:val="both"/>
        <w:rPr>
          <w:rFonts w:ascii="Verdana" w:hAnsi="Verdana" w:cs="Arial"/>
          <w:sz w:val="22"/>
          <w:szCs w:val="22"/>
        </w:rPr>
      </w:pPr>
      <w:r w:rsidRPr="00F146A6">
        <w:rPr>
          <w:rFonts w:ascii="Verdana" w:hAnsi="Verdana" w:cs="Arial"/>
          <w:sz w:val="22"/>
          <w:szCs w:val="22"/>
        </w:rPr>
        <w:t>Income and Expenditure are credited and debited to the relevant revenue account, unless they properly represent capital receipts or capital expenditure.  Works of a capital nature are charged as capital expenditure when they are completed, before which they are carried as Assets Under Construction on the Balance Sheet.</w:t>
      </w:r>
    </w:p>
    <w:p w14:paraId="0DA4599F" w14:textId="77777777" w:rsidR="003E44C5" w:rsidRPr="00F146A6" w:rsidRDefault="003E44C5" w:rsidP="003E44C5">
      <w:pPr>
        <w:jc w:val="both"/>
        <w:rPr>
          <w:rFonts w:ascii="Verdana" w:hAnsi="Verdana" w:cs="Arial"/>
          <w:sz w:val="22"/>
          <w:szCs w:val="22"/>
        </w:rPr>
      </w:pPr>
    </w:p>
    <w:p w14:paraId="750EED9E" w14:textId="77777777" w:rsidR="003E44C5" w:rsidRPr="00F146A6" w:rsidRDefault="003E44C5" w:rsidP="003E44C5">
      <w:pPr>
        <w:jc w:val="both"/>
        <w:rPr>
          <w:rFonts w:ascii="Verdana" w:hAnsi="Verdana" w:cs="Arial"/>
          <w:sz w:val="22"/>
          <w:szCs w:val="22"/>
        </w:rPr>
      </w:pPr>
      <w:r w:rsidRPr="00F146A6">
        <w:rPr>
          <w:rFonts w:ascii="Verdana" w:hAnsi="Verdana" w:cs="Arial"/>
          <w:sz w:val="22"/>
          <w:szCs w:val="22"/>
        </w:rPr>
        <w:t>Activity is accounted for in the year that it takes place, not simply when cash payments are made or received, thus the accounts reflect the normal accruals concept for both capital and revenue.  Exceptions to this can be made for utilities (gas, electricity, telephones, etc.), where invoices may be accounted for in the year they fall, providing that only four quarterly or twelve monthly invoices are charged in any one year.</w:t>
      </w:r>
    </w:p>
    <w:p w14:paraId="58BEC3D4" w14:textId="77777777" w:rsidR="003E44C5" w:rsidRPr="00F146A6" w:rsidRDefault="003E44C5" w:rsidP="003E44C5">
      <w:pPr>
        <w:jc w:val="both"/>
        <w:rPr>
          <w:rFonts w:ascii="Verdana" w:hAnsi="Verdana" w:cs="Arial"/>
          <w:sz w:val="22"/>
          <w:szCs w:val="22"/>
        </w:rPr>
      </w:pPr>
    </w:p>
    <w:p w14:paraId="296B788E" w14:textId="77777777" w:rsidR="003E44C5" w:rsidRPr="00F146A6" w:rsidRDefault="003E44C5" w:rsidP="003E44C5">
      <w:pPr>
        <w:jc w:val="both"/>
        <w:rPr>
          <w:rFonts w:ascii="Verdana" w:hAnsi="Verdana" w:cs="Arial"/>
          <w:sz w:val="22"/>
          <w:szCs w:val="22"/>
        </w:rPr>
      </w:pPr>
      <w:r w:rsidRPr="00F146A6">
        <w:rPr>
          <w:rFonts w:ascii="Verdana" w:hAnsi="Verdana" w:cs="Arial"/>
          <w:sz w:val="22"/>
          <w:szCs w:val="22"/>
        </w:rPr>
        <w:t>Where revenue or expenditure have been recognised by cash has not been received or paid, a debtor or creditor for the relevant amount is recorded in the Balance Sheet.  Creditors are included within the Balance Sheet for goods and services received and risks and rewards of ownership transferred, but not paid for at the year end.  Debtors are included within the Balance Sheet where services have been provided but not yet reimbursed at the year end.</w:t>
      </w:r>
    </w:p>
    <w:p w14:paraId="1AFC9F94" w14:textId="77777777" w:rsidR="003E44C5" w:rsidRPr="00F146A6" w:rsidRDefault="003E44C5" w:rsidP="003E44C5">
      <w:pPr>
        <w:jc w:val="both"/>
        <w:rPr>
          <w:rFonts w:ascii="Verdana" w:hAnsi="Verdana" w:cs="Arial"/>
          <w:sz w:val="22"/>
          <w:szCs w:val="22"/>
        </w:rPr>
      </w:pPr>
    </w:p>
    <w:p w14:paraId="6882A8E3" w14:textId="77777777" w:rsidR="003E44C5" w:rsidRPr="00F146A6" w:rsidRDefault="003E44C5" w:rsidP="003E44C5">
      <w:pPr>
        <w:jc w:val="both"/>
        <w:rPr>
          <w:rFonts w:ascii="Verdana" w:hAnsi="Verdana" w:cs="Arial"/>
          <w:sz w:val="22"/>
          <w:szCs w:val="22"/>
        </w:rPr>
      </w:pPr>
      <w:r w:rsidRPr="00F146A6">
        <w:rPr>
          <w:rFonts w:ascii="Verdana" w:hAnsi="Verdana" w:cs="Arial"/>
          <w:sz w:val="22"/>
          <w:szCs w:val="22"/>
        </w:rPr>
        <w:t xml:space="preserve">The above recognition policy complies with IFRS 15 </w:t>
      </w:r>
      <w:r w:rsidRPr="00F146A6">
        <w:rPr>
          <w:rFonts w:ascii="Verdana" w:hAnsi="Verdana" w:cs="Arial"/>
          <w:i/>
          <w:sz w:val="22"/>
          <w:szCs w:val="22"/>
        </w:rPr>
        <w:t>Revenue from Contracts with Customers</w:t>
      </w:r>
      <w:r w:rsidRPr="00F146A6">
        <w:rPr>
          <w:rFonts w:ascii="Verdana" w:hAnsi="Verdana" w:cs="Arial"/>
          <w:sz w:val="22"/>
          <w:szCs w:val="22"/>
        </w:rPr>
        <w:t>.</w:t>
      </w:r>
    </w:p>
    <w:p w14:paraId="7795E82D" w14:textId="77777777" w:rsidR="003E44C5" w:rsidRPr="00F146A6" w:rsidRDefault="003E44C5" w:rsidP="003E44C5">
      <w:pPr>
        <w:jc w:val="both"/>
        <w:rPr>
          <w:rFonts w:ascii="Verdana" w:hAnsi="Verdana" w:cs="Arial"/>
          <w:sz w:val="22"/>
          <w:szCs w:val="22"/>
        </w:rPr>
      </w:pPr>
    </w:p>
    <w:p w14:paraId="4CF8ECC6" w14:textId="77777777" w:rsidR="00F146A6" w:rsidRPr="00F146A6" w:rsidRDefault="00F146A6" w:rsidP="00F146A6">
      <w:pPr>
        <w:pStyle w:val="Style1"/>
        <w:numPr>
          <w:ilvl w:val="0"/>
          <w:numId w:val="0"/>
        </w:numPr>
        <w:ind w:left="2552" w:hanging="2552"/>
        <w:rPr>
          <w:rFonts w:ascii="Verdana" w:hAnsi="Verdana"/>
          <w:sz w:val="22"/>
          <w:szCs w:val="22"/>
        </w:rPr>
      </w:pPr>
      <w:r w:rsidRPr="00F146A6">
        <w:rPr>
          <w:rFonts w:ascii="Verdana" w:hAnsi="Verdana"/>
          <w:sz w:val="22"/>
          <w:szCs w:val="22"/>
        </w:rPr>
        <w:t>Prior Period Adjustments, Changes in Accounting Policies and Estimates and Errors</w:t>
      </w:r>
    </w:p>
    <w:p w14:paraId="04A04D76" w14:textId="77777777" w:rsidR="00F146A6" w:rsidRPr="00F146A6" w:rsidRDefault="00F146A6" w:rsidP="00F146A6">
      <w:pPr>
        <w:jc w:val="both"/>
        <w:rPr>
          <w:rFonts w:ascii="Verdana" w:hAnsi="Verdana" w:cs="Arial"/>
          <w:sz w:val="22"/>
          <w:szCs w:val="22"/>
        </w:rPr>
      </w:pPr>
    </w:p>
    <w:p w14:paraId="14C86011" w14:textId="77777777" w:rsidR="00F146A6" w:rsidRPr="00F146A6" w:rsidRDefault="00F146A6" w:rsidP="00F146A6">
      <w:pPr>
        <w:jc w:val="both"/>
        <w:rPr>
          <w:rFonts w:ascii="Verdana" w:hAnsi="Verdana" w:cs="Arial"/>
          <w:sz w:val="22"/>
          <w:szCs w:val="22"/>
        </w:rPr>
      </w:pPr>
      <w:r w:rsidRPr="00F146A6">
        <w:rPr>
          <w:rFonts w:ascii="Verdana" w:hAnsi="Verdana" w:cs="Arial"/>
          <w:sz w:val="22"/>
          <w:szCs w:val="22"/>
        </w:rPr>
        <w:t>Prior period adjustments arise as a result of a change in accounting policies or to correct a material error. Changes in accounting estimates are accounted for prospectively, i.e. in the current and future years affected by the change and do not give rise to a prior period adjustment.</w:t>
      </w:r>
    </w:p>
    <w:p w14:paraId="661A287E" w14:textId="77777777" w:rsidR="00F146A6" w:rsidRPr="00F146A6" w:rsidRDefault="00F146A6" w:rsidP="00F146A6">
      <w:pPr>
        <w:jc w:val="both"/>
        <w:rPr>
          <w:rFonts w:ascii="Verdana" w:hAnsi="Verdana" w:cs="Arial"/>
          <w:sz w:val="22"/>
          <w:szCs w:val="22"/>
        </w:rPr>
      </w:pPr>
    </w:p>
    <w:p w14:paraId="14904C15" w14:textId="77777777" w:rsidR="00F146A6" w:rsidRPr="00F146A6" w:rsidRDefault="00F146A6" w:rsidP="00F146A6">
      <w:pPr>
        <w:jc w:val="both"/>
        <w:rPr>
          <w:rFonts w:ascii="Verdana" w:hAnsi="Verdana" w:cs="Arial"/>
          <w:sz w:val="22"/>
          <w:szCs w:val="22"/>
        </w:rPr>
      </w:pPr>
      <w:r w:rsidRPr="00F146A6">
        <w:rPr>
          <w:rFonts w:ascii="Verdana" w:hAnsi="Verdana" w:cs="Arial"/>
          <w:sz w:val="22"/>
          <w:szCs w:val="22"/>
        </w:rPr>
        <w:t>Changes in accounting policies are only made when required by proper accounting practices or the change provides more reliable or relevant information about the effect of transactions, other events and conditions on the Chief Constable’s financial position or financial performance. Where a change is made, it is applied retrospectively by adjusting opening balances and comparative amounts for the prior period as if the new policy had always been applied.</w:t>
      </w:r>
    </w:p>
    <w:p w14:paraId="7EC38117" w14:textId="77777777" w:rsidR="00F146A6" w:rsidRPr="00F146A6" w:rsidRDefault="00F146A6" w:rsidP="00F146A6">
      <w:pPr>
        <w:jc w:val="both"/>
        <w:rPr>
          <w:rFonts w:ascii="Verdana" w:hAnsi="Verdana" w:cs="Arial"/>
          <w:sz w:val="22"/>
          <w:szCs w:val="22"/>
        </w:rPr>
      </w:pPr>
    </w:p>
    <w:p w14:paraId="2D3C49CA" w14:textId="77777777" w:rsidR="00F146A6" w:rsidRPr="00F146A6" w:rsidRDefault="00F146A6" w:rsidP="00F146A6">
      <w:pPr>
        <w:jc w:val="both"/>
        <w:rPr>
          <w:rFonts w:ascii="Verdana" w:hAnsi="Verdana" w:cs="Arial"/>
          <w:sz w:val="22"/>
          <w:szCs w:val="22"/>
        </w:rPr>
      </w:pPr>
      <w:r w:rsidRPr="00F146A6">
        <w:rPr>
          <w:rFonts w:ascii="Verdana" w:hAnsi="Verdana" w:cs="Arial"/>
          <w:sz w:val="22"/>
          <w:szCs w:val="22"/>
        </w:rPr>
        <w:t>Material errors discovered in prior period figures are corrected retrospectively by amending opening balances and comparative amounts for the prior period.</w:t>
      </w:r>
    </w:p>
    <w:p w14:paraId="7CE79CBA" w14:textId="77777777" w:rsidR="00F146A6" w:rsidRPr="00F146A6" w:rsidRDefault="00F146A6" w:rsidP="00F146A6">
      <w:pPr>
        <w:jc w:val="both"/>
        <w:rPr>
          <w:rFonts w:ascii="Verdana" w:hAnsi="Verdana" w:cs="Arial"/>
          <w:b/>
          <w:sz w:val="22"/>
          <w:szCs w:val="22"/>
        </w:rPr>
      </w:pPr>
    </w:p>
    <w:p w14:paraId="5C747D4F" w14:textId="77777777" w:rsidR="00F146A6" w:rsidRPr="00F146A6" w:rsidRDefault="00F146A6" w:rsidP="00F146A6">
      <w:pPr>
        <w:jc w:val="both"/>
        <w:rPr>
          <w:rFonts w:ascii="Verdana" w:hAnsi="Verdana" w:cs="Arial"/>
          <w:b/>
          <w:sz w:val="22"/>
          <w:szCs w:val="22"/>
        </w:rPr>
      </w:pPr>
      <w:r w:rsidRPr="00F146A6">
        <w:rPr>
          <w:rFonts w:ascii="Verdana" w:hAnsi="Verdana" w:cs="Arial"/>
          <w:b/>
          <w:sz w:val="22"/>
          <w:szCs w:val="22"/>
        </w:rPr>
        <w:t>Events after the Balance Sheet</w:t>
      </w:r>
    </w:p>
    <w:p w14:paraId="7BF835B5" w14:textId="77777777" w:rsidR="00F146A6" w:rsidRPr="00F146A6" w:rsidRDefault="00F146A6" w:rsidP="00F146A6">
      <w:pPr>
        <w:jc w:val="both"/>
        <w:rPr>
          <w:rFonts w:ascii="Verdana" w:hAnsi="Verdana" w:cs="Arial"/>
          <w:sz w:val="22"/>
          <w:szCs w:val="22"/>
        </w:rPr>
      </w:pPr>
    </w:p>
    <w:p w14:paraId="7C31642D" w14:textId="77777777" w:rsidR="00F146A6" w:rsidRPr="00F146A6" w:rsidRDefault="00F146A6" w:rsidP="00F146A6">
      <w:pPr>
        <w:jc w:val="both"/>
        <w:rPr>
          <w:rFonts w:ascii="Verdana" w:hAnsi="Verdana" w:cs="Arial"/>
          <w:sz w:val="22"/>
          <w:szCs w:val="22"/>
        </w:rPr>
      </w:pPr>
      <w:r w:rsidRPr="00F146A6">
        <w:rPr>
          <w:rFonts w:ascii="Verdana" w:hAnsi="Verdana" w:cs="Arial"/>
          <w:sz w:val="22"/>
          <w:szCs w:val="22"/>
        </w:rPr>
        <w:t>Events after the Balance Sheet date are those events, both favourable and unfavourable, that occur between the end of the reporting period and the date when the Statement of Accounts is authorised for issue. Two types of events can be identified:</w:t>
      </w:r>
    </w:p>
    <w:p w14:paraId="0DDD0345" w14:textId="77777777" w:rsidR="00F146A6" w:rsidRPr="00F146A6" w:rsidRDefault="00F146A6" w:rsidP="00F146A6">
      <w:pPr>
        <w:jc w:val="both"/>
        <w:rPr>
          <w:rFonts w:ascii="Verdana" w:hAnsi="Verdana" w:cs="Arial"/>
          <w:sz w:val="22"/>
          <w:szCs w:val="22"/>
        </w:rPr>
      </w:pPr>
    </w:p>
    <w:p w14:paraId="72D31759" w14:textId="77777777" w:rsidR="00F146A6" w:rsidRPr="00F146A6" w:rsidRDefault="00F146A6" w:rsidP="00F146A6">
      <w:pPr>
        <w:ind w:left="720" w:hanging="720"/>
        <w:jc w:val="both"/>
        <w:rPr>
          <w:rFonts w:ascii="Verdana" w:hAnsi="Verdana" w:cs="Arial"/>
          <w:sz w:val="22"/>
          <w:szCs w:val="22"/>
        </w:rPr>
      </w:pPr>
      <w:r w:rsidRPr="00F146A6">
        <w:rPr>
          <w:rFonts w:ascii="Verdana" w:hAnsi="Verdana" w:cs="Arial"/>
          <w:sz w:val="22"/>
          <w:szCs w:val="22"/>
        </w:rPr>
        <w:t>•</w:t>
      </w:r>
      <w:r w:rsidRPr="00F146A6">
        <w:rPr>
          <w:rFonts w:ascii="Verdana" w:hAnsi="Verdana" w:cs="Arial"/>
          <w:sz w:val="22"/>
          <w:szCs w:val="22"/>
        </w:rPr>
        <w:tab/>
        <w:t>those that provide evidence of conditions that existed at the end of the reporting period the Statement of Accounts is adjusted to reflect such events</w:t>
      </w:r>
    </w:p>
    <w:p w14:paraId="2733B4C2" w14:textId="77777777" w:rsidR="00F146A6" w:rsidRPr="00F146A6" w:rsidRDefault="00F146A6" w:rsidP="00F146A6">
      <w:pPr>
        <w:jc w:val="both"/>
        <w:rPr>
          <w:rFonts w:ascii="Verdana" w:hAnsi="Verdana" w:cs="Arial"/>
          <w:sz w:val="22"/>
          <w:szCs w:val="22"/>
        </w:rPr>
      </w:pPr>
    </w:p>
    <w:p w14:paraId="05AA4109" w14:textId="77777777" w:rsidR="00F146A6" w:rsidRPr="00F146A6" w:rsidRDefault="00F146A6" w:rsidP="00F146A6">
      <w:pPr>
        <w:ind w:left="720" w:hanging="720"/>
        <w:jc w:val="both"/>
        <w:rPr>
          <w:rFonts w:ascii="Verdana" w:hAnsi="Verdana" w:cs="Arial"/>
          <w:sz w:val="22"/>
          <w:szCs w:val="22"/>
        </w:rPr>
      </w:pPr>
      <w:r w:rsidRPr="00F146A6">
        <w:rPr>
          <w:rFonts w:ascii="Verdana" w:hAnsi="Verdana" w:cs="Arial"/>
          <w:sz w:val="22"/>
          <w:szCs w:val="22"/>
        </w:rPr>
        <w:t>•</w:t>
      </w:r>
      <w:r w:rsidRPr="00F146A6">
        <w:rPr>
          <w:rFonts w:ascii="Verdana" w:hAnsi="Verdana" w:cs="Arial"/>
          <w:sz w:val="22"/>
          <w:szCs w:val="22"/>
        </w:rPr>
        <w:tab/>
        <w:t>those that are indicative of conditions that arose after the reporting period – the Statement of Accounts is not adjusted to reflect such events, but where a category of events would have a material effect, disclosure is made in the notes of the nature of the events and their estimated financial effect</w:t>
      </w:r>
    </w:p>
    <w:p w14:paraId="6F8D9F7A" w14:textId="77777777" w:rsidR="00F146A6" w:rsidRPr="00F146A6" w:rsidRDefault="00F146A6" w:rsidP="00F146A6">
      <w:pPr>
        <w:jc w:val="both"/>
        <w:rPr>
          <w:rFonts w:ascii="Verdana" w:hAnsi="Verdana" w:cs="Arial"/>
          <w:sz w:val="22"/>
          <w:szCs w:val="22"/>
        </w:rPr>
      </w:pPr>
    </w:p>
    <w:p w14:paraId="272C07C7" w14:textId="77777777" w:rsidR="00F146A6" w:rsidRPr="00F146A6" w:rsidRDefault="00F146A6" w:rsidP="00F146A6">
      <w:pPr>
        <w:jc w:val="both"/>
        <w:rPr>
          <w:rFonts w:ascii="Verdana" w:hAnsi="Verdana" w:cs="Arial"/>
          <w:sz w:val="22"/>
          <w:szCs w:val="22"/>
        </w:rPr>
      </w:pPr>
      <w:r w:rsidRPr="00F146A6">
        <w:rPr>
          <w:rFonts w:ascii="Verdana" w:hAnsi="Verdana" w:cs="Arial"/>
          <w:sz w:val="22"/>
          <w:szCs w:val="22"/>
        </w:rPr>
        <w:t>Events taking place after the date of authorisation for issue are not reflected in the Statement of Accounts.</w:t>
      </w:r>
    </w:p>
    <w:p w14:paraId="5F332BE4" w14:textId="77777777" w:rsidR="00F146A6" w:rsidRPr="00F146A6" w:rsidRDefault="00F146A6" w:rsidP="00F146A6">
      <w:pPr>
        <w:jc w:val="both"/>
        <w:rPr>
          <w:rFonts w:ascii="Verdana" w:hAnsi="Verdana" w:cs="Arial"/>
          <w:sz w:val="22"/>
          <w:szCs w:val="22"/>
        </w:rPr>
      </w:pPr>
    </w:p>
    <w:p w14:paraId="4927B86C" w14:textId="77777777" w:rsidR="00F146A6" w:rsidRPr="00F146A6" w:rsidRDefault="00F146A6" w:rsidP="00F146A6">
      <w:pPr>
        <w:spacing w:line="256" w:lineRule="auto"/>
        <w:jc w:val="both"/>
        <w:rPr>
          <w:rFonts w:ascii="Verdana" w:hAnsi="Verdana"/>
          <w:b/>
          <w:sz w:val="22"/>
          <w:szCs w:val="22"/>
          <w:lang w:val="en-GB"/>
        </w:rPr>
      </w:pPr>
      <w:r w:rsidRPr="00F146A6">
        <w:rPr>
          <w:rFonts w:ascii="Verdana" w:hAnsi="Verdana"/>
          <w:b/>
          <w:sz w:val="22"/>
          <w:szCs w:val="22"/>
          <w:lang w:val="en-GB"/>
        </w:rPr>
        <w:t>Jointly Controlled Operations and Jointly Controlled Assets</w:t>
      </w:r>
    </w:p>
    <w:p w14:paraId="13DAE4F9" w14:textId="77777777" w:rsidR="00F146A6" w:rsidRPr="00F146A6" w:rsidRDefault="00F146A6" w:rsidP="00F146A6">
      <w:pPr>
        <w:spacing w:line="256" w:lineRule="auto"/>
        <w:jc w:val="both"/>
        <w:rPr>
          <w:rFonts w:ascii="Verdana" w:hAnsi="Verdana"/>
          <w:sz w:val="22"/>
          <w:szCs w:val="22"/>
          <w:lang w:val="en-GB"/>
        </w:rPr>
      </w:pPr>
    </w:p>
    <w:p w14:paraId="4F8EE0D9" w14:textId="77777777" w:rsidR="00F146A6" w:rsidRPr="00F146A6" w:rsidRDefault="00F146A6" w:rsidP="00F146A6">
      <w:pPr>
        <w:spacing w:line="256" w:lineRule="auto"/>
        <w:jc w:val="both"/>
        <w:rPr>
          <w:rFonts w:ascii="Verdana" w:hAnsi="Verdana" w:cs="Arial"/>
          <w:sz w:val="22"/>
          <w:szCs w:val="22"/>
          <w:lang w:val="en-GB"/>
        </w:rPr>
      </w:pPr>
      <w:r w:rsidRPr="00F146A6">
        <w:rPr>
          <w:rFonts w:ascii="Verdana" w:hAnsi="Verdana" w:cs="Arial"/>
          <w:sz w:val="22"/>
          <w:szCs w:val="22"/>
          <w:lang w:val="en-GB"/>
        </w:rPr>
        <w:t>Joint operations are arrangements where the parties that have joint control of the arrangement have rights to the assets and obligations for the liabilities relating to the arrangement. Activities undertaken in conjunction with other joint operators involve the use of the assets and resources of those joint operators. In relation to its interest in a joint operation, the PCC/Group recognises the following as a joint operator:</w:t>
      </w:r>
    </w:p>
    <w:p w14:paraId="3754CE1B" w14:textId="77777777" w:rsidR="00F146A6" w:rsidRPr="00F146A6" w:rsidRDefault="00F146A6" w:rsidP="00F146A6">
      <w:pPr>
        <w:spacing w:line="256" w:lineRule="auto"/>
        <w:jc w:val="both"/>
        <w:rPr>
          <w:rFonts w:ascii="Verdana" w:hAnsi="Verdana"/>
          <w:sz w:val="22"/>
          <w:szCs w:val="22"/>
          <w:lang w:val="en-GB"/>
        </w:rPr>
      </w:pPr>
    </w:p>
    <w:p w14:paraId="4B73C384" w14:textId="77777777" w:rsidR="00F146A6" w:rsidRPr="00F146A6" w:rsidRDefault="00F146A6" w:rsidP="00F146A6">
      <w:pPr>
        <w:numPr>
          <w:ilvl w:val="0"/>
          <w:numId w:val="2"/>
        </w:numPr>
        <w:ind w:left="357" w:hanging="357"/>
        <w:contextualSpacing/>
        <w:jc w:val="both"/>
        <w:rPr>
          <w:rFonts w:ascii="Verdana" w:eastAsia="Times New Roman" w:hAnsi="Verdana" w:cs="Arial"/>
          <w:sz w:val="22"/>
          <w:szCs w:val="22"/>
          <w:lang w:val="en-GB" w:eastAsia="en-GB"/>
        </w:rPr>
      </w:pPr>
      <w:r w:rsidRPr="00F146A6">
        <w:rPr>
          <w:rFonts w:ascii="Verdana" w:eastAsia="Times New Roman" w:hAnsi="Verdana" w:cs="Arial"/>
          <w:sz w:val="22"/>
          <w:szCs w:val="22"/>
          <w:lang w:val="en-GB" w:eastAsia="en-GB"/>
        </w:rPr>
        <w:t xml:space="preserve">Its assets, including its share of any assets held jointly </w:t>
      </w:r>
    </w:p>
    <w:p w14:paraId="33207366" w14:textId="77777777" w:rsidR="00F146A6" w:rsidRPr="00F146A6" w:rsidRDefault="00F146A6" w:rsidP="00F146A6">
      <w:pPr>
        <w:numPr>
          <w:ilvl w:val="0"/>
          <w:numId w:val="2"/>
        </w:numPr>
        <w:ind w:left="357" w:hanging="357"/>
        <w:contextualSpacing/>
        <w:jc w:val="both"/>
        <w:rPr>
          <w:rFonts w:ascii="Verdana" w:eastAsia="Times New Roman" w:hAnsi="Verdana" w:cs="Arial"/>
          <w:sz w:val="22"/>
          <w:szCs w:val="22"/>
          <w:lang w:val="en-GB" w:eastAsia="en-GB"/>
        </w:rPr>
      </w:pPr>
      <w:r w:rsidRPr="00F146A6">
        <w:rPr>
          <w:rFonts w:ascii="Verdana" w:eastAsia="Times New Roman" w:hAnsi="Verdana" w:cs="Arial"/>
          <w:sz w:val="22"/>
          <w:szCs w:val="22"/>
          <w:lang w:val="en-GB" w:eastAsia="en-GB"/>
        </w:rPr>
        <w:t>Its liabilities, including its share of any liabilities incurred jointly</w:t>
      </w:r>
    </w:p>
    <w:p w14:paraId="7EF7DEBA" w14:textId="77777777" w:rsidR="00F146A6" w:rsidRPr="00F146A6" w:rsidRDefault="00F146A6" w:rsidP="00F146A6">
      <w:pPr>
        <w:numPr>
          <w:ilvl w:val="0"/>
          <w:numId w:val="2"/>
        </w:numPr>
        <w:ind w:left="357" w:hanging="357"/>
        <w:contextualSpacing/>
        <w:jc w:val="both"/>
        <w:rPr>
          <w:rFonts w:ascii="Verdana" w:eastAsia="Times New Roman" w:hAnsi="Verdana" w:cs="Arial"/>
          <w:sz w:val="22"/>
          <w:szCs w:val="22"/>
          <w:lang w:val="en-GB" w:eastAsia="en-GB"/>
        </w:rPr>
      </w:pPr>
      <w:r w:rsidRPr="00F146A6">
        <w:rPr>
          <w:rFonts w:ascii="Verdana" w:eastAsia="Times New Roman" w:hAnsi="Verdana" w:cs="Arial"/>
          <w:sz w:val="22"/>
          <w:szCs w:val="22"/>
          <w:lang w:val="en-GB" w:eastAsia="en-GB"/>
        </w:rPr>
        <w:t>Its revenue from the sale of its share of the output arising from the joint operation</w:t>
      </w:r>
    </w:p>
    <w:p w14:paraId="06287B23" w14:textId="77777777" w:rsidR="00F146A6" w:rsidRPr="00F146A6" w:rsidRDefault="00F146A6" w:rsidP="00F146A6">
      <w:pPr>
        <w:numPr>
          <w:ilvl w:val="0"/>
          <w:numId w:val="2"/>
        </w:numPr>
        <w:ind w:left="357" w:hanging="357"/>
        <w:contextualSpacing/>
        <w:jc w:val="both"/>
        <w:rPr>
          <w:rFonts w:ascii="Verdana" w:eastAsia="Times New Roman" w:hAnsi="Verdana" w:cs="Arial"/>
          <w:sz w:val="22"/>
          <w:szCs w:val="22"/>
          <w:lang w:val="en-GB" w:eastAsia="en-GB"/>
        </w:rPr>
      </w:pPr>
      <w:r w:rsidRPr="00F146A6">
        <w:rPr>
          <w:rFonts w:ascii="Verdana" w:eastAsia="Times New Roman" w:hAnsi="Verdana" w:cs="Arial"/>
          <w:sz w:val="22"/>
          <w:szCs w:val="22"/>
          <w:lang w:val="en-GB" w:eastAsia="en-GB"/>
        </w:rPr>
        <w:t>Its share of the revenue from the sale of the output by the joint operation</w:t>
      </w:r>
    </w:p>
    <w:p w14:paraId="5A08A10A" w14:textId="77777777" w:rsidR="00F146A6" w:rsidRPr="00F146A6" w:rsidRDefault="00F146A6" w:rsidP="00F146A6">
      <w:pPr>
        <w:numPr>
          <w:ilvl w:val="0"/>
          <w:numId w:val="2"/>
        </w:numPr>
        <w:ind w:left="357" w:hanging="357"/>
        <w:contextualSpacing/>
        <w:jc w:val="both"/>
        <w:rPr>
          <w:rFonts w:ascii="Verdana" w:eastAsia="Times New Roman" w:hAnsi="Verdana" w:cs="Arial"/>
          <w:sz w:val="22"/>
          <w:szCs w:val="22"/>
          <w:lang w:val="en-GB" w:eastAsia="en-GB"/>
        </w:rPr>
      </w:pPr>
      <w:r w:rsidRPr="00F146A6">
        <w:rPr>
          <w:rFonts w:ascii="Verdana" w:eastAsia="Times New Roman" w:hAnsi="Verdana" w:cs="Arial"/>
          <w:sz w:val="22"/>
          <w:szCs w:val="22"/>
          <w:lang w:val="en-GB" w:eastAsia="en-GB"/>
        </w:rPr>
        <w:t>Its expenses, including its share of any expenses incurred jointly</w:t>
      </w:r>
    </w:p>
    <w:p w14:paraId="1816E6BC" w14:textId="77777777" w:rsidR="00F146A6" w:rsidRPr="00F146A6" w:rsidRDefault="00F146A6" w:rsidP="00F146A6">
      <w:pPr>
        <w:spacing w:line="256" w:lineRule="auto"/>
        <w:jc w:val="both"/>
        <w:rPr>
          <w:rFonts w:ascii="Verdana" w:hAnsi="Verdana"/>
          <w:b/>
          <w:sz w:val="22"/>
          <w:szCs w:val="22"/>
          <w:lang w:val="en-GB"/>
        </w:rPr>
      </w:pPr>
    </w:p>
    <w:p w14:paraId="419E7591" w14:textId="77777777" w:rsidR="00B631B1" w:rsidRPr="00B631B1" w:rsidRDefault="00B631B1" w:rsidP="00B631B1">
      <w:pPr>
        <w:spacing w:line="256" w:lineRule="auto"/>
        <w:jc w:val="both"/>
        <w:rPr>
          <w:rFonts w:ascii="Verdana" w:hAnsi="Verdana"/>
          <w:b/>
          <w:sz w:val="22"/>
          <w:szCs w:val="22"/>
          <w:lang w:val="en-GB"/>
        </w:rPr>
      </w:pPr>
      <w:r w:rsidRPr="00B631B1">
        <w:rPr>
          <w:rFonts w:ascii="Verdana" w:hAnsi="Verdana"/>
          <w:b/>
          <w:sz w:val="22"/>
          <w:szCs w:val="22"/>
          <w:lang w:val="en-GB"/>
        </w:rPr>
        <w:t>Debts Outstanding</w:t>
      </w:r>
    </w:p>
    <w:p w14:paraId="77110926" w14:textId="77777777" w:rsidR="00B631B1" w:rsidRPr="00B631B1" w:rsidRDefault="00B631B1" w:rsidP="00B631B1">
      <w:pPr>
        <w:spacing w:line="256" w:lineRule="auto"/>
        <w:jc w:val="both"/>
        <w:rPr>
          <w:rFonts w:ascii="Verdana" w:hAnsi="Verdana"/>
          <w:sz w:val="22"/>
          <w:szCs w:val="22"/>
          <w:lang w:val="en-GB"/>
        </w:rPr>
      </w:pPr>
    </w:p>
    <w:p w14:paraId="6398EFF6" w14:textId="77777777" w:rsidR="00B631B1" w:rsidRPr="00B631B1" w:rsidRDefault="00B631B1" w:rsidP="00B631B1">
      <w:pPr>
        <w:spacing w:line="256" w:lineRule="auto"/>
        <w:jc w:val="both"/>
        <w:rPr>
          <w:rFonts w:ascii="Verdana" w:hAnsi="Verdana" w:cs="Arial"/>
          <w:sz w:val="22"/>
          <w:szCs w:val="22"/>
          <w:lang w:val="en-GB"/>
        </w:rPr>
      </w:pPr>
      <w:r w:rsidRPr="00B631B1">
        <w:rPr>
          <w:rFonts w:ascii="Verdana" w:hAnsi="Verdana" w:cs="Arial"/>
          <w:sz w:val="22"/>
          <w:szCs w:val="22"/>
          <w:lang w:val="en-GB"/>
        </w:rPr>
        <w:t>Income is accounted for on an accruals basis.  Debts that cannot be collected are written off via the Comprehensive Income and Expenditure Statement to the command team or department that raised the debt.  The level of any bad debt provision is reviewed annually.</w:t>
      </w:r>
    </w:p>
    <w:p w14:paraId="7D3AA5A0" w14:textId="77777777" w:rsidR="00B631B1" w:rsidRPr="00B631B1" w:rsidRDefault="00B631B1" w:rsidP="00B631B1">
      <w:pPr>
        <w:spacing w:line="256" w:lineRule="auto"/>
        <w:jc w:val="both"/>
        <w:rPr>
          <w:rFonts w:ascii="Verdana" w:hAnsi="Verdana" w:cs="Arial"/>
          <w:sz w:val="22"/>
          <w:szCs w:val="22"/>
          <w:lang w:val="en-GB"/>
        </w:rPr>
      </w:pPr>
    </w:p>
    <w:p w14:paraId="4DF0F598" w14:textId="77777777" w:rsidR="00B631B1" w:rsidRPr="00B631B1" w:rsidRDefault="00B631B1" w:rsidP="00B631B1">
      <w:pPr>
        <w:spacing w:line="256" w:lineRule="auto"/>
        <w:jc w:val="both"/>
        <w:rPr>
          <w:rFonts w:ascii="Verdana" w:hAnsi="Verdana" w:cs="Arial"/>
          <w:sz w:val="22"/>
          <w:szCs w:val="22"/>
          <w:lang w:val="en-GB"/>
        </w:rPr>
      </w:pPr>
      <w:r w:rsidRPr="00B631B1">
        <w:rPr>
          <w:rFonts w:ascii="Verdana" w:hAnsi="Verdana" w:cs="Arial"/>
          <w:sz w:val="22"/>
          <w:szCs w:val="22"/>
          <w:lang w:val="en-GB"/>
        </w:rPr>
        <w:t xml:space="preserve">The writing off of bad debt can be authorised by either the PCC’s CFO or the CC’s Executive Director of Commercial &amp; Finance Services in respect of their own corporations up to a value of £10,000 for individual bad debt cases and £25,000 cumulatively in any one financial year.  The write off of bad debts greater than these limits requires the approval of both CC’s Executive Director of Commercial &amp; Finance Services and PCC’s CFO up to a maximum of a cumulative value of £50,000 in any one financial year. The PCC will approve where appropriate the writing off of debts in excess of the CFOs delegated authority. </w:t>
      </w:r>
    </w:p>
    <w:p w14:paraId="300A9579" w14:textId="77777777" w:rsidR="00B631B1" w:rsidRPr="00B631B1" w:rsidRDefault="00B631B1" w:rsidP="00B631B1">
      <w:pPr>
        <w:spacing w:line="256" w:lineRule="auto"/>
        <w:jc w:val="both"/>
        <w:rPr>
          <w:rFonts w:ascii="Verdana" w:hAnsi="Verdana"/>
          <w:b/>
          <w:sz w:val="22"/>
          <w:szCs w:val="22"/>
          <w:lang w:val="en-GB"/>
        </w:rPr>
      </w:pPr>
    </w:p>
    <w:p w14:paraId="211500DA" w14:textId="77777777" w:rsidR="00B631B1" w:rsidRPr="00B631B1" w:rsidRDefault="00B631B1" w:rsidP="00B631B1">
      <w:pPr>
        <w:jc w:val="both"/>
        <w:rPr>
          <w:rFonts w:ascii="Verdana" w:hAnsi="Verdana" w:cs="Arial"/>
          <w:b/>
          <w:sz w:val="22"/>
          <w:szCs w:val="22"/>
        </w:rPr>
      </w:pPr>
      <w:r w:rsidRPr="00B631B1">
        <w:rPr>
          <w:rFonts w:ascii="Verdana" w:hAnsi="Verdana" w:cs="Arial"/>
          <w:b/>
          <w:sz w:val="22"/>
          <w:szCs w:val="22"/>
        </w:rPr>
        <w:t xml:space="preserve">Reserves </w:t>
      </w:r>
    </w:p>
    <w:p w14:paraId="3DCE6005" w14:textId="77777777" w:rsidR="00B631B1" w:rsidRPr="00B631B1" w:rsidRDefault="00B631B1" w:rsidP="00B631B1">
      <w:pPr>
        <w:jc w:val="both"/>
        <w:rPr>
          <w:rFonts w:ascii="Verdana" w:hAnsi="Verdana" w:cs="Arial"/>
          <w:sz w:val="22"/>
          <w:szCs w:val="22"/>
        </w:rPr>
      </w:pPr>
    </w:p>
    <w:p w14:paraId="31467BD4" w14:textId="77777777" w:rsidR="00B631B1" w:rsidRPr="00B631B1" w:rsidRDefault="00B631B1" w:rsidP="00B631B1">
      <w:pPr>
        <w:jc w:val="both"/>
        <w:rPr>
          <w:rFonts w:ascii="Verdana" w:hAnsi="Verdana" w:cs="Arial"/>
          <w:sz w:val="22"/>
          <w:szCs w:val="22"/>
        </w:rPr>
      </w:pPr>
      <w:r w:rsidRPr="00B631B1">
        <w:rPr>
          <w:rFonts w:ascii="Verdana" w:hAnsi="Verdana" w:cs="Arial"/>
          <w:sz w:val="22"/>
          <w:szCs w:val="22"/>
        </w:rPr>
        <w:t>The Chief Constable maintains certain reserves to manage the accounting processes for non-current assets, retirement benefits and other employee benefits. These reserves do not represent usable resources for the Chief Constable or the Group.</w:t>
      </w:r>
    </w:p>
    <w:p w14:paraId="78094FF3" w14:textId="77777777" w:rsidR="00B631B1" w:rsidRPr="00B631B1" w:rsidRDefault="00B631B1" w:rsidP="00B631B1">
      <w:pPr>
        <w:jc w:val="both"/>
        <w:rPr>
          <w:rFonts w:ascii="Verdana" w:hAnsi="Verdana" w:cs="Arial"/>
          <w:sz w:val="22"/>
          <w:szCs w:val="22"/>
        </w:rPr>
      </w:pPr>
    </w:p>
    <w:p w14:paraId="184D189D" w14:textId="77777777" w:rsidR="00B631B1" w:rsidRPr="00B631B1" w:rsidRDefault="00B631B1" w:rsidP="00B631B1">
      <w:pPr>
        <w:pStyle w:val="Normal0"/>
        <w:jc w:val="both"/>
        <w:rPr>
          <w:rFonts w:ascii="Verdana" w:eastAsia="Times New Roman" w:hAnsi="Verdana" w:cs="Arial"/>
          <w:sz w:val="22"/>
          <w:szCs w:val="22"/>
          <w:lang w:val="en-GB" w:eastAsia="en-GB"/>
        </w:rPr>
      </w:pPr>
      <w:r w:rsidRPr="00B631B1">
        <w:rPr>
          <w:rFonts w:ascii="Verdana" w:eastAsia="Times New Roman" w:hAnsi="Verdana" w:cs="Arial"/>
          <w:sz w:val="22"/>
          <w:szCs w:val="22"/>
          <w:lang w:val="en-GB" w:eastAsia="en-GB"/>
        </w:rPr>
        <w:t>The nature and purpose of each reserve set up by the Chief Constable is described in the Notes to the Financial Statements.</w:t>
      </w:r>
    </w:p>
    <w:p w14:paraId="60B5F1E9" w14:textId="77777777" w:rsidR="00B631B1" w:rsidRPr="00B631B1" w:rsidRDefault="00B631B1" w:rsidP="00B631B1">
      <w:pPr>
        <w:pStyle w:val="Normal0"/>
        <w:ind w:left="800"/>
        <w:jc w:val="both"/>
        <w:rPr>
          <w:rFonts w:ascii="Verdana" w:eastAsia="Times New Roman" w:hAnsi="Verdana" w:cs="Arial"/>
          <w:sz w:val="22"/>
          <w:szCs w:val="22"/>
          <w:lang w:val="en-GB" w:eastAsia="en-GB"/>
        </w:rPr>
      </w:pPr>
    </w:p>
    <w:p w14:paraId="3F0E5E4C" w14:textId="77777777" w:rsidR="00B631B1" w:rsidRPr="00B631B1" w:rsidRDefault="00B631B1" w:rsidP="00B631B1">
      <w:pPr>
        <w:pStyle w:val="Normal0"/>
        <w:jc w:val="both"/>
        <w:rPr>
          <w:rFonts w:ascii="Verdana" w:eastAsia="Times New Roman" w:hAnsi="Verdana" w:cs="Arial"/>
          <w:sz w:val="22"/>
          <w:szCs w:val="22"/>
          <w:lang w:val="en-GB" w:eastAsia="en-GB"/>
        </w:rPr>
      </w:pPr>
      <w:r w:rsidRPr="00B631B1">
        <w:rPr>
          <w:rFonts w:ascii="Verdana" w:eastAsia="Times New Roman" w:hAnsi="Verdana" w:cs="Arial"/>
          <w:sz w:val="22"/>
          <w:szCs w:val="22"/>
          <w:lang w:val="en-GB" w:eastAsia="en-GB"/>
        </w:rPr>
        <w:t xml:space="preserve">The classification of reserves is consistent with the CIPFA Code of Practice and is reviewed annually by the Police and Crime Commissioner.  </w:t>
      </w:r>
    </w:p>
    <w:p w14:paraId="25445D9B" w14:textId="77777777" w:rsidR="00B631B1" w:rsidRPr="00B631B1" w:rsidRDefault="00B631B1" w:rsidP="00B631B1">
      <w:pPr>
        <w:jc w:val="both"/>
        <w:rPr>
          <w:rFonts w:ascii="Verdana" w:hAnsi="Verdana" w:cs="Arial"/>
          <w:sz w:val="22"/>
          <w:szCs w:val="22"/>
        </w:rPr>
      </w:pPr>
    </w:p>
    <w:p w14:paraId="4AC7CE89" w14:textId="77777777" w:rsidR="00B631B1" w:rsidRPr="00B631B1" w:rsidRDefault="00B631B1" w:rsidP="00B631B1">
      <w:pPr>
        <w:jc w:val="both"/>
        <w:rPr>
          <w:rFonts w:ascii="Verdana" w:hAnsi="Verdana" w:cs="Arial"/>
          <w:b/>
          <w:sz w:val="22"/>
          <w:szCs w:val="22"/>
        </w:rPr>
      </w:pPr>
      <w:r w:rsidRPr="00B631B1">
        <w:rPr>
          <w:rFonts w:ascii="Verdana" w:hAnsi="Verdana" w:cs="Arial"/>
          <w:b/>
          <w:sz w:val="22"/>
          <w:szCs w:val="22"/>
        </w:rPr>
        <w:t xml:space="preserve">Overheads and Support Services </w:t>
      </w:r>
    </w:p>
    <w:p w14:paraId="6E4B45B1" w14:textId="77777777" w:rsidR="00B631B1" w:rsidRPr="00B631B1" w:rsidRDefault="00B631B1" w:rsidP="00B631B1">
      <w:pPr>
        <w:jc w:val="both"/>
        <w:rPr>
          <w:rFonts w:ascii="Verdana" w:hAnsi="Verdana" w:cs="Arial"/>
          <w:sz w:val="22"/>
          <w:szCs w:val="22"/>
        </w:rPr>
      </w:pPr>
    </w:p>
    <w:p w14:paraId="58BD9507" w14:textId="77777777" w:rsidR="00B631B1" w:rsidRPr="00B631B1" w:rsidRDefault="00B631B1" w:rsidP="00B631B1">
      <w:pPr>
        <w:jc w:val="both"/>
        <w:rPr>
          <w:rFonts w:ascii="Verdana" w:hAnsi="Verdana" w:cs="Arial"/>
          <w:sz w:val="22"/>
          <w:szCs w:val="22"/>
        </w:rPr>
      </w:pPr>
      <w:r w:rsidRPr="00B631B1">
        <w:rPr>
          <w:szCs w:val="22"/>
          <w:lang w:val="en-GB"/>
        </w:rPr>
        <w:t>The costs of overheads and support services are charged to the Comprehensive Income and Expenditure Statement in accordance with the CC/Group arrangements for accountability and financial performance.</w:t>
      </w:r>
    </w:p>
    <w:p w14:paraId="7C0B25F3" w14:textId="77777777" w:rsidR="00B631B1" w:rsidRPr="00B631B1" w:rsidRDefault="00B631B1" w:rsidP="00B631B1">
      <w:pPr>
        <w:jc w:val="both"/>
        <w:rPr>
          <w:rFonts w:ascii="Verdana" w:hAnsi="Verdana" w:cs="Arial"/>
          <w:sz w:val="22"/>
          <w:szCs w:val="22"/>
        </w:rPr>
      </w:pPr>
    </w:p>
    <w:p w14:paraId="52BBD782" w14:textId="77777777" w:rsidR="00B631B1" w:rsidRPr="005B6986" w:rsidRDefault="00B631B1" w:rsidP="00B631B1">
      <w:pPr>
        <w:jc w:val="both"/>
        <w:rPr>
          <w:rFonts w:ascii="Verdana" w:hAnsi="Verdana" w:cs="Arial"/>
          <w:b/>
          <w:sz w:val="22"/>
          <w:szCs w:val="22"/>
        </w:rPr>
      </w:pPr>
      <w:r w:rsidRPr="005B6986">
        <w:rPr>
          <w:rFonts w:ascii="Verdana" w:hAnsi="Verdana" w:cs="Arial"/>
          <w:b/>
          <w:sz w:val="22"/>
          <w:szCs w:val="22"/>
        </w:rPr>
        <w:t xml:space="preserve">Provisions and Contingent Liabilities </w:t>
      </w:r>
    </w:p>
    <w:p w14:paraId="0B47765D" w14:textId="77777777" w:rsidR="00B631B1" w:rsidRPr="005B6986" w:rsidRDefault="00B631B1" w:rsidP="00B631B1">
      <w:pPr>
        <w:jc w:val="both"/>
        <w:rPr>
          <w:rFonts w:ascii="Verdana" w:hAnsi="Verdana" w:cs="Arial"/>
          <w:sz w:val="22"/>
          <w:szCs w:val="22"/>
        </w:rPr>
      </w:pPr>
    </w:p>
    <w:p w14:paraId="4F9482FC" w14:textId="77777777" w:rsidR="00B631B1" w:rsidRPr="005B6986" w:rsidRDefault="00B631B1" w:rsidP="00B631B1">
      <w:pPr>
        <w:jc w:val="both"/>
        <w:rPr>
          <w:rFonts w:ascii="Verdana" w:hAnsi="Verdana" w:cs="Arial"/>
          <w:b/>
          <w:sz w:val="22"/>
          <w:szCs w:val="22"/>
        </w:rPr>
      </w:pPr>
      <w:r w:rsidRPr="005B6986">
        <w:rPr>
          <w:rFonts w:ascii="Verdana" w:hAnsi="Verdana" w:cs="Arial"/>
          <w:b/>
          <w:sz w:val="22"/>
          <w:szCs w:val="22"/>
        </w:rPr>
        <w:t xml:space="preserve">Provisions </w:t>
      </w:r>
    </w:p>
    <w:p w14:paraId="0F71D60A" w14:textId="77777777" w:rsidR="00B631B1" w:rsidRPr="005B6986" w:rsidRDefault="00B631B1" w:rsidP="00B631B1">
      <w:pPr>
        <w:jc w:val="both"/>
        <w:rPr>
          <w:rFonts w:ascii="Verdana" w:hAnsi="Verdana" w:cs="Arial"/>
          <w:sz w:val="22"/>
          <w:szCs w:val="22"/>
        </w:rPr>
      </w:pPr>
    </w:p>
    <w:p w14:paraId="1D2D04F8" w14:textId="77777777" w:rsidR="00B631B1" w:rsidRPr="005B6986" w:rsidRDefault="00B631B1" w:rsidP="00B631B1">
      <w:pPr>
        <w:jc w:val="both"/>
        <w:rPr>
          <w:rFonts w:ascii="Verdana" w:hAnsi="Verdana" w:cs="Arial"/>
          <w:sz w:val="22"/>
          <w:szCs w:val="22"/>
        </w:rPr>
      </w:pPr>
      <w:r w:rsidRPr="005B6986">
        <w:rPr>
          <w:rFonts w:ascii="Verdana" w:hAnsi="Verdana" w:cs="Arial"/>
          <w:sz w:val="22"/>
          <w:szCs w:val="22"/>
        </w:rPr>
        <w:t>Provisions are made where an event has taken place that gives the Group a legal or constructive obligation that probably requires settlement by a transfer of economic benefits or service potential, and a reliable estimate can be made of the amount of the obligation, but where the timing of transfer is uncertain.  Provisions are recognised on the Balance Sheet.</w:t>
      </w:r>
    </w:p>
    <w:p w14:paraId="63244E92" w14:textId="77777777" w:rsidR="00B631B1" w:rsidRPr="005B6986" w:rsidRDefault="00B631B1" w:rsidP="00B631B1">
      <w:pPr>
        <w:jc w:val="both"/>
        <w:rPr>
          <w:rFonts w:ascii="Verdana" w:hAnsi="Verdana" w:cs="Arial"/>
          <w:sz w:val="22"/>
          <w:szCs w:val="22"/>
        </w:rPr>
      </w:pPr>
    </w:p>
    <w:p w14:paraId="02E724E3" w14:textId="77777777" w:rsidR="00B631B1" w:rsidRPr="005B6986" w:rsidRDefault="00B631B1" w:rsidP="00B631B1">
      <w:pPr>
        <w:jc w:val="both"/>
        <w:rPr>
          <w:rFonts w:ascii="Verdana" w:hAnsi="Verdana" w:cs="Arial"/>
          <w:b/>
          <w:sz w:val="22"/>
          <w:szCs w:val="22"/>
        </w:rPr>
      </w:pPr>
      <w:r w:rsidRPr="005B6986">
        <w:rPr>
          <w:rFonts w:ascii="Verdana" w:hAnsi="Verdana" w:cs="Arial"/>
          <w:b/>
          <w:sz w:val="22"/>
          <w:szCs w:val="22"/>
        </w:rPr>
        <w:t>Contingent Liabilities</w:t>
      </w:r>
    </w:p>
    <w:p w14:paraId="787ED6E1" w14:textId="77777777" w:rsidR="00B631B1" w:rsidRPr="005B6986" w:rsidRDefault="00B631B1" w:rsidP="00B631B1">
      <w:pPr>
        <w:jc w:val="both"/>
        <w:rPr>
          <w:rFonts w:ascii="Verdana" w:hAnsi="Verdana" w:cs="Arial"/>
          <w:sz w:val="22"/>
          <w:szCs w:val="22"/>
        </w:rPr>
      </w:pPr>
    </w:p>
    <w:p w14:paraId="35065B58" w14:textId="77777777" w:rsidR="00F146A6" w:rsidRPr="00F146A6" w:rsidRDefault="00B631B1" w:rsidP="00B631B1">
      <w:pPr>
        <w:jc w:val="both"/>
        <w:rPr>
          <w:rFonts w:ascii="Verdana" w:hAnsi="Verdana" w:cs="Arial"/>
          <w:b/>
          <w:sz w:val="22"/>
          <w:szCs w:val="22"/>
        </w:rPr>
      </w:pPr>
      <w:r w:rsidRPr="005B6986">
        <w:rPr>
          <w:rFonts w:ascii="Verdana" w:hAnsi="Verdana" w:cs="Arial"/>
          <w:sz w:val="22"/>
          <w:szCs w:val="22"/>
        </w:rPr>
        <w:t>A contingent liability arises where an event has taken place that gives the Chief Constable a possible obligation whose existence will only be confirmed by the occurrence or otherwise of uncertain future events not wholly within the control of the Chief Constable. Contingent liabilities also arise in circumstances where a provision would otherwise be made but either it is not probable that an outflow of resources will be required or the amount of the obligation cannot be measured reliably.  Contingent liabilities are not recognised in the Balance Sheet but disclosed in a note to the accounts.</w:t>
      </w:r>
    </w:p>
    <w:p w14:paraId="4FEB1536" w14:textId="77777777" w:rsidR="00736699" w:rsidRDefault="00736699" w:rsidP="003E44C5">
      <w:pPr>
        <w:pStyle w:val="Style1"/>
        <w:numPr>
          <w:ilvl w:val="0"/>
          <w:numId w:val="0"/>
        </w:numPr>
        <w:jc w:val="left"/>
        <w:rPr>
          <w:rFonts w:ascii="Verdana" w:hAnsi="Verdana"/>
          <w:sz w:val="22"/>
          <w:szCs w:val="22"/>
        </w:rPr>
      </w:pPr>
    </w:p>
    <w:p w14:paraId="08999515" w14:textId="77777777" w:rsidR="00571F84" w:rsidRPr="00571F84" w:rsidRDefault="00571F84" w:rsidP="00571F84">
      <w:pPr>
        <w:pStyle w:val="Style1"/>
        <w:numPr>
          <w:ilvl w:val="0"/>
          <w:numId w:val="0"/>
        </w:numPr>
        <w:rPr>
          <w:rFonts w:ascii="Verdana" w:hAnsi="Verdana"/>
          <w:sz w:val="22"/>
          <w:szCs w:val="22"/>
        </w:rPr>
      </w:pPr>
      <w:r w:rsidRPr="00571F84">
        <w:rPr>
          <w:rFonts w:ascii="Verdana" w:hAnsi="Verdana"/>
          <w:sz w:val="22"/>
          <w:szCs w:val="22"/>
        </w:rPr>
        <w:t>VAT</w:t>
      </w:r>
    </w:p>
    <w:p w14:paraId="06F8FFA7" w14:textId="77777777" w:rsidR="00571F84" w:rsidRPr="00571F84" w:rsidRDefault="00571F84" w:rsidP="00571F84">
      <w:pPr>
        <w:jc w:val="both"/>
        <w:rPr>
          <w:rFonts w:ascii="Verdana" w:hAnsi="Verdana" w:cs="Arial"/>
          <w:sz w:val="22"/>
          <w:szCs w:val="22"/>
        </w:rPr>
      </w:pPr>
    </w:p>
    <w:p w14:paraId="197465EA" w14:textId="77777777" w:rsidR="00571F84" w:rsidRPr="00571F84" w:rsidRDefault="00571F84" w:rsidP="00571F84">
      <w:pPr>
        <w:jc w:val="both"/>
        <w:rPr>
          <w:rFonts w:ascii="Verdana" w:hAnsi="Verdana" w:cs="Arial"/>
          <w:sz w:val="22"/>
          <w:szCs w:val="22"/>
        </w:rPr>
      </w:pPr>
      <w:r w:rsidRPr="00571F84">
        <w:rPr>
          <w:rFonts w:ascii="Verdana" w:hAnsi="Verdana" w:cs="Arial"/>
          <w:sz w:val="22"/>
          <w:szCs w:val="22"/>
        </w:rPr>
        <w:t xml:space="preserve">VAT payable is included as an expense only to the extent that it is not recoverable from Her Majesty's Revenue and Customs. VAT receivable is excluded from income. </w:t>
      </w:r>
    </w:p>
    <w:p w14:paraId="217676FC" w14:textId="77777777" w:rsidR="00571F84" w:rsidRPr="00571F84" w:rsidRDefault="00571F84" w:rsidP="00571F84">
      <w:pPr>
        <w:jc w:val="both"/>
        <w:rPr>
          <w:rFonts w:ascii="Verdana" w:hAnsi="Verdana" w:cs="Arial"/>
          <w:sz w:val="22"/>
          <w:szCs w:val="22"/>
        </w:rPr>
      </w:pPr>
    </w:p>
    <w:p w14:paraId="58BF6522" w14:textId="77777777" w:rsidR="00571F84" w:rsidRPr="008E58B6" w:rsidRDefault="00571F84" w:rsidP="00571F84">
      <w:pPr>
        <w:jc w:val="both"/>
        <w:rPr>
          <w:rFonts w:ascii="Verdana" w:hAnsi="Verdana" w:cs="Arial"/>
          <w:sz w:val="22"/>
          <w:szCs w:val="22"/>
        </w:rPr>
      </w:pPr>
      <w:r w:rsidRPr="00571F84">
        <w:rPr>
          <w:rFonts w:ascii="Verdana" w:hAnsi="Verdana" w:cs="Arial"/>
          <w:sz w:val="22"/>
          <w:szCs w:val="22"/>
        </w:rPr>
        <w:t xml:space="preserve">A single VAT return is submitted on behalf of the </w:t>
      </w:r>
      <w:r w:rsidRPr="008E58B6">
        <w:rPr>
          <w:rFonts w:ascii="Verdana" w:hAnsi="Verdana" w:cs="Arial"/>
          <w:sz w:val="22"/>
          <w:szCs w:val="22"/>
        </w:rPr>
        <w:t xml:space="preserve">Group. </w:t>
      </w:r>
      <w:r w:rsidRPr="008E58B6">
        <w:rPr>
          <w:rFonts w:ascii="Verdana" w:eastAsia="Times New Roman" w:hAnsi="Verdana" w:cs="Arial"/>
          <w:sz w:val="22"/>
          <w:szCs w:val="22"/>
          <w:lang w:val="en-GB" w:eastAsia="en-GB"/>
        </w:rPr>
        <w:t xml:space="preserve">The Chief Constable does not submit a separate VAT return.  </w:t>
      </w:r>
    </w:p>
    <w:p w14:paraId="41979D0C" w14:textId="77777777" w:rsidR="00736699" w:rsidRPr="008E58B6" w:rsidRDefault="00736699" w:rsidP="003E44C5">
      <w:pPr>
        <w:pStyle w:val="Style1"/>
        <w:numPr>
          <w:ilvl w:val="0"/>
          <w:numId w:val="0"/>
        </w:numPr>
        <w:jc w:val="left"/>
        <w:rPr>
          <w:rFonts w:ascii="Verdana" w:hAnsi="Verdana"/>
          <w:sz w:val="22"/>
          <w:szCs w:val="22"/>
        </w:rPr>
      </w:pPr>
    </w:p>
    <w:p w14:paraId="7070AB13" w14:textId="77777777" w:rsidR="003E44C5" w:rsidRPr="008E58B6" w:rsidRDefault="003E44C5" w:rsidP="003E44C5">
      <w:pPr>
        <w:pStyle w:val="Style1"/>
        <w:numPr>
          <w:ilvl w:val="0"/>
          <w:numId w:val="0"/>
        </w:numPr>
        <w:jc w:val="left"/>
        <w:rPr>
          <w:rFonts w:ascii="Verdana" w:hAnsi="Verdana"/>
          <w:sz w:val="22"/>
          <w:szCs w:val="22"/>
        </w:rPr>
      </w:pPr>
      <w:r w:rsidRPr="008E58B6">
        <w:rPr>
          <w:rFonts w:ascii="Verdana" w:hAnsi="Verdana"/>
          <w:sz w:val="22"/>
          <w:szCs w:val="22"/>
        </w:rPr>
        <w:t>Employee Benefits Payable During Employment</w:t>
      </w:r>
    </w:p>
    <w:p w14:paraId="2D5FF050" w14:textId="77777777" w:rsidR="003E44C5" w:rsidRPr="008E58B6" w:rsidRDefault="003E44C5" w:rsidP="003E44C5">
      <w:pPr>
        <w:pStyle w:val="ListParagraph"/>
        <w:jc w:val="both"/>
        <w:rPr>
          <w:rFonts w:ascii="Verdana" w:hAnsi="Verdana" w:cs="Arial"/>
          <w:b/>
          <w:sz w:val="22"/>
          <w:szCs w:val="22"/>
        </w:rPr>
      </w:pPr>
    </w:p>
    <w:p w14:paraId="54930301" w14:textId="77777777" w:rsidR="003E44C5" w:rsidRPr="00E36FD2" w:rsidRDefault="003E44C5" w:rsidP="003E44C5">
      <w:pPr>
        <w:jc w:val="both"/>
        <w:rPr>
          <w:rFonts w:ascii="Verdana" w:hAnsi="Verdana" w:cs="Arial"/>
          <w:sz w:val="22"/>
          <w:szCs w:val="22"/>
        </w:rPr>
      </w:pPr>
      <w:r w:rsidRPr="008E58B6">
        <w:rPr>
          <w:rFonts w:ascii="Verdana" w:hAnsi="Verdana" w:cs="Arial"/>
          <w:sz w:val="22"/>
          <w:szCs w:val="22"/>
        </w:rPr>
        <w:t xml:space="preserve">Short-term employee benefits are those due to be settled within 12 months of the year-end.  They include benefits such as salaries, paid annual leave and paid sick leave, bonuses and non-monetary benefits (e.g. cars) for current employees and are recognised as an expense for services in the year in which employees render service to the Chief Constable. An accrual is made for the cost of holiday entitlements (or any form of leave, e.g. time off in lieu) earned by employees but not taken before the year-end, which employees can carry forward into the next financial year. The accrual is charged to the Comprehensive Income and Expenditure Statement, but then reversed out through the Movement in Reserves </w:t>
      </w:r>
      <w:r w:rsidRPr="00E36FD2">
        <w:rPr>
          <w:rFonts w:ascii="Verdana" w:hAnsi="Verdana" w:cs="Arial"/>
          <w:sz w:val="22"/>
          <w:szCs w:val="22"/>
        </w:rPr>
        <w:t>Statement, resulting in holiday benefits being charged to revenue in the financial year in which the holiday absence occurs.</w:t>
      </w:r>
    </w:p>
    <w:p w14:paraId="26E72451" w14:textId="77777777" w:rsidR="003E44C5" w:rsidRPr="00E36FD2" w:rsidRDefault="003E44C5" w:rsidP="003E44C5">
      <w:pPr>
        <w:jc w:val="both"/>
        <w:rPr>
          <w:rFonts w:ascii="Verdana" w:hAnsi="Verdana" w:cs="Arial"/>
          <w:sz w:val="22"/>
          <w:szCs w:val="22"/>
        </w:rPr>
      </w:pPr>
    </w:p>
    <w:p w14:paraId="0C6900EF" w14:textId="77777777" w:rsidR="003E44C5" w:rsidRPr="00E36FD2" w:rsidRDefault="003E44C5" w:rsidP="003E44C5">
      <w:pPr>
        <w:pStyle w:val="Style1"/>
        <w:numPr>
          <w:ilvl w:val="0"/>
          <w:numId w:val="0"/>
        </w:numPr>
        <w:rPr>
          <w:rFonts w:ascii="Verdana" w:hAnsi="Verdana"/>
          <w:sz w:val="22"/>
          <w:szCs w:val="22"/>
        </w:rPr>
      </w:pPr>
      <w:r w:rsidRPr="00E36FD2">
        <w:rPr>
          <w:rFonts w:ascii="Verdana" w:hAnsi="Verdana"/>
          <w:sz w:val="22"/>
          <w:szCs w:val="22"/>
        </w:rPr>
        <w:t>Termination Benefits / Exit Packages</w:t>
      </w:r>
    </w:p>
    <w:p w14:paraId="33558B92" w14:textId="77777777" w:rsidR="003E44C5" w:rsidRPr="00E36FD2" w:rsidRDefault="003E44C5" w:rsidP="003E44C5">
      <w:pPr>
        <w:jc w:val="both"/>
        <w:rPr>
          <w:rFonts w:ascii="Verdana" w:hAnsi="Verdana" w:cs="Arial"/>
          <w:sz w:val="22"/>
          <w:szCs w:val="22"/>
        </w:rPr>
      </w:pPr>
    </w:p>
    <w:p w14:paraId="73D82319" w14:textId="77777777" w:rsidR="003E44C5" w:rsidRPr="00E36FD2" w:rsidRDefault="003E44C5" w:rsidP="003E44C5">
      <w:pPr>
        <w:jc w:val="both"/>
        <w:rPr>
          <w:rFonts w:ascii="Verdana" w:hAnsi="Verdana" w:cs="Arial"/>
          <w:sz w:val="22"/>
          <w:szCs w:val="22"/>
        </w:rPr>
      </w:pPr>
      <w:r w:rsidRPr="00E36FD2">
        <w:rPr>
          <w:rFonts w:ascii="Verdana" w:hAnsi="Verdana" w:cs="Arial"/>
          <w:sz w:val="22"/>
          <w:szCs w:val="22"/>
        </w:rPr>
        <w:t>Termination benefits are amounts payable as a result of a decision by the Chief Constable to terminate an employee’s employment before the normal retirement date or an employee’s decision to accept voluntary redundancy, and are charged on an accruals basis to the appropriate service in the Comprehensive Income &amp; Expenditure Statement when the Chief Constable is demonstrably committed to the termination of the employment of an employee or group of employees or making an offer to encourage voluntary redundancy.</w:t>
      </w:r>
    </w:p>
    <w:p w14:paraId="45C765BA" w14:textId="77777777" w:rsidR="003E44C5" w:rsidRPr="00E36FD2" w:rsidRDefault="003E44C5" w:rsidP="003E44C5">
      <w:pPr>
        <w:jc w:val="both"/>
        <w:rPr>
          <w:rFonts w:ascii="Verdana" w:hAnsi="Verdana" w:cs="Arial"/>
          <w:sz w:val="22"/>
          <w:szCs w:val="22"/>
        </w:rPr>
      </w:pPr>
    </w:p>
    <w:p w14:paraId="0D965CED" w14:textId="77777777" w:rsidR="003E44C5" w:rsidRPr="00E36FD2" w:rsidRDefault="003E44C5" w:rsidP="003E44C5">
      <w:pPr>
        <w:jc w:val="both"/>
        <w:rPr>
          <w:rFonts w:ascii="Verdana" w:hAnsi="Verdana" w:cs="Arial"/>
          <w:sz w:val="22"/>
          <w:szCs w:val="22"/>
        </w:rPr>
      </w:pPr>
      <w:r w:rsidRPr="00E36FD2">
        <w:rPr>
          <w:rFonts w:ascii="Verdana" w:hAnsi="Verdana" w:cs="Arial"/>
          <w:sz w:val="22"/>
          <w:szCs w:val="22"/>
        </w:rPr>
        <w:t>Where termination benefits involve the enhancement of pensions, statutory provisions require the General Fund Balance to be charged with the amount payable by the Group to the pension fund or pensioner in the year, not the amount calculated according to the relevant accounting standards. In the Movement in Reserves Statement, appropriations are required to and from the Pensions Reserve to remove notional debits and credits for pension enhancement termination benefits and replace them with debits for the cash paid to the pension fund and pensioners and any such amounts payable but unpaid at the year-end.  The movement in Reserves appropriations are reflected in the Group Accounts.</w:t>
      </w:r>
    </w:p>
    <w:p w14:paraId="5C77A718" w14:textId="77777777" w:rsidR="003E44C5" w:rsidRPr="00E36FD2" w:rsidRDefault="003E44C5" w:rsidP="003E44C5">
      <w:pPr>
        <w:jc w:val="both"/>
        <w:rPr>
          <w:rFonts w:ascii="Verdana" w:hAnsi="Verdana" w:cs="Arial"/>
          <w:sz w:val="22"/>
          <w:szCs w:val="22"/>
        </w:rPr>
      </w:pPr>
    </w:p>
    <w:p w14:paraId="755229FE" w14:textId="77777777" w:rsidR="003E44C5" w:rsidRPr="00E36FD2" w:rsidRDefault="003E44C5" w:rsidP="003E44C5">
      <w:pPr>
        <w:pStyle w:val="Style1"/>
        <w:numPr>
          <w:ilvl w:val="0"/>
          <w:numId w:val="0"/>
        </w:numPr>
        <w:ind w:left="5606" w:hanging="5606"/>
        <w:rPr>
          <w:rFonts w:ascii="Verdana" w:hAnsi="Verdana"/>
          <w:sz w:val="22"/>
          <w:szCs w:val="22"/>
        </w:rPr>
      </w:pPr>
      <w:r w:rsidRPr="00E36FD2">
        <w:rPr>
          <w:rFonts w:ascii="Verdana" w:hAnsi="Verdana"/>
          <w:sz w:val="22"/>
          <w:szCs w:val="22"/>
        </w:rPr>
        <w:t>Long-term employee benefits - Pension arrangements</w:t>
      </w:r>
    </w:p>
    <w:p w14:paraId="6C21F327" w14:textId="77777777" w:rsidR="003E44C5" w:rsidRPr="00E36FD2" w:rsidRDefault="003E44C5" w:rsidP="003E44C5">
      <w:pPr>
        <w:pStyle w:val="Style1"/>
        <w:numPr>
          <w:ilvl w:val="0"/>
          <w:numId w:val="0"/>
        </w:numPr>
        <w:ind w:left="1080"/>
        <w:rPr>
          <w:rFonts w:ascii="Verdana" w:hAnsi="Verdana"/>
          <w:sz w:val="22"/>
          <w:szCs w:val="22"/>
        </w:rPr>
      </w:pPr>
    </w:p>
    <w:p w14:paraId="6D79FF00" w14:textId="77777777" w:rsidR="003E44C5" w:rsidRPr="00E36FD2" w:rsidRDefault="003E44C5" w:rsidP="003E44C5">
      <w:pPr>
        <w:jc w:val="both"/>
        <w:rPr>
          <w:rFonts w:ascii="Verdana" w:hAnsi="Verdana" w:cs="Arial"/>
          <w:sz w:val="22"/>
          <w:szCs w:val="22"/>
        </w:rPr>
      </w:pPr>
      <w:r w:rsidRPr="00E36FD2">
        <w:rPr>
          <w:rFonts w:ascii="Verdana" w:hAnsi="Verdana" w:cs="Arial"/>
          <w:sz w:val="22"/>
          <w:szCs w:val="22"/>
        </w:rPr>
        <w:t>The Chief Constable operates, on behalf of the Group, three pension schemes for police officers and a single scheme for police staff:</w:t>
      </w:r>
    </w:p>
    <w:p w14:paraId="7C388920" w14:textId="77777777" w:rsidR="003E44C5" w:rsidRPr="00E36FD2" w:rsidRDefault="003E44C5" w:rsidP="003E44C5">
      <w:pPr>
        <w:jc w:val="both"/>
        <w:rPr>
          <w:rFonts w:ascii="Verdana" w:hAnsi="Verdana" w:cs="Arial"/>
          <w:sz w:val="22"/>
          <w:szCs w:val="22"/>
        </w:rPr>
      </w:pPr>
    </w:p>
    <w:p w14:paraId="1FF180A5" w14:textId="77777777" w:rsidR="003E44C5" w:rsidRPr="00E36FD2" w:rsidRDefault="003E44C5" w:rsidP="003E44C5">
      <w:pPr>
        <w:jc w:val="both"/>
        <w:rPr>
          <w:rFonts w:ascii="Verdana" w:hAnsi="Verdana" w:cs="Arial"/>
          <w:sz w:val="22"/>
          <w:szCs w:val="22"/>
        </w:rPr>
      </w:pPr>
      <w:r w:rsidRPr="00E36FD2">
        <w:rPr>
          <w:rFonts w:ascii="Verdana" w:hAnsi="Verdana" w:cs="Arial"/>
          <w:sz w:val="22"/>
          <w:szCs w:val="22"/>
        </w:rPr>
        <w:t>•</w:t>
      </w:r>
      <w:r w:rsidRPr="00E36FD2">
        <w:rPr>
          <w:rFonts w:ascii="Verdana" w:hAnsi="Verdana" w:cs="Arial"/>
          <w:sz w:val="22"/>
          <w:szCs w:val="22"/>
        </w:rPr>
        <w:tab/>
        <w:t>The Police Pension Scheme (PPS), regulated under the Police Pensions Act 1976</w:t>
      </w:r>
    </w:p>
    <w:p w14:paraId="0EE102B3" w14:textId="77777777" w:rsidR="003E44C5" w:rsidRPr="00E36FD2" w:rsidRDefault="003E44C5" w:rsidP="003E44C5">
      <w:pPr>
        <w:ind w:left="720" w:hanging="720"/>
        <w:jc w:val="both"/>
        <w:rPr>
          <w:rFonts w:ascii="Verdana" w:hAnsi="Verdana" w:cs="Arial"/>
          <w:sz w:val="22"/>
          <w:szCs w:val="22"/>
        </w:rPr>
      </w:pPr>
      <w:r w:rsidRPr="00E36FD2">
        <w:rPr>
          <w:rFonts w:ascii="Verdana" w:hAnsi="Verdana" w:cs="Arial"/>
          <w:sz w:val="22"/>
          <w:szCs w:val="22"/>
        </w:rPr>
        <w:t>•</w:t>
      </w:r>
      <w:r w:rsidRPr="00E36FD2">
        <w:rPr>
          <w:rFonts w:ascii="Verdana" w:hAnsi="Verdana" w:cs="Arial"/>
          <w:sz w:val="22"/>
          <w:szCs w:val="22"/>
        </w:rPr>
        <w:tab/>
        <w:t>The New Police Pension Scheme (NPPS), regulated under the Police Pension Regulations 2006</w:t>
      </w:r>
    </w:p>
    <w:p w14:paraId="69314ED0" w14:textId="77777777" w:rsidR="003E44C5" w:rsidRPr="00E36FD2" w:rsidRDefault="003E44C5" w:rsidP="003E44C5">
      <w:pPr>
        <w:jc w:val="both"/>
        <w:rPr>
          <w:rFonts w:ascii="Verdana" w:hAnsi="Verdana" w:cs="Arial"/>
          <w:sz w:val="22"/>
          <w:szCs w:val="22"/>
        </w:rPr>
      </w:pPr>
      <w:r w:rsidRPr="00E36FD2">
        <w:rPr>
          <w:rFonts w:ascii="Verdana" w:hAnsi="Verdana" w:cs="Arial"/>
          <w:sz w:val="22"/>
          <w:szCs w:val="22"/>
        </w:rPr>
        <w:t>•</w:t>
      </w:r>
      <w:r w:rsidRPr="00E36FD2">
        <w:rPr>
          <w:rFonts w:ascii="Verdana" w:hAnsi="Verdana" w:cs="Arial"/>
          <w:sz w:val="22"/>
          <w:szCs w:val="22"/>
        </w:rPr>
        <w:tab/>
        <w:t>The Police Pension Scheme 2015 (the 2015 scheme)</w:t>
      </w:r>
    </w:p>
    <w:p w14:paraId="23A96DD6" w14:textId="77777777" w:rsidR="003E44C5" w:rsidRPr="00E36FD2" w:rsidRDefault="003E44C5" w:rsidP="003E44C5">
      <w:pPr>
        <w:jc w:val="both"/>
        <w:rPr>
          <w:rFonts w:ascii="Verdana" w:hAnsi="Verdana" w:cs="Arial"/>
          <w:sz w:val="22"/>
          <w:szCs w:val="22"/>
        </w:rPr>
      </w:pPr>
      <w:r w:rsidRPr="00E36FD2">
        <w:rPr>
          <w:rFonts w:ascii="Verdana" w:hAnsi="Verdana" w:cs="Arial"/>
          <w:sz w:val="22"/>
          <w:szCs w:val="22"/>
        </w:rPr>
        <w:t>•</w:t>
      </w:r>
      <w:r w:rsidRPr="00E36FD2">
        <w:rPr>
          <w:rFonts w:ascii="Verdana" w:hAnsi="Verdana" w:cs="Arial"/>
          <w:sz w:val="22"/>
          <w:szCs w:val="22"/>
        </w:rPr>
        <w:tab/>
        <w:t>The Local Government Pensions Scheme (LGPS), administered by Surrey County Council</w:t>
      </w:r>
    </w:p>
    <w:p w14:paraId="35E77047" w14:textId="77777777" w:rsidR="003E44C5" w:rsidRPr="00E36FD2" w:rsidRDefault="003E44C5" w:rsidP="003E44C5">
      <w:pPr>
        <w:jc w:val="both"/>
        <w:rPr>
          <w:rFonts w:ascii="Verdana" w:hAnsi="Verdana" w:cs="Arial"/>
          <w:sz w:val="22"/>
          <w:szCs w:val="22"/>
        </w:rPr>
      </w:pPr>
    </w:p>
    <w:p w14:paraId="0ACB1CDA" w14:textId="77777777" w:rsidR="003E44C5" w:rsidRPr="00E36FD2" w:rsidRDefault="003E44C5" w:rsidP="003E44C5">
      <w:pPr>
        <w:jc w:val="both"/>
        <w:rPr>
          <w:rFonts w:ascii="Verdana" w:hAnsi="Verdana" w:cs="Arial"/>
          <w:sz w:val="22"/>
          <w:szCs w:val="22"/>
        </w:rPr>
      </w:pPr>
      <w:r w:rsidRPr="00E36FD2">
        <w:rPr>
          <w:rFonts w:ascii="Verdana" w:hAnsi="Verdana" w:cs="Arial"/>
          <w:sz w:val="22"/>
          <w:szCs w:val="22"/>
        </w:rPr>
        <w:t>All police schemes are contributory occupational pension schemes with officers making contributions.</w:t>
      </w:r>
    </w:p>
    <w:p w14:paraId="2D1E8E7E" w14:textId="77777777" w:rsidR="003E44C5" w:rsidRPr="00E36FD2" w:rsidRDefault="003E44C5" w:rsidP="003E44C5">
      <w:pPr>
        <w:jc w:val="both"/>
        <w:rPr>
          <w:rFonts w:ascii="Verdana" w:hAnsi="Verdana" w:cs="Arial"/>
          <w:sz w:val="22"/>
          <w:szCs w:val="22"/>
        </w:rPr>
      </w:pPr>
    </w:p>
    <w:p w14:paraId="084D5390" w14:textId="77777777" w:rsidR="003E44C5" w:rsidRPr="00E36FD2" w:rsidRDefault="003E44C5" w:rsidP="003E44C5">
      <w:pPr>
        <w:jc w:val="both"/>
        <w:rPr>
          <w:rFonts w:ascii="Verdana" w:hAnsi="Verdana" w:cs="Arial"/>
          <w:sz w:val="22"/>
          <w:szCs w:val="22"/>
        </w:rPr>
      </w:pPr>
      <w:r w:rsidRPr="00E36FD2">
        <w:rPr>
          <w:rFonts w:ascii="Verdana" w:hAnsi="Verdana" w:cs="Arial"/>
          <w:sz w:val="22"/>
          <w:szCs w:val="22"/>
        </w:rPr>
        <w:t>A Police Pension Account was set up on 1st April 2006 to administer the police pension schemes.  All police schemes are unfunded schemes which are treated as defined benefit schemes and provide defined benefits to members (retirement lump sums and pensions), earned as employees worked.</w:t>
      </w:r>
    </w:p>
    <w:p w14:paraId="198B8259" w14:textId="77777777" w:rsidR="003E44C5" w:rsidRPr="00E36FD2" w:rsidRDefault="003E44C5" w:rsidP="003E44C5">
      <w:pPr>
        <w:jc w:val="both"/>
        <w:rPr>
          <w:rFonts w:ascii="Verdana" w:hAnsi="Verdana" w:cs="Arial"/>
          <w:sz w:val="22"/>
          <w:szCs w:val="22"/>
        </w:rPr>
      </w:pPr>
    </w:p>
    <w:p w14:paraId="18144B4E" w14:textId="77777777" w:rsidR="003E44C5" w:rsidRPr="00E36FD2" w:rsidRDefault="003E44C5" w:rsidP="003E44C5">
      <w:pPr>
        <w:jc w:val="both"/>
        <w:rPr>
          <w:rFonts w:ascii="Verdana" w:hAnsi="Verdana" w:cs="Arial"/>
          <w:sz w:val="22"/>
          <w:szCs w:val="22"/>
        </w:rPr>
      </w:pPr>
      <w:r w:rsidRPr="00E36FD2">
        <w:rPr>
          <w:rFonts w:ascii="Verdana" w:hAnsi="Verdana" w:cs="Arial"/>
          <w:sz w:val="22"/>
          <w:szCs w:val="22"/>
        </w:rPr>
        <w:t xml:space="preserve">All police pension schemes are unfunded schemes which are treated as defined benefit schemes paid from revenue (without managed pension assets).  Accrued net pension liabilities have been assessed on an actuarial basis in accordance with IAS19 Employee Benefits, the net liability and a pensions reserve for both Pension Schemes has been recognised on the Balance Sheet, as have entries in the CIES for movements in the asset/liability relating to the defined benefit scheme.  Transfers into and out of the Scheme representing joining and leaving police officers, are recorded on a cash basis in the Pension Fund, because of the length of time taken to finalise the sums involved.  </w:t>
      </w:r>
    </w:p>
    <w:p w14:paraId="5D99A0F0" w14:textId="77777777" w:rsidR="003E44C5" w:rsidRPr="00E36FD2" w:rsidRDefault="003E44C5" w:rsidP="003E44C5">
      <w:pPr>
        <w:jc w:val="both"/>
        <w:rPr>
          <w:rFonts w:ascii="Verdana" w:hAnsi="Verdana" w:cs="Arial"/>
          <w:sz w:val="22"/>
          <w:szCs w:val="22"/>
        </w:rPr>
      </w:pPr>
    </w:p>
    <w:p w14:paraId="69BFFA77" w14:textId="77777777" w:rsidR="003E44C5" w:rsidRPr="00E36FD2" w:rsidRDefault="003E44C5" w:rsidP="003E44C5">
      <w:pPr>
        <w:jc w:val="both"/>
        <w:rPr>
          <w:rFonts w:ascii="Verdana" w:hAnsi="Verdana" w:cs="Arial"/>
          <w:sz w:val="22"/>
          <w:szCs w:val="22"/>
        </w:rPr>
      </w:pPr>
      <w:r w:rsidRPr="00E36FD2">
        <w:rPr>
          <w:rFonts w:ascii="Verdana" w:hAnsi="Verdana" w:cs="Arial"/>
          <w:sz w:val="22"/>
          <w:szCs w:val="22"/>
        </w:rPr>
        <w:t xml:space="preserve">Following the Code’s requirements, IAS19 has been fully recognised in the Chief Constable and Group accounts.  </w:t>
      </w:r>
    </w:p>
    <w:p w14:paraId="04F89AEC" w14:textId="77777777" w:rsidR="003E44C5" w:rsidRPr="00E36FD2" w:rsidRDefault="003E44C5" w:rsidP="003E44C5">
      <w:pPr>
        <w:jc w:val="both"/>
        <w:rPr>
          <w:rFonts w:ascii="Verdana" w:hAnsi="Verdana" w:cs="Arial"/>
          <w:sz w:val="22"/>
          <w:szCs w:val="22"/>
        </w:rPr>
      </w:pPr>
    </w:p>
    <w:p w14:paraId="505C1498" w14:textId="77777777" w:rsidR="003E44C5" w:rsidRPr="00E36FD2" w:rsidRDefault="003E44C5" w:rsidP="003E44C5">
      <w:pPr>
        <w:ind w:left="720" w:hanging="720"/>
        <w:jc w:val="both"/>
        <w:rPr>
          <w:rFonts w:ascii="Verdana" w:hAnsi="Verdana" w:cs="Arial"/>
          <w:sz w:val="22"/>
          <w:szCs w:val="22"/>
        </w:rPr>
      </w:pPr>
      <w:r w:rsidRPr="00E36FD2">
        <w:rPr>
          <w:rFonts w:ascii="Verdana" w:hAnsi="Verdana" w:cs="Arial"/>
          <w:sz w:val="22"/>
          <w:szCs w:val="22"/>
        </w:rPr>
        <w:t>•</w:t>
      </w:r>
      <w:r w:rsidRPr="00E36FD2">
        <w:rPr>
          <w:rFonts w:ascii="Verdana" w:hAnsi="Verdana" w:cs="Arial"/>
          <w:sz w:val="22"/>
          <w:szCs w:val="22"/>
        </w:rPr>
        <w:tab/>
        <w:t>The liabilities of the police schemes attributable are included in the Balance Sheet on an actuarial basis using the projected unit method - i.e. an assessment of the future payments that will be made in relation to retirement benefits earned to date by employees, based on assumptions about mortality rates, employee turnover rates, etc. and projections of projected earnings for current employees</w:t>
      </w:r>
    </w:p>
    <w:p w14:paraId="778EE248" w14:textId="77777777" w:rsidR="003E44C5" w:rsidRPr="00E36FD2" w:rsidRDefault="003E44C5" w:rsidP="003E44C5">
      <w:pPr>
        <w:jc w:val="both"/>
        <w:rPr>
          <w:rFonts w:ascii="Verdana" w:hAnsi="Verdana" w:cs="Arial"/>
          <w:sz w:val="22"/>
          <w:szCs w:val="22"/>
        </w:rPr>
      </w:pPr>
    </w:p>
    <w:p w14:paraId="3F8BE6E8" w14:textId="77777777" w:rsidR="003E44C5" w:rsidRPr="00E36FD2" w:rsidRDefault="003E44C5" w:rsidP="003E44C5">
      <w:pPr>
        <w:ind w:left="720" w:hanging="720"/>
        <w:jc w:val="both"/>
        <w:rPr>
          <w:rFonts w:ascii="Verdana" w:hAnsi="Verdana" w:cs="Arial"/>
          <w:sz w:val="22"/>
          <w:szCs w:val="22"/>
        </w:rPr>
      </w:pPr>
      <w:r w:rsidRPr="00E36FD2">
        <w:rPr>
          <w:rFonts w:ascii="Verdana" w:hAnsi="Verdana" w:cs="Arial"/>
          <w:sz w:val="22"/>
          <w:szCs w:val="22"/>
        </w:rPr>
        <w:t>•</w:t>
      </w:r>
      <w:r w:rsidRPr="00E36FD2">
        <w:rPr>
          <w:rFonts w:ascii="Verdana" w:hAnsi="Verdana" w:cs="Arial"/>
          <w:sz w:val="22"/>
          <w:szCs w:val="22"/>
        </w:rPr>
        <w:tab/>
        <w:t>Liabilities are discounted to their value at current prices, using a discount rate based on the indicative rate of return on high quality corporate bond</w:t>
      </w:r>
    </w:p>
    <w:p w14:paraId="75262AC5" w14:textId="77777777" w:rsidR="003E44C5" w:rsidRPr="00E36FD2" w:rsidRDefault="003E44C5" w:rsidP="003E44C5">
      <w:pPr>
        <w:jc w:val="both"/>
        <w:rPr>
          <w:rFonts w:ascii="Verdana" w:hAnsi="Verdana" w:cs="Arial"/>
          <w:sz w:val="22"/>
          <w:szCs w:val="22"/>
        </w:rPr>
      </w:pPr>
    </w:p>
    <w:p w14:paraId="5443B543" w14:textId="77777777" w:rsidR="003E44C5" w:rsidRPr="00E36FD2" w:rsidRDefault="003E44C5" w:rsidP="003E44C5">
      <w:pPr>
        <w:jc w:val="both"/>
        <w:rPr>
          <w:rFonts w:ascii="Verdana" w:hAnsi="Verdana" w:cs="Arial"/>
          <w:sz w:val="22"/>
          <w:szCs w:val="22"/>
        </w:rPr>
      </w:pPr>
      <w:r w:rsidRPr="00E36FD2">
        <w:rPr>
          <w:rFonts w:ascii="Verdana" w:hAnsi="Verdana" w:cs="Arial"/>
          <w:sz w:val="22"/>
          <w:szCs w:val="22"/>
        </w:rPr>
        <w:t>Police Staff are eligible to join the Local Government Pension Scheme (LGPS) administered by Surrey County Council.  This is a funded scheme.  The employer’s contribution rate is determined by the Fund’s actuary based on valuations every three years.</w:t>
      </w:r>
    </w:p>
    <w:p w14:paraId="448DA22F" w14:textId="77777777" w:rsidR="003E44C5" w:rsidRPr="00E36FD2" w:rsidRDefault="003E44C5" w:rsidP="003E44C5">
      <w:pPr>
        <w:jc w:val="both"/>
        <w:rPr>
          <w:rFonts w:ascii="Verdana" w:hAnsi="Verdana" w:cs="Arial"/>
          <w:sz w:val="22"/>
          <w:szCs w:val="22"/>
        </w:rPr>
      </w:pPr>
    </w:p>
    <w:p w14:paraId="0893AC8F" w14:textId="77777777" w:rsidR="003E44C5" w:rsidRPr="00E36FD2" w:rsidRDefault="003E44C5" w:rsidP="003E44C5">
      <w:pPr>
        <w:jc w:val="both"/>
        <w:rPr>
          <w:rFonts w:ascii="Verdana" w:hAnsi="Verdana" w:cs="Arial"/>
          <w:sz w:val="22"/>
          <w:szCs w:val="22"/>
        </w:rPr>
      </w:pPr>
      <w:r w:rsidRPr="00E36FD2">
        <w:rPr>
          <w:rFonts w:ascii="Verdana" w:hAnsi="Verdana" w:cs="Arial"/>
          <w:sz w:val="22"/>
          <w:szCs w:val="22"/>
        </w:rPr>
        <w:t>Additional contributions are payable to cover the cost of any early retirements except those due to ill-health.  In addition the Chief Constable is responsible for all pension payments relating to any added years’ benefits, together with the related increases.</w:t>
      </w:r>
    </w:p>
    <w:p w14:paraId="244FA85E" w14:textId="77777777" w:rsidR="003E44C5" w:rsidRPr="00E36FD2" w:rsidRDefault="003E44C5" w:rsidP="003E44C5">
      <w:pPr>
        <w:jc w:val="both"/>
        <w:rPr>
          <w:rFonts w:ascii="Verdana" w:hAnsi="Verdana" w:cs="Arial"/>
          <w:sz w:val="22"/>
          <w:szCs w:val="22"/>
        </w:rPr>
      </w:pPr>
    </w:p>
    <w:p w14:paraId="1EFADD64" w14:textId="77777777" w:rsidR="003E44C5" w:rsidRPr="00E36FD2" w:rsidRDefault="003E44C5" w:rsidP="003E44C5">
      <w:pPr>
        <w:ind w:left="720" w:hanging="720"/>
        <w:jc w:val="both"/>
        <w:rPr>
          <w:rFonts w:ascii="Verdana" w:hAnsi="Verdana" w:cs="Arial"/>
          <w:sz w:val="22"/>
          <w:szCs w:val="22"/>
        </w:rPr>
      </w:pPr>
      <w:r w:rsidRPr="00E36FD2">
        <w:rPr>
          <w:rFonts w:ascii="Verdana" w:hAnsi="Verdana" w:cs="Arial"/>
          <w:sz w:val="22"/>
          <w:szCs w:val="22"/>
        </w:rPr>
        <w:t>•</w:t>
      </w:r>
      <w:r w:rsidRPr="00E36FD2">
        <w:rPr>
          <w:rFonts w:ascii="Verdana" w:hAnsi="Verdana" w:cs="Arial"/>
          <w:sz w:val="22"/>
          <w:szCs w:val="22"/>
        </w:rPr>
        <w:tab/>
        <w:t xml:space="preserve">The assets of the LGPS attributable to Surrey Police are included in the Balance Sheet at their fair value:  </w:t>
      </w:r>
    </w:p>
    <w:p w14:paraId="190C047F" w14:textId="77777777" w:rsidR="003E44C5" w:rsidRPr="00E36FD2" w:rsidRDefault="003E44C5" w:rsidP="005E3E6F">
      <w:pPr>
        <w:pStyle w:val="ListParagraph"/>
        <w:numPr>
          <w:ilvl w:val="0"/>
          <w:numId w:val="10"/>
        </w:numPr>
        <w:jc w:val="both"/>
        <w:rPr>
          <w:rFonts w:ascii="Verdana" w:hAnsi="Verdana" w:cs="Arial"/>
          <w:sz w:val="22"/>
          <w:szCs w:val="22"/>
        </w:rPr>
      </w:pPr>
      <w:r w:rsidRPr="00E36FD2">
        <w:rPr>
          <w:rFonts w:ascii="Verdana" w:hAnsi="Verdana" w:cs="Arial"/>
          <w:sz w:val="22"/>
          <w:szCs w:val="22"/>
        </w:rPr>
        <w:t>quoted securities - current bid price</w:t>
      </w:r>
    </w:p>
    <w:p w14:paraId="7D153454" w14:textId="77777777" w:rsidR="003E44C5" w:rsidRPr="00E36FD2" w:rsidRDefault="003E44C5" w:rsidP="005E3E6F">
      <w:pPr>
        <w:pStyle w:val="ListParagraph"/>
        <w:numPr>
          <w:ilvl w:val="0"/>
          <w:numId w:val="10"/>
        </w:numPr>
        <w:jc w:val="both"/>
        <w:rPr>
          <w:rFonts w:ascii="Verdana" w:hAnsi="Verdana" w:cs="Arial"/>
          <w:sz w:val="22"/>
          <w:szCs w:val="22"/>
        </w:rPr>
      </w:pPr>
      <w:r w:rsidRPr="00E36FD2">
        <w:rPr>
          <w:rFonts w:ascii="Verdana" w:hAnsi="Verdana" w:cs="Arial"/>
          <w:sz w:val="22"/>
          <w:szCs w:val="22"/>
        </w:rPr>
        <w:t>unquoted securities - professional estimate</w:t>
      </w:r>
    </w:p>
    <w:p w14:paraId="31858390" w14:textId="77777777" w:rsidR="003E44C5" w:rsidRPr="00E36FD2" w:rsidRDefault="003E44C5" w:rsidP="005E3E6F">
      <w:pPr>
        <w:pStyle w:val="ListParagraph"/>
        <w:numPr>
          <w:ilvl w:val="0"/>
          <w:numId w:val="10"/>
        </w:numPr>
        <w:jc w:val="both"/>
        <w:rPr>
          <w:rFonts w:ascii="Verdana" w:hAnsi="Verdana" w:cs="Arial"/>
          <w:sz w:val="22"/>
          <w:szCs w:val="22"/>
        </w:rPr>
      </w:pPr>
      <w:r w:rsidRPr="00E36FD2">
        <w:rPr>
          <w:rFonts w:ascii="Verdana" w:hAnsi="Verdana" w:cs="Arial"/>
          <w:sz w:val="22"/>
          <w:szCs w:val="22"/>
        </w:rPr>
        <w:t>unitised securities - current bid price</w:t>
      </w:r>
    </w:p>
    <w:p w14:paraId="6A14E754" w14:textId="77777777" w:rsidR="003E44C5" w:rsidRPr="00E36FD2" w:rsidRDefault="003E44C5" w:rsidP="005E3E6F">
      <w:pPr>
        <w:pStyle w:val="ListParagraph"/>
        <w:numPr>
          <w:ilvl w:val="0"/>
          <w:numId w:val="10"/>
        </w:numPr>
        <w:jc w:val="both"/>
        <w:rPr>
          <w:rFonts w:ascii="Verdana" w:hAnsi="Verdana" w:cs="Arial"/>
          <w:sz w:val="22"/>
          <w:szCs w:val="22"/>
        </w:rPr>
      </w:pPr>
      <w:r w:rsidRPr="00E36FD2">
        <w:rPr>
          <w:rFonts w:ascii="Verdana" w:hAnsi="Verdana" w:cs="Arial"/>
          <w:sz w:val="22"/>
          <w:szCs w:val="22"/>
        </w:rPr>
        <w:t>property - market value</w:t>
      </w:r>
    </w:p>
    <w:p w14:paraId="3EFB6E50" w14:textId="77777777" w:rsidR="003E44C5" w:rsidRPr="00E36FD2" w:rsidRDefault="003E44C5" w:rsidP="003E44C5">
      <w:pPr>
        <w:jc w:val="both"/>
        <w:rPr>
          <w:rFonts w:ascii="Verdana" w:hAnsi="Verdana" w:cs="Arial"/>
          <w:sz w:val="22"/>
          <w:szCs w:val="22"/>
        </w:rPr>
      </w:pPr>
    </w:p>
    <w:p w14:paraId="4EC3C303" w14:textId="77777777" w:rsidR="003E44C5" w:rsidRPr="00E36FD2" w:rsidRDefault="003E44C5" w:rsidP="003E44C5">
      <w:pPr>
        <w:jc w:val="both"/>
        <w:rPr>
          <w:rFonts w:ascii="Verdana" w:hAnsi="Verdana" w:cs="Arial"/>
          <w:sz w:val="22"/>
          <w:szCs w:val="22"/>
        </w:rPr>
      </w:pPr>
      <w:r w:rsidRPr="00E36FD2">
        <w:rPr>
          <w:rFonts w:ascii="Verdana" w:hAnsi="Verdana" w:cs="Arial"/>
          <w:sz w:val="22"/>
          <w:szCs w:val="22"/>
        </w:rPr>
        <w:t>The change in the net pension liability is analysed into seven components:</w:t>
      </w:r>
    </w:p>
    <w:p w14:paraId="471D1CA9" w14:textId="77777777" w:rsidR="003E44C5" w:rsidRPr="00E36FD2" w:rsidRDefault="003E44C5" w:rsidP="003E44C5">
      <w:pPr>
        <w:jc w:val="both"/>
        <w:rPr>
          <w:rFonts w:ascii="Verdana" w:hAnsi="Verdana" w:cs="Arial"/>
          <w:sz w:val="22"/>
          <w:szCs w:val="22"/>
        </w:rPr>
      </w:pPr>
    </w:p>
    <w:p w14:paraId="42E15FAD" w14:textId="77777777" w:rsidR="003E44C5" w:rsidRPr="00E36FD2" w:rsidRDefault="003E44C5" w:rsidP="003E44C5">
      <w:pPr>
        <w:ind w:left="720" w:hanging="720"/>
        <w:jc w:val="both"/>
        <w:rPr>
          <w:rFonts w:ascii="Verdana" w:hAnsi="Verdana" w:cs="Arial"/>
          <w:sz w:val="22"/>
          <w:szCs w:val="22"/>
        </w:rPr>
      </w:pPr>
      <w:r w:rsidRPr="00E36FD2">
        <w:rPr>
          <w:rFonts w:ascii="Verdana" w:hAnsi="Verdana" w:cs="Arial"/>
          <w:sz w:val="22"/>
          <w:szCs w:val="22"/>
        </w:rPr>
        <w:t>•</w:t>
      </w:r>
      <w:r w:rsidRPr="00E36FD2">
        <w:rPr>
          <w:rFonts w:ascii="Verdana" w:hAnsi="Verdana" w:cs="Arial"/>
          <w:sz w:val="22"/>
          <w:szCs w:val="22"/>
        </w:rPr>
        <w:tab/>
      </w:r>
      <w:r w:rsidRPr="00E36FD2">
        <w:rPr>
          <w:rFonts w:ascii="Verdana" w:hAnsi="Verdana" w:cs="Arial"/>
          <w:b/>
          <w:sz w:val="22"/>
          <w:szCs w:val="22"/>
        </w:rPr>
        <w:t>current service cost</w:t>
      </w:r>
      <w:r w:rsidRPr="00E36FD2">
        <w:rPr>
          <w:rFonts w:ascii="Verdana" w:hAnsi="Verdana" w:cs="Arial"/>
          <w:sz w:val="22"/>
          <w:szCs w:val="22"/>
        </w:rPr>
        <w:t xml:space="preserve"> - the increase in liabilities as a result of years of service earned this year allocated in the CIES to the services for which the employees worked</w:t>
      </w:r>
    </w:p>
    <w:p w14:paraId="5B205958" w14:textId="77777777" w:rsidR="003E44C5" w:rsidRPr="00E36FD2" w:rsidRDefault="003E44C5" w:rsidP="003E44C5">
      <w:pPr>
        <w:jc w:val="both"/>
        <w:rPr>
          <w:rFonts w:ascii="Verdana" w:hAnsi="Verdana" w:cs="Arial"/>
          <w:sz w:val="22"/>
          <w:szCs w:val="22"/>
        </w:rPr>
      </w:pPr>
    </w:p>
    <w:p w14:paraId="03107B96" w14:textId="77777777" w:rsidR="003E44C5" w:rsidRPr="00E36FD2" w:rsidRDefault="003E44C5" w:rsidP="003E44C5">
      <w:pPr>
        <w:ind w:left="720" w:hanging="720"/>
        <w:jc w:val="both"/>
        <w:rPr>
          <w:rFonts w:ascii="Verdana" w:hAnsi="Verdana" w:cs="Arial"/>
          <w:sz w:val="22"/>
          <w:szCs w:val="22"/>
        </w:rPr>
      </w:pPr>
      <w:r w:rsidRPr="00E36FD2">
        <w:rPr>
          <w:rFonts w:ascii="Verdana" w:hAnsi="Verdana" w:cs="Arial"/>
          <w:sz w:val="22"/>
          <w:szCs w:val="22"/>
        </w:rPr>
        <w:t>•</w:t>
      </w:r>
      <w:r w:rsidRPr="00E36FD2">
        <w:rPr>
          <w:rFonts w:ascii="Verdana" w:hAnsi="Verdana" w:cs="Arial"/>
          <w:sz w:val="22"/>
          <w:szCs w:val="22"/>
        </w:rPr>
        <w:tab/>
      </w:r>
      <w:r w:rsidRPr="00E36FD2">
        <w:rPr>
          <w:rFonts w:ascii="Verdana" w:hAnsi="Verdana" w:cs="Arial"/>
          <w:b/>
          <w:sz w:val="22"/>
          <w:szCs w:val="22"/>
        </w:rPr>
        <w:t>past service cost</w:t>
      </w:r>
      <w:r w:rsidRPr="00E36FD2">
        <w:rPr>
          <w:rFonts w:ascii="Verdana" w:hAnsi="Verdana" w:cs="Arial"/>
          <w:sz w:val="22"/>
          <w:szCs w:val="22"/>
        </w:rPr>
        <w:t xml:space="preserve"> - the increase in liabilities arising from current year decisions whose effect relates to years of service earned in earlier years - debited to the Surplus or Deficit on the Provision of Services in the CIES as part of Non Distributed Costs</w:t>
      </w:r>
    </w:p>
    <w:p w14:paraId="2A61CB36" w14:textId="77777777" w:rsidR="003E44C5" w:rsidRPr="00E36FD2" w:rsidRDefault="003E44C5" w:rsidP="003E44C5">
      <w:pPr>
        <w:jc w:val="both"/>
        <w:rPr>
          <w:rFonts w:ascii="Verdana" w:hAnsi="Verdana" w:cs="Arial"/>
          <w:sz w:val="22"/>
          <w:szCs w:val="22"/>
        </w:rPr>
      </w:pPr>
    </w:p>
    <w:p w14:paraId="04BDA66C" w14:textId="77777777" w:rsidR="003E44C5" w:rsidRPr="00E36FD2" w:rsidRDefault="003E44C5" w:rsidP="003E44C5">
      <w:pPr>
        <w:ind w:left="720" w:hanging="720"/>
        <w:jc w:val="both"/>
        <w:rPr>
          <w:rFonts w:ascii="Verdana" w:hAnsi="Verdana" w:cs="Arial"/>
          <w:sz w:val="22"/>
          <w:szCs w:val="22"/>
        </w:rPr>
      </w:pPr>
      <w:r w:rsidRPr="00E36FD2">
        <w:rPr>
          <w:rFonts w:ascii="Verdana" w:hAnsi="Verdana" w:cs="Arial"/>
          <w:sz w:val="22"/>
          <w:szCs w:val="22"/>
        </w:rPr>
        <w:t>•</w:t>
      </w:r>
      <w:r w:rsidRPr="00E36FD2">
        <w:rPr>
          <w:rFonts w:ascii="Verdana" w:hAnsi="Verdana" w:cs="Arial"/>
          <w:sz w:val="22"/>
          <w:szCs w:val="22"/>
        </w:rPr>
        <w:tab/>
      </w:r>
      <w:r w:rsidRPr="00E36FD2">
        <w:rPr>
          <w:rFonts w:ascii="Verdana" w:hAnsi="Verdana" w:cs="Arial"/>
          <w:b/>
          <w:sz w:val="22"/>
          <w:szCs w:val="22"/>
        </w:rPr>
        <w:t>interest cost</w:t>
      </w:r>
      <w:r w:rsidRPr="00E36FD2">
        <w:rPr>
          <w:rFonts w:ascii="Verdana" w:hAnsi="Verdana" w:cs="Arial"/>
          <w:sz w:val="22"/>
          <w:szCs w:val="22"/>
        </w:rPr>
        <w:t xml:space="preserve"> - the expected increase in the present value of liabilities during the year as they move one year closer to being paid - debited to the Financing and Investment Income and Expenditure line in the CIES</w:t>
      </w:r>
    </w:p>
    <w:p w14:paraId="7AA63281" w14:textId="77777777" w:rsidR="003E44C5" w:rsidRPr="00E36FD2" w:rsidRDefault="003E44C5" w:rsidP="003E44C5">
      <w:pPr>
        <w:jc w:val="both"/>
        <w:rPr>
          <w:rFonts w:ascii="Verdana" w:hAnsi="Verdana" w:cs="Arial"/>
          <w:sz w:val="22"/>
          <w:szCs w:val="22"/>
        </w:rPr>
      </w:pPr>
    </w:p>
    <w:p w14:paraId="54EC84AF" w14:textId="77777777" w:rsidR="003E44C5" w:rsidRPr="00E36FD2" w:rsidRDefault="003E44C5" w:rsidP="003E44C5">
      <w:pPr>
        <w:ind w:left="720" w:hanging="720"/>
        <w:jc w:val="both"/>
        <w:rPr>
          <w:rFonts w:ascii="Verdana" w:hAnsi="Verdana" w:cs="Arial"/>
          <w:sz w:val="22"/>
          <w:szCs w:val="22"/>
        </w:rPr>
      </w:pPr>
      <w:r w:rsidRPr="00E36FD2">
        <w:rPr>
          <w:rFonts w:ascii="Verdana" w:hAnsi="Verdana" w:cs="Arial"/>
          <w:sz w:val="22"/>
          <w:szCs w:val="22"/>
        </w:rPr>
        <w:t>•</w:t>
      </w:r>
      <w:r w:rsidRPr="00E36FD2">
        <w:rPr>
          <w:rFonts w:ascii="Verdana" w:hAnsi="Verdana" w:cs="Arial"/>
          <w:sz w:val="22"/>
          <w:szCs w:val="22"/>
        </w:rPr>
        <w:tab/>
      </w:r>
      <w:r w:rsidRPr="00E36FD2">
        <w:rPr>
          <w:rFonts w:ascii="Verdana" w:hAnsi="Verdana" w:cs="Arial"/>
          <w:b/>
          <w:sz w:val="22"/>
          <w:szCs w:val="22"/>
        </w:rPr>
        <w:t>expected return on assets</w:t>
      </w:r>
      <w:r w:rsidRPr="00E36FD2">
        <w:rPr>
          <w:rFonts w:ascii="Verdana" w:hAnsi="Verdana" w:cs="Arial"/>
          <w:sz w:val="22"/>
          <w:szCs w:val="22"/>
        </w:rPr>
        <w:t xml:space="preserve"> - the annual investment return on the fund assets attributable to the Group, based on an average of the expected long-term return - credited to the Financing and Investment Income and Expenditure line in the CIES</w:t>
      </w:r>
    </w:p>
    <w:p w14:paraId="10AB174D" w14:textId="77777777" w:rsidR="003E44C5" w:rsidRPr="00E36FD2" w:rsidRDefault="003E44C5" w:rsidP="003E44C5">
      <w:pPr>
        <w:jc w:val="both"/>
        <w:rPr>
          <w:rFonts w:ascii="Verdana" w:hAnsi="Verdana" w:cs="Arial"/>
          <w:sz w:val="22"/>
          <w:szCs w:val="22"/>
        </w:rPr>
      </w:pPr>
    </w:p>
    <w:p w14:paraId="0EA9A3C4" w14:textId="77777777" w:rsidR="003E44C5" w:rsidRPr="00E36FD2" w:rsidRDefault="003E44C5" w:rsidP="003E44C5">
      <w:pPr>
        <w:ind w:left="720" w:hanging="720"/>
        <w:jc w:val="both"/>
        <w:rPr>
          <w:rFonts w:ascii="Verdana" w:hAnsi="Verdana" w:cs="Arial"/>
          <w:sz w:val="22"/>
          <w:szCs w:val="22"/>
        </w:rPr>
      </w:pPr>
      <w:r w:rsidRPr="00E36FD2">
        <w:rPr>
          <w:rFonts w:ascii="Verdana" w:hAnsi="Verdana" w:cs="Arial"/>
          <w:sz w:val="22"/>
          <w:szCs w:val="22"/>
        </w:rPr>
        <w:t>•</w:t>
      </w:r>
      <w:r w:rsidRPr="00E36FD2">
        <w:rPr>
          <w:rFonts w:ascii="Verdana" w:hAnsi="Verdana" w:cs="Arial"/>
          <w:sz w:val="22"/>
          <w:szCs w:val="22"/>
        </w:rPr>
        <w:tab/>
      </w:r>
      <w:r w:rsidRPr="00E36FD2">
        <w:rPr>
          <w:rFonts w:ascii="Verdana" w:hAnsi="Verdana" w:cs="Arial"/>
          <w:b/>
          <w:sz w:val="22"/>
          <w:szCs w:val="22"/>
        </w:rPr>
        <w:t>gains or losses on settlements and curtailments</w:t>
      </w:r>
      <w:r w:rsidRPr="00E36FD2">
        <w:rPr>
          <w:rFonts w:ascii="Verdana" w:hAnsi="Verdana" w:cs="Arial"/>
          <w:sz w:val="22"/>
          <w:szCs w:val="22"/>
        </w:rPr>
        <w:t xml:space="preserve"> - the result of actions to relieve the Group of liabilities or events that reduce the expected future service or accrual of benefits of employees - debited or credited to the Surplus or Deficit on the Provision of Services in the CIES as part of Non Distributed Costs</w:t>
      </w:r>
    </w:p>
    <w:p w14:paraId="1CFC51EC" w14:textId="77777777" w:rsidR="003E44C5" w:rsidRPr="00E36FD2" w:rsidRDefault="003E44C5" w:rsidP="003E44C5">
      <w:pPr>
        <w:jc w:val="both"/>
        <w:rPr>
          <w:rFonts w:ascii="Verdana" w:hAnsi="Verdana" w:cs="Arial"/>
          <w:sz w:val="22"/>
          <w:szCs w:val="22"/>
        </w:rPr>
      </w:pPr>
    </w:p>
    <w:p w14:paraId="16DF9BA9" w14:textId="77777777" w:rsidR="003E44C5" w:rsidRPr="00E36FD2" w:rsidRDefault="003E44C5" w:rsidP="003E44C5">
      <w:pPr>
        <w:ind w:left="720" w:hanging="720"/>
        <w:jc w:val="both"/>
        <w:rPr>
          <w:rFonts w:ascii="Verdana" w:hAnsi="Verdana" w:cs="Arial"/>
          <w:sz w:val="22"/>
          <w:szCs w:val="22"/>
        </w:rPr>
      </w:pPr>
      <w:r w:rsidRPr="00E36FD2">
        <w:rPr>
          <w:rFonts w:ascii="Verdana" w:hAnsi="Verdana" w:cs="Arial"/>
          <w:sz w:val="22"/>
          <w:szCs w:val="22"/>
        </w:rPr>
        <w:t>•</w:t>
      </w:r>
      <w:r w:rsidRPr="00E36FD2">
        <w:rPr>
          <w:rFonts w:ascii="Verdana" w:hAnsi="Verdana" w:cs="Arial"/>
          <w:sz w:val="22"/>
          <w:szCs w:val="22"/>
        </w:rPr>
        <w:tab/>
      </w:r>
      <w:r w:rsidRPr="00E36FD2">
        <w:rPr>
          <w:rFonts w:ascii="Verdana" w:hAnsi="Verdana" w:cs="Arial"/>
          <w:b/>
          <w:sz w:val="22"/>
          <w:szCs w:val="22"/>
        </w:rPr>
        <w:t>actuarial gains and losses</w:t>
      </w:r>
      <w:r w:rsidRPr="00E36FD2">
        <w:rPr>
          <w:rFonts w:ascii="Verdana" w:hAnsi="Verdana" w:cs="Arial"/>
          <w:sz w:val="22"/>
          <w:szCs w:val="22"/>
        </w:rPr>
        <w:t xml:space="preserve"> - changes in the net pensions liability that arise because events have not coincided with assumptions made at the last actuarial valuation or because the actuaries have updated their assumptions - debited to the Pensions Reserve</w:t>
      </w:r>
    </w:p>
    <w:p w14:paraId="1B635C77" w14:textId="77777777" w:rsidR="003E44C5" w:rsidRPr="00E36FD2" w:rsidRDefault="003E44C5" w:rsidP="003E44C5">
      <w:pPr>
        <w:jc w:val="both"/>
        <w:rPr>
          <w:rFonts w:ascii="Verdana" w:hAnsi="Verdana" w:cs="Arial"/>
          <w:sz w:val="22"/>
          <w:szCs w:val="22"/>
        </w:rPr>
      </w:pPr>
    </w:p>
    <w:p w14:paraId="4DDF124D" w14:textId="77777777" w:rsidR="003E44C5" w:rsidRPr="00E36FD2" w:rsidRDefault="003E44C5" w:rsidP="003E44C5">
      <w:pPr>
        <w:ind w:left="720" w:hanging="720"/>
        <w:jc w:val="both"/>
        <w:rPr>
          <w:rFonts w:ascii="Verdana" w:hAnsi="Verdana" w:cs="Arial"/>
          <w:sz w:val="22"/>
          <w:szCs w:val="22"/>
        </w:rPr>
      </w:pPr>
      <w:r w:rsidRPr="00E36FD2">
        <w:rPr>
          <w:rFonts w:ascii="Verdana" w:hAnsi="Verdana" w:cs="Arial"/>
          <w:sz w:val="22"/>
          <w:szCs w:val="22"/>
        </w:rPr>
        <w:t>•</w:t>
      </w:r>
      <w:r w:rsidRPr="00E36FD2">
        <w:rPr>
          <w:rFonts w:ascii="Verdana" w:hAnsi="Verdana" w:cs="Arial"/>
          <w:sz w:val="22"/>
          <w:szCs w:val="22"/>
        </w:rPr>
        <w:tab/>
      </w:r>
      <w:r w:rsidRPr="00E36FD2">
        <w:rPr>
          <w:rFonts w:ascii="Verdana" w:hAnsi="Verdana" w:cs="Arial"/>
          <w:b/>
          <w:sz w:val="22"/>
          <w:szCs w:val="22"/>
        </w:rPr>
        <w:t>contributions paid to the pension fund</w:t>
      </w:r>
      <w:r w:rsidRPr="00E36FD2">
        <w:rPr>
          <w:rFonts w:ascii="Verdana" w:hAnsi="Verdana" w:cs="Arial"/>
          <w:sz w:val="22"/>
          <w:szCs w:val="22"/>
        </w:rPr>
        <w:t xml:space="preserve"> - cash paid as employer's contributions to the pension fund in settlement of liabilities; not accounted for as an expense</w:t>
      </w:r>
    </w:p>
    <w:p w14:paraId="01CE0259" w14:textId="77777777" w:rsidR="003E44C5" w:rsidRPr="00E36FD2" w:rsidRDefault="003E44C5" w:rsidP="003E44C5">
      <w:pPr>
        <w:jc w:val="both"/>
        <w:rPr>
          <w:rFonts w:ascii="Verdana" w:hAnsi="Verdana" w:cs="Arial"/>
          <w:sz w:val="22"/>
          <w:szCs w:val="22"/>
        </w:rPr>
      </w:pPr>
    </w:p>
    <w:p w14:paraId="573CB2CC" w14:textId="77777777" w:rsidR="003E44C5" w:rsidRPr="00E36FD2" w:rsidRDefault="003E44C5" w:rsidP="003E44C5">
      <w:pPr>
        <w:jc w:val="both"/>
        <w:rPr>
          <w:rFonts w:ascii="Verdana" w:hAnsi="Verdana" w:cs="Arial"/>
          <w:sz w:val="22"/>
          <w:szCs w:val="22"/>
        </w:rPr>
      </w:pPr>
      <w:r w:rsidRPr="00E36FD2">
        <w:rPr>
          <w:rFonts w:ascii="Verdana" w:hAnsi="Verdana" w:cs="Arial"/>
          <w:sz w:val="22"/>
          <w:szCs w:val="22"/>
        </w:rPr>
        <w:t xml:space="preserve">In relation to retirement benefits, statutory provisions require the General Fund balance to be charged with the amount payable by the </w:t>
      </w:r>
      <w:r w:rsidR="00E36FD2" w:rsidRPr="00E36FD2">
        <w:rPr>
          <w:rFonts w:ascii="Verdana" w:hAnsi="Verdana" w:cs="Arial"/>
          <w:sz w:val="22"/>
          <w:szCs w:val="22"/>
        </w:rPr>
        <w:t>Chief Constable</w:t>
      </w:r>
      <w:r w:rsidRPr="00E36FD2">
        <w:rPr>
          <w:rFonts w:ascii="Verdana" w:hAnsi="Verdana" w:cs="Arial"/>
          <w:sz w:val="22"/>
          <w:szCs w:val="22"/>
        </w:rPr>
        <w:t xml:space="preserve"> to the pension fund or directly to pensioners in the year, not the amount calculated according to the relevant accounting standards. In the Movement in Reserves Statement, this means that there are appropriations to and from the Pensions Reserve to remove the notional debits and credits for retirement benefits and replace them with debits for the cash paid to the pension fund and pensioners and any such amounts payable but unpaid at the year-end. The negative balance that arises on the Pensions Reserve thereby measures the beneficial impact to the General Fund of being required to account for retirement benefits on the basis of cash flows rather than as benefits are earned by employees. </w:t>
      </w:r>
    </w:p>
    <w:p w14:paraId="4EA42B3B" w14:textId="77777777" w:rsidR="003E44C5" w:rsidRPr="00E36FD2" w:rsidRDefault="003E44C5" w:rsidP="003E44C5">
      <w:pPr>
        <w:jc w:val="both"/>
        <w:rPr>
          <w:rFonts w:ascii="Verdana" w:hAnsi="Verdana" w:cs="Arial"/>
          <w:sz w:val="22"/>
          <w:szCs w:val="22"/>
        </w:rPr>
      </w:pPr>
    </w:p>
    <w:p w14:paraId="0B1B4F3A" w14:textId="77777777" w:rsidR="003E44C5" w:rsidRPr="00E36FD2" w:rsidRDefault="003E44C5" w:rsidP="003E44C5">
      <w:pPr>
        <w:jc w:val="both"/>
        <w:rPr>
          <w:rFonts w:ascii="Verdana" w:hAnsi="Verdana" w:cs="Arial"/>
          <w:b/>
          <w:sz w:val="22"/>
          <w:szCs w:val="22"/>
        </w:rPr>
      </w:pPr>
      <w:r w:rsidRPr="00E36FD2">
        <w:rPr>
          <w:rFonts w:ascii="Verdana" w:hAnsi="Verdana" w:cs="Arial"/>
          <w:b/>
          <w:sz w:val="22"/>
          <w:szCs w:val="22"/>
        </w:rPr>
        <w:t>Discretionary Benefits</w:t>
      </w:r>
    </w:p>
    <w:p w14:paraId="31BB20EA" w14:textId="77777777" w:rsidR="003E44C5" w:rsidRPr="00E36FD2" w:rsidRDefault="003E44C5" w:rsidP="003E44C5">
      <w:pPr>
        <w:jc w:val="both"/>
        <w:rPr>
          <w:rFonts w:ascii="Verdana" w:hAnsi="Verdana" w:cs="Arial"/>
          <w:sz w:val="22"/>
          <w:szCs w:val="22"/>
        </w:rPr>
      </w:pPr>
    </w:p>
    <w:p w14:paraId="72EA775D" w14:textId="77777777" w:rsidR="003E44C5" w:rsidRPr="00E36FD2" w:rsidRDefault="003E44C5" w:rsidP="003E44C5">
      <w:pPr>
        <w:jc w:val="both"/>
        <w:rPr>
          <w:rFonts w:ascii="Verdana" w:hAnsi="Verdana" w:cs="Arial"/>
          <w:sz w:val="22"/>
          <w:szCs w:val="22"/>
        </w:rPr>
      </w:pPr>
      <w:r w:rsidRPr="00E36FD2">
        <w:rPr>
          <w:rFonts w:ascii="Verdana" w:hAnsi="Verdana" w:cs="Arial"/>
          <w:sz w:val="22"/>
          <w:szCs w:val="22"/>
        </w:rPr>
        <w:t xml:space="preserve">The </w:t>
      </w:r>
      <w:r w:rsidR="00E36FD2" w:rsidRPr="00E36FD2">
        <w:rPr>
          <w:rFonts w:ascii="Verdana" w:hAnsi="Verdana" w:cs="Arial"/>
          <w:sz w:val="22"/>
          <w:szCs w:val="22"/>
        </w:rPr>
        <w:t>Chief Constable</w:t>
      </w:r>
      <w:r w:rsidRPr="00E36FD2">
        <w:rPr>
          <w:rFonts w:ascii="Verdana" w:hAnsi="Verdana" w:cs="Arial"/>
          <w:sz w:val="22"/>
          <w:szCs w:val="22"/>
        </w:rPr>
        <w:t xml:space="preserve"> has restricted powers to make discretionary awards of retirement benefits in the event of early retirements. Any liabilities estimated to arise as a result of an award to any member of staff are accrued in the year of the decision to make the award and accounted for using the same policies as are applied to the relevant Pension Scheme.</w:t>
      </w:r>
    </w:p>
    <w:p w14:paraId="27F21A21" w14:textId="77777777" w:rsidR="003E44C5" w:rsidRPr="00E36FD2" w:rsidRDefault="003E44C5" w:rsidP="003E44C5">
      <w:pPr>
        <w:jc w:val="both"/>
        <w:rPr>
          <w:rFonts w:ascii="Verdana" w:hAnsi="Verdana" w:cs="Arial"/>
          <w:sz w:val="22"/>
          <w:szCs w:val="22"/>
        </w:rPr>
      </w:pPr>
    </w:p>
    <w:p w14:paraId="0DE13AD5" w14:textId="77777777" w:rsidR="003E44C5" w:rsidRPr="00E36FD2" w:rsidRDefault="003E44C5" w:rsidP="003E44C5">
      <w:pPr>
        <w:jc w:val="both"/>
        <w:rPr>
          <w:rFonts w:ascii="Verdana" w:hAnsi="Verdana" w:cs="Arial"/>
          <w:sz w:val="22"/>
          <w:szCs w:val="22"/>
        </w:rPr>
      </w:pPr>
      <w:r w:rsidRPr="00E36FD2">
        <w:rPr>
          <w:rFonts w:ascii="Verdana" w:hAnsi="Verdana" w:cs="Arial"/>
          <w:sz w:val="22"/>
          <w:szCs w:val="22"/>
        </w:rPr>
        <w:t xml:space="preserve">The </w:t>
      </w:r>
      <w:r w:rsidR="00E36FD2" w:rsidRPr="00E36FD2">
        <w:rPr>
          <w:rFonts w:ascii="Verdana" w:hAnsi="Verdana" w:cs="Arial"/>
          <w:sz w:val="22"/>
          <w:szCs w:val="22"/>
        </w:rPr>
        <w:t xml:space="preserve">Chief Constable </w:t>
      </w:r>
      <w:r w:rsidRPr="00E36FD2">
        <w:rPr>
          <w:rFonts w:ascii="Verdana" w:hAnsi="Verdana" w:cs="Arial"/>
          <w:sz w:val="22"/>
          <w:szCs w:val="22"/>
        </w:rPr>
        <w:t>also has restricted powers to make material payments in relation to injury awards. Any liabilities estimated to arise as a result of an award to any member of staff or police officer are accrued in the year of the decision to make the award and accounted for using the same policies as are applied to the relevant pension scheme.</w:t>
      </w:r>
    </w:p>
    <w:bookmarkEnd w:id="31"/>
    <w:p w14:paraId="149AC4DD" w14:textId="77777777" w:rsidR="003E44C5" w:rsidRPr="00DC1077" w:rsidRDefault="003E44C5" w:rsidP="004D44FF">
      <w:pPr>
        <w:jc w:val="both"/>
        <w:rPr>
          <w:rFonts w:ascii="Verdana" w:hAnsi="Verdana" w:cs="Arial"/>
          <w:sz w:val="22"/>
          <w:szCs w:val="22"/>
          <w:highlight w:val="yellow"/>
        </w:rPr>
      </w:pPr>
    </w:p>
    <w:p w14:paraId="107F10B4" w14:textId="77777777" w:rsidR="004D44FF" w:rsidRPr="00DF3DA2" w:rsidRDefault="00EB0483" w:rsidP="004D44FF">
      <w:pPr>
        <w:pStyle w:val="Heading1"/>
        <w:rPr>
          <w:lang w:val="en-GB" w:eastAsia="en-GB"/>
        </w:rPr>
      </w:pPr>
      <w:bookmarkStart w:id="32" w:name="_Toc422143768"/>
      <w:bookmarkStart w:id="33" w:name="_Toc489957281"/>
      <w:bookmarkStart w:id="34" w:name="_Toc77095582"/>
      <w:r w:rsidRPr="00DF3DA2">
        <w:rPr>
          <w:lang w:val="en-GB" w:eastAsia="en-GB"/>
        </w:rPr>
        <w:t>Note 2</w:t>
      </w:r>
      <w:r w:rsidR="00D02B10" w:rsidRPr="00DF3DA2">
        <w:rPr>
          <w:lang w:val="en-GB" w:eastAsia="en-GB"/>
        </w:rPr>
        <w:t>3</w:t>
      </w:r>
      <w:r w:rsidRPr="00DF3DA2">
        <w:rPr>
          <w:lang w:val="en-GB" w:eastAsia="en-GB"/>
        </w:rPr>
        <w:t xml:space="preserve"> - </w:t>
      </w:r>
      <w:r w:rsidR="004D44FF" w:rsidRPr="00DF3DA2">
        <w:rPr>
          <w:lang w:val="en-GB" w:eastAsia="en-GB"/>
        </w:rPr>
        <w:t>Accounting Standards issued but not yet adopted</w:t>
      </w:r>
      <w:bookmarkEnd w:id="32"/>
      <w:bookmarkEnd w:id="33"/>
      <w:bookmarkEnd w:id="34"/>
    </w:p>
    <w:p w14:paraId="75B088A1" w14:textId="77777777" w:rsidR="00865B75" w:rsidRDefault="00865B75" w:rsidP="004D44FF">
      <w:pPr>
        <w:pStyle w:val="Style2"/>
        <w:jc w:val="both"/>
        <w:rPr>
          <w:rFonts w:ascii="Verdana" w:hAnsi="Verdana" w:cs="Times New Roman"/>
          <w:b w:val="0"/>
          <w:sz w:val="22"/>
          <w:szCs w:val="22"/>
        </w:rPr>
      </w:pPr>
    </w:p>
    <w:p w14:paraId="10766E05" w14:textId="77777777" w:rsidR="00DF3DA2" w:rsidRPr="00DF3DA2" w:rsidRDefault="00DF3DA2" w:rsidP="00DF3DA2">
      <w:pPr>
        <w:jc w:val="both"/>
        <w:rPr>
          <w:rFonts w:ascii="Verdana" w:hAnsi="Verdana" w:cs="Arial"/>
          <w:sz w:val="22"/>
          <w:szCs w:val="22"/>
        </w:rPr>
      </w:pPr>
      <w:r w:rsidRPr="00DF3DA2">
        <w:rPr>
          <w:rFonts w:ascii="Verdana" w:hAnsi="Verdana" w:cs="Arial"/>
          <w:sz w:val="22"/>
          <w:szCs w:val="22"/>
        </w:rPr>
        <w:t>A number of future accounting policy changes will need to be reported with effect from 1 April 2021.</w:t>
      </w:r>
    </w:p>
    <w:p w14:paraId="2A676E17" w14:textId="77777777" w:rsidR="00E36FD2" w:rsidRDefault="00E36FD2" w:rsidP="00DF3DA2">
      <w:pPr>
        <w:jc w:val="both"/>
        <w:rPr>
          <w:rFonts w:ascii="Verdana" w:hAnsi="Verdana" w:cs="Arial"/>
          <w:sz w:val="22"/>
          <w:szCs w:val="22"/>
        </w:rPr>
      </w:pPr>
    </w:p>
    <w:p w14:paraId="5CF72BA4" w14:textId="77777777" w:rsidR="00DF3DA2" w:rsidRDefault="00DF3DA2" w:rsidP="00DF3DA2">
      <w:pPr>
        <w:jc w:val="both"/>
        <w:rPr>
          <w:rFonts w:ascii="Verdana" w:hAnsi="Verdana" w:cs="Arial"/>
          <w:sz w:val="22"/>
          <w:szCs w:val="22"/>
        </w:rPr>
      </w:pPr>
      <w:r w:rsidRPr="00DF3DA2">
        <w:rPr>
          <w:rFonts w:ascii="Verdana" w:hAnsi="Verdana" w:cs="Arial"/>
          <w:sz w:val="22"/>
          <w:szCs w:val="22"/>
        </w:rPr>
        <w:t xml:space="preserve">Paragraph 3.3.2.13 of the 2020/2021 code requires changes in accounting policy to be applied retrospectively unless alternative transitional arrangements are specified in the Code. </w:t>
      </w:r>
    </w:p>
    <w:p w14:paraId="115210C4" w14:textId="77777777" w:rsidR="006C1B44" w:rsidRPr="00DF3DA2" w:rsidRDefault="006C1B44" w:rsidP="00DF3DA2">
      <w:pPr>
        <w:jc w:val="both"/>
        <w:rPr>
          <w:rFonts w:ascii="Verdana" w:hAnsi="Verdana" w:cs="Arial"/>
          <w:sz w:val="22"/>
          <w:szCs w:val="22"/>
        </w:rPr>
      </w:pPr>
    </w:p>
    <w:p w14:paraId="1459EF0C" w14:textId="77777777" w:rsidR="00DF3DA2" w:rsidRPr="00DF3DA2" w:rsidRDefault="00DF3DA2" w:rsidP="00DF3DA2">
      <w:pPr>
        <w:autoSpaceDE w:val="0"/>
        <w:autoSpaceDN w:val="0"/>
        <w:adjustRightInd w:val="0"/>
        <w:jc w:val="both"/>
        <w:rPr>
          <w:rFonts w:ascii="Verdana" w:hAnsi="Verdana" w:cs="Arial"/>
          <w:color w:val="000000"/>
          <w:sz w:val="22"/>
          <w:szCs w:val="22"/>
        </w:rPr>
      </w:pPr>
      <w:r w:rsidRPr="00DF3DA2">
        <w:rPr>
          <w:rFonts w:ascii="Verdana" w:hAnsi="Verdana" w:cs="Arial"/>
          <w:sz w:val="22"/>
          <w:szCs w:val="22"/>
        </w:rPr>
        <w:t xml:space="preserve">Paragraph 3.3.4.3 requires an authority (including police bodies) to disclose information relating to the impact of an accounting change that will be required by a new standard that has been issued but not yet adopted by the Code for the relevant financial year. Disclosure requirements are expected to be included in a subsequent edition of the Code. </w:t>
      </w:r>
    </w:p>
    <w:p w14:paraId="5934498B" w14:textId="77777777" w:rsidR="00DF3DA2" w:rsidRPr="00DF3DA2" w:rsidRDefault="00DF3DA2" w:rsidP="00DF3DA2">
      <w:pPr>
        <w:autoSpaceDE w:val="0"/>
        <w:autoSpaceDN w:val="0"/>
        <w:adjustRightInd w:val="0"/>
        <w:jc w:val="both"/>
        <w:rPr>
          <w:rFonts w:ascii="Verdana" w:hAnsi="Verdana" w:cs="Arial"/>
          <w:color w:val="000000"/>
          <w:sz w:val="22"/>
          <w:szCs w:val="22"/>
        </w:rPr>
      </w:pPr>
    </w:p>
    <w:p w14:paraId="45F63D73" w14:textId="77777777" w:rsidR="00DF3DA2" w:rsidRPr="00DF3DA2" w:rsidRDefault="00DF3DA2" w:rsidP="00DF3DA2">
      <w:pPr>
        <w:autoSpaceDE w:val="0"/>
        <w:autoSpaceDN w:val="0"/>
        <w:adjustRightInd w:val="0"/>
        <w:jc w:val="both"/>
        <w:rPr>
          <w:rFonts w:ascii="Verdana" w:hAnsi="Verdana" w:cs="Arial"/>
          <w:color w:val="000000"/>
          <w:sz w:val="22"/>
          <w:szCs w:val="22"/>
        </w:rPr>
      </w:pPr>
      <w:r w:rsidRPr="00DF3DA2">
        <w:rPr>
          <w:rFonts w:ascii="Verdana" w:hAnsi="Verdana" w:cs="Arial"/>
          <w:color w:val="000000"/>
          <w:sz w:val="22"/>
          <w:szCs w:val="22"/>
        </w:rPr>
        <w:t xml:space="preserve">Paragraph 3.3.4.3 and Appendix C of the Code adapt IAS 8 </w:t>
      </w:r>
      <w:r w:rsidRPr="00DF3DA2">
        <w:rPr>
          <w:rFonts w:ascii="Verdana" w:hAnsi="Verdana" w:cs="Arial"/>
          <w:i/>
          <w:iCs/>
          <w:color w:val="000000"/>
          <w:sz w:val="22"/>
          <w:szCs w:val="22"/>
        </w:rPr>
        <w:t xml:space="preserve">Accounting Policies, Changes in Accounting Estimates and Errors </w:t>
      </w:r>
      <w:r w:rsidRPr="00DF3DA2">
        <w:rPr>
          <w:rFonts w:ascii="Verdana" w:hAnsi="Verdana" w:cs="Arial"/>
          <w:color w:val="000000"/>
          <w:sz w:val="22"/>
          <w:szCs w:val="22"/>
        </w:rPr>
        <w:t xml:space="preserve">on an annual basis to limit the impact of standards that have been issued but not yet adopted to those listed in Appendix C of the Code in the relevant year of account (in this case the 2021/22 Code). This adaptation has been in place since the inception of the IFRS based Code in 2010/11. Additional clarification confirming this adaptation has been included in the 2021/22 Code. This clarification has not changed the Code’s requirements in this area. </w:t>
      </w:r>
    </w:p>
    <w:p w14:paraId="12A04A75" w14:textId="77777777" w:rsidR="00DF3DA2" w:rsidRPr="00DF3DA2" w:rsidRDefault="00DF3DA2" w:rsidP="00DF3DA2">
      <w:pPr>
        <w:autoSpaceDE w:val="0"/>
        <w:autoSpaceDN w:val="0"/>
        <w:adjustRightInd w:val="0"/>
        <w:jc w:val="both"/>
        <w:rPr>
          <w:rFonts w:ascii="Verdana" w:hAnsi="Verdana" w:cs="Arial"/>
          <w:color w:val="000000"/>
          <w:sz w:val="22"/>
          <w:szCs w:val="22"/>
        </w:rPr>
      </w:pPr>
    </w:p>
    <w:p w14:paraId="2A5530A3" w14:textId="77777777" w:rsidR="00DF3DA2" w:rsidRPr="00DF3DA2" w:rsidRDefault="00DF3DA2" w:rsidP="00DF3DA2">
      <w:pPr>
        <w:autoSpaceDE w:val="0"/>
        <w:autoSpaceDN w:val="0"/>
        <w:adjustRightInd w:val="0"/>
        <w:jc w:val="both"/>
        <w:rPr>
          <w:rFonts w:ascii="Verdana" w:hAnsi="Verdana" w:cs="Arial"/>
          <w:color w:val="000000"/>
          <w:sz w:val="22"/>
          <w:szCs w:val="22"/>
        </w:rPr>
      </w:pPr>
      <w:r w:rsidRPr="00DF3DA2">
        <w:rPr>
          <w:rFonts w:ascii="Verdana" w:hAnsi="Verdana" w:cs="Arial"/>
          <w:sz w:val="22"/>
          <w:szCs w:val="22"/>
        </w:rPr>
        <w:t xml:space="preserve">This means the requirements for IAS 8 for standards that have been issued but not yet adopted exclude IFRS 16 </w:t>
      </w:r>
      <w:r w:rsidRPr="00DF3DA2">
        <w:rPr>
          <w:rFonts w:ascii="Verdana" w:hAnsi="Verdana" w:cs="Arial"/>
          <w:i/>
          <w:sz w:val="22"/>
          <w:szCs w:val="22"/>
        </w:rPr>
        <w:t>Leases</w:t>
      </w:r>
      <w:r w:rsidRPr="00DF3DA2">
        <w:rPr>
          <w:rFonts w:ascii="Verdana" w:hAnsi="Verdana" w:cs="Arial"/>
          <w:sz w:val="22"/>
          <w:szCs w:val="22"/>
        </w:rPr>
        <w:t xml:space="preserve"> and IFRS 17 </w:t>
      </w:r>
      <w:r w:rsidRPr="00DF3DA2">
        <w:rPr>
          <w:rFonts w:ascii="Verdana" w:hAnsi="Verdana" w:cs="Arial"/>
          <w:i/>
          <w:sz w:val="22"/>
          <w:szCs w:val="22"/>
        </w:rPr>
        <w:t>Insurance Contracts</w:t>
      </w:r>
      <w:r w:rsidRPr="00DF3DA2">
        <w:rPr>
          <w:rFonts w:ascii="Verdana" w:hAnsi="Verdana" w:cs="Arial"/>
          <w:sz w:val="22"/>
          <w:szCs w:val="22"/>
        </w:rPr>
        <w:t xml:space="preserve"> from being necessary in these reporting requirements.</w:t>
      </w:r>
    </w:p>
    <w:p w14:paraId="2137B7A8" w14:textId="77777777" w:rsidR="00DF3DA2" w:rsidRPr="00DF3DA2" w:rsidRDefault="00DF3DA2" w:rsidP="00DF3DA2">
      <w:pPr>
        <w:autoSpaceDE w:val="0"/>
        <w:autoSpaceDN w:val="0"/>
        <w:adjustRightInd w:val="0"/>
        <w:jc w:val="both"/>
        <w:rPr>
          <w:rFonts w:ascii="Verdana" w:hAnsi="Verdana" w:cs="Arial"/>
          <w:color w:val="000000"/>
          <w:sz w:val="22"/>
          <w:szCs w:val="22"/>
        </w:rPr>
      </w:pPr>
    </w:p>
    <w:p w14:paraId="718D64B8" w14:textId="77777777" w:rsidR="00DF3DA2" w:rsidRDefault="00DF3DA2" w:rsidP="00DF3DA2">
      <w:pPr>
        <w:jc w:val="both"/>
        <w:rPr>
          <w:rFonts w:ascii="Verdana" w:hAnsi="Verdana" w:cs="Arial"/>
          <w:sz w:val="22"/>
          <w:szCs w:val="22"/>
        </w:rPr>
      </w:pPr>
      <w:r w:rsidRPr="00DF3DA2">
        <w:rPr>
          <w:rFonts w:ascii="Verdana" w:hAnsi="Verdana" w:cs="Arial"/>
          <w:sz w:val="22"/>
          <w:szCs w:val="22"/>
        </w:rPr>
        <w:t>The standards introduced by the 2021/22 Code and relevant for additional disclosures that will be required in the 2020/21 Financial Statements in accordance with the requirements of paragraph 3.3.4.3 of the Code are:</w:t>
      </w:r>
    </w:p>
    <w:p w14:paraId="585DEBFD" w14:textId="77777777" w:rsidR="00DF3DA2" w:rsidRPr="00DF3DA2" w:rsidRDefault="00DF3DA2" w:rsidP="00DF3DA2">
      <w:pPr>
        <w:jc w:val="both"/>
        <w:rPr>
          <w:rFonts w:ascii="Verdana" w:hAnsi="Verdana" w:cs="Arial"/>
          <w:sz w:val="22"/>
          <w:szCs w:val="22"/>
        </w:rPr>
      </w:pPr>
    </w:p>
    <w:p w14:paraId="26334093" w14:textId="77777777" w:rsidR="00DF3DA2" w:rsidRPr="00DF3DA2" w:rsidRDefault="00DF3DA2" w:rsidP="005E3E6F">
      <w:pPr>
        <w:pStyle w:val="ListParagraph"/>
        <w:numPr>
          <w:ilvl w:val="0"/>
          <w:numId w:val="24"/>
        </w:numPr>
        <w:spacing w:after="160" w:line="259" w:lineRule="auto"/>
        <w:jc w:val="both"/>
        <w:rPr>
          <w:rFonts w:ascii="Verdana" w:hAnsi="Verdana" w:cs="Arial"/>
          <w:sz w:val="22"/>
          <w:szCs w:val="22"/>
        </w:rPr>
      </w:pPr>
      <w:r w:rsidRPr="00DF3DA2">
        <w:rPr>
          <w:rFonts w:ascii="Verdana" w:hAnsi="Verdana" w:cs="Arial"/>
          <w:sz w:val="22"/>
          <w:szCs w:val="22"/>
        </w:rPr>
        <w:t>Definition of a Business: Amendments to IFRS 3 Business Combinations</w:t>
      </w:r>
    </w:p>
    <w:p w14:paraId="1740FDF4" w14:textId="77777777" w:rsidR="00DF3DA2" w:rsidRPr="00DF3DA2" w:rsidRDefault="00DF3DA2" w:rsidP="005E3E6F">
      <w:pPr>
        <w:pStyle w:val="ListParagraph"/>
        <w:numPr>
          <w:ilvl w:val="0"/>
          <w:numId w:val="24"/>
        </w:numPr>
        <w:spacing w:after="160" w:line="259" w:lineRule="auto"/>
        <w:jc w:val="both"/>
        <w:rPr>
          <w:rFonts w:ascii="Verdana" w:hAnsi="Verdana" w:cs="Arial"/>
          <w:sz w:val="22"/>
          <w:szCs w:val="22"/>
        </w:rPr>
      </w:pPr>
      <w:r w:rsidRPr="00DF3DA2">
        <w:rPr>
          <w:rFonts w:ascii="Verdana" w:hAnsi="Verdana" w:cs="Arial"/>
          <w:sz w:val="22"/>
          <w:szCs w:val="22"/>
        </w:rPr>
        <w:t>Interest Rates Benchmark Reform: Amendments to IFRA9, IAS 39, and IFRS 7</w:t>
      </w:r>
    </w:p>
    <w:p w14:paraId="335B361C" w14:textId="77777777" w:rsidR="00DF3DA2" w:rsidRPr="00DF3DA2" w:rsidRDefault="00DF3DA2" w:rsidP="005E3E6F">
      <w:pPr>
        <w:pStyle w:val="ListParagraph"/>
        <w:numPr>
          <w:ilvl w:val="0"/>
          <w:numId w:val="24"/>
        </w:numPr>
        <w:spacing w:after="160" w:line="259" w:lineRule="auto"/>
        <w:jc w:val="both"/>
        <w:rPr>
          <w:rFonts w:ascii="Verdana" w:hAnsi="Verdana" w:cs="Arial"/>
          <w:sz w:val="22"/>
          <w:szCs w:val="22"/>
        </w:rPr>
      </w:pPr>
      <w:r w:rsidRPr="00DF3DA2">
        <w:rPr>
          <w:rFonts w:ascii="Verdana" w:hAnsi="Verdana" w:cs="Arial"/>
          <w:sz w:val="22"/>
          <w:szCs w:val="22"/>
        </w:rPr>
        <w:t xml:space="preserve">Interest Rates Benchmark Reform – Phase 2: Amendments to IFRS 9, IAS 39, IFRS7, IFRS 4 and IFRS 16. </w:t>
      </w:r>
    </w:p>
    <w:p w14:paraId="4D379A0D" w14:textId="77777777" w:rsidR="00DF3DA2" w:rsidRDefault="00DF3DA2" w:rsidP="00DF3DA2">
      <w:pPr>
        <w:jc w:val="both"/>
        <w:rPr>
          <w:rFonts w:ascii="Verdana" w:hAnsi="Verdana" w:cs="Arial"/>
          <w:sz w:val="22"/>
          <w:szCs w:val="22"/>
        </w:rPr>
      </w:pPr>
      <w:r w:rsidRPr="00DF3DA2">
        <w:rPr>
          <w:rFonts w:ascii="Verdana" w:hAnsi="Verdana" w:cs="Arial"/>
          <w:sz w:val="22"/>
          <w:szCs w:val="22"/>
        </w:rPr>
        <w:t xml:space="preserve">The CIPFA LASAAC Local Authority Accounting Code Board has agreed to defer the implementation of IFRS 16 </w:t>
      </w:r>
      <w:r w:rsidRPr="00DF3DA2">
        <w:rPr>
          <w:rFonts w:ascii="Verdana" w:hAnsi="Verdana" w:cs="Arial"/>
          <w:i/>
          <w:sz w:val="22"/>
          <w:szCs w:val="22"/>
        </w:rPr>
        <w:t>Leases</w:t>
      </w:r>
      <w:r w:rsidRPr="00DF3DA2">
        <w:rPr>
          <w:rFonts w:ascii="Verdana" w:hAnsi="Verdana" w:cs="Arial"/>
          <w:sz w:val="22"/>
          <w:szCs w:val="22"/>
        </w:rPr>
        <w:t xml:space="preserve"> in the Code until the 2022/23 financial year. This aligns with the decision at the Government’s Financial Reporting Advisory Board to establish a new effective date of 1 April 2022 for implementation of IFRS 16.</w:t>
      </w:r>
    </w:p>
    <w:p w14:paraId="691DC24E" w14:textId="77777777" w:rsidR="00DF3DA2" w:rsidRPr="00DF3DA2" w:rsidRDefault="00DF3DA2" w:rsidP="00DF3DA2">
      <w:pPr>
        <w:jc w:val="both"/>
        <w:rPr>
          <w:rFonts w:ascii="Verdana" w:hAnsi="Verdana" w:cs="Arial"/>
          <w:sz w:val="22"/>
          <w:szCs w:val="22"/>
        </w:rPr>
      </w:pPr>
    </w:p>
    <w:p w14:paraId="35B42585" w14:textId="77777777" w:rsidR="00DF3DA2" w:rsidRPr="00DF3DA2" w:rsidRDefault="00DF3DA2" w:rsidP="00DF3DA2">
      <w:pPr>
        <w:pStyle w:val="Style2"/>
        <w:jc w:val="both"/>
        <w:rPr>
          <w:rFonts w:ascii="Verdana" w:hAnsi="Verdana" w:cs="Times New Roman"/>
          <w:b w:val="0"/>
          <w:sz w:val="22"/>
          <w:szCs w:val="22"/>
        </w:rPr>
      </w:pPr>
      <w:r w:rsidRPr="00DF3DA2">
        <w:rPr>
          <w:rFonts w:ascii="Verdana" w:hAnsi="Verdana"/>
          <w:b w:val="0"/>
          <w:sz w:val="22"/>
          <w:szCs w:val="22"/>
        </w:rPr>
        <w:t xml:space="preserve">It is not expected that any of these amendments other than IFRS 16 will have a material impact on the information provided in the financial statements for any of the </w:t>
      </w:r>
      <w:r w:rsidRPr="00DF3DA2">
        <w:rPr>
          <w:rFonts w:ascii="Verdana" w:hAnsi="Verdana"/>
          <w:b w:val="0"/>
          <w:color w:val="211D1E"/>
          <w:sz w:val="22"/>
          <w:szCs w:val="22"/>
        </w:rPr>
        <w:t xml:space="preserve">Surrey </w:t>
      </w:r>
      <w:r w:rsidRPr="00DF3DA2">
        <w:rPr>
          <w:rFonts w:ascii="Verdana" w:hAnsi="Verdana"/>
          <w:b w:val="0"/>
          <w:sz w:val="22"/>
          <w:szCs w:val="22"/>
        </w:rPr>
        <w:t>Police group accounts.</w:t>
      </w:r>
    </w:p>
    <w:p w14:paraId="5B102A78" w14:textId="77777777" w:rsidR="00865B75" w:rsidRDefault="00865B75" w:rsidP="004D44FF">
      <w:pPr>
        <w:pStyle w:val="Style2"/>
        <w:jc w:val="both"/>
        <w:rPr>
          <w:rFonts w:ascii="Verdana" w:hAnsi="Verdana" w:cs="Times New Roman"/>
          <w:b w:val="0"/>
          <w:sz w:val="22"/>
          <w:szCs w:val="22"/>
        </w:rPr>
      </w:pPr>
    </w:p>
    <w:p w14:paraId="163A1E8E" w14:textId="77777777" w:rsidR="00E8718E" w:rsidRDefault="00E8718E">
      <w:pPr>
        <w:rPr>
          <w:rFonts w:asciiTheme="majorHAnsi" w:eastAsiaTheme="majorEastAsia" w:hAnsiTheme="majorHAnsi" w:cstheme="majorBidi"/>
          <w:color w:val="2E74B5" w:themeColor="accent1" w:themeShade="BF"/>
          <w:sz w:val="32"/>
          <w:szCs w:val="32"/>
        </w:rPr>
      </w:pPr>
      <w:bookmarkStart w:id="35" w:name="_Toc43672343"/>
      <w:r>
        <w:br w:type="page"/>
      </w:r>
    </w:p>
    <w:p w14:paraId="4EB2E2B6" w14:textId="77777777" w:rsidR="006F0914" w:rsidRPr="0091312C" w:rsidRDefault="006F0914" w:rsidP="006F0914">
      <w:pPr>
        <w:pStyle w:val="Heading1"/>
      </w:pPr>
      <w:bookmarkStart w:id="36" w:name="_Toc77095583"/>
      <w:r w:rsidRPr="0091312C">
        <w:t>Police Pensions Fund Account Statements as at 31 March 202</w:t>
      </w:r>
      <w:bookmarkEnd w:id="35"/>
      <w:r w:rsidR="00E8718E" w:rsidRPr="0091312C">
        <w:t>1</w:t>
      </w:r>
      <w:bookmarkEnd w:id="36"/>
    </w:p>
    <w:p w14:paraId="3FB031A4" w14:textId="77777777" w:rsidR="006F0914" w:rsidRPr="0091312C" w:rsidRDefault="006F0914" w:rsidP="006F0914">
      <w:pPr>
        <w:rPr>
          <w:sz w:val="22"/>
          <w:szCs w:val="22"/>
        </w:rPr>
      </w:pPr>
    </w:p>
    <w:p w14:paraId="656D2C07" w14:textId="77777777" w:rsidR="00E8718E" w:rsidRPr="0091312C" w:rsidRDefault="00E8718E" w:rsidP="00E8718E">
      <w:pPr>
        <w:pStyle w:val="Normal0"/>
        <w:rPr>
          <w:rFonts w:ascii="Verdana" w:hAnsi="Verdana"/>
          <w:color w:val="8496B0" w:themeColor="text2" w:themeTint="99"/>
          <w:sz w:val="22"/>
          <w:lang w:val="en-GB" w:eastAsia="en-GB"/>
        </w:rPr>
      </w:pPr>
      <w:r w:rsidRPr="0091312C">
        <w:rPr>
          <w:rFonts w:ascii="Verdana" w:hAnsi="Verdana"/>
          <w:color w:val="2E74B5" w:themeColor="accent1" w:themeShade="BF"/>
          <w:sz w:val="22"/>
          <w:lang w:val="en-GB" w:eastAsia="en-GB"/>
        </w:rPr>
        <w:t>These statements show the contributions and benefits payable for the year</w:t>
      </w:r>
    </w:p>
    <w:p w14:paraId="283F0560" w14:textId="77777777" w:rsidR="006F0914" w:rsidRPr="006F0914" w:rsidRDefault="006F0914" w:rsidP="006F0914">
      <w:pPr>
        <w:pStyle w:val="Normal0"/>
        <w:jc w:val="both"/>
        <w:rPr>
          <w:rFonts w:ascii="Verdana" w:eastAsia="Times New Roman" w:hAnsi="Verdana"/>
          <w:sz w:val="22"/>
          <w:szCs w:val="22"/>
          <w:lang w:val="en-GB" w:eastAsia="en-GB"/>
        </w:rPr>
      </w:pPr>
      <w:r w:rsidRPr="0091312C">
        <w:rPr>
          <w:rFonts w:ascii="Verdana" w:eastAsia="Times New Roman" w:hAnsi="Verdana"/>
          <w:sz w:val="22"/>
          <w:szCs w:val="22"/>
          <w:lang w:val="en-GB" w:eastAsia="en-GB"/>
        </w:rPr>
        <w:t>The Chief Constable is responsible for administering the Police Pension Fund in accordance with the Police Reform and Social responsibility Act 2011.  During the year all payments and receipts are made to and from the PCC</w:t>
      </w:r>
      <w:r w:rsidRPr="006F0914">
        <w:rPr>
          <w:rFonts w:ascii="Verdana" w:eastAsia="Times New Roman" w:hAnsi="Verdana"/>
          <w:sz w:val="22"/>
          <w:szCs w:val="22"/>
          <w:lang w:val="en-GB" w:eastAsia="en-GB"/>
        </w:rPr>
        <w:t xml:space="preserve"> Police Fund.  This standalone statement shows income and expenditure for the police pension schemes and does not form part of the Chief Constable or the PCC Group’s statement of accounts.</w:t>
      </w:r>
    </w:p>
    <w:p w14:paraId="14BDFEE2" w14:textId="77777777" w:rsidR="006F0914" w:rsidRPr="004F6B37" w:rsidRDefault="006F0914" w:rsidP="006F0914">
      <w:pPr>
        <w:rPr>
          <w:rFonts w:ascii="Verdana" w:hAnsi="Verdana"/>
          <w:sz w:val="22"/>
          <w:szCs w:val="22"/>
          <w:lang w:val="en-GB" w:eastAsia="en-GB"/>
        </w:rPr>
      </w:pPr>
    </w:p>
    <w:p w14:paraId="57E7D0C2" w14:textId="77777777" w:rsidR="006F0914" w:rsidRPr="004F6B37" w:rsidRDefault="006F0914" w:rsidP="006F0914">
      <w:pPr>
        <w:jc w:val="center"/>
        <w:rPr>
          <w:rFonts w:ascii="Verdana" w:hAnsi="Verdana"/>
          <w:b/>
          <w:sz w:val="22"/>
          <w:szCs w:val="22"/>
          <w:lang w:val="en-GB" w:eastAsia="en-GB"/>
        </w:rPr>
      </w:pPr>
      <w:r w:rsidRPr="004F6B37">
        <w:rPr>
          <w:rFonts w:ascii="Verdana" w:hAnsi="Verdana"/>
          <w:b/>
          <w:sz w:val="22"/>
          <w:szCs w:val="22"/>
          <w:lang w:val="en-GB" w:eastAsia="en-GB"/>
        </w:rPr>
        <w:t>Surrey Police Pension Fund Account Statement</w:t>
      </w:r>
    </w:p>
    <w:tbl>
      <w:tblPr>
        <w:tblW w:w="13178" w:type="dxa"/>
        <w:jc w:val="center"/>
        <w:tblLayout w:type="fixed"/>
        <w:tblLook w:val="01E0" w:firstRow="1" w:lastRow="1" w:firstColumn="1" w:lastColumn="1" w:noHBand="0" w:noVBand="0"/>
      </w:tblPr>
      <w:tblGrid>
        <w:gridCol w:w="1275"/>
        <w:gridCol w:w="1238"/>
        <w:gridCol w:w="7492"/>
        <w:gridCol w:w="1614"/>
        <w:gridCol w:w="1559"/>
      </w:tblGrid>
      <w:tr w:rsidR="006F0914" w14:paraId="6DB10BB0" w14:textId="77777777" w:rsidTr="00B12066">
        <w:trPr>
          <w:trHeight w:val="195"/>
          <w:jc w:val="center"/>
        </w:trPr>
        <w:tc>
          <w:tcPr>
            <w:tcW w:w="2513" w:type="dxa"/>
            <w:gridSpan w:val="2"/>
            <w:tcBorders>
              <w:top w:val="single" w:sz="4" w:space="0" w:color="auto"/>
              <w:left w:val="single" w:sz="4" w:space="0" w:color="auto"/>
              <w:bottom w:val="single" w:sz="4" w:space="0" w:color="auto"/>
              <w:right w:val="single" w:sz="4" w:space="0" w:color="auto"/>
            </w:tcBorders>
          </w:tcPr>
          <w:p w14:paraId="73408634" w14:textId="77777777" w:rsidR="006F0914" w:rsidRPr="00E36FD2" w:rsidRDefault="006F0914" w:rsidP="003A1330">
            <w:pPr>
              <w:pStyle w:val="Normal0"/>
              <w:jc w:val="center"/>
              <w:rPr>
                <w:rFonts w:ascii="Verdana" w:eastAsia="Times New Roman" w:hAnsi="Verdana"/>
                <w:b/>
                <w:lang w:val="en-GB" w:eastAsia="en-GB"/>
              </w:rPr>
            </w:pPr>
            <w:r w:rsidRPr="00E36FD2">
              <w:rPr>
                <w:rFonts w:ascii="Verdana" w:hAnsi="Verdana"/>
                <w:b/>
                <w:bCs/>
              </w:rPr>
              <w:t>As at March 20</w:t>
            </w:r>
            <w:r w:rsidR="003A1330" w:rsidRPr="00E36FD2">
              <w:rPr>
                <w:rFonts w:ascii="Verdana" w:hAnsi="Verdana"/>
                <w:b/>
                <w:bCs/>
              </w:rPr>
              <w:t>20</w:t>
            </w:r>
          </w:p>
        </w:tc>
        <w:tc>
          <w:tcPr>
            <w:tcW w:w="7492" w:type="dxa"/>
            <w:tcBorders>
              <w:top w:val="single" w:sz="4" w:space="0" w:color="auto"/>
              <w:left w:val="single" w:sz="4" w:space="0" w:color="auto"/>
              <w:bottom w:val="nil"/>
              <w:right w:val="single" w:sz="4" w:space="0" w:color="auto"/>
            </w:tcBorders>
            <w:shd w:val="clear" w:color="auto" w:fill="auto"/>
            <w:vAlign w:val="center"/>
          </w:tcPr>
          <w:p w14:paraId="0D697008" w14:textId="77777777" w:rsidR="006F0914" w:rsidRPr="00E36FD2" w:rsidRDefault="006F0914" w:rsidP="007C11F3">
            <w:pPr>
              <w:pStyle w:val="Normal0"/>
              <w:rPr>
                <w:rFonts w:ascii="Verdana" w:eastAsia="Times New Roman" w:hAnsi="Verdana"/>
                <w:b/>
                <w:lang w:val="en-GB" w:eastAsia="en-GB"/>
              </w:rPr>
            </w:pPr>
          </w:p>
        </w:tc>
        <w:tc>
          <w:tcPr>
            <w:tcW w:w="3173" w:type="dxa"/>
            <w:gridSpan w:val="2"/>
            <w:tcBorders>
              <w:top w:val="single" w:sz="4" w:space="0" w:color="auto"/>
              <w:left w:val="single" w:sz="4" w:space="0" w:color="auto"/>
              <w:bottom w:val="single" w:sz="4" w:space="0" w:color="auto"/>
              <w:right w:val="single" w:sz="4" w:space="0" w:color="auto"/>
            </w:tcBorders>
          </w:tcPr>
          <w:p w14:paraId="20FB8F31" w14:textId="77777777" w:rsidR="006F0914" w:rsidRPr="00E36FD2" w:rsidRDefault="006F0914" w:rsidP="003A1330">
            <w:pPr>
              <w:pStyle w:val="Normal0"/>
              <w:jc w:val="center"/>
              <w:rPr>
                <w:rFonts w:ascii="Verdana" w:hAnsi="Verdana"/>
                <w:b/>
                <w:bCs/>
              </w:rPr>
            </w:pPr>
            <w:r w:rsidRPr="00E36FD2">
              <w:rPr>
                <w:rFonts w:ascii="Verdana" w:hAnsi="Verdana"/>
                <w:b/>
                <w:bCs/>
              </w:rPr>
              <w:t>As at March 202</w:t>
            </w:r>
            <w:r w:rsidR="003A1330" w:rsidRPr="00E36FD2">
              <w:rPr>
                <w:rFonts w:ascii="Verdana" w:hAnsi="Verdana"/>
                <w:b/>
                <w:bCs/>
              </w:rPr>
              <w:t>1</w:t>
            </w:r>
          </w:p>
        </w:tc>
      </w:tr>
      <w:tr w:rsidR="006F0914" w14:paraId="75BEA010" w14:textId="77777777" w:rsidTr="00B12066">
        <w:trPr>
          <w:trHeight w:val="195"/>
          <w:jc w:val="center"/>
        </w:trPr>
        <w:tc>
          <w:tcPr>
            <w:tcW w:w="1275" w:type="dxa"/>
            <w:tcBorders>
              <w:top w:val="single" w:sz="4" w:space="0" w:color="auto"/>
              <w:left w:val="single" w:sz="4" w:space="0" w:color="auto"/>
              <w:bottom w:val="single" w:sz="4" w:space="0" w:color="auto"/>
              <w:right w:val="single" w:sz="4" w:space="0" w:color="auto"/>
            </w:tcBorders>
            <w:vAlign w:val="center"/>
          </w:tcPr>
          <w:p w14:paraId="3C1A4451" w14:textId="77777777" w:rsidR="006F0914" w:rsidRPr="00E36FD2" w:rsidRDefault="006F0914" w:rsidP="007C11F3">
            <w:pPr>
              <w:pStyle w:val="Normal0"/>
              <w:jc w:val="right"/>
              <w:rPr>
                <w:rFonts w:ascii="Verdana" w:eastAsia="Times New Roman" w:hAnsi="Verdana"/>
                <w:b/>
                <w:lang w:val="en-GB" w:eastAsia="en-GB"/>
              </w:rPr>
            </w:pPr>
            <w:r w:rsidRPr="00E36FD2">
              <w:rPr>
                <w:rFonts w:ascii="Verdana" w:eastAsia="Times New Roman" w:hAnsi="Verdana"/>
                <w:b/>
                <w:lang w:val="en-GB" w:eastAsia="en-GB"/>
              </w:rPr>
              <w:t>£000</w:t>
            </w:r>
          </w:p>
        </w:tc>
        <w:tc>
          <w:tcPr>
            <w:tcW w:w="1238" w:type="dxa"/>
            <w:tcBorders>
              <w:top w:val="single" w:sz="4" w:space="0" w:color="auto"/>
              <w:left w:val="single" w:sz="4" w:space="0" w:color="auto"/>
              <w:bottom w:val="single" w:sz="4" w:space="0" w:color="auto"/>
              <w:right w:val="single" w:sz="4" w:space="0" w:color="auto"/>
            </w:tcBorders>
            <w:vAlign w:val="center"/>
          </w:tcPr>
          <w:p w14:paraId="56BBA81F" w14:textId="77777777" w:rsidR="006F0914" w:rsidRPr="00E36FD2" w:rsidRDefault="006F0914" w:rsidP="007C11F3">
            <w:pPr>
              <w:pStyle w:val="Normal0"/>
              <w:jc w:val="right"/>
              <w:rPr>
                <w:rFonts w:ascii="Verdana" w:eastAsia="Times New Roman" w:hAnsi="Verdana"/>
                <w:b/>
                <w:lang w:val="en-GB" w:eastAsia="en-GB"/>
              </w:rPr>
            </w:pPr>
            <w:r w:rsidRPr="00E36FD2">
              <w:rPr>
                <w:rFonts w:ascii="Verdana" w:eastAsia="Times New Roman" w:hAnsi="Verdana"/>
                <w:b/>
                <w:lang w:val="en-GB" w:eastAsia="en-GB"/>
              </w:rPr>
              <w:t>£000</w:t>
            </w:r>
          </w:p>
        </w:tc>
        <w:tc>
          <w:tcPr>
            <w:tcW w:w="7492" w:type="dxa"/>
            <w:tcBorders>
              <w:top w:val="nil"/>
              <w:left w:val="single" w:sz="4" w:space="0" w:color="auto"/>
              <w:bottom w:val="single" w:sz="4" w:space="0" w:color="auto"/>
              <w:right w:val="single" w:sz="4" w:space="0" w:color="auto"/>
            </w:tcBorders>
            <w:shd w:val="clear" w:color="auto" w:fill="auto"/>
            <w:vAlign w:val="center"/>
          </w:tcPr>
          <w:p w14:paraId="782D9F26" w14:textId="77777777" w:rsidR="006F0914" w:rsidRPr="00E36FD2" w:rsidRDefault="006F0914" w:rsidP="007C11F3">
            <w:pPr>
              <w:pStyle w:val="Normal0"/>
              <w:rPr>
                <w:rFonts w:ascii="Verdana" w:eastAsia="Times New Roman" w:hAnsi="Verdana"/>
                <w:i/>
                <w:lang w:val="en-GB" w:eastAsia="en-GB"/>
              </w:rPr>
            </w:pPr>
          </w:p>
        </w:tc>
        <w:tc>
          <w:tcPr>
            <w:tcW w:w="1614" w:type="dxa"/>
            <w:tcBorders>
              <w:top w:val="single" w:sz="4" w:space="0" w:color="auto"/>
              <w:left w:val="single" w:sz="4" w:space="0" w:color="auto"/>
              <w:bottom w:val="single" w:sz="4" w:space="0" w:color="auto"/>
              <w:right w:val="single" w:sz="4" w:space="0" w:color="auto"/>
            </w:tcBorders>
            <w:vAlign w:val="center"/>
          </w:tcPr>
          <w:p w14:paraId="093F789B" w14:textId="77777777" w:rsidR="006F0914" w:rsidRPr="00E36FD2" w:rsidRDefault="006F0914" w:rsidP="007C11F3">
            <w:pPr>
              <w:pStyle w:val="Normal0"/>
              <w:jc w:val="right"/>
              <w:rPr>
                <w:rFonts w:ascii="Verdana" w:eastAsia="Times New Roman" w:hAnsi="Verdana"/>
                <w:b/>
                <w:lang w:val="en-GB" w:eastAsia="en-GB"/>
              </w:rPr>
            </w:pPr>
            <w:r w:rsidRPr="00E36FD2">
              <w:rPr>
                <w:rFonts w:ascii="Verdana" w:eastAsia="Times New Roman" w:hAnsi="Verdana"/>
                <w:b/>
                <w:lang w:val="en-GB" w:eastAsia="en-GB"/>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3029944" w14:textId="77777777" w:rsidR="006F0914" w:rsidRPr="00E36FD2" w:rsidRDefault="006F0914" w:rsidP="007C11F3">
            <w:pPr>
              <w:pStyle w:val="Normal0"/>
              <w:jc w:val="right"/>
              <w:rPr>
                <w:rFonts w:ascii="Verdana" w:eastAsia="Times New Roman" w:hAnsi="Verdana"/>
                <w:b/>
                <w:lang w:val="en-GB" w:eastAsia="en-GB"/>
              </w:rPr>
            </w:pPr>
            <w:r w:rsidRPr="00E36FD2">
              <w:rPr>
                <w:rFonts w:ascii="Verdana" w:eastAsia="Times New Roman" w:hAnsi="Verdana"/>
                <w:b/>
                <w:lang w:val="en-GB" w:eastAsia="en-GB"/>
              </w:rPr>
              <w:t>£000</w:t>
            </w:r>
          </w:p>
        </w:tc>
      </w:tr>
      <w:tr w:rsidR="006F0914" w14:paraId="187AA546" w14:textId="77777777" w:rsidTr="00B12066">
        <w:trPr>
          <w:trHeight w:val="195"/>
          <w:jc w:val="center"/>
        </w:trPr>
        <w:tc>
          <w:tcPr>
            <w:tcW w:w="1275" w:type="dxa"/>
            <w:tcBorders>
              <w:left w:val="single" w:sz="4" w:space="0" w:color="auto"/>
              <w:bottom w:val="nil"/>
              <w:right w:val="single" w:sz="4" w:space="0" w:color="auto"/>
            </w:tcBorders>
            <w:vAlign w:val="bottom"/>
          </w:tcPr>
          <w:p w14:paraId="2D0F8844" w14:textId="77777777" w:rsidR="006F0914" w:rsidRPr="00E36FD2" w:rsidRDefault="006F0914" w:rsidP="007C11F3">
            <w:pPr>
              <w:pStyle w:val="Normal0"/>
              <w:jc w:val="right"/>
              <w:rPr>
                <w:rFonts w:ascii="Verdana" w:eastAsia="Times New Roman" w:hAnsi="Verdana"/>
                <w:b/>
                <w:lang w:val="en-GB" w:eastAsia="en-GB"/>
              </w:rPr>
            </w:pPr>
          </w:p>
        </w:tc>
        <w:tc>
          <w:tcPr>
            <w:tcW w:w="1238" w:type="dxa"/>
            <w:tcBorders>
              <w:top w:val="single" w:sz="4" w:space="0" w:color="auto"/>
              <w:left w:val="single" w:sz="4" w:space="0" w:color="auto"/>
              <w:bottom w:val="nil"/>
              <w:right w:val="single" w:sz="4" w:space="0" w:color="auto"/>
            </w:tcBorders>
            <w:vAlign w:val="bottom"/>
          </w:tcPr>
          <w:p w14:paraId="47EB5552" w14:textId="77777777" w:rsidR="006F0914" w:rsidRPr="00E36FD2" w:rsidRDefault="006F0914" w:rsidP="007C11F3">
            <w:pPr>
              <w:pStyle w:val="Normal0"/>
              <w:jc w:val="right"/>
              <w:rPr>
                <w:rFonts w:ascii="Verdana" w:eastAsia="Times New Roman" w:hAnsi="Verdana"/>
                <w:b/>
                <w:lang w:val="en-GB" w:eastAsia="en-GB"/>
              </w:rPr>
            </w:pPr>
          </w:p>
        </w:tc>
        <w:tc>
          <w:tcPr>
            <w:tcW w:w="7492" w:type="dxa"/>
            <w:tcBorders>
              <w:left w:val="single" w:sz="4" w:space="0" w:color="auto"/>
              <w:bottom w:val="nil"/>
              <w:right w:val="single" w:sz="4" w:space="0" w:color="auto"/>
            </w:tcBorders>
            <w:shd w:val="clear" w:color="auto" w:fill="auto"/>
            <w:vAlign w:val="center"/>
          </w:tcPr>
          <w:p w14:paraId="2A35029B" w14:textId="77777777" w:rsidR="006F0914" w:rsidRPr="00E36FD2" w:rsidRDefault="006F0914" w:rsidP="007C11F3">
            <w:pPr>
              <w:pStyle w:val="Normal0"/>
              <w:rPr>
                <w:rFonts w:ascii="Verdana" w:eastAsia="Times New Roman" w:hAnsi="Verdana"/>
                <w:b/>
                <w:lang w:val="en-GB" w:eastAsia="en-GB"/>
              </w:rPr>
            </w:pPr>
            <w:r w:rsidRPr="00E36FD2">
              <w:rPr>
                <w:rFonts w:ascii="Verdana" w:eastAsia="Times New Roman" w:hAnsi="Verdana"/>
                <w:b/>
                <w:lang w:val="en-GB" w:eastAsia="en-GB"/>
              </w:rPr>
              <w:t>Contributions Receivable</w:t>
            </w:r>
          </w:p>
        </w:tc>
        <w:tc>
          <w:tcPr>
            <w:tcW w:w="1614" w:type="dxa"/>
            <w:tcBorders>
              <w:top w:val="single" w:sz="4" w:space="0" w:color="auto"/>
              <w:left w:val="single" w:sz="4" w:space="0" w:color="auto"/>
              <w:right w:val="single" w:sz="4" w:space="0" w:color="auto"/>
            </w:tcBorders>
            <w:vAlign w:val="bottom"/>
          </w:tcPr>
          <w:p w14:paraId="4EB1C9A7" w14:textId="77777777" w:rsidR="006F0914" w:rsidRPr="00E36FD2" w:rsidRDefault="006F0914" w:rsidP="007C11F3">
            <w:pPr>
              <w:pStyle w:val="Normal0"/>
              <w:jc w:val="right"/>
              <w:rPr>
                <w:rFonts w:ascii="Verdana" w:eastAsia="Times New Roman" w:hAnsi="Verdana"/>
                <w:b/>
                <w:lang w:val="en-GB" w:eastAsia="en-GB"/>
              </w:rPr>
            </w:pPr>
          </w:p>
        </w:tc>
        <w:tc>
          <w:tcPr>
            <w:tcW w:w="1559" w:type="dxa"/>
            <w:tcBorders>
              <w:top w:val="single" w:sz="4" w:space="0" w:color="auto"/>
              <w:left w:val="single" w:sz="4" w:space="0" w:color="auto"/>
              <w:right w:val="single" w:sz="4" w:space="0" w:color="auto"/>
            </w:tcBorders>
            <w:vAlign w:val="bottom"/>
          </w:tcPr>
          <w:p w14:paraId="1591E13D" w14:textId="77777777" w:rsidR="006F0914" w:rsidRPr="00E36FD2" w:rsidRDefault="006F0914" w:rsidP="007C11F3">
            <w:pPr>
              <w:pStyle w:val="Normal0"/>
              <w:jc w:val="right"/>
              <w:rPr>
                <w:rFonts w:ascii="Verdana" w:eastAsia="Times New Roman" w:hAnsi="Verdana"/>
                <w:b/>
                <w:lang w:val="en-GB" w:eastAsia="en-GB"/>
              </w:rPr>
            </w:pPr>
          </w:p>
        </w:tc>
      </w:tr>
      <w:tr w:rsidR="006F0914" w14:paraId="013D9E75" w14:textId="77777777" w:rsidTr="00B12066">
        <w:trPr>
          <w:trHeight w:val="195"/>
          <w:jc w:val="center"/>
        </w:trPr>
        <w:tc>
          <w:tcPr>
            <w:tcW w:w="1275" w:type="dxa"/>
            <w:tcBorders>
              <w:top w:val="nil"/>
              <w:left w:val="single" w:sz="4" w:space="0" w:color="auto"/>
              <w:bottom w:val="nil"/>
              <w:right w:val="single" w:sz="4" w:space="0" w:color="auto"/>
            </w:tcBorders>
            <w:vAlign w:val="bottom"/>
          </w:tcPr>
          <w:p w14:paraId="3423262D" w14:textId="77777777" w:rsidR="006F0914" w:rsidRPr="00E36FD2" w:rsidRDefault="006F0914" w:rsidP="007C11F3">
            <w:pPr>
              <w:pStyle w:val="Normal0"/>
              <w:jc w:val="right"/>
              <w:rPr>
                <w:rFonts w:ascii="Verdana" w:eastAsia="Times New Roman" w:hAnsi="Verdana"/>
                <w:b/>
                <w:lang w:val="en-GB" w:eastAsia="en-GB"/>
              </w:rPr>
            </w:pPr>
          </w:p>
        </w:tc>
        <w:tc>
          <w:tcPr>
            <w:tcW w:w="1238" w:type="dxa"/>
            <w:tcBorders>
              <w:top w:val="nil"/>
              <w:left w:val="single" w:sz="4" w:space="0" w:color="auto"/>
              <w:bottom w:val="nil"/>
              <w:right w:val="single" w:sz="4" w:space="0" w:color="auto"/>
            </w:tcBorders>
            <w:vAlign w:val="bottom"/>
          </w:tcPr>
          <w:p w14:paraId="437C6B95" w14:textId="77777777" w:rsidR="006F0914" w:rsidRPr="00E36FD2" w:rsidRDefault="006F0914" w:rsidP="007C11F3">
            <w:pPr>
              <w:pStyle w:val="Normal0"/>
              <w:jc w:val="right"/>
              <w:rPr>
                <w:rFonts w:ascii="Verdana" w:eastAsia="Times New Roman" w:hAnsi="Verdana"/>
                <w:b/>
                <w:lang w:val="en-GB" w:eastAsia="en-GB"/>
              </w:rPr>
            </w:pPr>
          </w:p>
        </w:tc>
        <w:tc>
          <w:tcPr>
            <w:tcW w:w="7492" w:type="dxa"/>
            <w:tcBorders>
              <w:top w:val="nil"/>
              <w:left w:val="single" w:sz="4" w:space="0" w:color="auto"/>
              <w:bottom w:val="nil"/>
              <w:right w:val="single" w:sz="4" w:space="0" w:color="auto"/>
            </w:tcBorders>
            <w:shd w:val="clear" w:color="auto" w:fill="auto"/>
            <w:vAlign w:val="center"/>
          </w:tcPr>
          <w:p w14:paraId="173807CD" w14:textId="77777777" w:rsidR="006F0914" w:rsidRPr="00E36FD2" w:rsidRDefault="006F0914" w:rsidP="007C11F3">
            <w:pPr>
              <w:pStyle w:val="Normal0"/>
              <w:rPr>
                <w:rFonts w:ascii="Verdana" w:eastAsia="Times New Roman" w:hAnsi="Verdana"/>
                <w:lang w:val="en-GB" w:eastAsia="en-GB"/>
              </w:rPr>
            </w:pPr>
            <w:r w:rsidRPr="00E36FD2">
              <w:rPr>
                <w:rFonts w:ascii="Verdana" w:eastAsia="Times New Roman" w:hAnsi="Verdana"/>
                <w:lang w:val="en-GB" w:eastAsia="en-GB"/>
              </w:rPr>
              <w:t>From Employer:</w:t>
            </w:r>
          </w:p>
        </w:tc>
        <w:tc>
          <w:tcPr>
            <w:tcW w:w="1614" w:type="dxa"/>
            <w:tcBorders>
              <w:left w:val="single" w:sz="4" w:space="0" w:color="auto"/>
              <w:right w:val="single" w:sz="4" w:space="0" w:color="auto"/>
            </w:tcBorders>
            <w:vAlign w:val="bottom"/>
          </w:tcPr>
          <w:p w14:paraId="5B9000B0" w14:textId="77777777" w:rsidR="006F0914" w:rsidRPr="00E36FD2" w:rsidRDefault="006F0914" w:rsidP="007C11F3">
            <w:pPr>
              <w:pStyle w:val="Normal0"/>
              <w:jc w:val="right"/>
              <w:rPr>
                <w:rFonts w:ascii="Verdana" w:eastAsia="Times New Roman" w:hAnsi="Verdana"/>
                <w:b/>
                <w:lang w:val="en-GB" w:eastAsia="en-GB"/>
              </w:rPr>
            </w:pPr>
          </w:p>
        </w:tc>
        <w:tc>
          <w:tcPr>
            <w:tcW w:w="1559" w:type="dxa"/>
            <w:tcBorders>
              <w:left w:val="single" w:sz="4" w:space="0" w:color="auto"/>
              <w:right w:val="single" w:sz="4" w:space="0" w:color="auto"/>
            </w:tcBorders>
            <w:vAlign w:val="bottom"/>
          </w:tcPr>
          <w:p w14:paraId="3E774923" w14:textId="77777777" w:rsidR="006F0914" w:rsidRPr="00E36FD2" w:rsidRDefault="006F0914" w:rsidP="007C11F3">
            <w:pPr>
              <w:pStyle w:val="Normal0"/>
              <w:jc w:val="right"/>
              <w:rPr>
                <w:rFonts w:ascii="Verdana" w:eastAsia="Times New Roman" w:hAnsi="Verdana"/>
                <w:b/>
                <w:lang w:val="en-GB" w:eastAsia="en-GB"/>
              </w:rPr>
            </w:pPr>
          </w:p>
        </w:tc>
      </w:tr>
      <w:tr w:rsidR="003A1330" w14:paraId="25B8AF26" w14:textId="77777777" w:rsidTr="00B12066">
        <w:trPr>
          <w:trHeight w:val="195"/>
          <w:jc w:val="center"/>
        </w:trPr>
        <w:tc>
          <w:tcPr>
            <w:tcW w:w="1275" w:type="dxa"/>
            <w:tcBorders>
              <w:top w:val="nil"/>
              <w:left w:val="single" w:sz="4" w:space="0" w:color="auto"/>
              <w:bottom w:val="nil"/>
              <w:right w:val="single" w:sz="4" w:space="0" w:color="auto"/>
            </w:tcBorders>
            <w:vAlign w:val="center"/>
          </w:tcPr>
          <w:p w14:paraId="33F4A0B5" w14:textId="77777777" w:rsidR="003A1330" w:rsidRPr="00E36FD2" w:rsidRDefault="003A1330" w:rsidP="003A1330">
            <w:pPr>
              <w:pStyle w:val="Normal0"/>
              <w:jc w:val="right"/>
              <w:rPr>
                <w:rFonts w:ascii="Verdana" w:hAnsi="Verdana"/>
              </w:rPr>
            </w:pPr>
            <w:r w:rsidRPr="00E36FD2">
              <w:rPr>
                <w:rFonts w:ascii="Verdana" w:hAnsi="Verdana"/>
              </w:rPr>
              <w:t>(21,078)</w:t>
            </w:r>
          </w:p>
        </w:tc>
        <w:tc>
          <w:tcPr>
            <w:tcW w:w="1238" w:type="dxa"/>
            <w:tcBorders>
              <w:top w:val="nil"/>
              <w:left w:val="single" w:sz="4" w:space="0" w:color="auto"/>
              <w:bottom w:val="nil"/>
              <w:right w:val="single" w:sz="4" w:space="0" w:color="auto"/>
            </w:tcBorders>
            <w:vAlign w:val="center"/>
          </w:tcPr>
          <w:p w14:paraId="4AC60E0E" w14:textId="77777777" w:rsidR="003A1330" w:rsidRPr="00E36FD2" w:rsidRDefault="003A1330" w:rsidP="003A1330">
            <w:pPr>
              <w:pStyle w:val="Normal0"/>
              <w:jc w:val="right"/>
              <w:rPr>
                <w:rFonts w:ascii="Verdana" w:hAnsi="Verdana"/>
              </w:rPr>
            </w:pPr>
          </w:p>
        </w:tc>
        <w:tc>
          <w:tcPr>
            <w:tcW w:w="7492" w:type="dxa"/>
            <w:tcBorders>
              <w:top w:val="nil"/>
              <w:left w:val="single" w:sz="4" w:space="0" w:color="auto"/>
              <w:bottom w:val="nil"/>
              <w:right w:val="single" w:sz="4" w:space="0" w:color="auto"/>
            </w:tcBorders>
            <w:shd w:val="clear" w:color="auto" w:fill="auto"/>
            <w:vAlign w:val="center"/>
          </w:tcPr>
          <w:p w14:paraId="2B160D4F" w14:textId="77777777" w:rsidR="003A1330" w:rsidRPr="00E36FD2" w:rsidRDefault="003A1330" w:rsidP="003A1330">
            <w:pPr>
              <w:pStyle w:val="Normal0"/>
              <w:rPr>
                <w:rFonts w:ascii="Verdana" w:eastAsia="Times New Roman" w:hAnsi="Verdana"/>
                <w:lang w:val="en-GB" w:eastAsia="en-GB"/>
              </w:rPr>
            </w:pPr>
            <w:r w:rsidRPr="00E36FD2">
              <w:rPr>
                <w:rFonts w:ascii="Verdana" w:eastAsia="Times New Roman" w:hAnsi="Verdana"/>
                <w:lang w:val="en-GB" w:eastAsia="en-GB"/>
              </w:rPr>
              <w:t xml:space="preserve"> - Normal</w:t>
            </w:r>
          </w:p>
        </w:tc>
        <w:tc>
          <w:tcPr>
            <w:tcW w:w="1614" w:type="dxa"/>
            <w:tcBorders>
              <w:left w:val="single" w:sz="4" w:space="0" w:color="auto"/>
              <w:right w:val="single" w:sz="4" w:space="0" w:color="auto"/>
            </w:tcBorders>
            <w:vAlign w:val="center"/>
          </w:tcPr>
          <w:p w14:paraId="0809662C" w14:textId="272857AD" w:rsidR="003A1330" w:rsidRPr="00E36FD2" w:rsidRDefault="0091312C" w:rsidP="003A1330">
            <w:pPr>
              <w:pStyle w:val="Normal0"/>
              <w:jc w:val="right"/>
              <w:rPr>
                <w:rFonts w:ascii="Verdana" w:hAnsi="Verdana"/>
              </w:rPr>
            </w:pPr>
            <w:r>
              <w:rPr>
                <w:rFonts w:ascii="Verdana" w:hAnsi="Verdana"/>
              </w:rPr>
              <w:t>(22,794)</w:t>
            </w:r>
          </w:p>
        </w:tc>
        <w:tc>
          <w:tcPr>
            <w:tcW w:w="1559" w:type="dxa"/>
            <w:tcBorders>
              <w:left w:val="single" w:sz="4" w:space="0" w:color="auto"/>
              <w:right w:val="single" w:sz="4" w:space="0" w:color="auto"/>
            </w:tcBorders>
            <w:vAlign w:val="center"/>
          </w:tcPr>
          <w:p w14:paraId="6BA14A9F" w14:textId="77777777" w:rsidR="003A1330" w:rsidRPr="00E36FD2" w:rsidRDefault="003A1330" w:rsidP="003A1330">
            <w:pPr>
              <w:pStyle w:val="Normal0"/>
              <w:jc w:val="right"/>
              <w:rPr>
                <w:rFonts w:ascii="Verdana" w:hAnsi="Verdana"/>
              </w:rPr>
            </w:pPr>
          </w:p>
        </w:tc>
      </w:tr>
      <w:tr w:rsidR="003A1330" w14:paraId="0BA82F51" w14:textId="77777777" w:rsidTr="00B12066">
        <w:trPr>
          <w:trHeight w:val="195"/>
          <w:jc w:val="center"/>
        </w:trPr>
        <w:tc>
          <w:tcPr>
            <w:tcW w:w="1275" w:type="dxa"/>
            <w:tcBorders>
              <w:top w:val="nil"/>
              <w:left w:val="single" w:sz="4" w:space="0" w:color="auto"/>
              <w:bottom w:val="nil"/>
              <w:right w:val="single" w:sz="4" w:space="0" w:color="auto"/>
            </w:tcBorders>
            <w:vAlign w:val="center"/>
          </w:tcPr>
          <w:p w14:paraId="3924022C" w14:textId="77777777" w:rsidR="003A1330" w:rsidRPr="00E36FD2" w:rsidRDefault="003A1330" w:rsidP="003A1330">
            <w:pPr>
              <w:pStyle w:val="Normal0"/>
              <w:jc w:val="right"/>
              <w:rPr>
                <w:rFonts w:ascii="Verdana" w:hAnsi="Verdana"/>
              </w:rPr>
            </w:pPr>
            <w:r w:rsidRPr="00E36FD2">
              <w:rPr>
                <w:rFonts w:ascii="Verdana" w:hAnsi="Verdana"/>
              </w:rPr>
              <w:t>(80)</w:t>
            </w:r>
          </w:p>
        </w:tc>
        <w:tc>
          <w:tcPr>
            <w:tcW w:w="1238" w:type="dxa"/>
            <w:tcBorders>
              <w:top w:val="nil"/>
              <w:left w:val="single" w:sz="4" w:space="0" w:color="auto"/>
              <w:bottom w:val="nil"/>
              <w:right w:val="single" w:sz="4" w:space="0" w:color="auto"/>
            </w:tcBorders>
            <w:vAlign w:val="center"/>
          </w:tcPr>
          <w:p w14:paraId="357422C2" w14:textId="77777777" w:rsidR="003A1330" w:rsidRPr="00E36FD2" w:rsidRDefault="003A1330" w:rsidP="003A1330">
            <w:pPr>
              <w:pStyle w:val="Normal0"/>
              <w:jc w:val="right"/>
              <w:rPr>
                <w:rFonts w:ascii="Verdana" w:hAnsi="Verdana"/>
              </w:rPr>
            </w:pPr>
          </w:p>
        </w:tc>
        <w:tc>
          <w:tcPr>
            <w:tcW w:w="7492" w:type="dxa"/>
            <w:tcBorders>
              <w:top w:val="nil"/>
              <w:left w:val="single" w:sz="4" w:space="0" w:color="auto"/>
              <w:bottom w:val="nil"/>
              <w:right w:val="single" w:sz="4" w:space="0" w:color="auto"/>
            </w:tcBorders>
            <w:shd w:val="clear" w:color="auto" w:fill="auto"/>
            <w:vAlign w:val="center"/>
          </w:tcPr>
          <w:p w14:paraId="43663EF9" w14:textId="77777777" w:rsidR="003A1330" w:rsidRPr="00E36FD2" w:rsidRDefault="003A1330" w:rsidP="003A1330">
            <w:pPr>
              <w:pStyle w:val="Normal0"/>
              <w:rPr>
                <w:rFonts w:ascii="Verdana" w:eastAsia="Times New Roman" w:hAnsi="Verdana"/>
                <w:lang w:val="en-GB" w:eastAsia="en-GB"/>
              </w:rPr>
            </w:pPr>
            <w:r w:rsidRPr="00E36FD2">
              <w:rPr>
                <w:rFonts w:ascii="Verdana" w:eastAsia="Times New Roman" w:hAnsi="Verdana"/>
                <w:lang w:val="en-GB" w:eastAsia="en-GB"/>
              </w:rPr>
              <w:t xml:space="preserve"> - Early Retirements</w:t>
            </w:r>
          </w:p>
        </w:tc>
        <w:tc>
          <w:tcPr>
            <w:tcW w:w="1614" w:type="dxa"/>
            <w:tcBorders>
              <w:left w:val="single" w:sz="4" w:space="0" w:color="auto"/>
              <w:right w:val="single" w:sz="4" w:space="0" w:color="auto"/>
            </w:tcBorders>
            <w:vAlign w:val="center"/>
          </w:tcPr>
          <w:p w14:paraId="448AAFC6" w14:textId="25D99908" w:rsidR="003A1330" w:rsidRPr="00E36FD2" w:rsidRDefault="0091312C" w:rsidP="003A1330">
            <w:pPr>
              <w:pStyle w:val="Normal0"/>
              <w:jc w:val="right"/>
              <w:rPr>
                <w:rFonts w:ascii="Verdana" w:hAnsi="Verdana"/>
              </w:rPr>
            </w:pPr>
            <w:r>
              <w:rPr>
                <w:rFonts w:ascii="Verdana" w:hAnsi="Verdana"/>
              </w:rPr>
              <w:t>(576)</w:t>
            </w:r>
          </w:p>
        </w:tc>
        <w:tc>
          <w:tcPr>
            <w:tcW w:w="1559" w:type="dxa"/>
            <w:tcBorders>
              <w:left w:val="single" w:sz="4" w:space="0" w:color="auto"/>
              <w:right w:val="single" w:sz="4" w:space="0" w:color="auto"/>
            </w:tcBorders>
            <w:vAlign w:val="center"/>
          </w:tcPr>
          <w:p w14:paraId="17860630" w14:textId="77777777" w:rsidR="003A1330" w:rsidRPr="00E36FD2" w:rsidRDefault="003A1330" w:rsidP="003A1330">
            <w:pPr>
              <w:pStyle w:val="Normal0"/>
              <w:jc w:val="right"/>
              <w:rPr>
                <w:rFonts w:ascii="Verdana" w:hAnsi="Verdana"/>
              </w:rPr>
            </w:pPr>
          </w:p>
        </w:tc>
      </w:tr>
      <w:tr w:rsidR="003A1330" w14:paraId="61E57BA2" w14:textId="77777777" w:rsidTr="00B12066">
        <w:trPr>
          <w:trHeight w:val="195"/>
          <w:jc w:val="center"/>
        </w:trPr>
        <w:tc>
          <w:tcPr>
            <w:tcW w:w="1275" w:type="dxa"/>
            <w:tcBorders>
              <w:top w:val="nil"/>
              <w:left w:val="single" w:sz="4" w:space="0" w:color="auto"/>
              <w:bottom w:val="single" w:sz="4" w:space="0" w:color="auto"/>
              <w:right w:val="single" w:sz="4" w:space="0" w:color="auto"/>
            </w:tcBorders>
            <w:vAlign w:val="center"/>
          </w:tcPr>
          <w:p w14:paraId="4E2BDBAA" w14:textId="77777777" w:rsidR="003A1330" w:rsidRPr="00E36FD2" w:rsidRDefault="003A1330" w:rsidP="003A1330">
            <w:pPr>
              <w:pStyle w:val="Normal0"/>
              <w:jc w:val="right"/>
              <w:rPr>
                <w:rFonts w:ascii="Verdana" w:hAnsi="Verdana"/>
              </w:rPr>
            </w:pPr>
            <w:r w:rsidRPr="00E36FD2">
              <w:rPr>
                <w:rFonts w:ascii="Verdana" w:hAnsi="Verdana"/>
              </w:rPr>
              <w:t>(9,048)</w:t>
            </w:r>
          </w:p>
        </w:tc>
        <w:tc>
          <w:tcPr>
            <w:tcW w:w="1238" w:type="dxa"/>
            <w:tcBorders>
              <w:top w:val="nil"/>
              <w:left w:val="single" w:sz="4" w:space="0" w:color="auto"/>
              <w:bottom w:val="single" w:sz="4" w:space="0" w:color="auto"/>
              <w:right w:val="single" w:sz="4" w:space="0" w:color="auto"/>
            </w:tcBorders>
            <w:vAlign w:val="center"/>
          </w:tcPr>
          <w:p w14:paraId="0396ED2A" w14:textId="77777777" w:rsidR="003A1330" w:rsidRPr="00E36FD2" w:rsidRDefault="003A1330" w:rsidP="003A1330">
            <w:pPr>
              <w:pStyle w:val="Normal0"/>
              <w:jc w:val="right"/>
              <w:rPr>
                <w:rFonts w:ascii="Verdana" w:hAnsi="Verdana"/>
              </w:rPr>
            </w:pPr>
          </w:p>
        </w:tc>
        <w:tc>
          <w:tcPr>
            <w:tcW w:w="7492" w:type="dxa"/>
            <w:tcBorders>
              <w:top w:val="nil"/>
              <w:left w:val="single" w:sz="4" w:space="0" w:color="auto"/>
              <w:bottom w:val="nil"/>
              <w:right w:val="single" w:sz="4" w:space="0" w:color="auto"/>
            </w:tcBorders>
            <w:shd w:val="clear" w:color="auto" w:fill="auto"/>
            <w:vAlign w:val="center"/>
          </w:tcPr>
          <w:p w14:paraId="50152705" w14:textId="77777777" w:rsidR="003A1330" w:rsidRPr="00E36FD2" w:rsidRDefault="003A1330" w:rsidP="003A1330">
            <w:pPr>
              <w:pStyle w:val="Normal0"/>
              <w:rPr>
                <w:rFonts w:ascii="Verdana" w:eastAsia="Times New Roman" w:hAnsi="Verdana"/>
                <w:lang w:val="en-GB" w:eastAsia="en-GB"/>
              </w:rPr>
            </w:pPr>
            <w:r w:rsidRPr="00E36FD2">
              <w:rPr>
                <w:rFonts w:ascii="Verdana" w:eastAsia="Times New Roman" w:hAnsi="Verdana"/>
                <w:lang w:val="en-GB" w:eastAsia="en-GB"/>
              </w:rPr>
              <w:t>From Members</w:t>
            </w:r>
          </w:p>
        </w:tc>
        <w:tc>
          <w:tcPr>
            <w:tcW w:w="1614" w:type="dxa"/>
            <w:tcBorders>
              <w:left w:val="single" w:sz="4" w:space="0" w:color="auto"/>
              <w:bottom w:val="single" w:sz="4" w:space="0" w:color="auto"/>
              <w:right w:val="single" w:sz="4" w:space="0" w:color="auto"/>
            </w:tcBorders>
            <w:vAlign w:val="center"/>
          </w:tcPr>
          <w:p w14:paraId="5686BE96" w14:textId="1715EE5C" w:rsidR="003A1330" w:rsidRPr="00E36FD2" w:rsidRDefault="0091312C" w:rsidP="003A1330">
            <w:pPr>
              <w:pStyle w:val="Normal0"/>
              <w:jc w:val="right"/>
              <w:rPr>
                <w:rFonts w:ascii="Verdana" w:hAnsi="Verdana"/>
              </w:rPr>
            </w:pPr>
            <w:r>
              <w:rPr>
                <w:rFonts w:ascii="Verdana" w:hAnsi="Verdana"/>
              </w:rPr>
              <w:t>(9,761)</w:t>
            </w:r>
          </w:p>
        </w:tc>
        <w:tc>
          <w:tcPr>
            <w:tcW w:w="1559" w:type="dxa"/>
            <w:tcBorders>
              <w:left w:val="single" w:sz="4" w:space="0" w:color="auto"/>
              <w:bottom w:val="single" w:sz="4" w:space="0" w:color="auto"/>
              <w:right w:val="single" w:sz="4" w:space="0" w:color="auto"/>
            </w:tcBorders>
            <w:vAlign w:val="center"/>
          </w:tcPr>
          <w:p w14:paraId="0A4A5D2F" w14:textId="77777777" w:rsidR="003A1330" w:rsidRPr="00E36FD2" w:rsidRDefault="003A1330" w:rsidP="003A1330">
            <w:pPr>
              <w:pStyle w:val="Normal0"/>
              <w:jc w:val="right"/>
              <w:rPr>
                <w:rFonts w:ascii="Verdana" w:hAnsi="Verdana"/>
              </w:rPr>
            </w:pPr>
          </w:p>
        </w:tc>
      </w:tr>
      <w:tr w:rsidR="003A1330" w14:paraId="0FBD7C76" w14:textId="77777777" w:rsidTr="00B12066">
        <w:trPr>
          <w:trHeight w:val="195"/>
          <w:jc w:val="center"/>
        </w:trPr>
        <w:tc>
          <w:tcPr>
            <w:tcW w:w="1275" w:type="dxa"/>
            <w:tcBorders>
              <w:top w:val="single" w:sz="4" w:space="0" w:color="auto"/>
              <w:left w:val="single" w:sz="4" w:space="0" w:color="auto"/>
              <w:bottom w:val="single" w:sz="4" w:space="0" w:color="auto"/>
              <w:right w:val="single" w:sz="4" w:space="0" w:color="auto"/>
            </w:tcBorders>
            <w:vAlign w:val="center"/>
          </w:tcPr>
          <w:p w14:paraId="3BC4F275" w14:textId="77777777" w:rsidR="003A1330" w:rsidRPr="00E36FD2" w:rsidRDefault="003A1330" w:rsidP="003A1330">
            <w:pPr>
              <w:pStyle w:val="Normal0"/>
              <w:jc w:val="right"/>
              <w:rPr>
                <w:rFonts w:ascii="Verdana" w:hAnsi="Verdana"/>
                <w:b/>
                <w:bCs/>
              </w:rPr>
            </w:pPr>
          </w:p>
        </w:tc>
        <w:tc>
          <w:tcPr>
            <w:tcW w:w="1238" w:type="dxa"/>
            <w:tcBorders>
              <w:top w:val="single" w:sz="4" w:space="0" w:color="auto"/>
              <w:left w:val="single" w:sz="4" w:space="0" w:color="auto"/>
              <w:bottom w:val="single" w:sz="4" w:space="0" w:color="auto"/>
              <w:right w:val="single" w:sz="4" w:space="0" w:color="auto"/>
            </w:tcBorders>
            <w:vAlign w:val="center"/>
          </w:tcPr>
          <w:p w14:paraId="0D964EF8" w14:textId="77777777" w:rsidR="003A1330" w:rsidRPr="00E36FD2" w:rsidRDefault="003A1330" w:rsidP="003A1330">
            <w:pPr>
              <w:pStyle w:val="Normal0"/>
              <w:jc w:val="right"/>
              <w:rPr>
                <w:rFonts w:ascii="Verdana" w:hAnsi="Verdana"/>
                <w:b/>
                <w:bCs/>
              </w:rPr>
            </w:pPr>
            <w:r w:rsidRPr="00E36FD2">
              <w:rPr>
                <w:rFonts w:ascii="Verdana" w:hAnsi="Verdana"/>
                <w:b/>
                <w:bCs/>
              </w:rPr>
              <w:t>(30,206)</w:t>
            </w:r>
          </w:p>
        </w:tc>
        <w:tc>
          <w:tcPr>
            <w:tcW w:w="7492" w:type="dxa"/>
            <w:tcBorders>
              <w:top w:val="nil"/>
              <w:left w:val="single" w:sz="4" w:space="0" w:color="auto"/>
              <w:bottom w:val="single" w:sz="4" w:space="0" w:color="auto"/>
              <w:right w:val="single" w:sz="4" w:space="0" w:color="auto"/>
            </w:tcBorders>
            <w:shd w:val="clear" w:color="auto" w:fill="auto"/>
            <w:vAlign w:val="center"/>
          </w:tcPr>
          <w:p w14:paraId="5A60391D" w14:textId="77777777" w:rsidR="003A1330" w:rsidRPr="00E36FD2" w:rsidRDefault="003A1330" w:rsidP="003A1330">
            <w:pPr>
              <w:pStyle w:val="Normal0"/>
              <w:rPr>
                <w:rFonts w:ascii="Verdana" w:eastAsia="Times New Roman" w:hAnsi="Verdana"/>
                <w:b/>
                <w:lang w:val="en-GB" w:eastAsia="en-GB"/>
              </w:rPr>
            </w:pPr>
          </w:p>
        </w:tc>
        <w:tc>
          <w:tcPr>
            <w:tcW w:w="1614" w:type="dxa"/>
            <w:tcBorders>
              <w:top w:val="single" w:sz="4" w:space="0" w:color="auto"/>
              <w:left w:val="single" w:sz="4" w:space="0" w:color="auto"/>
              <w:bottom w:val="single" w:sz="4" w:space="0" w:color="auto"/>
              <w:right w:val="single" w:sz="4" w:space="0" w:color="auto"/>
            </w:tcBorders>
            <w:vAlign w:val="center"/>
          </w:tcPr>
          <w:p w14:paraId="387BF024" w14:textId="77777777" w:rsidR="003A1330" w:rsidRPr="00E36FD2" w:rsidRDefault="003A1330" w:rsidP="003A1330">
            <w:pPr>
              <w:pStyle w:val="Normal0"/>
              <w:jc w:val="right"/>
              <w:rPr>
                <w:rFonts w:ascii="Verdana" w:hAnsi="Verdana"/>
                <w:b/>
                <w:bCs/>
              </w:rPr>
            </w:pPr>
          </w:p>
        </w:tc>
        <w:tc>
          <w:tcPr>
            <w:tcW w:w="1559" w:type="dxa"/>
            <w:tcBorders>
              <w:top w:val="single" w:sz="4" w:space="0" w:color="auto"/>
              <w:left w:val="single" w:sz="4" w:space="0" w:color="auto"/>
              <w:bottom w:val="single" w:sz="4" w:space="0" w:color="auto"/>
              <w:right w:val="single" w:sz="4" w:space="0" w:color="auto"/>
            </w:tcBorders>
            <w:vAlign w:val="center"/>
          </w:tcPr>
          <w:p w14:paraId="05B8706B" w14:textId="440D5FC5" w:rsidR="003A1330" w:rsidRPr="00E36FD2" w:rsidRDefault="0091312C" w:rsidP="003A1330">
            <w:pPr>
              <w:pStyle w:val="Normal0"/>
              <w:jc w:val="right"/>
              <w:rPr>
                <w:rFonts w:ascii="Verdana" w:hAnsi="Verdana"/>
                <w:b/>
                <w:bCs/>
              </w:rPr>
            </w:pPr>
            <w:r>
              <w:rPr>
                <w:rFonts w:ascii="Verdana" w:hAnsi="Verdana"/>
                <w:b/>
                <w:bCs/>
              </w:rPr>
              <w:t>(33,131)</w:t>
            </w:r>
          </w:p>
        </w:tc>
      </w:tr>
      <w:tr w:rsidR="003A1330" w14:paraId="32054E25" w14:textId="77777777" w:rsidTr="00B12066">
        <w:trPr>
          <w:trHeight w:val="195"/>
          <w:jc w:val="center"/>
        </w:trPr>
        <w:tc>
          <w:tcPr>
            <w:tcW w:w="1275" w:type="dxa"/>
            <w:tcBorders>
              <w:top w:val="single" w:sz="4" w:space="0" w:color="auto"/>
              <w:left w:val="single" w:sz="4" w:space="0" w:color="auto"/>
              <w:bottom w:val="nil"/>
              <w:right w:val="single" w:sz="4" w:space="0" w:color="auto"/>
            </w:tcBorders>
            <w:vAlign w:val="center"/>
          </w:tcPr>
          <w:p w14:paraId="735C6832" w14:textId="77777777" w:rsidR="003A1330" w:rsidRPr="00E36FD2" w:rsidRDefault="003A1330" w:rsidP="003A1330">
            <w:pPr>
              <w:pStyle w:val="Normal0"/>
              <w:jc w:val="right"/>
              <w:rPr>
                <w:rFonts w:ascii="Verdana" w:hAnsi="Verdana"/>
                <w:b/>
                <w:bCs/>
              </w:rPr>
            </w:pPr>
          </w:p>
        </w:tc>
        <w:tc>
          <w:tcPr>
            <w:tcW w:w="1238" w:type="dxa"/>
            <w:tcBorders>
              <w:top w:val="single" w:sz="4" w:space="0" w:color="auto"/>
              <w:left w:val="single" w:sz="4" w:space="0" w:color="auto"/>
              <w:bottom w:val="nil"/>
              <w:right w:val="single" w:sz="4" w:space="0" w:color="auto"/>
            </w:tcBorders>
            <w:vAlign w:val="center"/>
          </w:tcPr>
          <w:p w14:paraId="3B16423F" w14:textId="77777777" w:rsidR="003A1330" w:rsidRPr="00E36FD2" w:rsidRDefault="003A1330" w:rsidP="003A1330">
            <w:pPr>
              <w:pStyle w:val="Normal0"/>
              <w:jc w:val="right"/>
              <w:rPr>
                <w:rFonts w:ascii="Verdana" w:hAnsi="Verdana"/>
                <w:b/>
                <w:bCs/>
              </w:rPr>
            </w:pPr>
          </w:p>
        </w:tc>
        <w:tc>
          <w:tcPr>
            <w:tcW w:w="7492" w:type="dxa"/>
            <w:tcBorders>
              <w:top w:val="single" w:sz="4" w:space="0" w:color="auto"/>
              <w:left w:val="single" w:sz="4" w:space="0" w:color="auto"/>
              <w:bottom w:val="nil"/>
              <w:right w:val="single" w:sz="4" w:space="0" w:color="auto"/>
            </w:tcBorders>
            <w:shd w:val="clear" w:color="auto" w:fill="auto"/>
            <w:vAlign w:val="center"/>
          </w:tcPr>
          <w:p w14:paraId="5FF83CEE" w14:textId="77777777" w:rsidR="003A1330" w:rsidRPr="00E36FD2" w:rsidRDefault="003A1330" w:rsidP="003A1330">
            <w:pPr>
              <w:pStyle w:val="Normal0"/>
              <w:rPr>
                <w:rFonts w:ascii="Verdana" w:eastAsia="Times New Roman" w:hAnsi="Verdana"/>
                <w:b/>
                <w:lang w:val="en-GB" w:eastAsia="en-GB"/>
              </w:rPr>
            </w:pPr>
            <w:r w:rsidRPr="00E36FD2">
              <w:rPr>
                <w:rFonts w:ascii="Verdana" w:eastAsia="Times New Roman" w:hAnsi="Verdana"/>
                <w:b/>
                <w:lang w:val="en-GB" w:eastAsia="en-GB"/>
              </w:rPr>
              <w:t>Transfers In</w:t>
            </w:r>
          </w:p>
        </w:tc>
        <w:tc>
          <w:tcPr>
            <w:tcW w:w="1614" w:type="dxa"/>
            <w:tcBorders>
              <w:top w:val="single" w:sz="4" w:space="0" w:color="auto"/>
              <w:left w:val="single" w:sz="4" w:space="0" w:color="auto"/>
              <w:right w:val="single" w:sz="4" w:space="0" w:color="auto"/>
            </w:tcBorders>
            <w:vAlign w:val="center"/>
          </w:tcPr>
          <w:p w14:paraId="514672B1" w14:textId="77777777" w:rsidR="003A1330" w:rsidRPr="00E36FD2" w:rsidRDefault="003A1330" w:rsidP="003A1330">
            <w:pPr>
              <w:pStyle w:val="Normal0"/>
              <w:jc w:val="right"/>
              <w:rPr>
                <w:rFonts w:ascii="Verdana" w:hAnsi="Verdana"/>
                <w:b/>
                <w:bCs/>
              </w:rPr>
            </w:pPr>
          </w:p>
        </w:tc>
        <w:tc>
          <w:tcPr>
            <w:tcW w:w="1559" w:type="dxa"/>
            <w:tcBorders>
              <w:top w:val="single" w:sz="4" w:space="0" w:color="auto"/>
              <w:left w:val="single" w:sz="4" w:space="0" w:color="auto"/>
              <w:right w:val="single" w:sz="4" w:space="0" w:color="auto"/>
            </w:tcBorders>
            <w:vAlign w:val="center"/>
          </w:tcPr>
          <w:p w14:paraId="16AAD049" w14:textId="77777777" w:rsidR="003A1330" w:rsidRPr="00E36FD2" w:rsidRDefault="003A1330" w:rsidP="003A1330">
            <w:pPr>
              <w:pStyle w:val="Normal0"/>
              <w:jc w:val="right"/>
              <w:rPr>
                <w:rFonts w:ascii="Verdana" w:hAnsi="Verdana"/>
                <w:b/>
                <w:bCs/>
              </w:rPr>
            </w:pPr>
          </w:p>
        </w:tc>
      </w:tr>
      <w:tr w:rsidR="003A1330" w14:paraId="4B594221" w14:textId="77777777" w:rsidTr="00B12066">
        <w:trPr>
          <w:trHeight w:val="195"/>
          <w:jc w:val="center"/>
        </w:trPr>
        <w:tc>
          <w:tcPr>
            <w:tcW w:w="1275" w:type="dxa"/>
            <w:tcBorders>
              <w:top w:val="nil"/>
              <w:left w:val="single" w:sz="4" w:space="0" w:color="auto"/>
              <w:bottom w:val="single" w:sz="4" w:space="0" w:color="auto"/>
              <w:right w:val="single" w:sz="4" w:space="0" w:color="auto"/>
            </w:tcBorders>
            <w:vAlign w:val="center"/>
          </w:tcPr>
          <w:p w14:paraId="1093C22D" w14:textId="77777777" w:rsidR="003A1330" w:rsidRPr="00E36FD2" w:rsidRDefault="003A1330" w:rsidP="003A1330">
            <w:pPr>
              <w:pStyle w:val="Normal0"/>
              <w:jc w:val="right"/>
              <w:rPr>
                <w:rFonts w:ascii="Verdana" w:hAnsi="Verdana"/>
                <w:b/>
                <w:bCs/>
              </w:rPr>
            </w:pPr>
          </w:p>
        </w:tc>
        <w:tc>
          <w:tcPr>
            <w:tcW w:w="1238" w:type="dxa"/>
            <w:tcBorders>
              <w:top w:val="nil"/>
              <w:left w:val="single" w:sz="4" w:space="0" w:color="auto"/>
              <w:bottom w:val="single" w:sz="4" w:space="0" w:color="auto"/>
              <w:right w:val="single" w:sz="4" w:space="0" w:color="auto"/>
            </w:tcBorders>
            <w:vAlign w:val="center"/>
          </w:tcPr>
          <w:p w14:paraId="0F8CFEEF" w14:textId="77777777" w:rsidR="003A1330" w:rsidRPr="00E36FD2" w:rsidRDefault="003A1330" w:rsidP="003A1330">
            <w:pPr>
              <w:pStyle w:val="Normal0"/>
              <w:jc w:val="right"/>
              <w:rPr>
                <w:rFonts w:ascii="Verdana" w:hAnsi="Verdana"/>
                <w:b/>
                <w:bCs/>
              </w:rPr>
            </w:pPr>
            <w:r w:rsidRPr="00E36FD2">
              <w:rPr>
                <w:rFonts w:ascii="Verdana" w:hAnsi="Verdana"/>
                <w:b/>
                <w:bCs/>
              </w:rPr>
              <w:t>(460)</w:t>
            </w:r>
          </w:p>
        </w:tc>
        <w:tc>
          <w:tcPr>
            <w:tcW w:w="7492" w:type="dxa"/>
            <w:tcBorders>
              <w:top w:val="nil"/>
              <w:left w:val="single" w:sz="4" w:space="0" w:color="auto"/>
              <w:bottom w:val="single" w:sz="4" w:space="0" w:color="auto"/>
              <w:right w:val="single" w:sz="4" w:space="0" w:color="auto"/>
            </w:tcBorders>
            <w:shd w:val="clear" w:color="auto" w:fill="auto"/>
            <w:vAlign w:val="center"/>
          </w:tcPr>
          <w:p w14:paraId="2F1CCE59" w14:textId="77777777" w:rsidR="003A1330" w:rsidRPr="00E36FD2" w:rsidRDefault="003A1330" w:rsidP="003A1330">
            <w:pPr>
              <w:pStyle w:val="Normal0"/>
              <w:rPr>
                <w:rFonts w:ascii="Verdana" w:eastAsia="Times New Roman" w:hAnsi="Verdana"/>
                <w:lang w:val="en-GB" w:eastAsia="en-GB"/>
              </w:rPr>
            </w:pPr>
            <w:r w:rsidRPr="00E36FD2">
              <w:rPr>
                <w:rFonts w:ascii="Verdana" w:eastAsia="Times New Roman" w:hAnsi="Verdana"/>
                <w:lang w:val="en-GB" w:eastAsia="en-GB"/>
              </w:rPr>
              <w:t>Individual Transfers in From Other Schemes</w:t>
            </w:r>
          </w:p>
        </w:tc>
        <w:tc>
          <w:tcPr>
            <w:tcW w:w="1614" w:type="dxa"/>
            <w:tcBorders>
              <w:left w:val="single" w:sz="4" w:space="0" w:color="auto"/>
              <w:bottom w:val="single" w:sz="4" w:space="0" w:color="auto"/>
              <w:right w:val="single" w:sz="4" w:space="0" w:color="auto"/>
            </w:tcBorders>
            <w:vAlign w:val="center"/>
          </w:tcPr>
          <w:p w14:paraId="7F24F6A8" w14:textId="77777777" w:rsidR="003A1330" w:rsidRPr="00E36FD2" w:rsidRDefault="003A1330" w:rsidP="003A1330">
            <w:pPr>
              <w:pStyle w:val="Normal0"/>
              <w:jc w:val="right"/>
              <w:rPr>
                <w:rFonts w:ascii="Verdana" w:hAnsi="Verdana"/>
                <w:b/>
                <w:bCs/>
              </w:rPr>
            </w:pPr>
          </w:p>
        </w:tc>
        <w:tc>
          <w:tcPr>
            <w:tcW w:w="1559" w:type="dxa"/>
            <w:tcBorders>
              <w:left w:val="single" w:sz="4" w:space="0" w:color="auto"/>
              <w:bottom w:val="single" w:sz="4" w:space="0" w:color="auto"/>
              <w:right w:val="single" w:sz="4" w:space="0" w:color="auto"/>
            </w:tcBorders>
            <w:vAlign w:val="center"/>
          </w:tcPr>
          <w:p w14:paraId="4817926D" w14:textId="501FF211" w:rsidR="003A1330" w:rsidRPr="00E36FD2" w:rsidRDefault="0091312C" w:rsidP="003A1330">
            <w:pPr>
              <w:pStyle w:val="Normal0"/>
              <w:jc w:val="right"/>
              <w:rPr>
                <w:rFonts w:ascii="Verdana" w:hAnsi="Verdana"/>
                <w:b/>
                <w:bCs/>
              </w:rPr>
            </w:pPr>
            <w:r>
              <w:rPr>
                <w:rFonts w:ascii="Verdana" w:hAnsi="Verdana"/>
                <w:b/>
                <w:bCs/>
              </w:rPr>
              <w:t>(287)</w:t>
            </w:r>
          </w:p>
        </w:tc>
      </w:tr>
      <w:tr w:rsidR="003A1330" w14:paraId="62CBB640" w14:textId="77777777" w:rsidTr="00B12066">
        <w:trPr>
          <w:trHeight w:val="195"/>
          <w:jc w:val="center"/>
        </w:trPr>
        <w:tc>
          <w:tcPr>
            <w:tcW w:w="1275" w:type="dxa"/>
            <w:tcBorders>
              <w:top w:val="single" w:sz="4" w:space="0" w:color="auto"/>
              <w:left w:val="single" w:sz="4" w:space="0" w:color="auto"/>
              <w:bottom w:val="single" w:sz="4" w:space="0" w:color="auto"/>
              <w:right w:val="single" w:sz="4" w:space="0" w:color="auto"/>
            </w:tcBorders>
            <w:shd w:val="clear" w:color="auto" w:fill="FFFFCC"/>
            <w:vAlign w:val="center"/>
          </w:tcPr>
          <w:p w14:paraId="3A4AC05C" w14:textId="77777777" w:rsidR="003A1330" w:rsidRPr="00E36FD2" w:rsidRDefault="003A1330" w:rsidP="003A1330">
            <w:pPr>
              <w:pStyle w:val="Normal0"/>
              <w:jc w:val="right"/>
              <w:rPr>
                <w:rFonts w:ascii="Verdana" w:hAnsi="Verdana"/>
                <w:b/>
                <w:bCs/>
              </w:rPr>
            </w:pPr>
          </w:p>
        </w:tc>
        <w:tc>
          <w:tcPr>
            <w:tcW w:w="1238" w:type="dxa"/>
            <w:tcBorders>
              <w:top w:val="single" w:sz="4" w:space="0" w:color="auto"/>
              <w:left w:val="single" w:sz="4" w:space="0" w:color="auto"/>
              <w:bottom w:val="single" w:sz="4" w:space="0" w:color="auto"/>
              <w:right w:val="single" w:sz="4" w:space="0" w:color="auto"/>
            </w:tcBorders>
            <w:shd w:val="clear" w:color="auto" w:fill="FFFFCC"/>
            <w:vAlign w:val="center"/>
          </w:tcPr>
          <w:p w14:paraId="60C25120" w14:textId="77777777" w:rsidR="003A1330" w:rsidRPr="00E36FD2" w:rsidRDefault="003A1330" w:rsidP="003A1330">
            <w:pPr>
              <w:pStyle w:val="Normal0"/>
              <w:jc w:val="right"/>
              <w:rPr>
                <w:rFonts w:ascii="Verdana" w:hAnsi="Verdana"/>
                <w:b/>
                <w:bCs/>
              </w:rPr>
            </w:pPr>
            <w:r w:rsidRPr="00E36FD2">
              <w:rPr>
                <w:rFonts w:ascii="Verdana" w:hAnsi="Verdana"/>
                <w:b/>
                <w:bCs/>
              </w:rPr>
              <w:t>(30,666)</w:t>
            </w:r>
          </w:p>
        </w:tc>
        <w:tc>
          <w:tcPr>
            <w:tcW w:w="7492" w:type="dxa"/>
            <w:tcBorders>
              <w:top w:val="single" w:sz="4" w:space="0" w:color="auto"/>
              <w:left w:val="single" w:sz="4" w:space="0" w:color="auto"/>
              <w:bottom w:val="single" w:sz="4" w:space="0" w:color="auto"/>
              <w:right w:val="single" w:sz="4" w:space="0" w:color="auto"/>
            </w:tcBorders>
            <w:shd w:val="clear" w:color="auto" w:fill="FFFFCC"/>
            <w:vAlign w:val="center"/>
          </w:tcPr>
          <w:p w14:paraId="19AF3250" w14:textId="77777777" w:rsidR="003A1330" w:rsidRPr="00E36FD2" w:rsidRDefault="003A1330" w:rsidP="003A1330">
            <w:pPr>
              <w:pStyle w:val="Normal0"/>
              <w:rPr>
                <w:rFonts w:ascii="Verdana" w:eastAsia="Times New Roman" w:hAnsi="Verdana"/>
                <w:b/>
                <w:lang w:val="en-GB" w:eastAsia="en-GB"/>
              </w:rPr>
            </w:pPr>
            <w:r w:rsidRPr="00E36FD2">
              <w:rPr>
                <w:rFonts w:ascii="Verdana" w:eastAsia="Times New Roman" w:hAnsi="Verdana"/>
                <w:b/>
                <w:lang w:val="en-GB" w:eastAsia="en-GB"/>
              </w:rPr>
              <w:t>Total Inflows</w:t>
            </w:r>
          </w:p>
        </w:tc>
        <w:tc>
          <w:tcPr>
            <w:tcW w:w="1614" w:type="dxa"/>
            <w:tcBorders>
              <w:top w:val="single" w:sz="4" w:space="0" w:color="auto"/>
              <w:left w:val="single" w:sz="4" w:space="0" w:color="auto"/>
              <w:bottom w:val="single" w:sz="4" w:space="0" w:color="auto"/>
              <w:right w:val="single" w:sz="4" w:space="0" w:color="auto"/>
            </w:tcBorders>
            <w:shd w:val="clear" w:color="auto" w:fill="FFFFCC"/>
            <w:vAlign w:val="center"/>
          </w:tcPr>
          <w:p w14:paraId="7129D9F0" w14:textId="77777777" w:rsidR="003A1330" w:rsidRPr="00E36FD2" w:rsidRDefault="003A1330" w:rsidP="003A1330">
            <w:pPr>
              <w:pStyle w:val="Normal0"/>
              <w:jc w:val="right"/>
              <w:rPr>
                <w:rFonts w:ascii="Verdana" w:hAnsi="Verdana"/>
                <w:b/>
                <w:bCs/>
              </w:rPr>
            </w:pPr>
          </w:p>
        </w:tc>
        <w:tc>
          <w:tcPr>
            <w:tcW w:w="1559" w:type="dxa"/>
            <w:tcBorders>
              <w:top w:val="single" w:sz="4" w:space="0" w:color="auto"/>
              <w:left w:val="single" w:sz="4" w:space="0" w:color="auto"/>
              <w:bottom w:val="single" w:sz="4" w:space="0" w:color="auto"/>
              <w:right w:val="single" w:sz="4" w:space="0" w:color="auto"/>
            </w:tcBorders>
            <w:shd w:val="clear" w:color="auto" w:fill="FFFFCC"/>
            <w:vAlign w:val="center"/>
          </w:tcPr>
          <w:p w14:paraId="6D9AB2D6" w14:textId="7496466C" w:rsidR="003A1330" w:rsidRPr="00E36FD2" w:rsidRDefault="0091312C" w:rsidP="003A1330">
            <w:pPr>
              <w:pStyle w:val="Normal0"/>
              <w:jc w:val="right"/>
              <w:rPr>
                <w:rFonts w:ascii="Verdana" w:hAnsi="Verdana"/>
                <w:b/>
                <w:bCs/>
              </w:rPr>
            </w:pPr>
            <w:r>
              <w:rPr>
                <w:rFonts w:ascii="Verdana" w:hAnsi="Verdana"/>
                <w:b/>
                <w:bCs/>
              </w:rPr>
              <w:t>(33,418)</w:t>
            </w:r>
          </w:p>
        </w:tc>
      </w:tr>
      <w:tr w:rsidR="003A1330" w14:paraId="15643A20" w14:textId="77777777" w:rsidTr="00B12066">
        <w:trPr>
          <w:trHeight w:val="283"/>
          <w:jc w:val="center"/>
        </w:trPr>
        <w:tc>
          <w:tcPr>
            <w:tcW w:w="1275" w:type="dxa"/>
            <w:tcBorders>
              <w:left w:val="single" w:sz="4" w:space="0" w:color="auto"/>
              <w:bottom w:val="nil"/>
              <w:right w:val="single" w:sz="4" w:space="0" w:color="auto"/>
            </w:tcBorders>
            <w:vAlign w:val="center"/>
          </w:tcPr>
          <w:p w14:paraId="3C1B8E7D" w14:textId="77777777" w:rsidR="003A1330" w:rsidRPr="00E36FD2" w:rsidRDefault="003A1330" w:rsidP="003A1330">
            <w:pPr>
              <w:pStyle w:val="Normal0"/>
              <w:jc w:val="right"/>
              <w:rPr>
                <w:rFonts w:ascii="Verdana" w:hAnsi="Verdana"/>
                <w:b/>
                <w:bCs/>
              </w:rPr>
            </w:pPr>
          </w:p>
        </w:tc>
        <w:tc>
          <w:tcPr>
            <w:tcW w:w="1238" w:type="dxa"/>
            <w:tcBorders>
              <w:left w:val="single" w:sz="4" w:space="0" w:color="auto"/>
              <w:bottom w:val="nil"/>
              <w:right w:val="single" w:sz="4" w:space="0" w:color="auto"/>
            </w:tcBorders>
            <w:vAlign w:val="center"/>
          </w:tcPr>
          <w:p w14:paraId="08363811" w14:textId="77777777" w:rsidR="003A1330" w:rsidRPr="00E36FD2" w:rsidRDefault="003A1330" w:rsidP="003A1330">
            <w:pPr>
              <w:pStyle w:val="Normal0"/>
              <w:jc w:val="right"/>
              <w:rPr>
                <w:rFonts w:ascii="Verdana" w:hAnsi="Verdana"/>
                <w:b/>
                <w:bCs/>
              </w:rPr>
            </w:pPr>
          </w:p>
        </w:tc>
        <w:tc>
          <w:tcPr>
            <w:tcW w:w="7492" w:type="dxa"/>
            <w:tcBorders>
              <w:left w:val="single" w:sz="4" w:space="0" w:color="auto"/>
              <w:bottom w:val="nil"/>
              <w:right w:val="single" w:sz="4" w:space="0" w:color="auto"/>
            </w:tcBorders>
            <w:shd w:val="clear" w:color="auto" w:fill="auto"/>
            <w:vAlign w:val="center"/>
          </w:tcPr>
          <w:p w14:paraId="231191CF" w14:textId="77777777" w:rsidR="003A1330" w:rsidRPr="00E36FD2" w:rsidRDefault="003A1330" w:rsidP="003A1330">
            <w:pPr>
              <w:pStyle w:val="Normal0"/>
              <w:rPr>
                <w:rFonts w:ascii="Verdana" w:eastAsia="Times New Roman" w:hAnsi="Verdana"/>
                <w:b/>
                <w:lang w:val="en-GB" w:eastAsia="en-GB"/>
              </w:rPr>
            </w:pPr>
            <w:r w:rsidRPr="00E36FD2">
              <w:rPr>
                <w:rFonts w:ascii="Verdana" w:eastAsia="Times New Roman" w:hAnsi="Verdana"/>
                <w:b/>
                <w:lang w:val="en-GB" w:eastAsia="en-GB"/>
              </w:rPr>
              <w:t>Benefits Payable</w:t>
            </w:r>
          </w:p>
        </w:tc>
        <w:tc>
          <w:tcPr>
            <w:tcW w:w="1614" w:type="dxa"/>
            <w:tcBorders>
              <w:top w:val="single" w:sz="4" w:space="0" w:color="auto"/>
              <w:left w:val="single" w:sz="4" w:space="0" w:color="auto"/>
              <w:right w:val="single" w:sz="4" w:space="0" w:color="auto"/>
            </w:tcBorders>
            <w:vAlign w:val="center"/>
          </w:tcPr>
          <w:p w14:paraId="74137D6D" w14:textId="77777777" w:rsidR="003A1330" w:rsidRPr="00E36FD2" w:rsidRDefault="003A1330" w:rsidP="003A1330">
            <w:pPr>
              <w:pStyle w:val="Normal0"/>
              <w:jc w:val="right"/>
              <w:rPr>
                <w:rFonts w:ascii="Verdana" w:hAnsi="Verdana"/>
                <w:b/>
                <w:bCs/>
              </w:rPr>
            </w:pPr>
          </w:p>
        </w:tc>
        <w:tc>
          <w:tcPr>
            <w:tcW w:w="1559" w:type="dxa"/>
            <w:tcBorders>
              <w:top w:val="single" w:sz="4" w:space="0" w:color="auto"/>
              <w:left w:val="single" w:sz="4" w:space="0" w:color="auto"/>
              <w:right w:val="single" w:sz="4" w:space="0" w:color="auto"/>
            </w:tcBorders>
            <w:vAlign w:val="center"/>
          </w:tcPr>
          <w:p w14:paraId="2ABFA686" w14:textId="77777777" w:rsidR="003A1330" w:rsidRPr="00E36FD2" w:rsidRDefault="003A1330" w:rsidP="003A1330">
            <w:pPr>
              <w:pStyle w:val="Normal0"/>
              <w:jc w:val="right"/>
              <w:rPr>
                <w:rFonts w:ascii="Verdana" w:hAnsi="Verdana"/>
                <w:b/>
                <w:bCs/>
              </w:rPr>
            </w:pPr>
          </w:p>
        </w:tc>
      </w:tr>
      <w:tr w:rsidR="003A1330" w14:paraId="3E49FC4B" w14:textId="77777777" w:rsidTr="00B12066">
        <w:trPr>
          <w:trHeight w:val="195"/>
          <w:jc w:val="center"/>
        </w:trPr>
        <w:tc>
          <w:tcPr>
            <w:tcW w:w="1275" w:type="dxa"/>
            <w:tcBorders>
              <w:top w:val="nil"/>
              <w:left w:val="single" w:sz="4" w:space="0" w:color="auto"/>
              <w:bottom w:val="nil"/>
              <w:right w:val="single" w:sz="4" w:space="0" w:color="auto"/>
            </w:tcBorders>
            <w:vAlign w:val="center"/>
          </w:tcPr>
          <w:p w14:paraId="41169020" w14:textId="77777777" w:rsidR="003A1330" w:rsidRPr="00E36FD2" w:rsidRDefault="003A1330" w:rsidP="003A1330">
            <w:pPr>
              <w:pStyle w:val="Normal0"/>
              <w:jc w:val="right"/>
              <w:rPr>
                <w:rFonts w:ascii="Verdana" w:hAnsi="Verdana"/>
              </w:rPr>
            </w:pPr>
            <w:r w:rsidRPr="00E36FD2">
              <w:rPr>
                <w:rFonts w:ascii="Verdana" w:hAnsi="Verdana"/>
              </w:rPr>
              <w:t>38,889</w:t>
            </w:r>
          </w:p>
        </w:tc>
        <w:tc>
          <w:tcPr>
            <w:tcW w:w="1238" w:type="dxa"/>
            <w:tcBorders>
              <w:top w:val="nil"/>
              <w:left w:val="single" w:sz="4" w:space="0" w:color="auto"/>
              <w:bottom w:val="nil"/>
              <w:right w:val="single" w:sz="4" w:space="0" w:color="auto"/>
            </w:tcBorders>
            <w:vAlign w:val="center"/>
          </w:tcPr>
          <w:p w14:paraId="19A405CD" w14:textId="77777777" w:rsidR="003A1330" w:rsidRPr="00E36FD2" w:rsidRDefault="003A1330" w:rsidP="003A1330">
            <w:pPr>
              <w:pStyle w:val="Normal0"/>
              <w:jc w:val="right"/>
              <w:rPr>
                <w:rFonts w:ascii="Verdana" w:hAnsi="Verdana"/>
              </w:rPr>
            </w:pPr>
          </w:p>
        </w:tc>
        <w:tc>
          <w:tcPr>
            <w:tcW w:w="7492" w:type="dxa"/>
            <w:tcBorders>
              <w:top w:val="nil"/>
              <w:left w:val="single" w:sz="4" w:space="0" w:color="auto"/>
              <w:bottom w:val="nil"/>
              <w:right w:val="single" w:sz="4" w:space="0" w:color="auto"/>
            </w:tcBorders>
            <w:shd w:val="clear" w:color="auto" w:fill="auto"/>
            <w:vAlign w:val="center"/>
          </w:tcPr>
          <w:p w14:paraId="447F4BB6" w14:textId="77777777" w:rsidR="003A1330" w:rsidRPr="00E36FD2" w:rsidRDefault="003A1330" w:rsidP="003A1330">
            <w:pPr>
              <w:pStyle w:val="Normal0"/>
              <w:rPr>
                <w:rFonts w:ascii="Verdana" w:eastAsia="Times New Roman" w:hAnsi="Verdana"/>
                <w:lang w:val="en-GB" w:eastAsia="en-GB"/>
              </w:rPr>
            </w:pPr>
            <w:r w:rsidRPr="00E36FD2">
              <w:rPr>
                <w:rFonts w:ascii="Verdana" w:eastAsia="Times New Roman" w:hAnsi="Verdana"/>
                <w:lang w:val="en-GB" w:eastAsia="en-GB"/>
              </w:rPr>
              <w:t>Pensions</w:t>
            </w:r>
          </w:p>
        </w:tc>
        <w:tc>
          <w:tcPr>
            <w:tcW w:w="1614" w:type="dxa"/>
            <w:tcBorders>
              <w:left w:val="single" w:sz="4" w:space="0" w:color="auto"/>
              <w:right w:val="single" w:sz="4" w:space="0" w:color="auto"/>
            </w:tcBorders>
            <w:vAlign w:val="center"/>
          </w:tcPr>
          <w:p w14:paraId="62884E78" w14:textId="37DE62AA" w:rsidR="003A1330" w:rsidRPr="00E36FD2" w:rsidRDefault="0091312C" w:rsidP="003A1330">
            <w:pPr>
              <w:pStyle w:val="Normal0"/>
              <w:jc w:val="right"/>
              <w:rPr>
                <w:rFonts w:ascii="Verdana" w:hAnsi="Verdana"/>
              </w:rPr>
            </w:pPr>
            <w:r>
              <w:rPr>
                <w:rFonts w:ascii="Verdana" w:hAnsi="Verdana"/>
              </w:rPr>
              <w:t>40,335</w:t>
            </w:r>
          </w:p>
        </w:tc>
        <w:tc>
          <w:tcPr>
            <w:tcW w:w="1559" w:type="dxa"/>
            <w:tcBorders>
              <w:left w:val="single" w:sz="4" w:space="0" w:color="auto"/>
              <w:right w:val="single" w:sz="4" w:space="0" w:color="auto"/>
            </w:tcBorders>
            <w:vAlign w:val="center"/>
          </w:tcPr>
          <w:p w14:paraId="22374B21" w14:textId="77777777" w:rsidR="003A1330" w:rsidRPr="00E36FD2" w:rsidRDefault="003A1330" w:rsidP="003A1330">
            <w:pPr>
              <w:pStyle w:val="Normal0"/>
              <w:jc w:val="right"/>
              <w:rPr>
                <w:rFonts w:ascii="Verdana" w:hAnsi="Verdana"/>
              </w:rPr>
            </w:pPr>
          </w:p>
        </w:tc>
      </w:tr>
      <w:tr w:rsidR="003A1330" w14:paraId="3444B8FC" w14:textId="77777777" w:rsidTr="00B12066">
        <w:trPr>
          <w:trHeight w:val="195"/>
          <w:jc w:val="center"/>
        </w:trPr>
        <w:tc>
          <w:tcPr>
            <w:tcW w:w="1275" w:type="dxa"/>
            <w:tcBorders>
              <w:top w:val="nil"/>
              <w:left w:val="single" w:sz="4" w:space="0" w:color="auto"/>
              <w:bottom w:val="nil"/>
              <w:right w:val="single" w:sz="4" w:space="0" w:color="auto"/>
            </w:tcBorders>
            <w:vAlign w:val="center"/>
          </w:tcPr>
          <w:p w14:paraId="376091C7" w14:textId="77777777" w:rsidR="003A1330" w:rsidRPr="00E36FD2" w:rsidRDefault="003A1330" w:rsidP="003A1330">
            <w:pPr>
              <w:pStyle w:val="Normal0"/>
              <w:jc w:val="right"/>
              <w:rPr>
                <w:rFonts w:ascii="Verdana" w:hAnsi="Verdana"/>
              </w:rPr>
            </w:pPr>
            <w:r w:rsidRPr="00E36FD2">
              <w:rPr>
                <w:rFonts w:ascii="Verdana" w:hAnsi="Verdana"/>
              </w:rPr>
              <w:t>8,846</w:t>
            </w:r>
          </w:p>
        </w:tc>
        <w:tc>
          <w:tcPr>
            <w:tcW w:w="1238" w:type="dxa"/>
            <w:tcBorders>
              <w:top w:val="nil"/>
              <w:left w:val="single" w:sz="4" w:space="0" w:color="auto"/>
              <w:bottom w:val="nil"/>
              <w:right w:val="single" w:sz="4" w:space="0" w:color="auto"/>
            </w:tcBorders>
            <w:vAlign w:val="center"/>
          </w:tcPr>
          <w:p w14:paraId="0EC5528B" w14:textId="77777777" w:rsidR="003A1330" w:rsidRPr="00E36FD2" w:rsidRDefault="003A1330" w:rsidP="003A1330">
            <w:pPr>
              <w:pStyle w:val="Normal0"/>
              <w:jc w:val="right"/>
              <w:rPr>
                <w:rFonts w:ascii="Verdana" w:hAnsi="Verdana"/>
              </w:rPr>
            </w:pPr>
          </w:p>
        </w:tc>
        <w:tc>
          <w:tcPr>
            <w:tcW w:w="7492" w:type="dxa"/>
            <w:tcBorders>
              <w:top w:val="nil"/>
              <w:left w:val="single" w:sz="4" w:space="0" w:color="auto"/>
              <w:bottom w:val="nil"/>
              <w:right w:val="single" w:sz="4" w:space="0" w:color="auto"/>
            </w:tcBorders>
            <w:shd w:val="clear" w:color="auto" w:fill="auto"/>
            <w:vAlign w:val="center"/>
          </w:tcPr>
          <w:p w14:paraId="42FC4A67" w14:textId="77777777" w:rsidR="003A1330" w:rsidRPr="00E36FD2" w:rsidRDefault="003A1330" w:rsidP="003A1330">
            <w:pPr>
              <w:pStyle w:val="Normal0"/>
              <w:rPr>
                <w:rFonts w:ascii="Verdana" w:eastAsia="Times New Roman" w:hAnsi="Verdana"/>
                <w:lang w:val="en-GB" w:eastAsia="en-GB"/>
              </w:rPr>
            </w:pPr>
            <w:r w:rsidRPr="00E36FD2">
              <w:rPr>
                <w:rFonts w:ascii="Verdana" w:eastAsia="Times New Roman" w:hAnsi="Verdana"/>
                <w:lang w:val="en-GB" w:eastAsia="en-GB"/>
              </w:rPr>
              <w:t>Commutations and Lump Sums</w:t>
            </w:r>
          </w:p>
        </w:tc>
        <w:tc>
          <w:tcPr>
            <w:tcW w:w="1614" w:type="dxa"/>
            <w:tcBorders>
              <w:left w:val="single" w:sz="4" w:space="0" w:color="auto"/>
              <w:right w:val="single" w:sz="4" w:space="0" w:color="auto"/>
            </w:tcBorders>
            <w:vAlign w:val="center"/>
          </w:tcPr>
          <w:p w14:paraId="63BF3C30" w14:textId="697BE4D4" w:rsidR="003A1330" w:rsidRPr="00E36FD2" w:rsidRDefault="0091312C" w:rsidP="003A1330">
            <w:pPr>
              <w:pStyle w:val="Normal0"/>
              <w:jc w:val="right"/>
              <w:rPr>
                <w:rFonts w:ascii="Verdana" w:hAnsi="Verdana"/>
              </w:rPr>
            </w:pPr>
            <w:r>
              <w:rPr>
                <w:rFonts w:ascii="Verdana" w:hAnsi="Verdana"/>
              </w:rPr>
              <w:t>5,629</w:t>
            </w:r>
          </w:p>
        </w:tc>
        <w:tc>
          <w:tcPr>
            <w:tcW w:w="1559" w:type="dxa"/>
            <w:tcBorders>
              <w:left w:val="single" w:sz="4" w:space="0" w:color="auto"/>
              <w:right w:val="single" w:sz="4" w:space="0" w:color="auto"/>
            </w:tcBorders>
            <w:vAlign w:val="center"/>
          </w:tcPr>
          <w:p w14:paraId="3A74F76C" w14:textId="77777777" w:rsidR="003A1330" w:rsidRPr="00E36FD2" w:rsidRDefault="003A1330" w:rsidP="003A1330">
            <w:pPr>
              <w:pStyle w:val="Normal0"/>
              <w:jc w:val="right"/>
              <w:rPr>
                <w:rFonts w:ascii="Verdana" w:hAnsi="Verdana"/>
              </w:rPr>
            </w:pPr>
          </w:p>
        </w:tc>
      </w:tr>
      <w:tr w:rsidR="003A1330" w14:paraId="7FB98763" w14:textId="77777777" w:rsidTr="00B12066">
        <w:trPr>
          <w:trHeight w:val="195"/>
          <w:jc w:val="center"/>
        </w:trPr>
        <w:tc>
          <w:tcPr>
            <w:tcW w:w="1275" w:type="dxa"/>
            <w:tcBorders>
              <w:top w:val="nil"/>
              <w:left w:val="single" w:sz="4" w:space="0" w:color="auto"/>
              <w:bottom w:val="nil"/>
              <w:right w:val="single" w:sz="4" w:space="0" w:color="auto"/>
            </w:tcBorders>
            <w:vAlign w:val="center"/>
          </w:tcPr>
          <w:p w14:paraId="4B7971B7" w14:textId="77777777" w:rsidR="003A1330" w:rsidRPr="00E36FD2" w:rsidRDefault="003A1330" w:rsidP="003A1330">
            <w:pPr>
              <w:pStyle w:val="Normal0"/>
              <w:jc w:val="right"/>
              <w:rPr>
                <w:rFonts w:ascii="Verdana" w:hAnsi="Verdana"/>
              </w:rPr>
            </w:pPr>
            <w:r w:rsidRPr="00E36FD2">
              <w:rPr>
                <w:rFonts w:ascii="Verdana" w:hAnsi="Verdana"/>
              </w:rPr>
              <w:t>113</w:t>
            </w:r>
          </w:p>
        </w:tc>
        <w:tc>
          <w:tcPr>
            <w:tcW w:w="1238" w:type="dxa"/>
            <w:tcBorders>
              <w:top w:val="nil"/>
              <w:left w:val="single" w:sz="4" w:space="0" w:color="auto"/>
              <w:bottom w:val="nil"/>
              <w:right w:val="single" w:sz="4" w:space="0" w:color="auto"/>
            </w:tcBorders>
            <w:vAlign w:val="center"/>
          </w:tcPr>
          <w:p w14:paraId="0D0C4EFA" w14:textId="77777777" w:rsidR="003A1330" w:rsidRPr="00E36FD2" w:rsidRDefault="003A1330" w:rsidP="003A1330">
            <w:pPr>
              <w:pStyle w:val="Normal0"/>
              <w:jc w:val="right"/>
              <w:rPr>
                <w:rFonts w:ascii="Verdana" w:hAnsi="Verdana"/>
              </w:rPr>
            </w:pPr>
          </w:p>
        </w:tc>
        <w:tc>
          <w:tcPr>
            <w:tcW w:w="7492" w:type="dxa"/>
            <w:tcBorders>
              <w:top w:val="nil"/>
              <w:left w:val="single" w:sz="4" w:space="0" w:color="auto"/>
              <w:bottom w:val="nil"/>
              <w:right w:val="single" w:sz="4" w:space="0" w:color="auto"/>
            </w:tcBorders>
            <w:shd w:val="clear" w:color="auto" w:fill="auto"/>
            <w:vAlign w:val="center"/>
          </w:tcPr>
          <w:p w14:paraId="2C3E89F7" w14:textId="77777777" w:rsidR="003A1330" w:rsidRPr="00E36FD2" w:rsidRDefault="003A1330" w:rsidP="003A1330">
            <w:pPr>
              <w:pStyle w:val="Normal0"/>
              <w:rPr>
                <w:rFonts w:ascii="Verdana" w:eastAsia="Times New Roman" w:hAnsi="Verdana"/>
                <w:lang w:val="en-GB" w:eastAsia="en-GB"/>
              </w:rPr>
            </w:pPr>
            <w:r w:rsidRPr="00E36FD2">
              <w:rPr>
                <w:rFonts w:ascii="Verdana" w:eastAsia="Times New Roman" w:hAnsi="Verdana"/>
                <w:lang w:val="en-GB" w:eastAsia="en-GB"/>
              </w:rPr>
              <w:t>Lump Sum Death Benefits</w:t>
            </w:r>
          </w:p>
        </w:tc>
        <w:tc>
          <w:tcPr>
            <w:tcW w:w="1614" w:type="dxa"/>
            <w:tcBorders>
              <w:left w:val="single" w:sz="4" w:space="0" w:color="auto"/>
              <w:right w:val="single" w:sz="4" w:space="0" w:color="auto"/>
            </w:tcBorders>
            <w:vAlign w:val="center"/>
          </w:tcPr>
          <w:p w14:paraId="763F8498" w14:textId="51068762" w:rsidR="003A1330" w:rsidRPr="00E36FD2" w:rsidRDefault="0091312C" w:rsidP="003A1330">
            <w:pPr>
              <w:pStyle w:val="Normal0"/>
              <w:jc w:val="right"/>
              <w:rPr>
                <w:rFonts w:ascii="Verdana" w:hAnsi="Verdana"/>
              </w:rPr>
            </w:pPr>
            <w:r>
              <w:rPr>
                <w:rFonts w:ascii="Verdana" w:hAnsi="Verdana"/>
              </w:rPr>
              <w:t>0</w:t>
            </w:r>
          </w:p>
        </w:tc>
        <w:tc>
          <w:tcPr>
            <w:tcW w:w="1559" w:type="dxa"/>
            <w:tcBorders>
              <w:left w:val="single" w:sz="4" w:space="0" w:color="auto"/>
              <w:right w:val="single" w:sz="4" w:space="0" w:color="auto"/>
            </w:tcBorders>
            <w:vAlign w:val="center"/>
          </w:tcPr>
          <w:p w14:paraId="7DCEC070" w14:textId="77777777" w:rsidR="003A1330" w:rsidRPr="00E36FD2" w:rsidRDefault="003A1330" w:rsidP="003A1330">
            <w:pPr>
              <w:pStyle w:val="Normal0"/>
              <w:jc w:val="right"/>
              <w:rPr>
                <w:rFonts w:ascii="Verdana" w:hAnsi="Verdana"/>
              </w:rPr>
            </w:pPr>
          </w:p>
        </w:tc>
      </w:tr>
      <w:tr w:rsidR="003A1330" w14:paraId="64099D91" w14:textId="77777777" w:rsidTr="00B12066">
        <w:trPr>
          <w:trHeight w:val="195"/>
          <w:jc w:val="center"/>
        </w:trPr>
        <w:tc>
          <w:tcPr>
            <w:tcW w:w="1275" w:type="dxa"/>
            <w:tcBorders>
              <w:top w:val="nil"/>
              <w:left w:val="single" w:sz="4" w:space="0" w:color="auto"/>
              <w:bottom w:val="single" w:sz="4" w:space="0" w:color="auto"/>
              <w:right w:val="single" w:sz="4" w:space="0" w:color="auto"/>
            </w:tcBorders>
            <w:vAlign w:val="center"/>
          </w:tcPr>
          <w:p w14:paraId="0B8BE72A" w14:textId="77777777" w:rsidR="003A1330" w:rsidRPr="00E36FD2" w:rsidRDefault="003A1330" w:rsidP="003A1330">
            <w:pPr>
              <w:pStyle w:val="Normal0"/>
              <w:jc w:val="right"/>
              <w:rPr>
                <w:rFonts w:ascii="Verdana" w:hAnsi="Verdana"/>
              </w:rPr>
            </w:pPr>
            <w:r w:rsidRPr="00E36FD2">
              <w:rPr>
                <w:rFonts w:ascii="Verdana" w:hAnsi="Verdana"/>
              </w:rPr>
              <w:t>117</w:t>
            </w:r>
          </w:p>
        </w:tc>
        <w:tc>
          <w:tcPr>
            <w:tcW w:w="1238" w:type="dxa"/>
            <w:tcBorders>
              <w:top w:val="nil"/>
              <w:left w:val="single" w:sz="4" w:space="0" w:color="auto"/>
              <w:bottom w:val="single" w:sz="4" w:space="0" w:color="auto"/>
              <w:right w:val="single" w:sz="4" w:space="0" w:color="auto"/>
            </w:tcBorders>
            <w:vAlign w:val="center"/>
          </w:tcPr>
          <w:p w14:paraId="112FF606" w14:textId="77777777" w:rsidR="003A1330" w:rsidRPr="00E36FD2" w:rsidRDefault="003A1330" w:rsidP="003A1330">
            <w:pPr>
              <w:pStyle w:val="Normal0"/>
              <w:jc w:val="right"/>
              <w:rPr>
                <w:rFonts w:ascii="Verdana" w:hAnsi="Verdana"/>
              </w:rPr>
            </w:pPr>
          </w:p>
        </w:tc>
        <w:tc>
          <w:tcPr>
            <w:tcW w:w="7492" w:type="dxa"/>
            <w:tcBorders>
              <w:top w:val="nil"/>
              <w:left w:val="single" w:sz="4" w:space="0" w:color="auto"/>
              <w:bottom w:val="nil"/>
              <w:right w:val="single" w:sz="4" w:space="0" w:color="auto"/>
            </w:tcBorders>
            <w:shd w:val="clear" w:color="auto" w:fill="auto"/>
            <w:vAlign w:val="center"/>
          </w:tcPr>
          <w:p w14:paraId="77FE0DC2" w14:textId="77777777" w:rsidR="003A1330" w:rsidRPr="00E36FD2" w:rsidRDefault="003A1330" w:rsidP="003A1330">
            <w:pPr>
              <w:pStyle w:val="Normal0"/>
              <w:rPr>
                <w:rFonts w:ascii="Verdana" w:eastAsia="Times New Roman" w:hAnsi="Verdana"/>
                <w:lang w:val="en-GB" w:eastAsia="en-GB"/>
              </w:rPr>
            </w:pPr>
            <w:r w:rsidRPr="00E36FD2">
              <w:rPr>
                <w:rFonts w:ascii="Verdana" w:eastAsia="Times New Roman" w:hAnsi="Verdana"/>
                <w:lang w:val="en-GB" w:eastAsia="en-GB"/>
              </w:rPr>
              <w:t>Lump Sum Ill-health Benefits</w:t>
            </w:r>
          </w:p>
        </w:tc>
        <w:tc>
          <w:tcPr>
            <w:tcW w:w="1614" w:type="dxa"/>
            <w:tcBorders>
              <w:left w:val="single" w:sz="4" w:space="0" w:color="auto"/>
              <w:bottom w:val="single" w:sz="4" w:space="0" w:color="auto"/>
              <w:right w:val="single" w:sz="4" w:space="0" w:color="auto"/>
            </w:tcBorders>
            <w:vAlign w:val="center"/>
          </w:tcPr>
          <w:p w14:paraId="6862B38D" w14:textId="0284A9CD" w:rsidR="003A1330" w:rsidRPr="00E36FD2" w:rsidRDefault="0091312C" w:rsidP="003A1330">
            <w:pPr>
              <w:pStyle w:val="Normal0"/>
              <w:jc w:val="right"/>
              <w:rPr>
                <w:rFonts w:ascii="Verdana" w:hAnsi="Verdana"/>
              </w:rPr>
            </w:pPr>
            <w:r>
              <w:rPr>
                <w:rFonts w:ascii="Verdana" w:hAnsi="Verdana"/>
              </w:rPr>
              <w:t>595</w:t>
            </w:r>
          </w:p>
        </w:tc>
        <w:tc>
          <w:tcPr>
            <w:tcW w:w="1559" w:type="dxa"/>
            <w:tcBorders>
              <w:left w:val="single" w:sz="4" w:space="0" w:color="auto"/>
              <w:bottom w:val="single" w:sz="4" w:space="0" w:color="auto"/>
              <w:right w:val="single" w:sz="4" w:space="0" w:color="auto"/>
            </w:tcBorders>
            <w:vAlign w:val="center"/>
          </w:tcPr>
          <w:p w14:paraId="2D8F0D9A" w14:textId="77777777" w:rsidR="003A1330" w:rsidRPr="00E36FD2" w:rsidRDefault="003A1330" w:rsidP="003A1330">
            <w:pPr>
              <w:pStyle w:val="Normal0"/>
              <w:jc w:val="right"/>
              <w:rPr>
                <w:rFonts w:ascii="Verdana" w:hAnsi="Verdana"/>
              </w:rPr>
            </w:pPr>
          </w:p>
        </w:tc>
      </w:tr>
      <w:tr w:rsidR="003A1330" w14:paraId="77BC4EE0" w14:textId="77777777" w:rsidTr="00B12066">
        <w:trPr>
          <w:trHeight w:val="195"/>
          <w:jc w:val="center"/>
        </w:trPr>
        <w:tc>
          <w:tcPr>
            <w:tcW w:w="1275" w:type="dxa"/>
            <w:tcBorders>
              <w:top w:val="single" w:sz="4" w:space="0" w:color="auto"/>
              <w:left w:val="single" w:sz="4" w:space="0" w:color="auto"/>
              <w:bottom w:val="single" w:sz="4" w:space="0" w:color="auto"/>
              <w:right w:val="single" w:sz="4" w:space="0" w:color="auto"/>
            </w:tcBorders>
            <w:vAlign w:val="center"/>
          </w:tcPr>
          <w:p w14:paraId="5FEEAE99" w14:textId="77777777" w:rsidR="003A1330" w:rsidRPr="00E36FD2" w:rsidRDefault="003A1330" w:rsidP="003A1330">
            <w:pPr>
              <w:pStyle w:val="Normal0"/>
              <w:jc w:val="right"/>
              <w:rPr>
                <w:rFonts w:ascii="Verdana" w:hAnsi="Verdana"/>
              </w:rPr>
            </w:pPr>
          </w:p>
        </w:tc>
        <w:tc>
          <w:tcPr>
            <w:tcW w:w="1238" w:type="dxa"/>
            <w:tcBorders>
              <w:top w:val="single" w:sz="4" w:space="0" w:color="auto"/>
              <w:left w:val="single" w:sz="4" w:space="0" w:color="auto"/>
              <w:bottom w:val="single" w:sz="4" w:space="0" w:color="auto"/>
              <w:right w:val="single" w:sz="4" w:space="0" w:color="auto"/>
            </w:tcBorders>
            <w:vAlign w:val="center"/>
          </w:tcPr>
          <w:p w14:paraId="62AD0523" w14:textId="77777777" w:rsidR="003A1330" w:rsidRPr="00E36FD2" w:rsidRDefault="003A1330" w:rsidP="003A1330">
            <w:pPr>
              <w:pStyle w:val="Normal0"/>
              <w:jc w:val="right"/>
              <w:rPr>
                <w:rFonts w:ascii="Verdana" w:hAnsi="Verdana"/>
                <w:b/>
                <w:bCs/>
              </w:rPr>
            </w:pPr>
            <w:r w:rsidRPr="00E36FD2">
              <w:rPr>
                <w:rFonts w:ascii="Verdana" w:hAnsi="Verdana"/>
                <w:b/>
                <w:bCs/>
              </w:rPr>
              <w:t>47,995</w:t>
            </w:r>
          </w:p>
        </w:tc>
        <w:tc>
          <w:tcPr>
            <w:tcW w:w="7492" w:type="dxa"/>
            <w:tcBorders>
              <w:top w:val="nil"/>
              <w:left w:val="single" w:sz="4" w:space="0" w:color="auto"/>
              <w:bottom w:val="single" w:sz="4" w:space="0" w:color="auto"/>
              <w:right w:val="single" w:sz="4" w:space="0" w:color="auto"/>
            </w:tcBorders>
            <w:shd w:val="clear" w:color="auto" w:fill="auto"/>
            <w:vAlign w:val="center"/>
          </w:tcPr>
          <w:p w14:paraId="22AAFC96" w14:textId="77777777" w:rsidR="003A1330" w:rsidRPr="00E36FD2" w:rsidRDefault="003A1330" w:rsidP="003A1330">
            <w:pPr>
              <w:pStyle w:val="Normal0"/>
              <w:rPr>
                <w:rFonts w:ascii="Verdana" w:eastAsia="Times New Roman" w:hAnsi="Verdana"/>
                <w:lang w:val="en-GB" w:eastAsia="en-GB"/>
              </w:rPr>
            </w:pPr>
          </w:p>
        </w:tc>
        <w:tc>
          <w:tcPr>
            <w:tcW w:w="1614" w:type="dxa"/>
            <w:tcBorders>
              <w:top w:val="single" w:sz="4" w:space="0" w:color="auto"/>
              <w:left w:val="single" w:sz="4" w:space="0" w:color="auto"/>
              <w:bottom w:val="single" w:sz="4" w:space="0" w:color="auto"/>
              <w:right w:val="single" w:sz="4" w:space="0" w:color="auto"/>
            </w:tcBorders>
            <w:vAlign w:val="center"/>
          </w:tcPr>
          <w:p w14:paraId="14A8DD69" w14:textId="77777777" w:rsidR="003A1330" w:rsidRPr="00E36FD2" w:rsidRDefault="003A1330" w:rsidP="003A1330">
            <w:pPr>
              <w:pStyle w:val="Normal0"/>
              <w:jc w:val="right"/>
              <w:rPr>
                <w:rFonts w:ascii="Verdana" w:hAnsi="Verdana"/>
              </w:rPr>
            </w:pPr>
          </w:p>
        </w:tc>
        <w:tc>
          <w:tcPr>
            <w:tcW w:w="1559" w:type="dxa"/>
            <w:tcBorders>
              <w:top w:val="single" w:sz="4" w:space="0" w:color="auto"/>
              <w:left w:val="single" w:sz="4" w:space="0" w:color="auto"/>
              <w:bottom w:val="single" w:sz="4" w:space="0" w:color="auto"/>
              <w:right w:val="single" w:sz="4" w:space="0" w:color="auto"/>
            </w:tcBorders>
            <w:vAlign w:val="center"/>
          </w:tcPr>
          <w:p w14:paraId="2D42D399" w14:textId="3672BFDE" w:rsidR="003A1330" w:rsidRPr="00E36FD2" w:rsidRDefault="0091312C" w:rsidP="003A1330">
            <w:pPr>
              <w:pStyle w:val="Normal0"/>
              <w:jc w:val="right"/>
              <w:rPr>
                <w:rFonts w:ascii="Verdana" w:hAnsi="Verdana"/>
                <w:b/>
                <w:bCs/>
              </w:rPr>
            </w:pPr>
            <w:r>
              <w:rPr>
                <w:rFonts w:ascii="Verdana" w:hAnsi="Verdana"/>
                <w:b/>
                <w:bCs/>
              </w:rPr>
              <w:t>46,559</w:t>
            </w:r>
          </w:p>
        </w:tc>
      </w:tr>
      <w:tr w:rsidR="003A1330" w14:paraId="028E6724" w14:textId="77777777" w:rsidTr="00B12066">
        <w:trPr>
          <w:trHeight w:val="313"/>
          <w:jc w:val="center"/>
        </w:trPr>
        <w:tc>
          <w:tcPr>
            <w:tcW w:w="1275" w:type="dxa"/>
            <w:tcBorders>
              <w:left w:val="single" w:sz="4" w:space="0" w:color="auto"/>
              <w:bottom w:val="nil"/>
              <w:right w:val="single" w:sz="4" w:space="0" w:color="auto"/>
            </w:tcBorders>
            <w:vAlign w:val="center"/>
          </w:tcPr>
          <w:p w14:paraId="0E2ACD5B" w14:textId="77777777" w:rsidR="003A1330" w:rsidRPr="00E36FD2" w:rsidRDefault="003A1330" w:rsidP="003A1330">
            <w:pPr>
              <w:pStyle w:val="Normal0"/>
              <w:jc w:val="right"/>
              <w:rPr>
                <w:rFonts w:ascii="Verdana" w:hAnsi="Verdana"/>
                <w:b/>
                <w:bCs/>
              </w:rPr>
            </w:pPr>
          </w:p>
        </w:tc>
        <w:tc>
          <w:tcPr>
            <w:tcW w:w="1238" w:type="dxa"/>
            <w:tcBorders>
              <w:left w:val="single" w:sz="4" w:space="0" w:color="auto"/>
              <w:bottom w:val="nil"/>
              <w:right w:val="single" w:sz="4" w:space="0" w:color="auto"/>
            </w:tcBorders>
            <w:vAlign w:val="center"/>
          </w:tcPr>
          <w:p w14:paraId="1B14D7C7" w14:textId="77777777" w:rsidR="003A1330" w:rsidRPr="00E36FD2" w:rsidRDefault="003A1330" w:rsidP="003A1330">
            <w:pPr>
              <w:pStyle w:val="Normal0"/>
              <w:jc w:val="right"/>
              <w:rPr>
                <w:rFonts w:ascii="Verdana" w:hAnsi="Verdana"/>
                <w:b/>
                <w:bCs/>
              </w:rPr>
            </w:pPr>
          </w:p>
        </w:tc>
        <w:tc>
          <w:tcPr>
            <w:tcW w:w="7492" w:type="dxa"/>
            <w:tcBorders>
              <w:left w:val="single" w:sz="4" w:space="0" w:color="auto"/>
              <w:bottom w:val="nil"/>
              <w:right w:val="single" w:sz="4" w:space="0" w:color="auto"/>
            </w:tcBorders>
            <w:shd w:val="clear" w:color="auto" w:fill="auto"/>
            <w:vAlign w:val="center"/>
          </w:tcPr>
          <w:p w14:paraId="09A6BE38" w14:textId="77777777" w:rsidR="003A1330" w:rsidRPr="00E36FD2" w:rsidRDefault="003A1330" w:rsidP="003A1330">
            <w:pPr>
              <w:pStyle w:val="Normal0"/>
              <w:rPr>
                <w:rFonts w:ascii="Verdana" w:eastAsia="Times New Roman" w:hAnsi="Verdana"/>
                <w:b/>
                <w:lang w:val="en-GB" w:eastAsia="en-GB"/>
              </w:rPr>
            </w:pPr>
            <w:r w:rsidRPr="00E36FD2">
              <w:rPr>
                <w:rFonts w:ascii="Verdana" w:eastAsia="Times New Roman" w:hAnsi="Verdana"/>
                <w:b/>
                <w:lang w:val="en-GB" w:eastAsia="en-GB"/>
              </w:rPr>
              <w:t>Payments To and On Account of Leavers</w:t>
            </w:r>
          </w:p>
        </w:tc>
        <w:tc>
          <w:tcPr>
            <w:tcW w:w="1614" w:type="dxa"/>
            <w:tcBorders>
              <w:top w:val="single" w:sz="4" w:space="0" w:color="auto"/>
              <w:left w:val="single" w:sz="4" w:space="0" w:color="auto"/>
              <w:right w:val="single" w:sz="4" w:space="0" w:color="auto"/>
            </w:tcBorders>
            <w:vAlign w:val="center"/>
          </w:tcPr>
          <w:p w14:paraId="5CDC2469" w14:textId="77777777" w:rsidR="003A1330" w:rsidRPr="00E36FD2" w:rsidRDefault="003A1330" w:rsidP="003A1330">
            <w:pPr>
              <w:pStyle w:val="Normal0"/>
              <w:jc w:val="right"/>
              <w:rPr>
                <w:rFonts w:ascii="Verdana" w:hAnsi="Verdana"/>
                <w:b/>
                <w:bCs/>
              </w:rPr>
            </w:pPr>
          </w:p>
        </w:tc>
        <w:tc>
          <w:tcPr>
            <w:tcW w:w="1559" w:type="dxa"/>
            <w:tcBorders>
              <w:top w:val="single" w:sz="4" w:space="0" w:color="auto"/>
              <w:left w:val="single" w:sz="4" w:space="0" w:color="auto"/>
              <w:right w:val="single" w:sz="4" w:space="0" w:color="auto"/>
            </w:tcBorders>
            <w:vAlign w:val="center"/>
          </w:tcPr>
          <w:p w14:paraId="046DC796" w14:textId="77777777" w:rsidR="003A1330" w:rsidRPr="00E36FD2" w:rsidRDefault="003A1330" w:rsidP="003A1330">
            <w:pPr>
              <w:pStyle w:val="Normal0"/>
              <w:jc w:val="right"/>
              <w:rPr>
                <w:rFonts w:ascii="Verdana" w:hAnsi="Verdana"/>
                <w:b/>
                <w:bCs/>
              </w:rPr>
            </w:pPr>
          </w:p>
        </w:tc>
      </w:tr>
      <w:tr w:rsidR="003A1330" w14:paraId="2E17E1F4" w14:textId="77777777" w:rsidTr="00B12066">
        <w:trPr>
          <w:trHeight w:val="195"/>
          <w:jc w:val="center"/>
        </w:trPr>
        <w:tc>
          <w:tcPr>
            <w:tcW w:w="1275" w:type="dxa"/>
            <w:tcBorders>
              <w:top w:val="nil"/>
              <w:left w:val="single" w:sz="4" w:space="0" w:color="auto"/>
              <w:bottom w:val="nil"/>
              <w:right w:val="single" w:sz="4" w:space="0" w:color="auto"/>
            </w:tcBorders>
            <w:vAlign w:val="center"/>
          </w:tcPr>
          <w:p w14:paraId="2C17728C" w14:textId="77777777" w:rsidR="003A1330" w:rsidRPr="00E36FD2" w:rsidRDefault="003A1330" w:rsidP="003A1330">
            <w:pPr>
              <w:pStyle w:val="Normal0"/>
              <w:jc w:val="right"/>
              <w:rPr>
                <w:rFonts w:ascii="Verdana" w:hAnsi="Verdana"/>
              </w:rPr>
            </w:pPr>
            <w:r w:rsidRPr="00E36FD2">
              <w:rPr>
                <w:rFonts w:ascii="Verdana" w:hAnsi="Verdana"/>
              </w:rPr>
              <w:t>49</w:t>
            </w:r>
          </w:p>
        </w:tc>
        <w:tc>
          <w:tcPr>
            <w:tcW w:w="1238" w:type="dxa"/>
            <w:tcBorders>
              <w:top w:val="nil"/>
              <w:left w:val="single" w:sz="4" w:space="0" w:color="auto"/>
              <w:bottom w:val="nil"/>
              <w:right w:val="single" w:sz="4" w:space="0" w:color="auto"/>
            </w:tcBorders>
            <w:vAlign w:val="center"/>
          </w:tcPr>
          <w:p w14:paraId="1A922D9F" w14:textId="77777777" w:rsidR="003A1330" w:rsidRPr="00E36FD2" w:rsidRDefault="003A1330" w:rsidP="003A1330">
            <w:pPr>
              <w:pStyle w:val="Normal0"/>
              <w:jc w:val="right"/>
              <w:rPr>
                <w:rFonts w:ascii="Verdana" w:hAnsi="Verdana"/>
              </w:rPr>
            </w:pPr>
          </w:p>
        </w:tc>
        <w:tc>
          <w:tcPr>
            <w:tcW w:w="7492" w:type="dxa"/>
            <w:tcBorders>
              <w:top w:val="nil"/>
              <w:left w:val="single" w:sz="4" w:space="0" w:color="auto"/>
              <w:bottom w:val="nil"/>
              <w:right w:val="single" w:sz="4" w:space="0" w:color="auto"/>
            </w:tcBorders>
            <w:shd w:val="clear" w:color="auto" w:fill="auto"/>
            <w:vAlign w:val="center"/>
          </w:tcPr>
          <w:p w14:paraId="74ECDF30" w14:textId="77777777" w:rsidR="003A1330" w:rsidRPr="00E36FD2" w:rsidRDefault="003A1330" w:rsidP="003A1330">
            <w:pPr>
              <w:pStyle w:val="Normal0"/>
              <w:rPr>
                <w:rFonts w:ascii="Verdana" w:eastAsia="Times New Roman" w:hAnsi="Verdana"/>
                <w:lang w:val="en-GB" w:eastAsia="en-GB"/>
              </w:rPr>
            </w:pPr>
            <w:r w:rsidRPr="00E36FD2">
              <w:rPr>
                <w:rFonts w:ascii="Verdana" w:eastAsia="Times New Roman" w:hAnsi="Verdana"/>
                <w:lang w:val="en-GB" w:eastAsia="en-GB"/>
              </w:rPr>
              <w:t>Refund of Contributions</w:t>
            </w:r>
          </w:p>
        </w:tc>
        <w:tc>
          <w:tcPr>
            <w:tcW w:w="1614" w:type="dxa"/>
            <w:tcBorders>
              <w:left w:val="single" w:sz="4" w:space="0" w:color="auto"/>
              <w:right w:val="single" w:sz="4" w:space="0" w:color="auto"/>
            </w:tcBorders>
            <w:vAlign w:val="center"/>
          </w:tcPr>
          <w:p w14:paraId="3E3B17A5" w14:textId="6B37696F" w:rsidR="003A1330" w:rsidRPr="00E36FD2" w:rsidRDefault="0091312C" w:rsidP="003A1330">
            <w:pPr>
              <w:pStyle w:val="Normal0"/>
              <w:jc w:val="right"/>
              <w:rPr>
                <w:rFonts w:ascii="Verdana" w:hAnsi="Verdana"/>
              </w:rPr>
            </w:pPr>
            <w:r>
              <w:rPr>
                <w:rFonts w:ascii="Verdana" w:hAnsi="Verdana"/>
              </w:rPr>
              <w:t>42</w:t>
            </w:r>
          </w:p>
        </w:tc>
        <w:tc>
          <w:tcPr>
            <w:tcW w:w="1559" w:type="dxa"/>
            <w:tcBorders>
              <w:left w:val="single" w:sz="4" w:space="0" w:color="auto"/>
              <w:right w:val="single" w:sz="4" w:space="0" w:color="auto"/>
            </w:tcBorders>
            <w:vAlign w:val="center"/>
          </w:tcPr>
          <w:p w14:paraId="7C06DB4C" w14:textId="77777777" w:rsidR="003A1330" w:rsidRPr="00E36FD2" w:rsidRDefault="003A1330" w:rsidP="003A1330">
            <w:pPr>
              <w:pStyle w:val="Normal0"/>
              <w:jc w:val="right"/>
              <w:rPr>
                <w:rFonts w:ascii="Verdana" w:hAnsi="Verdana"/>
              </w:rPr>
            </w:pPr>
          </w:p>
        </w:tc>
      </w:tr>
      <w:tr w:rsidR="003A1330" w14:paraId="6E84D9EA" w14:textId="77777777" w:rsidTr="00B12066">
        <w:trPr>
          <w:trHeight w:val="195"/>
          <w:jc w:val="center"/>
        </w:trPr>
        <w:tc>
          <w:tcPr>
            <w:tcW w:w="1275" w:type="dxa"/>
            <w:tcBorders>
              <w:top w:val="nil"/>
              <w:left w:val="single" w:sz="4" w:space="0" w:color="auto"/>
              <w:bottom w:val="single" w:sz="4" w:space="0" w:color="auto"/>
              <w:right w:val="single" w:sz="4" w:space="0" w:color="auto"/>
            </w:tcBorders>
            <w:vAlign w:val="center"/>
          </w:tcPr>
          <w:p w14:paraId="6544247B" w14:textId="77777777" w:rsidR="003A1330" w:rsidRPr="00E36FD2" w:rsidRDefault="003A1330" w:rsidP="003A1330">
            <w:pPr>
              <w:pStyle w:val="Normal0"/>
              <w:jc w:val="right"/>
              <w:rPr>
                <w:rFonts w:ascii="Verdana" w:hAnsi="Verdana"/>
              </w:rPr>
            </w:pPr>
            <w:r w:rsidRPr="00E36FD2">
              <w:rPr>
                <w:rFonts w:ascii="Verdana" w:hAnsi="Verdana"/>
              </w:rPr>
              <w:t>0</w:t>
            </w:r>
          </w:p>
        </w:tc>
        <w:tc>
          <w:tcPr>
            <w:tcW w:w="1238" w:type="dxa"/>
            <w:tcBorders>
              <w:top w:val="nil"/>
              <w:left w:val="single" w:sz="4" w:space="0" w:color="auto"/>
              <w:bottom w:val="single" w:sz="4" w:space="0" w:color="auto"/>
              <w:right w:val="single" w:sz="4" w:space="0" w:color="auto"/>
            </w:tcBorders>
            <w:vAlign w:val="center"/>
          </w:tcPr>
          <w:p w14:paraId="02387088" w14:textId="77777777" w:rsidR="003A1330" w:rsidRPr="00E36FD2" w:rsidRDefault="003A1330" w:rsidP="003A1330">
            <w:pPr>
              <w:pStyle w:val="Normal0"/>
              <w:jc w:val="right"/>
              <w:rPr>
                <w:rFonts w:ascii="Verdana" w:hAnsi="Verdana"/>
              </w:rPr>
            </w:pPr>
          </w:p>
        </w:tc>
        <w:tc>
          <w:tcPr>
            <w:tcW w:w="7492" w:type="dxa"/>
            <w:tcBorders>
              <w:top w:val="nil"/>
              <w:left w:val="single" w:sz="4" w:space="0" w:color="auto"/>
              <w:bottom w:val="nil"/>
              <w:right w:val="single" w:sz="4" w:space="0" w:color="auto"/>
            </w:tcBorders>
            <w:shd w:val="clear" w:color="auto" w:fill="auto"/>
            <w:vAlign w:val="center"/>
          </w:tcPr>
          <w:p w14:paraId="4A41CFD2" w14:textId="77777777" w:rsidR="003A1330" w:rsidRPr="00E36FD2" w:rsidRDefault="003A1330" w:rsidP="003A1330">
            <w:pPr>
              <w:pStyle w:val="Normal0"/>
              <w:rPr>
                <w:rFonts w:ascii="Verdana" w:eastAsia="Times New Roman" w:hAnsi="Verdana"/>
                <w:lang w:val="en-GB" w:eastAsia="en-GB"/>
              </w:rPr>
            </w:pPr>
            <w:r w:rsidRPr="00E36FD2">
              <w:rPr>
                <w:rFonts w:ascii="Verdana" w:eastAsia="Times New Roman" w:hAnsi="Verdana"/>
                <w:lang w:val="en-GB" w:eastAsia="en-GB"/>
              </w:rPr>
              <w:t>Individual Transfers Out To Other Schemes</w:t>
            </w:r>
          </w:p>
        </w:tc>
        <w:tc>
          <w:tcPr>
            <w:tcW w:w="1614" w:type="dxa"/>
            <w:tcBorders>
              <w:left w:val="single" w:sz="4" w:space="0" w:color="auto"/>
              <w:bottom w:val="single" w:sz="4" w:space="0" w:color="auto"/>
              <w:right w:val="single" w:sz="4" w:space="0" w:color="auto"/>
            </w:tcBorders>
            <w:vAlign w:val="center"/>
          </w:tcPr>
          <w:p w14:paraId="59CE90E5" w14:textId="47D4CA99" w:rsidR="003A1330" w:rsidRPr="00E36FD2" w:rsidRDefault="0091312C" w:rsidP="003A1330">
            <w:pPr>
              <w:pStyle w:val="Normal0"/>
              <w:jc w:val="right"/>
              <w:rPr>
                <w:rFonts w:ascii="Verdana" w:hAnsi="Verdana"/>
              </w:rPr>
            </w:pPr>
            <w:r>
              <w:rPr>
                <w:rFonts w:ascii="Verdana" w:hAnsi="Verdana"/>
              </w:rPr>
              <w:t>150</w:t>
            </w:r>
          </w:p>
        </w:tc>
        <w:tc>
          <w:tcPr>
            <w:tcW w:w="1559" w:type="dxa"/>
            <w:tcBorders>
              <w:left w:val="single" w:sz="4" w:space="0" w:color="auto"/>
              <w:bottom w:val="single" w:sz="4" w:space="0" w:color="auto"/>
              <w:right w:val="single" w:sz="4" w:space="0" w:color="auto"/>
            </w:tcBorders>
            <w:vAlign w:val="center"/>
          </w:tcPr>
          <w:p w14:paraId="6499775B" w14:textId="77777777" w:rsidR="003A1330" w:rsidRPr="00E36FD2" w:rsidRDefault="003A1330" w:rsidP="003A1330">
            <w:pPr>
              <w:pStyle w:val="Normal0"/>
              <w:jc w:val="right"/>
              <w:rPr>
                <w:rFonts w:ascii="Verdana" w:hAnsi="Verdana"/>
              </w:rPr>
            </w:pPr>
          </w:p>
        </w:tc>
      </w:tr>
      <w:tr w:rsidR="003A1330" w14:paraId="68CAF408" w14:textId="77777777" w:rsidTr="00B12066">
        <w:trPr>
          <w:trHeight w:val="195"/>
          <w:jc w:val="center"/>
        </w:trPr>
        <w:tc>
          <w:tcPr>
            <w:tcW w:w="1275" w:type="dxa"/>
            <w:tcBorders>
              <w:top w:val="single" w:sz="4" w:space="0" w:color="auto"/>
              <w:left w:val="single" w:sz="4" w:space="0" w:color="auto"/>
              <w:bottom w:val="single" w:sz="4" w:space="0" w:color="auto"/>
              <w:right w:val="single" w:sz="4" w:space="0" w:color="auto"/>
            </w:tcBorders>
            <w:vAlign w:val="center"/>
          </w:tcPr>
          <w:p w14:paraId="79A8C982" w14:textId="77777777" w:rsidR="003A1330" w:rsidRPr="00E36FD2" w:rsidRDefault="003A1330" w:rsidP="003A1330">
            <w:pPr>
              <w:pStyle w:val="Normal0"/>
              <w:jc w:val="right"/>
              <w:rPr>
                <w:rFonts w:ascii="Verdana" w:hAnsi="Verdana"/>
              </w:rPr>
            </w:pPr>
          </w:p>
        </w:tc>
        <w:tc>
          <w:tcPr>
            <w:tcW w:w="1238" w:type="dxa"/>
            <w:tcBorders>
              <w:top w:val="single" w:sz="4" w:space="0" w:color="auto"/>
              <w:left w:val="single" w:sz="4" w:space="0" w:color="auto"/>
              <w:bottom w:val="single" w:sz="4" w:space="0" w:color="auto"/>
              <w:right w:val="single" w:sz="4" w:space="0" w:color="auto"/>
            </w:tcBorders>
            <w:vAlign w:val="center"/>
          </w:tcPr>
          <w:p w14:paraId="5B4788D2" w14:textId="77777777" w:rsidR="003A1330" w:rsidRPr="00E36FD2" w:rsidRDefault="003A1330" w:rsidP="003A1330">
            <w:pPr>
              <w:pStyle w:val="Normal0"/>
              <w:jc w:val="right"/>
              <w:rPr>
                <w:rFonts w:ascii="Verdana" w:hAnsi="Verdana"/>
                <w:b/>
                <w:bCs/>
              </w:rPr>
            </w:pPr>
            <w:r w:rsidRPr="00E36FD2">
              <w:rPr>
                <w:rFonts w:ascii="Verdana" w:hAnsi="Verdana"/>
                <w:b/>
                <w:bCs/>
              </w:rPr>
              <w:t>49</w:t>
            </w:r>
          </w:p>
        </w:tc>
        <w:tc>
          <w:tcPr>
            <w:tcW w:w="7492" w:type="dxa"/>
            <w:tcBorders>
              <w:top w:val="nil"/>
              <w:left w:val="single" w:sz="4" w:space="0" w:color="auto"/>
              <w:bottom w:val="single" w:sz="4" w:space="0" w:color="auto"/>
              <w:right w:val="single" w:sz="4" w:space="0" w:color="auto"/>
            </w:tcBorders>
            <w:shd w:val="clear" w:color="auto" w:fill="auto"/>
            <w:vAlign w:val="center"/>
          </w:tcPr>
          <w:p w14:paraId="6258BF39" w14:textId="77777777" w:rsidR="003A1330" w:rsidRPr="00E36FD2" w:rsidRDefault="003A1330" w:rsidP="003A1330">
            <w:pPr>
              <w:pStyle w:val="Normal0"/>
              <w:rPr>
                <w:rFonts w:ascii="Verdana" w:eastAsia="Times New Roman" w:hAnsi="Verdana"/>
                <w:lang w:val="en-GB" w:eastAsia="en-GB"/>
              </w:rPr>
            </w:pPr>
          </w:p>
        </w:tc>
        <w:tc>
          <w:tcPr>
            <w:tcW w:w="1614" w:type="dxa"/>
            <w:tcBorders>
              <w:top w:val="single" w:sz="4" w:space="0" w:color="auto"/>
              <w:left w:val="single" w:sz="4" w:space="0" w:color="auto"/>
              <w:bottom w:val="single" w:sz="4" w:space="0" w:color="auto"/>
              <w:right w:val="single" w:sz="4" w:space="0" w:color="auto"/>
            </w:tcBorders>
            <w:vAlign w:val="center"/>
          </w:tcPr>
          <w:p w14:paraId="01ACCCDF" w14:textId="77777777" w:rsidR="003A1330" w:rsidRPr="00E36FD2" w:rsidRDefault="003A1330" w:rsidP="003A1330">
            <w:pPr>
              <w:pStyle w:val="Normal0"/>
              <w:jc w:val="right"/>
              <w:rPr>
                <w:rFonts w:ascii="Verdana" w:hAnsi="Verdana"/>
              </w:rPr>
            </w:pPr>
          </w:p>
        </w:tc>
        <w:tc>
          <w:tcPr>
            <w:tcW w:w="1559" w:type="dxa"/>
            <w:tcBorders>
              <w:top w:val="single" w:sz="4" w:space="0" w:color="auto"/>
              <w:left w:val="single" w:sz="4" w:space="0" w:color="auto"/>
              <w:bottom w:val="single" w:sz="4" w:space="0" w:color="auto"/>
              <w:right w:val="single" w:sz="4" w:space="0" w:color="auto"/>
            </w:tcBorders>
            <w:vAlign w:val="center"/>
          </w:tcPr>
          <w:p w14:paraId="5D3C2E59" w14:textId="496D326A" w:rsidR="003A1330" w:rsidRPr="00E36FD2" w:rsidRDefault="0091312C" w:rsidP="003A1330">
            <w:pPr>
              <w:pStyle w:val="Normal0"/>
              <w:jc w:val="right"/>
              <w:rPr>
                <w:rFonts w:ascii="Verdana" w:hAnsi="Verdana"/>
                <w:b/>
                <w:bCs/>
              </w:rPr>
            </w:pPr>
            <w:r>
              <w:rPr>
                <w:rFonts w:ascii="Verdana" w:hAnsi="Verdana"/>
                <w:b/>
                <w:bCs/>
              </w:rPr>
              <w:t>192</w:t>
            </w:r>
          </w:p>
        </w:tc>
      </w:tr>
      <w:tr w:rsidR="003A1330" w14:paraId="2C245B65" w14:textId="77777777" w:rsidTr="00B12066">
        <w:trPr>
          <w:trHeight w:val="195"/>
          <w:jc w:val="center"/>
        </w:trPr>
        <w:tc>
          <w:tcPr>
            <w:tcW w:w="1275" w:type="dxa"/>
            <w:tcBorders>
              <w:top w:val="single" w:sz="4" w:space="0" w:color="auto"/>
              <w:left w:val="single" w:sz="4" w:space="0" w:color="auto"/>
              <w:bottom w:val="single" w:sz="4" w:space="0" w:color="auto"/>
              <w:right w:val="single" w:sz="4" w:space="0" w:color="auto"/>
            </w:tcBorders>
            <w:shd w:val="clear" w:color="auto" w:fill="FFFFCC"/>
            <w:vAlign w:val="center"/>
          </w:tcPr>
          <w:p w14:paraId="4D00D6BC" w14:textId="77777777" w:rsidR="003A1330" w:rsidRPr="00E36FD2" w:rsidRDefault="003A1330" w:rsidP="003A1330">
            <w:pPr>
              <w:pStyle w:val="Normal0"/>
              <w:jc w:val="right"/>
              <w:rPr>
                <w:rFonts w:ascii="Verdana" w:hAnsi="Verdana"/>
                <w:b/>
                <w:bCs/>
              </w:rPr>
            </w:pPr>
          </w:p>
        </w:tc>
        <w:tc>
          <w:tcPr>
            <w:tcW w:w="1238" w:type="dxa"/>
            <w:tcBorders>
              <w:top w:val="single" w:sz="4" w:space="0" w:color="auto"/>
              <w:left w:val="single" w:sz="4" w:space="0" w:color="auto"/>
              <w:bottom w:val="single" w:sz="4" w:space="0" w:color="auto"/>
              <w:right w:val="single" w:sz="4" w:space="0" w:color="auto"/>
            </w:tcBorders>
            <w:shd w:val="clear" w:color="auto" w:fill="FFFFCC"/>
            <w:vAlign w:val="center"/>
          </w:tcPr>
          <w:p w14:paraId="343ABF7E" w14:textId="77777777" w:rsidR="003A1330" w:rsidRPr="00E36FD2" w:rsidRDefault="003A1330" w:rsidP="003A1330">
            <w:pPr>
              <w:pStyle w:val="Normal0"/>
              <w:jc w:val="right"/>
              <w:rPr>
                <w:rFonts w:ascii="Verdana" w:hAnsi="Verdana"/>
                <w:b/>
                <w:bCs/>
              </w:rPr>
            </w:pPr>
            <w:r w:rsidRPr="00E36FD2">
              <w:rPr>
                <w:rFonts w:ascii="Verdana" w:hAnsi="Verdana"/>
                <w:b/>
                <w:bCs/>
              </w:rPr>
              <w:t>48,044</w:t>
            </w:r>
          </w:p>
        </w:tc>
        <w:tc>
          <w:tcPr>
            <w:tcW w:w="7492" w:type="dxa"/>
            <w:tcBorders>
              <w:top w:val="single" w:sz="4" w:space="0" w:color="auto"/>
              <w:left w:val="single" w:sz="4" w:space="0" w:color="auto"/>
              <w:bottom w:val="single" w:sz="4" w:space="0" w:color="auto"/>
              <w:right w:val="single" w:sz="4" w:space="0" w:color="auto"/>
            </w:tcBorders>
            <w:shd w:val="clear" w:color="auto" w:fill="FFFFCC"/>
            <w:vAlign w:val="center"/>
          </w:tcPr>
          <w:p w14:paraId="4CD10C68" w14:textId="77777777" w:rsidR="003A1330" w:rsidRPr="00E36FD2" w:rsidRDefault="003A1330" w:rsidP="003A1330">
            <w:pPr>
              <w:pStyle w:val="Normal0"/>
              <w:rPr>
                <w:rFonts w:ascii="Verdana" w:eastAsia="Times New Roman" w:hAnsi="Verdana"/>
                <w:b/>
                <w:lang w:val="en-GB" w:eastAsia="en-GB"/>
              </w:rPr>
            </w:pPr>
            <w:r w:rsidRPr="00E36FD2">
              <w:rPr>
                <w:rFonts w:ascii="Verdana" w:eastAsia="Times New Roman" w:hAnsi="Verdana"/>
                <w:b/>
                <w:lang w:val="en-GB" w:eastAsia="en-GB"/>
              </w:rPr>
              <w:t>Total Outflows</w:t>
            </w:r>
          </w:p>
        </w:tc>
        <w:tc>
          <w:tcPr>
            <w:tcW w:w="1614" w:type="dxa"/>
            <w:tcBorders>
              <w:top w:val="single" w:sz="4" w:space="0" w:color="auto"/>
              <w:left w:val="single" w:sz="4" w:space="0" w:color="auto"/>
              <w:bottom w:val="single" w:sz="4" w:space="0" w:color="auto"/>
              <w:right w:val="single" w:sz="4" w:space="0" w:color="auto"/>
            </w:tcBorders>
            <w:shd w:val="clear" w:color="auto" w:fill="FFFFCC"/>
            <w:vAlign w:val="center"/>
          </w:tcPr>
          <w:p w14:paraId="0AD5BE23" w14:textId="77777777" w:rsidR="003A1330" w:rsidRPr="00E36FD2" w:rsidRDefault="003A1330" w:rsidP="003A1330">
            <w:pPr>
              <w:pStyle w:val="Normal0"/>
              <w:jc w:val="right"/>
              <w:rPr>
                <w:rFonts w:ascii="Verdana" w:hAnsi="Verdana"/>
                <w:b/>
                <w:bCs/>
              </w:rPr>
            </w:pPr>
          </w:p>
        </w:tc>
        <w:tc>
          <w:tcPr>
            <w:tcW w:w="1559" w:type="dxa"/>
            <w:tcBorders>
              <w:top w:val="single" w:sz="4" w:space="0" w:color="auto"/>
              <w:left w:val="single" w:sz="4" w:space="0" w:color="auto"/>
              <w:bottom w:val="single" w:sz="4" w:space="0" w:color="auto"/>
              <w:right w:val="single" w:sz="4" w:space="0" w:color="auto"/>
            </w:tcBorders>
            <w:shd w:val="clear" w:color="auto" w:fill="FFFFCC"/>
            <w:vAlign w:val="center"/>
          </w:tcPr>
          <w:p w14:paraId="44EBFBB6" w14:textId="7D33D662" w:rsidR="003A1330" w:rsidRPr="00E36FD2" w:rsidRDefault="0091312C" w:rsidP="003A1330">
            <w:pPr>
              <w:pStyle w:val="Normal0"/>
              <w:jc w:val="right"/>
              <w:rPr>
                <w:rFonts w:ascii="Verdana" w:hAnsi="Verdana"/>
                <w:b/>
                <w:bCs/>
              </w:rPr>
            </w:pPr>
            <w:r>
              <w:rPr>
                <w:rFonts w:ascii="Verdana" w:hAnsi="Verdana"/>
                <w:b/>
                <w:bCs/>
              </w:rPr>
              <w:t>46,751</w:t>
            </w:r>
          </w:p>
        </w:tc>
      </w:tr>
      <w:tr w:rsidR="003A1330" w14:paraId="0E4E9047" w14:textId="77777777" w:rsidTr="00B12066">
        <w:trPr>
          <w:trHeight w:val="93"/>
          <w:jc w:val="center"/>
        </w:trPr>
        <w:tc>
          <w:tcPr>
            <w:tcW w:w="1275" w:type="dxa"/>
            <w:tcBorders>
              <w:top w:val="single" w:sz="4" w:space="0" w:color="auto"/>
              <w:left w:val="single" w:sz="4" w:space="0" w:color="auto"/>
              <w:bottom w:val="single" w:sz="4" w:space="0" w:color="auto"/>
              <w:right w:val="single" w:sz="4" w:space="0" w:color="auto"/>
            </w:tcBorders>
            <w:vAlign w:val="center"/>
          </w:tcPr>
          <w:p w14:paraId="09D30936" w14:textId="77777777" w:rsidR="003A1330" w:rsidRPr="00E8718E" w:rsidRDefault="00B12066" w:rsidP="003A1330">
            <w:pPr>
              <w:pStyle w:val="Normal0"/>
              <w:jc w:val="right"/>
              <w:rPr>
                <w:rFonts w:ascii="Verdana" w:hAnsi="Verdana"/>
                <w:sz w:val="2"/>
                <w:szCs w:val="2"/>
              </w:rPr>
            </w:pPr>
            <w:r>
              <w:rPr>
                <w:rFonts w:ascii="Verdana" w:hAnsi="Verdana"/>
                <w:sz w:val="2"/>
                <w:szCs w:val="2"/>
              </w:rPr>
              <w:softHyphen/>
            </w:r>
          </w:p>
        </w:tc>
        <w:tc>
          <w:tcPr>
            <w:tcW w:w="1238" w:type="dxa"/>
            <w:tcBorders>
              <w:top w:val="single" w:sz="4" w:space="0" w:color="auto"/>
              <w:left w:val="single" w:sz="4" w:space="0" w:color="auto"/>
              <w:bottom w:val="single" w:sz="4" w:space="0" w:color="auto"/>
              <w:right w:val="single" w:sz="4" w:space="0" w:color="auto"/>
            </w:tcBorders>
            <w:vAlign w:val="center"/>
          </w:tcPr>
          <w:p w14:paraId="00151617" w14:textId="77777777" w:rsidR="003A1330" w:rsidRPr="00E8718E" w:rsidRDefault="003A1330" w:rsidP="003A1330">
            <w:pPr>
              <w:pStyle w:val="Normal0"/>
              <w:jc w:val="right"/>
              <w:rPr>
                <w:rFonts w:ascii="Verdana" w:hAnsi="Verdana"/>
                <w:sz w:val="2"/>
                <w:szCs w:val="2"/>
              </w:rPr>
            </w:pPr>
          </w:p>
        </w:tc>
        <w:tc>
          <w:tcPr>
            <w:tcW w:w="7492" w:type="dxa"/>
            <w:tcBorders>
              <w:top w:val="single" w:sz="4" w:space="0" w:color="auto"/>
              <w:left w:val="single" w:sz="4" w:space="0" w:color="auto"/>
              <w:bottom w:val="single" w:sz="4" w:space="0" w:color="auto"/>
              <w:right w:val="single" w:sz="4" w:space="0" w:color="auto"/>
            </w:tcBorders>
            <w:shd w:val="clear" w:color="auto" w:fill="auto"/>
            <w:vAlign w:val="center"/>
          </w:tcPr>
          <w:p w14:paraId="43FD300B" w14:textId="77777777" w:rsidR="003A1330" w:rsidRPr="00E8718E" w:rsidRDefault="003A1330" w:rsidP="003A1330">
            <w:pPr>
              <w:pStyle w:val="Normal0"/>
              <w:rPr>
                <w:rFonts w:ascii="Verdana" w:eastAsia="Times New Roman" w:hAnsi="Verdana"/>
                <w:sz w:val="2"/>
                <w:szCs w:val="2"/>
                <w:lang w:val="en-GB" w:eastAsia="en-GB"/>
              </w:rPr>
            </w:pPr>
          </w:p>
        </w:tc>
        <w:tc>
          <w:tcPr>
            <w:tcW w:w="1614" w:type="dxa"/>
            <w:tcBorders>
              <w:top w:val="single" w:sz="4" w:space="0" w:color="auto"/>
              <w:left w:val="single" w:sz="4" w:space="0" w:color="auto"/>
              <w:bottom w:val="single" w:sz="4" w:space="0" w:color="auto"/>
              <w:right w:val="single" w:sz="4" w:space="0" w:color="auto"/>
            </w:tcBorders>
            <w:vAlign w:val="center"/>
          </w:tcPr>
          <w:p w14:paraId="6328FEF8" w14:textId="77777777" w:rsidR="003A1330" w:rsidRPr="00E8718E" w:rsidRDefault="003A1330" w:rsidP="003A1330">
            <w:pPr>
              <w:pStyle w:val="Normal0"/>
              <w:jc w:val="right"/>
              <w:rPr>
                <w:rFonts w:ascii="Verdana" w:hAnsi="Verdana"/>
                <w:sz w:val="2"/>
                <w:szCs w:val="2"/>
              </w:rPr>
            </w:pPr>
          </w:p>
        </w:tc>
        <w:tc>
          <w:tcPr>
            <w:tcW w:w="1559" w:type="dxa"/>
            <w:tcBorders>
              <w:top w:val="single" w:sz="4" w:space="0" w:color="auto"/>
              <w:left w:val="single" w:sz="4" w:space="0" w:color="auto"/>
              <w:bottom w:val="single" w:sz="4" w:space="0" w:color="auto"/>
              <w:right w:val="single" w:sz="4" w:space="0" w:color="auto"/>
            </w:tcBorders>
            <w:vAlign w:val="center"/>
          </w:tcPr>
          <w:p w14:paraId="36CA69EE" w14:textId="77777777" w:rsidR="003A1330" w:rsidRPr="00E8718E" w:rsidRDefault="003A1330" w:rsidP="003A1330">
            <w:pPr>
              <w:pStyle w:val="Normal0"/>
              <w:jc w:val="right"/>
              <w:rPr>
                <w:rFonts w:ascii="Verdana" w:hAnsi="Verdana"/>
                <w:sz w:val="2"/>
                <w:szCs w:val="2"/>
              </w:rPr>
            </w:pPr>
          </w:p>
        </w:tc>
      </w:tr>
      <w:tr w:rsidR="003A1330" w14:paraId="3A507D1F" w14:textId="77777777" w:rsidTr="00B12066">
        <w:trPr>
          <w:trHeight w:val="195"/>
          <w:jc w:val="center"/>
        </w:trPr>
        <w:tc>
          <w:tcPr>
            <w:tcW w:w="1275" w:type="dxa"/>
            <w:tcBorders>
              <w:top w:val="single" w:sz="4" w:space="0" w:color="auto"/>
              <w:left w:val="single" w:sz="4" w:space="0" w:color="auto"/>
              <w:bottom w:val="single" w:sz="4" w:space="0" w:color="auto"/>
              <w:right w:val="single" w:sz="4" w:space="0" w:color="auto"/>
            </w:tcBorders>
            <w:shd w:val="clear" w:color="auto" w:fill="FFFFCC"/>
            <w:vAlign w:val="center"/>
          </w:tcPr>
          <w:p w14:paraId="7701ABD6" w14:textId="77777777" w:rsidR="003A1330" w:rsidRPr="00E36FD2" w:rsidRDefault="003A1330" w:rsidP="003A1330">
            <w:pPr>
              <w:pStyle w:val="Normal0"/>
              <w:jc w:val="right"/>
              <w:rPr>
                <w:rFonts w:ascii="Verdana" w:hAnsi="Verdana"/>
                <w:b/>
                <w:bCs/>
              </w:rPr>
            </w:pPr>
          </w:p>
        </w:tc>
        <w:tc>
          <w:tcPr>
            <w:tcW w:w="1238" w:type="dxa"/>
            <w:tcBorders>
              <w:top w:val="single" w:sz="4" w:space="0" w:color="auto"/>
              <w:left w:val="single" w:sz="4" w:space="0" w:color="auto"/>
              <w:bottom w:val="single" w:sz="4" w:space="0" w:color="auto"/>
              <w:right w:val="single" w:sz="4" w:space="0" w:color="auto"/>
            </w:tcBorders>
            <w:shd w:val="clear" w:color="auto" w:fill="FFFFCC"/>
            <w:vAlign w:val="center"/>
          </w:tcPr>
          <w:p w14:paraId="162A2BDA" w14:textId="77777777" w:rsidR="003A1330" w:rsidRPr="00E36FD2" w:rsidRDefault="003A1330" w:rsidP="003A1330">
            <w:pPr>
              <w:pStyle w:val="Normal0"/>
              <w:jc w:val="right"/>
              <w:rPr>
                <w:rFonts w:ascii="Verdana" w:hAnsi="Verdana"/>
                <w:b/>
                <w:bCs/>
              </w:rPr>
            </w:pPr>
            <w:r w:rsidRPr="00E36FD2">
              <w:rPr>
                <w:rFonts w:ascii="Verdana" w:hAnsi="Verdana"/>
                <w:b/>
                <w:bCs/>
              </w:rPr>
              <w:t>17,378</w:t>
            </w:r>
          </w:p>
        </w:tc>
        <w:tc>
          <w:tcPr>
            <w:tcW w:w="7492" w:type="dxa"/>
            <w:tcBorders>
              <w:top w:val="single" w:sz="4" w:space="0" w:color="auto"/>
              <w:left w:val="single" w:sz="4" w:space="0" w:color="auto"/>
              <w:bottom w:val="single" w:sz="4" w:space="0" w:color="auto"/>
              <w:right w:val="single" w:sz="4" w:space="0" w:color="auto"/>
            </w:tcBorders>
            <w:shd w:val="clear" w:color="auto" w:fill="FFFFCC"/>
            <w:vAlign w:val="center"/>
          </w:tcPr>
          <w:p w14:paraId="6AE10E74" w14:textId="77777777" w:rsidR="003A1330" w:rsidRPr="00E36FD2" w:rsidRDefault="003A1330" w:rsidP="003A1330">
            <w:pPr>
              <w:pStyle w:val="Normal0"/>
              <w:rPr>
                <w:rFonts w:ascii="Verdana" w:eastAsia="Times New Roman" w:hAnsi="Verdana"/>
                <w:b/>
                <w:lang w:val="en-GB" w:eastAsia="en-GB"/>
              </w:rPr>
            </w:pPr>
            <w:r w:rsidRPr="00E36FD2">
              <w:rPr>
                <w:rFonts w:ascii="Verdana" w:eastAsia="Times New Roman" w:hAnsi="Verdana"/>
                <w:b/>
                <w:lang w:val="en-GB" w:eastAsia="en-GB"/>
              </w:rPr>
              <w:t xml:space="preserve">Net amount payable for the year from the Group (equal to deficit amount) </w:t>
            </w:r>
          </w:p>
        </w:tc>
        <w:tc>
          <w:tcPr>
            <w:tcW w:w="1614" w:type="dxa"/>
            <w:tcBorders>
              <w:top w:val="single" w:sz="4" w:space="0" w:color="auto"/>
              <w:left w:val="single" w:sz="4" w:space="0" w:color="auto"/>
              <w:bottom w:val="single" w:sz="4" w:space="0" w:color="auto"/>
              <w:right w:val="single" w:sz="4" w:space="0" w:color="auto"/>
            </w:tcBorders>
            <w:shd w:val="clear" w:color="auto" w:fill="FFFFCC"/>
            <w:vAlign w:val="center"/>
          </w:tcPr>
          <w:p w14:paraId="56F46430" w14:textId="77777777" w:rsidR="003A1330" w:rsidRPr="00E36FD2" w:rsidRDefault="003A1330" w:rsidP="003A1330">
            <w:pPr>
              <w:pStyle w:val="Normal0"/>
              <w:jc w:val="right"/>
              <w:rPr>
                <w:rFonts w:ascii="Verdana" w:hAnsi="Verdana"/>
                <w:b/>
                <w:bCs/>
              </w:rPr>
            </w:pPr>
          </w:p>
        </w:tc>
        <w:tc>
          <w:tcPr>
            <w:tcW w:w="1559" w:type="dxa"/>
            <w:tcBorders>
              <w:top w:val="single" w:sz="4" w:space="0" w:color="auto"/>
              <w:left w:val="single" w:sz="4" w:space="0" w:color="auto"/>
              <w:bottom w:val="single" w:sz="4" w:space="0" w:color="auto"/>
              <w:right w:val="single" w:sz="4" w:space="0" w:color="auto"/>
            </w:tcBorders>
            <w:shd w:val="clear" w:color="auto" w:fill="FFFFCC"/>
            <w:vAlign w:val="center"/>
          </w:tcPr>
          <w:p w14:paraId="78B45C93" w14:textId="48B4718D" w:rsidR="003A1330" w:rsidRPr="00E36FD2" w:rsidRDefault="0091312C" w:rsidP="003A1330">
            <w:pPr>
              <w:pStyle w:val="Normal0"/>
              <w:jc w:val="right"/>
              <w:rPr>
                <w:rFonts w:ascii="Verdana" w:hAnsi="Verdana"/>
                <w:b/>
                <w:bCs/>
              </w:rPr>
            </w:pPr>
            <w:r>
              <w:rPr>
                <w:rFonts w:ascii="Verdana" w:hAnsi="Verdana"/>
                <w:b/>
                <w:bCs/>
              </w:rPr>
              <w:t>13,333</w:t>
            </w:r>
          </w:p>
        </w:tc>
      </w:tr>
      <w:tr w:rsidR="003A1330" w14:paraId="70F2E806" w14:textId="77777777" w:rsidTr="00B12066">
        <w:trPr>
          <w:trHeight w:val="195"/>
          <w:jc w:val="center"/>
        </w:trPr>
        <w:tc>
          <w:tcPr>
            <w:tcW w:w="1275" w:type="dxa"/>
            <w:tcBorders>
              <w:top w:val="single" w:sz="4" w:space="0" w:color="auto"/>
              <w:left w:val="single" w:sz="4" w:space="0" w:color="auto"/>
              <w:bottom w:val="single" w:sz="4" w:space="0" w:color="auto"/>
              <w:right w:val="single" w:sz="4" w:space="0" w:color="auto"/>
            </w:tcBorders>
            <w:vAlign w:val="center"/>
          </w:tcPr>
          <w:p w14:paraId="3CDCE2B5" w14:textId="77777777" w:rsidR="003A1330" w:rsidRPr="00E36FD2" w:rsidRDefault="003A1330" w:rsidP="003A1330">
            <w:pPr>
              <w:pStyle w:val="Normal0"/>
              <w:jc w:val="right"/>
              <w:rPr>
                <w:rFonts w:ascii="Verdana" w:hAnsi="Verdana"/>
                <w:b/>
                <w:bCs/>
              </w:rPr>
            </w:pPr>
          </w:p>
        </w:tc>
        <w:tc>
          <w:tcPr>
            <w:tcW w:w="1238" w:type="dxa"/>
            <w:tcBorders>
              <w:top w:val="single" w:sz="4" w:space="0" w:color="auto"/>
              <w:left w:val="single" w:sz="4" w:space="0" w:color="auto"/>
              <w:bottom w:val="single" w:sz="4" w:space="0" w:color="auto"/>
              <w:right w:val="single" w:sz="4" w:space="0" w:color="auto"/>
            </w:tcBorders>
            <w:vAlign w:val="center"/>
          </w:tcPr>
          <w:p w14:paraId="00F2086F" w14:textId="77777777" w:rsidR="003A1330" w:rsidRPr="00E36FD2" w:rsidRDefault="003A1330" w:rsidP="003A1330">
            <w:pPr>
              <w:pStyle w:val="Normal0"/>
              <w:jc w:val="right"/>
              <w:rPr>
                <w:rFonts w:ascii="Verdana" w:hAnsi="Verdana"/>
                <w:b/>
                <w:bCs/>
              </w:rPr>
            </w:pPr>
            <w:r w:rsidRPr="00E36FD2">
              <w:rPr>
                <w:rFonts w:ascii="Verdana" w:hAnsi="Verdana"/>
                <w:b/>
                <w:bCs/>
              </w:rPr>
              <w:t>(17,378)</w:t>
            </w:r>
          </w:p>
        </w:tc>
        <w:tc>
          <w:tcPr>
            <w:tcW w:w="7492" w:type="dxa"/>
            <w:tcBorders>
              <w:top w:val="single" w:sz="4" w:space="0" w:color="auto"/>
              <w:left w:val="single" w:sz="4" w:space="0" w:color="auto"/>
              <w:bottom w:val="single" w:sz="4" w:space="0" w:color="auto"/>
              <w:right w:val="single" w:sz="4" w:space="0" w:color="auto"/>
            </w:tcBorders>
            <w:shd w:val="clear" w:color="auto" w:fill="auto"/>
            <w:vAlign w:val="center"/>
          </w:tcPr>
          <w:p w14:paraId="603A3329" w14:textId="77777777" w:rsidR="003A1330" w:rsidRPr="00E36FD2" w:rsidRDefault="003A1330" w:rsidP="003A1330">
            <w:pPr>
              <w:pStyle w:val="Normal0"/>
              <w:rPr>
                <w:rFonts w:ascii="Verdana" w:eastAsia="Times New Roman" w:hAnsi="Verdana"/>
                <w:lang w:val="en-GB" w:eastAsia="en-GB"/>
              </w:rPr>
            </w:pPr>
            <w:r w:rsidRPr="00E36FD2">
              <w:rPr>
                <w:rFonts w:ascii="Verdana" w:eastAsia="Times New Roman" w:hAnsi="Verdana"/>
                <w:lang w:val="en-GB" w:eastAsia="en-GB"/>
              </w:rPr>
              <w:t>Additional contribution from the Group to fund the deficit for the year *</w:t>
            </w:r>
          </w:p>
        </w:tc>
        <w:tc>
          <w:tcPr>
            <w:tcW w:w="1614" w:type="dxa"/>
            <w:tcBorders>
              <w:top w:val="single" w:sz="4" w:space="0" w:color="auto"/>
              <w:left w:val="single" w:sz="4" w:space="0" w:color="auto"/>
              <w:bottom w:val="single" w:sz="4" w:space="0" w:color="auto"/>
              <w:right w:val="single" w:sz="4" w:space="0" w:color="auto"/>
            </w:tcBorders>
            <w:vAlign w:val="center"/>
          </w:tcPr>
          <w:p w14:paraId="33C98583" w14:textId="77777777" w:rsidR="003A1330" w:rsidRPr="00E36FD2" w:rsidRDefault="003A1330" w:rsidP="003A1330">
            <w:pPr>
              <w:pStyle w:val="Normal0"/>
              <w:jc w:val="right"/>
              <w:rPr>
                <w:rFonts w:ascii="Verdana" w:hAnsi="Verdana"/>
                <w:b/>
                <w:bCs/>
              </w:rPr>
            </w:pPr>
          </w:p>
        </w:tc>
        <w:tc>
          <w:tcPr>
            <w:tcW w:w="1559" w:type="dxa"/>
            <w:tcBorders>
              <w:top w:val="single" w:sz="4" w:space="0" w:color="auto"/>
              <w:left w:val="single" w:sz="4" w:space="0" w:color="auto"/>
              <w:bottom w:val="single" w:sz="4" w:space="0" w:color="auto"/>
              <w:right w:val="single" w:sz="4" w:space="0" w:color="auto"/>
            </w:tcBorders>
            <w:vAlign w:val="center"/>
          </w:tcPr>
          <w:p w14:paraId="5513BAD2" w14:textId="1D056806" w:rsidR="003A1330" w:rsidRPr="00E36FD2" w:rsidRDefault="0091312C" w:rsidP="003A1330">
            <w:pPr>
              <w:pStyle w:val="Normal0"/>
              <w:jc w:val="right"/>
              <w:rPr>
                <w:rFonts w:ascii="Verdana" w:hAnsi="Verdana"/>
                <w:b/>
                <w:bCs/>
              </w:rPr>
            </w:pPr>
            <w:r>
              <w:rPr>
                <w:rFonts w:ascii="Verdana" w:hAnsi="Verdana"/>
                <w:b/>
                <w:bCs/>
              </w:rPr>
              <w:t>(13,333)</w:t>
            </w:r>
          </w:p>
        </w:tc>
      </w:tr>
      <w:tr w:rsidR="003A1330" w14:paraId="6B83D63C" w14:textId="77777777" w:rsidTr="00B12066">
        <w:trPr>
          <w:trHeight w:val="195"/>
          <w:jc w:val="center"/>
        </w:trPr>
        <w:tc>
          <w:tcPr>
            <w:tcW w:w="1275" w:type="dxa"/>
            <w:tcBorders>
              <w:top w:val="single" w:sz="4" w:space="0" w:color="auto"/>
              <w:left w:val="single" w:sz="4" w:space="0" w:color="auto"/>
              <w:bottom w:val="single" w:sz="4" w:space="0" w:color="auto"/>
              <w:right w:val="single" w:sz="4" w:space="0" w:color="auto"/>
            </w:tcBorders>
            <w:vAlign w:val="center"/>
          </w:tcPr>
          <w:p w14:paraId="31BC10F0" w14:textId="77777777" w:rsidR="003A1330" w:rsidRPr="00E36FD2" w:rsidRDefault="003A1330" w:rsidP="003A1330">
            <w:pPr>
              <w:pStyle w:val="Normal0"/>
              <w:jc w:val="right"/>
              <w:rPr>
                <w:rFonts w:ascii="Verdana" w:hAnsi="Verdana"/>
                <w:b/>
                <w:bCs/>
              </w:rPr>
            </w:pPr>
          </w:p>
        </w:tc>
        <w:tc>
          <w:tcPr>
            <w:tcW w:w="1238" w:type="dxa"/>
            <w:tcBorders>
              <w:top w:val="single" w:sz="4" w:space="0" w:color="auto"/>
              <w:left w:val="single" w:sz="4" w:space="0" w:color="auto"/>
              <w:bottom w:val="single" w:sz="4" w:space="0" w:color="auto"/>
              <w:right w:val="single" w:sz="4" w:space="0" w:color="auto"/>
            </w:tcBorders>
            <w:vAlign w:val="center"/>
          </w:tcPr>
          <w:p w14:paraId="16E28A40" w14:textId="77777777" w:rsidR="003A1330" w:rsidRPr="00E36FD2" w:rsidRDefault="003A1330" w:rsidP="003A1330">
            <w:pPr>
              <w:pStyle w:val="Normal0"/>
              <w:jc w:val="right"/>
              <w:rPr>
                <w:rFonts w:ascii="Verdana" w:hAnsi="Verdana"/>
                <w:b/>
                <w:bCs/>
              </w:rPr>
            </w:pPr>
            <w:r w:rsidRPr="00E36FD2">
              <w:rPr>
                <w:rFonts w:ascii="Verdana" w:hAnsi="Verdana"/>
                <w:b/>
                <w:bCs/>
              </w:rPr>
              <w:t>0</w:t>
            </w:r>
          </w:p>
        </w:tc>
        <w:tc>
          <w:tcPr>
            <w:tcW w:w="7492" w:type="dxa"/>
            <w:tcBorders>
              <w:top w:val="single" w:sz="4" w:space="0" w:color="auto"/>
              <w:left w:val="single" w:sz="4" w:space="0" w:color="auto"/>
              <w:bottom w:val="single" w:sz="4" w:space="0" w:color="auto"/>
              <w:right w:val="single" w:sz="4" w:space="0" w:color="auto"/>
            </w:tcBorders>
            <w:shd w:val="clear" w:color="auto" w:fill="auto"/>
            <w:vAlign w:val="center"/>
          </w:tcPr>
          <w:p w14:paraId="0BDE8289" w14:textId="77777777" w:rsidR="003A1330" w:rsidRPr="00E36FD2" w:rsidRDefault="003A1330" w:rsidP="003A1330">
            <w:pPr>
              <w:pStyle w:val="Normal0"/>
              <w:rPr>
                <w:rFonts w:ascii="Verdana" w:eastAsia="Times New Roman" w:hAnsi="Verdana"/>
                <w:b/>
                <w:lang w:val="en-GB" w:eastAsia="en-GB"/>
              </w:rPr>
            </w:pPr>
            <w:r w:rsidRPr="00E36FD2">
              <w:rPr>
                <w:rFonts w:ascii="Verdana" w:eastAsia="Times New Roman" w:hAnsi="Verdana"/>
                <w:b/>
                <w:lang w:val="en-GB" w:eastAsia="en-GB"/>
              </w:rPr>
              <w:t>Net Amount Payable for the Year</w:t>
            </w:r>
          </w:p>
        </w:tc>
        <w:tc>
          <w:tcPr>
            <w:tcW w:w="1614" w:type="dxa"/>
            <w:tcBorders>
              <w:top w:val="single" w:sz="4" w:space="0" w:color="auto"/>
              <w:left w:val="single" w:sz="4" w:space="0" w:color="auto"/>
              <w:bottom w:val="single" w:sz="4" w:space="0" w:color="auto"/>
              <w:right w:val="single" w:sz="4" w:space="0" w:color="auto"/>
            </w:tcBorders>
            <w:vAlign w:val="center"/>
          </w:tcPr>
          <w:p w14:paraId="7242679B" w14:textId="77777777" w:rsidR="003A1330" w:rsidRPr="00E36FD2" w:rsidRDefault="003A1330" w:rsidP="003A1330">
            <w:pPr>
              <w:pStyle w:val="Normal0"/>
              <w:jc w:val="right"/>
              <w:rPr>
                <w:rFonts w:ascii="Verdana" w:hAnsi="Verdana"/>
                <w:b/>
                <w:bCs/>
              </w:rPr>
            </w:pPr>
          </w:p>
        </w:tc>
        <w:tc>
          <w:tcPr>
            <w:tcW w:w="1559" w:type="dxa"/>
            <w:tcBorders>
              <w:top w:val="single" w:sz="4" w:space="0" w:color="auto"/>
              <w:left w:val="single" w:sz="4" w:space="0" w:color="auto"/>
              <w:bottom w:val="single" w:sz="4" w:space="0" w:color="auto"/>
              <w:right w:val="single" w:sz="4" w:space="0" w:color="auto"/>
            </w:tcBorders>
            <w:vAlign w:val="center"/>
          </w:tcPr>
          <w:p w14:paraId="788D9B18" w14:textId="737464A6" w:rsidR="003A1330" w:rsidRPr="00E36FD2" w:rsidRDefault="0091312C" w:rsidP="003A1330">
            <w:pPr>
              <w:pStyle w:val="Normal0"/>
              <w:jc w:val="right"/>
              <w:rPr>
                <w:rFonts w:ascii="Verdana" w:hAnsi="Verdana"/>
                <w:b/>
                <w:bCs/>
              </w:rPr>
            </w:pPr>
            <w:r>
              <w:rPr>
                <w:rFonts w:ascii="Verdana" w:hAnsi="Verdana"/>
                <w:b/>
                <w:bCs/>
              </w:rPr>
              <w:t>0</w:t>
            </w:r>
          </w:p>
        </w:tc>
      </w:tr>
    </w:tbl>
    <w:p w14:paraId="3BBEB901" w14:textId="77777777" w:rsidR="006F0914" w:rsidRPr="00D56A15" w:rsidRDefault="006F0914" w:rsidP="006F0914">
      <w:pPr>
        <w:rPr>
          <w:sz w:val="8"/>
          <w:szCs w:val="8"/>
          <w:lang w:val="en-GB" w:eastAsia="en-GB"/>
        </w:rPr>
      </w:pPr>
    </w:p>
    <w:p w14:paraId="1ECC22EC" w14:textId="77777777" w:rsidR="006F0914" w:rsidRDefault="006F0914" w:rsidP="006F0914">
      <w:pPr>
        <w:pStyle w:val="Normal0"/>
        <w:rPr>
          <w:rFonts w:eastAsia="Times New Roman"/>
          <w:sz w:val="22"/>
          <w:szCs w:val="22"/>
          <w:lang w:val="en-GB" w:eastAsia="en-GB"/>
        </w:rPr>
      </w:pPr>
      <w:r w:rsidRPr="000C28D1">
        <w:rPr>
          <w:rFonts w:eastAsia="Times New Roman"/>
          <w:sz w:val="22"/>
          <w:szCs w:val="22"/>
          <w:lang w:val="en-GB" w:eastAsia="en-GB"/>
        </w:rPr>
        <w:t>* The annual deficit on the Police Pensions Account is funded by the Home Office Pension’s Top-up grant.  This income is shown in the PCC and Group Income and Expenditure account.</w:t>
      </w:r>
    </w:p>
    <w:p w14:paraId="18647D1F" w14:textId="77777777" w:rsidR="006F0914" w:rsidRPr="00D56A15" w:rsidRDefault="006F0914" w:rsidP="006F0914">
      <w:pPr>
        <w:pStyle w:val="Normal0"/>
        <w:rPr>
          <w:rFonts w:eastAsia="Times New Roman"/>
          <w:sz w:val="8"/>
          <w:szCs w:val="8"/>
          <w:lang w:val="en-GB" w:eastAsia="en-GB"/>
        </w:rPr>
      </w:pPr>
    </w:p>
    <w:p w14:paraId="6220C961" w14:textId="77777777" w:rsidR="00E8718E" w:rsidRDefault="00E8718E">
      <w:pPr>
        <w:rPr>
          <w:rFonts w:eastAsia="Times New Roman" w:cs="Arial"/>
          <w:b/>
          <w:lang w:val="en-GB" w:eastAsia="en-GB"/>
        </w:rPr>
      </w:pPr>
    </w:p>
    <w:p w14:paraId="1EDA7425" w14:textId="77777777" w:rsidR="006F0914" w:rsidRDefault="006F0914" w:rsidP="006F0914">
      <w:pPr>
        <w:jc w:val="center"/>
        <w:rPr>
          <w:rFonts w:eastAsia="Times New Roman" w:cs="Arial"/>
          <w:b/>
          <w:lang w:val="en-GB" w:eastAsia="en-GB"/>
        </w:rPr>
      </w:pPr>
      <w:r>
        <w:rPr>
          <w:rFonts w:eastAsia="Times New Roman" w:cs="Arial"/>
          <w:b/>
          <w:lang w:val="en-GB" w:eastAsia="en-GB"/>
        </w:rPr>
        <w:t xml:space="preserve">Police Pension Fund </w:t>
      </w:r>
      <w:r w:rsidRPr="000C28D1">
        <w:rPr>
          <w:rFonts w:eastAsia="Times New Roman" w:cs="Arial"/>
          <w:b/>
          <w:lang w:val="en-GB" w:eastAsia="en-GB"/>
        </w:rPr>
        <w:t>Net Assets Statement</w:t>
      </w:r>
    </w:p>
    <w:p w14:paraId="3DA6641E" w14:textId="77777777" w:rsidR="00E900D0" w:rsidRDefault="00E900D0" w:rsidP="006F0914">
      <w:pPr>
        <w:jc w:val="center"/>
        <w:rPr>
          <w:rFonts w:eastAsia="Times New Roman" w:cs="Arial"/>
          <w:b/>
          <w:lang w:val="en-GB" w:eastAsia="en-GB"/>
        </w:rPr>
      </w:pPr>
    </w:p>
    <w:p w14:paraId="335BA0FA" w14:textId="77777777" w:rsidR="006F0914" w:rsidRPr="009962A0" w:rsidRDefault="006F0914" w:rsidP="006F0914">
      <w:pPr>
        <w:jc w:val="center"/>
        <w:rPr>
          <w:rFonts w:eastAsia="Times New Roman" w:cs="Arial"/>
          <w:b/>
          <w:sz w:val="4"/>
          <w:szCs w:val="4"/>
          <w:lang w:val="en-GB" w:eastAsia="en-GB"/>
        </w:rPr>
      </w:pPr>
    </w:p>
    <w:tbl>
      <w:tblPr>
        <w:tblW w:w="0" w:type="auto"/>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1758"/>
        <w:gridCol w:w="4816"/>
        <w:gridCol w:w="1834"/>
      </w:tblGrid>
      <w:tr w:rsidR="006F0914" w:rsidRPr="009962A0" w14:paraId="0E284B12" w14:textId="77777777" w:rsidTr="00E900D0">
        <w:trPr>
          <w:trHeight w:val="210"/>
          <w:jc w:val="center"/>
        </w:trPr>
        <w:tc>
          <w:tcPr>
            <w:tcW w:w="1758" w:type="dxa"/>
            <w:tcBorders>
              <w:top w:val="single" w:sz="4" w:space="0" w:color="auto"/>
              <w:left w:val="single" w:sz="4" w:space="0" w:color="auto"/>
              <w:bottom w:val="single" w:sz="4" w:space="0" w:color="auto"/>
              <w:right w:val="single" w:sz="4" w:space="0" w:color="auto"/>
            </w:tcBorders>
            <w:vAlign w:val="center"/>
            <w:hideMark/>
          </w:tcPr>
          <w:p w14:paraId="5D3B54A2" w14:textId="77777777" w:rsidR="006F0914" w:rsidRPr="00E900D0" w:rsidRDefault="006F0914" w:rsidP="00E900D0">
            <w:pPr>
              <w:jc w:val="center"/>
              <w:rPr>
                <w:rFonts w:ascii="Verdana" w:eastAsia="Calibri" w:hAnsi="Verdana" w:cs="Arial"/>
                <w:b/>
                <w:bCs/>
                <w:sz w:val="22"/>
                <w:szCs w:val="22"/>
                <w:lang w:val="en-GB"/>
              </w:rPr>
            </w:pPr>
            <w:r w:rsidRPr="00E900D0">
              <w:rPr>
                <w:rFonts w:ascii="Verdana" w:eastAsia="Calibri" w:hAnsi="Verdana" w:cs="Arial"/>
                <w:b/>
                <w:bCs/>
                <w:sz w:val="22"/>
                <w:szCs w:val="22"/>
              </w:rPr>
              <w:t>201</w:t>
            </w:r>
            <w:r w:rsidR="00E900D0">
              <w:rPr>
                <w:rFonts w:ascii="Verdana" w:eastAsia="Calibri" w:hAnsi="Verdana" w:cs="Arial"/>
                <w:b/>
                <w:bCs/>
                <w:sz w:val="22"/>
                <w:szCs w:val="22"/>
              </w:rPr>
              <w:t>9</w:t>
            </w:r>
            <w:r w:rsidRPr="00E900D0">
              <w:rPr>
                <w:rFonts w:ascii="Verdana" w:eastAsia="Calibri" w:hAnsi="Verdana" w:cs="Arial"/>
                <w:b/>
                <w:bCs/>
                <w:sz w:val="22"/>
                <w:szCs w:val="22"/>
              </w:rPr>
              <w:t>/</w:t>
            </w:r>
            <w:r w:rsidR="00E900D0">
              <w:rPr>
                <w:rFonts w:ascii="Verdana" w:eastAsia="Calibri" w:hAnsi="Verdana" w:cs="Arial"/>
                <w:b/>
                <w:bCs/>
                <w:sz w:val="22"/>
                <w:szCs w:val="22"/>
              </w:rPr>
              <w:t>20</w:t>
            </w:r>
          </w:p>
        </w:tc>
        <w:tc>
          <w:tcPr>
            <w:tcW w:w="4816" w:type="dxa"/>
            <w:tcBorders>
              <w:top w:val="single" w:sz="4" w:space="0" w:color="auto"/>
              <w:left w:val="single" w:sz="4" w:space="0" w:color="auto"/>
              <w:bottom w:val="single" w:sz="4" w:space="0" w:color="auto"/>
              <w:right w:val="single" w:sz="4" w:space="0" w:color="auto"/>
            </w:tcBorders>
            <w:vAlign w:val="center"/>
            <w:hideMark/>
          </w:tcPr>
          <w:p w14:paraId="482AC56F" w14:textId="77777777" w:rsidR="006F0914" w:rsidRPr="00E900D0" w:rsidRDefault="006F0914" w:rsidP="007C11F3">
            <w:pPr>
              <w:jc w:val="both"/>
              <w:rPr>
                <w:rFonts w:ascii="Verdana" w:eastAsia="Times New Roman" w:hAnsi="Verdana" w:cs="Arial"/>
                <w:b/>
                <w:sz w:val="22"/>
                <w:szCs w:val="22"/>
                <w:lang w:val="en-GB" w:eastAsia="en-GB"/>
              </w:rPr>
            </w:pPr>
            <w:r w:rsidRPr="00E900D0">
              <w:rPr>
                <w:rFonts w:ascii="Verdana" w:eastAsia="Times New Roman" w:hAnsi="Verdana" w:cs="Arial"/>
                <w:b/>
                <w:sz w:val="22"/>
                <w:szCs w:val="22"/>
                <w:lang w:val="en-GB" w:eastAsia="en-GB"/>
              </w:rPr>
              <w:t>Net Current Assets And Liabilities</w:t>
            </w:r>
          </w:p>
        </w:tc>
        <w:tc>
          <w:tcPr>
            <w:tcW w:w="1834" w:type="dxa"/>
            <w:tcBorders>
              <w:top w:val="single" w:sz="4" w:space="0" w:color="auto"/>
              <w:left w:val="single" w:sz="4" w:space="0" w:color="auto"/>
              <w:bottom w:val="single" w:sz="4" w:space="0" w:color="auto"/>
              <w:right w:val="single" w:sz="4" w:space="0" w:color="auto"/>
            </w:tcBorders>
            <w:vAlign w:val="center"/>
            <w:hideMark/>
          </w:tcPr>
          <w:p w14:paraId="2BE51375" w14:textId="77777777" w:rsidR="006F0914" w:rsidRPr="00E900D0" w:rsidRDefault="006F0914" w:rsidP="00E900D0">
            <w:pPr>
              <w:jc w:val="center"/>
              <w:rPr>
                <w:rFonts w:ascii="Verdana" w:eastAsia="Calibri" w:hAnsi="Verdana" w:cs="Arial"/>
                <w:b/>
                <w:bCs/>
                <w:sz w:val="22"/>
                <w:szCs w:val="22"/>
              </w:rPr>
            </w:pPr>
            <w:r w:rsidRPr="00E900D0">
              <w:rPr>
                <w:rFonts w:ascii="Verdana" w:eastAsia="Calibri" w:hAnsi="Verdana" w:cs="Arial"/>
                <w:b/>
                <w:bCs/>
                <w:sz w:val="22"/>
                <w:szCs w:val="22"/>
              </w:rPr>
              <w:t>20</w:t>
            </w:r>
            <w:r w:rsidR="00E900D0">
              <w:rPr>
                <w:rFonts w:ascii="Verdana" w:eastAsia="Calibri" w:hAnsi="Verdana" w:cs="Arial"/>
                <w:b/>
                <w:bCs/>
                <w:sz w:val="22"/>
                <w:szCs w:val="22"/>
              </w:rPr>
              <w:t>20</w:t>
            </w:r>
            <w:r w:rsidRPr="00E900D0">
              <w:rPr>
                <w:rFonts w:ascii="Verdana" w:eastAsia="Calibri" w:hAnsi="Verdana" w:cs="Arial"/>
                <w:b/>
                <w:bCs/>
                <w:sz w:val="22"/>
                <w:szCs w:val="22"/>
              </w:rPr>
              <w:t>/2</w:t>
            </w:r>
            <w:r w:rsidR="00E900D0">
              <w:rPr>
                <w:rFonts w:ascii="Verdana" w:eastAsia="Calibri" w:hAnsi="Verdana" w:cs="Arial"/>
                <w:b/>
                <w:bCs/>
                <w:sz w:val="22"/>
                <w:szCs w:val="22"/>
              </w:rPr>
              <w:t>1</w:t>
            </w:r>
          </w:p>
        </w:tc>
      </w:tr>
      <w:tr w:rsidR="006F0914" w:rsidRPr="009962A0" w14:paraId="142DF108" w14:textId="77777777" w:rsidTr="00E900D0">
        <w:trPr>
          <w:trHeight w:val="117"/>
          <w:jc w:val="center"/>
        </w:trPr>
        <w:tc>
          <w:tcPr>
            <w:tcW w:w="1758" w:type="dxa"/>
            <w:tcBorders>
              <w:top w:val="single" w:sz="4" w:space="0" w:color="auto"/>
              <w:left w:val="single" w:sz="4" w:space="0" w:color="auto"/>
              <w:bottom w:val="nil"/>
              <w:right w:val="single" w:sz="4" w:space="0" w:color="auto"/>
            </w:tcBorders>
            <w:vAlign w:val="center"/>
            <w:hideMark/>
          </w:tcPr>
          <w:p w14:paraId="3AD4A3AB" w14:textId="77777777" w:rsidR="006F0914" w:rsidRPr="00E900D0" w:rsidRDefault="006F0914" w:rsidP="007C11F3">
            <w:pPr>
              <w:jc w:val="center"/>
              <w:rPr>
                <w:rFonts w:ascii="Verdana" w:eastAsia="Times New Roman" w:hAnsi="Verdana" w:cs="Arial"/>
                <w:sz w:val="22"/>
                <w:szCs w:val="22"/>
                <w:lang w:val="en-GB" w:eastAsia="en-GB"/>
              </w:rPr>
            </w:pPr>
            <w:r w:rsidRPr="00E900D0">
              <w:rPr>
                <w:rFonts w:ascii="Verdana" w:eastAsia="Times New Roman" w:hAnsi="Verdana" w:cs="Arial"/>
                <w:sz w:val="22"/>
                <w:szCs w:val="22"/>
                <w:lang w:val="en-GB" w:eastAsia="en-GB"/>
              </w:rPr>
              <w:t>£000</w:t>
            </w:r>
          </w:p>
        </w:tc>
        <w:tc>
          <w:tcPr>
            <w:tcW w:w="4816" w:type="dxa"/>
            <w:tcBorders>
              <w:top w:val="single" w:sz="4" w:space="0" w:color="auto"/>
              <w:left w:val="single" w:sz="4" w:space="0" w:color="auto"/>
              <w:bottom w:val="nil"/>
              <w:right w:val="single" w:sz="4" w:space="0" w:color="auto"/>
            </w:tcBorders>
            <w:vAlign w:val="center"/>
          </w:tcPr>
          <w:p w14:paraId="0A979E75" w14:textId="77777777" w:rsidR="006F0914" w:rsidRPr="00E900D0" w:rsidRDefault="006F0914" w:rsidP="007C11F3">
            <w:pPr>
              <w:jc w:val="both"/>
              <w:rPr>
                <w:rFonts w:ascii="Verdana" w:eastAsia="Times New Roman" w:hAnsi="Verdana" w:cs="Arial"/>
                <w:sz w:val="22"/>
                <w:szCs w:val="22"/>
                <w:lang w:val="en-GB" w:eastAsia="en-GB"/>
              </w:rPr>
            </w:pPr>
          </w:p>
        </w:tc>
        <w:tc>
          <w:tcPr>
            <w:tcW w:w="1834" w:type="dxa"/>
            <w:tcBorders>
              <w:top w:val="single" w:sz="4" w:space="0" w:color="auto"/>
              <w:left w:val="single" w:sz="4" w:space="0" w:color="auto"/>
              <w:bottom w:val="nil"/>
              <w:right w:val="single" w:sz="4" w:space="0" w:color="auto"/>
            </w:tcBorders>
            <w:vAlign w:val="center"/>
            <w:hideMark/>
          </w:tcPr>
          <w:p w14:paraId="75A69EFB" w14:textId="77777777" w:rsidR="006F0914" w:rsidRPr="00E900D0" w:rsidRDefault="006F0914" w:rsidP="007C11F3">
            <w:pPr>
              <w:jc w:val="center"/>
              <w:rPr>
                <w:rFonts w:ascii="Verdana" w:eastAsia="Times New Roman" w:hAnsi="Verdana" w:cs="Arial"/>
                <w:sz w:val="22"/>
                <w:szCs w:val="22"/>
                <w:lang w:val="en-GB" w:eastAsia="en-GB"/>
              </w:rPr>
            </w:pPr>
            <w:r w:rsidRPr="00E900D0">
              <w:rPr>
                <w:rFonts w:ascii="Verdana" w:eastAsia="Times New Roman" w:hAnsi="Verdana" w:cs="Arial"/>
                <w:sz w:val="22"/>
                <w:szCs w:val="22"/>
                <w:lang w:val="en-GB" w:eastAsia="en-GB"/>
              </w:rPr>
              <w:t>£000</w:t>
            </w:r>
          </w:p>
        </w:tc>
      </w:tr>
      <w:tr w:rsidR="006F0914" w:rsidRPr="009962A0" w14:paraId="31CC6A86" w14:textId="77777777" w:rsidTr="00E900D0">
        <w:trPr>
          <w:trHeight w:val="211"/>
          <w:jc w:val="center"/>
        </w:trPr>
        <w:tc>
          <w:tcPr>
            <w:tcW w:w="1758" w:type="dxa"/>
            <w:tcBorders>
              <w:top w:val="nil"/>
              <w:left w:val="single" w:sz="4" w:space="0" w:color="auto"/>
              <w:bottom w:val="nil"/>
              <w:right w:val="single" w:sz="4" w:space="0" w:color="auto"/>
            </w:tcBorders>
            <w:vAlign w:val="center"/>
          </w:tcPr>
          <w:p w14:paraId="41847E79" w14:textId="77777777" w:rsidR="006F0914" w:rsidRPr="00E900D0" w:rsidRDefault="006F0914" w:rsidP="007C11F3">
            <w:pPr>
              <w:jc w:val="center"/>
              <w:rPr>
                <w:rFonts w:ascii="Verdana" w:eastAsia="Times New Roman" w:hAnsi="Verdana" w:cs="Arial"/>
                <w:sz w:val="22"/>
                <w:szCs w:val="22"/>
                <w:lang w:val="en-GB" w:eastAsia="en-GB"/>
              </w:rPr>
            </w:pPr>
          </w:p>
        </w:tc>
        <w:tc>
          <w:tcPr>
            <w:tcW w:w="4816" w:type="dxa"/>
            <w:tcBorders>
              <w:top w:val="nil"/>
              <w:left w:val="single" w:sz="4" w:space="0" w:color="auto"/>
              <w:bottom w:val="nil"/>
              <w:right w:val="single" w:sz="4" w:space="0" w:color="auto"/>
            </w:tcBorders>
            <w:vAlign w:val="center"/>
            <w:hideMark/>
          </w:tcPr>
          <w:p w14:paraId="12F4B523" w14:textId="77777777" w:rsidR="006F0914" w:rsidRPr="00E900D0" w:rsidRDefault="006F0914" w:rsidP="007C11F3">
            <w:pPr>
              <w:jc w:val="both"/>
              <w:rPr>
                <w:rFonts w:ascii="Verdana" w:eastAsia="Times New Roman" w:hAnsi="Verdana" w:cs="Arial"/>
                <w:b/>
                <w:sz w:val="22"/>
                <w:szCs w:val="22"/>
                <w:lang w:val="en-GB" w:eastAsia="en-GB"/>
              </w:rPr>
            </w:pPr>
            <w:r w:rsidRPr="00E900D0">
              <w:rPr>
                <w:rFonts w:ascii="Verdana" w:eastAsia="Times New Roman" w:hAnsi="Verdana" w:cs="Arial"/>
                <w:b/>
                <w:sz w:val="22"/>
                <w:szCs w:val="22"/>
                <w:lang w:val="en-GB" w:eastAsia="en-GB"/>
              </w:rPr>
              <w:t>Current Assets:</w:t>
            </w:r>
          </w:p>
        </w:tc>
        <w:tc>
          <w:tcPr>
            <w:tcW w:w="1834" w:type="dxa"/>
            <w:tcBorders>
              <w:top w:val="nil"/>
              <w:left w:val="single" w:sz="4" w:space="0" w:color="auto"/>
              <w:bottom w:val="nil"/>
              <w:right w:val="single" w:sz="4" w:space="0" w:color="auto"/>
            </w:tcBorders>
            <w:vAlign w:val="center"/>
          </w:tcPr>
          <w:p w14:paraId="50D5B6A3" w14:textId="77777777" w:rsidR="006F0914" w:rsidRPr="00E900D0" w:rsidRDefault="006F0914" w:rsidP="007C11F3">
            <w:pPr>
              <w:jc w:val="center"/>
              <w:rPr>
                <w:rFonts w:ascii="Verdana" w:eastAsia="Times New Roman" w:hAnsi="Verdana" w:cs="Arial"/>
                <w:sz w:val="22"/>
                <w:szCs w:val="22"/>
                <w:lang w:val="en-GB" w:eastAsia="en-GB"/>
              </w:rPr>
            </w:pPr>
          </w:p>
        </w:tc>
      </w:tr>
      <w:tr w:rsidR="006F0914" w:rsidRPr="009962A0" w14:paraId="6178DB23" w14:textId="77777777" w:rsidTr="00E900D0">
        <w:trPr>
          <w:trHeight w:val="211"/>
          <w:jc w:val="center"/>
        </w:trPr>
        <w:tc>
          <w:tcPr>
            <w:tcW w:w="1758" w:type="dxa"/>
            <w:tcBorders>
              <w:top w:val="nil"/>
              <w:left w:val="single" w:sz="4" w:space="0" w:color="auto"/>
              <w:bottom w:val="nil"/>
              <w:right w:val="single" w:sz="4" w:space="0" w:color="auto"/>
            </w:tcBorders>
            <w:vAlign w:val="center"/>
            <w:hideMark/>
          </w:tcPr>
          <w:p w14:paraId="0A1F7252" w14:textId="77777777" w:rsidR="006F0914" w:rsidRPr="00E900D0" w:rsidRDefault="006F0914" w:rsidP="007C11F3">
            <w:pPr>
              <w:jc w:val="center"/>
              <w:rPr>
                <w:rFonts w:ascii="Verdana" w:eastAsia="Times New Roman" w:hAnsi="Verdana" w:cs="Arial"/>
                <w:sz w:val="22"/>
                <w:szCs w:val="22"/>
                <w:lang w:val="en-GB" w:eastAsia="en-GB"/>
              </w:rPr>
            </w:pPr>
            <w:r w:rsidRPr="00E900D0">
              <w:rPr>
                <w:rFonts w:ascii="Verdana" w:eastAsia="Times New Roman" w:hAnsi="Verdana" w:cs="Arial"/>
                <w:sz w:val="22"/>
                <w:szCs w:val="22"/>
                <w:lang w:val="en-GB" w:eastAsia="en-GB"/>
              </w:rPr>
              <w:t>0</w:t>
            </w:r>
          </w:p>
        </w:tc>
        <w:tc>
          <w:tcPr>
            <w:tcW w:w="4816" w:type="dxa"/>
            <w:tcBorders>
              <w:top w:val="nil"/>
              <w:left w:val="single" w:sz="4" w:space="0" w:color="auto"/>
              <w:bottom w:val="nil"/>
              <w:right w:val="single" w:sz="4" w:space="0" w:color="auto"/>
            </w:tcBorders>
            <w:vAlign w:val="center"/>
            <w:hideMark/>
          </w:tcPr>
          <w:p w14:paraId="73716CE2" w14:textId="77777777" w:rsidR="006F0914" w:rsidRPr="00E900D0" w:rsidRDefault="006F0914" w:rsidP="007C11F3">
            <w:pPr>
              <w:jc w:val="both"/>
              <w:rPr>
                <w:rFonts w:ascii="Verdana" w:eastAsia="Times New Roman" w:hAnsi="Verdana" w:cs="Arial"/>
                <w:sz w:val="22"/>
                <w:szCs w:val="22"/>
                <w:lang w:val="en-GB" w:eastAsia="en-GB"/>
              </w:rPr>
            </w:pPr>
            <w:r w:rsidRPr="00E900D0">
              <w:rPr>
                <w:rFonts w:ascii="Verdana" w:eastAsia="Times New Roman" w:hAnsi="Verdana" w:cs="Arial"/>
                <w:sz w:val="22"/>
                <w:szCs w:val="22"/>
                <w:lang w:val="en-GB" w:eastAsia="en-GB"/>
              </w:rPr>
              <w:t xml:space="preserve">Contributions due from the </w:t>
            </w:r>
            <w:smartTag w:uri="urn:schemas-microsoft-com:office:smarttags" w:element="stockticker">
              <w:r w:rsidRPr="00E900D0">
                <w:rPr>
                  <w:rFonts w:ascii="Verdana" w:eastAsia="Times New Roman" w:hAnsi="Verdana" w:cs="Arial"/>
                  <w:sz w:val="22"/>
                  <w:szCs w:val="22"/>
                  <w:lang w:val="en-GB" w:eastAsia="en-GB"/>
                </w:rPr>
                <w:t>PCC</w:t>
              </w:r>
            </w:smartTag>
          </w:p>
        </w:tc>
        <w:tc>
          <w:tcPr>
            <w:tcW w:w="1834" w:type="dxa"/>
            <w:tcBorders>
              <w:top w:val="nil"/>
              <w:left w:val="single" w:sz="4" w:space="0" w:color="auto"/>
              <w:bottom w:val="nil"/>
              <w:right w:val="single" w:sz="4" w:space="0" w:color="auto"/>
            </w:tcBorders>
            <w:vAlign w:val="center"/>
            <w:hideMark/>
          </w:tcPr>
          <w:p w14:paraId="616B03AC" w14:textId="77777777" w:rsidR="006F0914" w:rsidRPr="00E900D0" w:rsidRDefault="006F0914" w:rsidP="007C11F3">
            <w:pPr>
              <w:jc w:val="center"/>
              <w:rPr>
                <w:rFonts w:ascii="Verdana" w:eastAsia="Times New Roman" w:hAnsi="Verdana" w:cs="Arial"/>
                <w:sz w:val="22"/>
                <w:szCs w:val="22"/>
                <w:lang w:val="en-GB" w:eastAsia="en-GB"/>
              </w:rPr>
            </w:pPr>
            <w:r w:rsidRPr="00E900D0">
              <w:rPr>
                <w:rFonts w:ascii="Verdana" w:eastAsia="Times New Roman" w:hAnsi="Verdana" w:cs="Arial"/>
                <w:sz w:val="22"/>
                <w:szCs w:val="22"/>
                <w:lang w:val="en-GB" w:eastAsia="en-GB"/>
              </w:rPr>
              <w:t>0</w:t>
            </w:r>
          </w:p>
        </w:tc>
      </w:tr>
      <w:tr w:rsidR="006F0914" w:rsidRPr="009962A0" w14:paraId="01D960B7" w14:textId="77777777" w:rsidTr="00E900D0">
        <w:trPr>
          <w:trHeight w:val="211"/>
          <w:jc w:val="center"/>
        </w:trPr>
        <w:tc>
          <w:tcPr>
            <w:tcW w:w="1758" w:type="dxa"/>
            <w:tcBorders>
              <w:top w:val="nil"/>
              <w:left w:val="single" w:sz="4" w:space="0" w:color="auto"/>
              <w:bottom w:val="nil"/>
              <w:right w:val="single" w:sz="4" w:space="0" w:color="auto"/>
            </w:tcBorders>
            <w:vAlign w:val="center"/>
            <w:hideMark/>
          </w:tcPr>
          <w:p w14:paraId="747BBF01" w14:textId="77777777" w:rsidR="006F0914" w:rsidRPr="00E900D0" w:rsidRDefault="006F0914" w:rsidP="007C11F3">
            <w:pPr>
              <w:jc w:val="center"/>
              <w:rPr>
                <w:rFonts w:ascii="Verdana" w:eastAsia="Times New Roman" w:hAnsi="Verdana" w:cs="Arial"/>
                <w:sz w:val="22"/>
                <w:szCs w:val="22"/>
                <w:lang w:val="en-GB" w:eastAsia="en-GB"/>
              </w:rPr>
            </w:pPr>
            <w:r w:rsidRPr="00E900D0">
              <w:rPr>
                <w:rFonts w:ascii="Verdana" w:eastAsia="Times New Roman" w:hAnsi="Verdana" w:cs="Arial"/>
                <w:sz w:val="22"/>
                <w:szCs w:val="22"/>
                <w:lang w:val="en-GB" w:eastAsia="en-GB"/>
              </w:rPr>
              <w:t>0</w:t>
            </w:r>
          </w:p>
        </w:tc>
        <w:tc>
          <w:tcPr>
            <w:tcW w:w="4816" w:type="dxa"/>
            <w:tcBorders>
              <w:top w:val="nil"/>
              <w:left w:val="single" w:sz="4" w:space="0" w:color="auto"/>
              <w:bottom w:val="nil"/>
              <w:right w:val="single" w:sz="4" w:space="0" w:color="auto"/>
            </w:tcBorders>
            <w:vAlign w:val="center"/>
            <w:hideMark/>
          </w:tcPr>
          <w:p w14:paraId="4A5B7BC7" w14:textId="77777777" w:rsidR="006F0914" w:rsidRPr="00E900D0" w:rsidRDefault="006F0914" w:rsidP="007C11F3">
            <w:pPr>
              <w:jc w:val="both"/>
              <w:rPr>
                <w:rFonts w:ascii="Verdana" w:eastAsia="Times New Roman" w:hAnsi="Verdana" w:cs="Arial"/>
                <w:sz w:val="22"/>
                <w:szCs w:val="22"/>
                <w:lang w:val="en-GB" w:eastAsia="en-GB"/>
              </w:rPr>
            </w:pPr>
            <w:r w:rsidRPr="00E900D0">
              <w:rPr>
                <w:rFonts w:ascii="Verdana" w:eastAsia="Times New Roman" w:hAnsi="Verdana" w:cs="Arial"/>
                <w:sz w:val="22"/>
                <w:szCs w:val="22"/>
                <w:lang w:val="en-GB" w:eastAsia="en-GB"/>
              </w:rPr>
              <w:t>Recoverable overpayments of pensions</w:t>
            </w:r>
          </w:p>
        </w:tc>
        <w:tc>
          <w:tcPr>
            <w:tcW w:w="1834" w:type="dxa"/>
            <w:tcBorders>
              <w:top w:val="nil"/>
              <w:left w:val="single" w:sz="4" w:space="0" w:color="auto"/>
              <w:bottom w:val="nil"/>
              <w:right w:val="single" w:sz="4" w:space="0" w:color="auto"/>
            </w:tcBorders>
            <w:vAlign w:val="center"/>
            <w:hideMark/>
          </w:tcPr>
          <w:p w14:paraId="32A86938" w14:textId="77777777" w:rsidR="006F0914" w:rsidRPr="00E900D0" w:rsidRDefault="006F0914" w:rsidP="007C11F3">
            <w:pPr>
              <w:jc w:val="center"/>
              <w:rPr>
                <w:rFonts w:ascii="Verdana" w:eastAsia="Times New Roman" w:hAnsi="Verdana" w:cs="Arial"/>
                <w:sz w:val="22"/>
                <w:szCs w:val="22"/>
                <w:lang w:val="en-GB" w:eastAsia="en-GB"/>
              </w:rPr>
            </w:pPr>
            <w:r w:rsidRPr="00E900D0">
              <w:rPr>
                <w:rFonts w:ascii="Verdana" w:eastAsia="Times New Roman" w:hAnsi="Verdana" w:cs="Arial"/>
                <w:sz w:val="22"/>
                <w:szCs w:val="22"/>
                <w:lang w:val="en-GB" w:eastAsia="en-GB"/>
              </w:rPr>
              <w:t>0</w:t>
            </w:r>
          </w:p>
        </w:tc>
      </w:tr>
      <w:tr w:rsidR="006F0914" w:rsidRPr="009962A0" w14:paraId="27CC8A54" w14:textId="77777777" w:rsidTr="00E900D0">
        <w:trPr>
          <w:trHeight w:val="211"/>
          <w:jc w:val="center"/>
        </w:trPr>
        <w:tc>
          <w:tcPr>
            <w:tcW w:w="1758" w:type="dxa"/>
            <w:tcBorders>
              <w:top w:val="nil"/>
              <w:left w:val="single" w:sz="4" w:space="0" w:color="auto"/>
              <w:bottom w:val="nil"/>
              <w:right w:val="single" w:sz="4" w:space="0" w:color="auto"/>
            </w:tcBorders>
            <w:vAlign w:val="center"/>
          </w:tcPr>
          <w:p w14:paraId="0B5FF804" w14:textId="77777777" w:rsidR="006F0914" w:rsidRPr="00E900D0" w:rsidRDefault="006F0914" w:rsidP="007C11F3">
            <w:pPr>
              <w:jc w:val="center"/>
              <w:rPr>
                <w:rFonts w:ascii="Verdana" w:eastAsia="Times New Roman" w:hAnsi="Verdana" w:cs="Arial"/>
                <w:sz w:val="22"/>
                <w:szCs w:val="22"/>
                <w:lang w:val="en-GB" w:eastAsia="en-GB"/>
              </w:rPr>
            </w:pPr>
          </w:p>
        </w:tc>
        <w:tc>
          <w:tcPr>
            <w:tcW w:w="4816" w:type="dxa"/>
            <w:tcBorders>
              <w:top w:val="nil"/>
              <w:left w:val="single" w:sz="4" w:space="0" w:color="auto"/>
              <w:bottom w:val="nil"/>
              <w:right w:val="single" w:sz="4" w:space="0" w:color="auto"/>
            </w:tcBorders>
            <w:vAlign w:val="center"/>
            <w:hideMark/>
          </w:tcPr>
          <w:p w14:paraId="7BBA7962" w14:textId="77777777" w:rsidR="006F0914" w:rsidRPr="00E900D0" w:rsidRDefault="006F0914" w:rsidP="007C11F3">
            <w:pPr>
              <w:jc w:val="both"/>
              <w:rPr>
                <w:rFonts w:ascii="Verdana" w:eastAsia="Times New Roman" w:hAnsi="Verdana" w:cs="Arial"/>
                <w:b/>
                <w:sz w:val="22"/>
                <w:szCs w:val="22"/>
                <w:lang w:val="en-GB" w:eastAsia="en-GB"/>
              </w:rPr>
            </w:pPr>
            <w:r w:rsidRPr="00E900D0">
              <w:rPr>
                <w:rFonts w:ascii="Verdana" w:eastAsia="Times New Roman" w:hAnsi="Verdana" w:cs="Arial"/>
                <w:b/>
                <w:sz w:val="22"/>
                <w:szCs w:val="22"/>
                <w:lang w:val="en-GB" w:eastAsia="en-GB"/>
              </w:rPr>
              <w:t>Current Liabilities:</w:t>
            </w:r>
          </w:p>
        </w:tc>
        <w:tc>
          <w:tcPr>
            <w:tcW w:w="1834" w:type="dxa"/>
            <w:tcBorders>
              <w:top w:val="nil"/>
              <w:left w:val="single" w:sz="4" w:space="0" w:color="auto"/>
              <w:bottom w:val="nil"/>
              <w:right w:val="single" w:sz="4" w:space="0" w:color="auto"/>
            </w:tcBorders>
            <w:vAlign w:val="center"/>
          </w:tcPr>
          <w:p w14:paraId="3BCFA3D2" w14:textId="77777777" w:rsidR="006F0914" w:rsidRPr="00E900D0" w:rsidRDefault="006F0914" w:rsidP="007C11F3">
            <w:pPr>
              <w:jc w:val="center"/>
              <w:rPr>
                <w:rFonts w:ascii="Verdana" w:eastAsia="Times New Roman" w:hAnsi="Verdana" w:cs="Arial"/>
                <w:sz w:val="22"/>
                <w:szCs w:val="22"/>
                <w:lang w:val="en-GB" w:eastAsia="en-GB"/>
              </w:rPr>
            </w:pPr>
          </w:p>
        </w:tc>
      </w:tr>
      <w:tr w:rsidR="006F0914" w:rsidRPr="009962A0" w14:paraId="202CDF7E" w14:textId="77777777" w:rsidTr="00E900D0">
        <w:trPr>
          <w:trHeight w:val="211"/>
          <w:jc w:val="center"/>
        </w:trPr>
        <w:tc>
          <w:tcPr>
            <w:tcW w:w="1758" w:type="dxa"/>
            <w:tcBorders>
              <w:top w:val="nil"/>
              <w:left w:val="single" w:sz="4" w:space="0" w:color="auto"/>
              <w:bottom w:val="nil"/>
              <w:right w:val="single" w:sz="4" w:space="0" w:color="auto"/>
            </w:tcBorders>
            <w:vAlign w:val="center"/>
            <w:hideMark/>
          </w:tcPr>
          <w:p w14:paraId="6CE38697" w14:textId="77777777" w:rsidR="006F0914" w:rsidRPr="00E900D0" w:rsidRDefault="006F0914" w:rsidP="007C11F3">
            <w:pPr>
              <w:jc w:val="center"/>
              <w:rPr>
                <w:rFonts w:ascii="Verdana" w:eastAsia="Times New Roman" w:hAnsi="Verdana" w:cs="Arial"/>
                <w:sz w:val="22"/>
                <w:szCs w:val="22"/>
                <w:lang w:val="en-GB" w:eastAsia="en-GB"/>
              </w:rPr>
            </w:pPr>
            <w:r w:rsidRPr="00E900D0">
              <w:rPr>
                <w:rFonts w:ascii="Verdana" w:eastAsia="Times New Roman" w:hAnsi="Verdana" w:cs="Arial"/>
                <w:sz w:val="22"/>
                <w:szCs w:val="22"/>
                <w:lang w:val="en-GB" w:eastAsia="en-GB"/>
              </w:rPr>
              <w:t>0</w:t>
            </w:r>
          </w:p>
        </w:tc>
        <w:tc>
          <w:tcPr>
            <w:tcW w:w="4816" w:type="dxa"/>
            <w:tcBorders>
              <w:top w:val="nil"/>
              <w:left w:val="single" w:sz="4" w:space="0" w:color="auto"/>
              <w:bottom w:val="nil"/>
              <w:right w:val="single" w:sz="4" w:space="0" w:color="auto"/>
            </w:tcBorders>
            <w:vAlign w:val="center"/>
            <w:hideMark/>
          </w:tcPr>
          <w:p w14:paraId="6FAF3308" w14:textId="77777777" w:rsidR="006F0914" w:rsidRPr="00E900D0" w:rsidRDefault="006F0914" w:rsidP="007C11F3">
            <w:pPr>
              <w:jc w:val="both"/>
              <w:rPr>
                <w:rFonts w:ascii="Verdana" w:eastAsia="Times New Roman" w:hAnsi="Verdana" w:cs="Arial"/>
                <w:sz w:val="22"/>
                <w:szCs w:val="22"/>
                <w:lang w:val="en-GB" w:eastAsia="en-GB"/>
              </w:rPr>
            </w:pPr>
            <w:r w:rsidRPr="00E900D0">
              <w:rPr>
                <w:rFonts w:ascii="Verdana" w:eastAsia="Times New Roman" w:hAnsi="Verdana" w:cs="Arial"/>
                <w:sz w:val="22"/>
                <w:szCs w:val="22"/>
                <w:lang w:val="en-GB" w:eastAsia="en-GB"/>
              </w:rPr>
              <w:t>Unpaid pensions benefits</w:t>
            </w:r>
          </w:p>
        </w:tc>
        <w:tc>
          <w:tcPr>
            <w:tcW w:w="1834" w:type="dxa"/>
            <w:tcBorders>
              <w:top w:val="nil"/>
              <w:left w:val="single" w:sz="4" w:space="0" w:color="auto"/>
              <w:bottom w:val="nil"/>
              <w:right w:val="single" w:sz="4" w:space="0" w:color="auto"/>
            </w:tcBorders>
            <w:vAlign w:val="center"/>
            <w:hideMark/>
          </w:tcPr>
          <w:p w14:paraId="2F45B491" w14:textId="77777777" w:rsidR="006F0914" w:rsidRPr="00E900D0" w:rsidRDefault="006F0914" w:rsidP="007C11F3">
            <w:pPr>
              <w:jc w:val="center"/>
              <w:rPr>
                <w:rFonts w:ascii="Verdana" w:eastAsia="Times New Roman" w:hAnsi="Verdana" w:cs="Arial"/>
                <w:sz w:val="22"/>
                <w:szCs w:val="22"/>
                <w:lang w:val="en-GB" w:eastAsia="en-GB"/>
              </w:rPr>
            </w:pPr>
            <w:r w:rsidRPr="00E900D0">
              <w:rPr>
                <w:rFonts w:ascii="Verdana" w:eastAsia="Times New Roman" w:hAnsi="Verdana" w:cs="Arial"/>
                <w:sz w:val="22"/>
                <w:szCs w:val="22"/>
                <w:lang w:val="en-GB" w:eastAsia="en-GB"/>
              </w:rPr>
              <w:t>0</w:t>
            </w:r>
          </w:p>
        </w:tc>
      </w:tr>
      <w:tr w:rsidR="006F0914" w:rsidRPr="009962A0" w14:paraId="09B2312B" w14:textId="77777777" w:rsidTr="00E900D0">
        <w:trPr>
          <w:trHeight w:val="211"/>
          <w:jc w:val="center"/>
        </w:trPr>
        <w:tc>
          <w:tcPr>
            <w:tcW w:w="1758" w:type="dxa"/>
            <w:tcBorders>
              <w:top w:val="nil"/>
              <w:left w:val="single" w:sz="4" w:space="0" w:color="auto"/>
              <w:bottom w:val="single" w:sz="4" w:space="0" w:color="auto"/>
              <w:right w:val="single" w:sz="4" w:space="0" w:color="auto"/>
            </w:tcBorders>
            <w:vAlign w:val="center"/>
            <w:hideMark/>
          </w:tcPr>
          <w:p w14:paraId="74869CD1" w14:textId="77777777" w:rsidR="006F0914" w:rsidRPr="00E900D0" w:rsidRDefault="006F0914" w:rsidP="007C11F3">
            <w:pPr>
              <w:jc w:val="center"/>
              <w:rPr>
                <w:rFonts w:ascii="Verdana" w:eastAsia="Times New Roman" w:hAnsi="Verdana" w:cs="Arial"/>
                <w:sz w:val="22"/>
                <w:szCs w:val="22"/>
                <w:lang w:val="en-GB" w:eastAsia="en-GB"/>
              </w:rPr>
            </w:pPr>
            <w:r w:rsidRPr="00E900D0">
              <w:rPr>
                <w:rFonts w:ascii="Verdana" w:eastAsia="Times New Roman" w:hAnsi="Verdana" w:cs="Arial"/>
                <w:sz w:val="22"/>
                <w:szCs w:val="22"/>
                <w:lang w:val="en-GB" w:eastAsia="en-GB"/>
              </w:rPr>
              <w:t>0</w:t>
            </w:r>
          </w:p>
        </w:tc>
        <w:tc>
          <w:tcPr>
            <w:tcW w:w="4816" w:type="dxa"/>
            <w:tcBorders>
              <w:top w:val="nil"/>
              <w:left w:val="single" w:sz="4" w:space="0" w:color="auto"/>
              <w:bottom w:val="single" w:sz="4" w:space="0" w:color="auto"/>
              <w:right w:val="single" w:sz="4" w:space="0" w:color="auto"/>
            </w:tcBorders>
            <w:vAlign w:val="center"/>
            <w:hideMark/>
          </w:tcPr>
          <w:p w14:paraId="6B3AF908" w14:textId="77777777" w:rsidR="006F0914" w:rsidRPr="00E900D0" w:rsidRDefault="006F0914" w:rsidP="007C11F3">
            <w:pPr>
              <w:jc w:val="both"/>
              <w:rPr>
                <w:rFonts w:ascii="Verdana" w:eastAsia="Times New Roman" w:hAnsi="Verdana" w:cs="Arial"/>
                <w:sz w:val="22"/>
                <w:szCs w:val="22"/>
                <w:lang w:val="en-GB" w:eastAsia="en-GB"/>
              </w:rPr>
            </w:pPr>
            <w:r w:rsidRPr="00E900D0">
              <w:rPr>
                <w:rFonts w:ascii="Verdana" w:eastAsia="Times New Roman" w:hAnsi="Verdana" w:cs="Arial"/>
                <w:sz w:val="22"/>
                <w:szCs w:val="22"/>
                <w:lang w:val="en-GB" w:eastAsia="en-GB"/>
              </w:rPr>
              <w:t xml:space="preserve">Surplus for the year owing to the </w:t>
            </w:r>
            <w:smartTag w:uri="urn:schemas-microsoft-com:office:smarttags" w:element="stockticker">
              <w:r w:rsidRPr="00E900D0">
                <w:rPr>
                  <w:rFonts w:ascii="Verdana" w:eastAsia="Times New Roman" w:hAnsi="Verdana" w:cs="Arial"/>
                  <w:sz w:val="22"/>
                  <w:szCs w:val="22"/>
                  <w:lang w:val="en-GB" w:eastAsia="en-GB"/>
                </w:rPr>
                <w:t>PCC</w:t>
              </w:r>
            </w:smartTag>
          </w:p>
        </w:tc>
        <w:tc>
          <w:tcPr>
            <w:tcW w:w="1834" w:type="dxa"/>
            <w:tcBorders>
              <w:top w:val="nil"/>
              <w:left w:val="single" w:sz="4" w:space="0" w:color="auto"/>
              <w:bottom w:val="single" w:sz="4" w:space="0" w:color="auto"/>
              <w:right w:val="single" w:sz="4" w:space="0" w:color="auto"/>
            </w:tcBorders>
            <w:vAlign w:val="center"/>
            <w:hideMark/>
          </w:tcPr>
          <w:p w14:paraId="50709287" w14:textId="77777777" w:rsidR="006F0914" w:rsidRPr="00E900D0" w:rsidRDefault="006F0914" w:rsidP="007C11F3">
            <w:pPr>
              <w:jc w:val="center"/>
              <w:rPr>
                <w:rFonts w:ascii="Verdana" w:eastAsia="Times New Roman" w:hAnsi="Verdana" w:cs="Arial"/>
                <w:sz w:val="22"/>
                <w:szCs w:val="22"/>
                <w:lang w:val="en-GB" w:eastAsia="en-GB"/>
              </w:rPr>
            </w:pPr>
            <w:r w:rsidRPr="00E900D0">
              <w:rPr>
                <w:rFonts w:ascii="Verdana" w:eastAsia="Times New Roman" w:hAnsi="Verdana" w:cs="Arial"/>
                <w:sz w:val="22"/>
                <w:szCs w:val="22"/>
                <w:lang w:val="en-GB" w:eastAsia="en-GB"/>
              </w:rPr>
              <w:t>0</w:t>
            </w:r>
          </w:p>
        </w:tc>
      </w:tr>
      <w:tr w:rsidR="006F0914" w:rsidRPr="009962A0" w14:paraId="03B9B93F" w14:textId="77777777" w:rsidTr="00E900D0">
        <w:trPr>
          <w:trHeight w:val="211"/>
          <w:jc w:val="center"/>
        </w:trPr>
        <w:tc>
          <w:tcPr>
            <w:tcW w:w="1758" w:type="dxa"/>
            <w:tcBorders>
              <w:top w:val="single" w:sz="4" w:space="0" w:color="auto"/>
              <w:left w:val="single" w:sz="4" w:space="0" w:color="auto"/>
              <w:bottom w:val="single" w:sz="4" w:space="0" w:color="auto"/>
              <w:right w:val="single" w:sz="4" w:space="0" w:color="auto"/>
            </w:tcBorders>
            <w:vAlign w:val="center"/>
            <w:hideMark/>
          </w:tcPr>
          <w:p w14:paraId="1414F639" w14:textId="77777777" w:rsidR="006F0914" w:rsidRPr="00E900D0" w:rsidRDefault="006F0914" w:rsidP="007C11F3">
            <w:pPr>
              <w:jc w:val="center"/>
              <w:rPr>
                <w:rFonts w:ascii="Verdana" w:eastAsia="Times New Roman" w:hAnsi="Verdana" w:cs="Arial"/>
                <w:b/>
                <w:sz w:val="22"/>
                <w:szCs w:val="22"/>
                <w:lang w:val="en-GB" w:eastAsia="en-GB"/>
              </w:rPr>
            </w:pPr>
            <w:r w:rsidRPr="00E900D0">
              <w:rPr>
                <w:rFonts w:ascii="Verdana" w:eastAsia="Times New Roman" w:hAnsi="Verdana" w:cs="Arial"/>
                <w:b/>
                <w:sz w:val="22"/>
                <w:szCs w:val="22"/>
                <w:lang w:val="en-GB" w:eastAsia="en-GB"/>
              </w:rPr>
              <w:t>0</w:t>
            </w:r>
          </w:p>
        </w:tc>
        <w:tc>
          <w:tcPr>
            <w:tcW w:w="4816" w:type="dxa"/>
            <w:tcBorders>
              <w:top w:val="single" w:sz="4" w:space="0" w:color="auto"/>
              <w:left w:val="single" w:sz="4" w:space="0" w:color="auto"/>
              <w:bottom w:val="single" w:sz="4" w:space="0" w:color="auto"/>
              <w:right w:val="single" w:sz="4" w:space="0" w:color="auto"/>
            </w:tcBorders>
            <w:vAlign w:val="center"/>
            <w:hideMark/>
          </w:tcPr>
          <w:p w14:paraId="033693A5" w14:textId="77777777" w:rsidR="006F0914" w:rsidRPr="00E900D0" w:rsidRDefault="006F0914" w:rsidP="007C11F3">
            <w:pPr>
              <w:jc w:val="both"/>
              <w:rPr>
                <w:rFonts w:ascii="Verdana" w:eastAsia="Times New Roman" w:hAnsi="Verdana" w:cs="Arial"/>
                <w:b/>
                <w:sz w:val="22"/>
                <w:szCs w:val="22"/>
                <w:lang w:val="en-GB" w:eastAsia="en-GB"/>
              </w:rPr>
            </w:pPr>
            <w:r w:rsidRPr="00E900D0">
              <w:rPr>
                <w:rFonts w:ascii="Verdana" w:eastAsia="Times New Roman" w:hAnsi="Verdana" w:cs="Arial"/>
                <w:b/>
                <w:sz w:val="22"/>
                <w:szCs w:val="22"/>
                <w:lang w:val="en-GB" w:eastAsia="en-GB"/>
              </w:rPr>
              <w:t>Net Assets / (Liabilities)</w:t>
            </w:r>
          </w:p>
        </w:tc>
        <w:tc>
          <w:tcPr>
            <w:tcW w:w="1834" w:type="dxa"/>
            <w:tcBorders>
              <w:top w:val="single" w:sz="4" w:space="0" w:color="auto"/>
              <w:left w:val="single" w:sz="4" w:space="0" w:color="auto"/>
              <w:bottom w:val="single" w:sz="4" w:space="0" w:color="auto"/>
              <w:right w:val="single" w:sz="4" w:space="0" w:color="auto"/>
            </w:tcBorders>
            <w:vAlign w:val="center"/>
            <w:hideMark/>
          </w:tcPr>
          <w:p w14:paraId="5FCAD77D" w14:textId="77777777" w:rsidR="006F0914" w:rsidRPr="00E900D0" w:rsidRDefault="006F0914" w:rsidP="007C11F3">
            <w:pPr>
              <w:jc w:val="center"/>
              <w:rPr>
                <w:rFonts w:ascii="Verdana" w:eastAsia="Times New Roman" w:hAnsi="Verdana" w:cs="Arial"/>
                <w:b/>
                <w:sz w:val="22"/>
                <w:szCs w:val="22"/>
                <w:lang w:val="en-GB" w:eastAsia="en-GB"/>
              </w:rPr>
            </w:pPr>
            <w:r w:rsidRPr="00E900D0">
              <w:rPr>
                <w:rFonts w:ascii="Verdana" w:eastAsia="Times New Roman" w:hAnsi="Verdana" w:cs="Arial"/>
                <w:b/>
                <w:sz w:val="22"/>
                <w:szCs w:val="22"/>
                <w:lang w:val="en-GB" w:eastAsia="en-GB"/>
              </w:rPr>
              <w:t>0</w:t>
            </w:r>
          </w:p>
        </w:tc>
      </w:tr>
    </w:tbl>
    <w:p w14:paraId="07046069" w14:textId="77777777" w:rsidR="00E900D0" w:rsidRPr="00E900D0" w:rsidRDefault="00E900D0" w:rsidP="006F0914">
      <w:pPr>
        <w:pStyle w:val="Heading1"/>
        <w:rPr>
          <w:rFonts w:ascii="Verdana" w:hAnsi="Verdana"/>
          <w:sz w:val="22"/>
          <w:szCs w:val="22"/>
          <w:lang w:eastAsia="en-GB"/>
        </w:rPr>
      </w:pPr>
      <w:bookmarkStart w:id="37" w:name="_Toc15152187"/>
      <w:bookmarkStart w:id="38" w:name="_Toc43672344"/>
    </w:p>
    <w:p w14:paraId="4DF34A4D" w14:textId="77777777" w:rsidR="006F0914" w:rsidRPr="00D56A15" w:rsidRDefault="006F0914" w:rsidP="006F0914">
      <w:pPr>
        <w:pStyle w:val="Heading1"/>
        <w:rPr>
          <w:lang w:eastAsia="en-GB"/>
        </w:rPr>
      </w:pPr>
      <w:bookmarkStart w:id="39" w:name="_Toc77095584"/>
      <w:r w:rsidRPr="00D56A15">
        <w:rPr>
          <w:lang w:eastAsia="en-GB"/>
        </w:rPr>
        <w:t>Police Pension Funds - Notes</w:t>
      </w:r>
      <w:bookmarkEnd w:id="37"/>
      <w:bookmarkEnd w:id="38"/>
      <w:bookmarkEnd w:id="39"/>
    </w:p>
    <w:p w14:paraId="0976419F" w14:textId="77777777" w:rsidR="006F0914" w:rsidRPr="00915848" w:rsidRDefault="006F0914" w:rsidP="006F0914">
      <w:pPr>
        <w:pStyle w:val="Normal0"/>
        <w:rPr>
          <w:sz w:val="22"/>
          <w:lang w:val="en-GB" w:eastAsia="en-GB"/>
        </w:rPr>
      </w:pPr>
    </w:p>
    <w:p w14:paraId="18C0157B" w14:textId="77777777" w:rsidR="006F0914" w:rsidRPr="00E900D0" w:rsidRDefault="006F0914" w:rsidP="006F0914">
      <w:pPr>
        <w:pStyle w:val="Normal0"/>
        <w:rPr>
          <w:rFonts w:ascii="Verdana" w:hAnsi="Verdana"/>
          <w:b/>
          <w:sz w:val="22"/>
          <w:szCs w:val="22"/>
          <w:lang w:val="en-GB" w:eastAsia="en-GB"/>
        </w:rPr>
      </w:pPr>
      <w:r w:rsidRPr="00E900D0">
        <w:rPr>
          <w:rFonts w:ascii="Verdana" w:hAnsi="Verdana"/>
          <w:b/>
          <w:sz w:val="22"/>
          <w:szCs w:val="22"/>
          <w:lang w:val="en-GB" w:eastAsia="en-GB"/>
        </w:rPr>
        <w:t>Accounting Policies</w:t>
      </w:r>
    </w:p>
    <w:p w14:paraId="1C04C350" w14:textId="77777777" w:rsidR="006F0914" w:rsidRPr="00E900D0" w:rsidRDefault="006F0914" w:rsidP="006F0914">
      <w:pPr>
        <w:pStyle w:val="Normal0"/>
        <w:rPr>
          <w:rFonts w:ascii="Verdana" w:hAnsi="Verdana"/>
          <w:sz w:val="22"/>
          <w:szCs w:val="22"/>
          <w:lang w:val="en-GB" w:eastAsia="en-GB"/>
        </w:rPr>
      </w:pPr>
    </w:p>
    <w:p w14:paraId="7DC58D4E" w14:textId="77777777" w:rsidR="006F0914" w:rsidRPr="00E900D0" w:rsidRDefault="006F0914" w:rsidP="006F0914">
      <w:pPr>
        <w:pStyle w:val="Normal0"/>
        <w:jc w:val="both"/>
        <w:rPr>
          <w:rFonts w:ascii="Verdana" w:hAnsi="Verdana"/>
          <w:sz w:val="22"/>
          <w:szCs w:val="22"/>
          <w:lang w:val="en-GB" w:eastAsia="en-GB"/>
        </w:rPr>
      </w:pPr>
      <w:r w:rsidRPr="00E900D0">
        <w:rPr>
          <w:rFonts w:ascii="Verdana" w:hAnsi="Verdana"/>
          <w:sz w:val="22"/>
          <w:szCs w:val="22"/>
          <w:lang w:val="en-GB" w:eastAsia="en-GB"/>
        </w:rPr>
        <w:t>The Police Pension Account Statements have been prepared to meet the requirements of Regulation 7(1) (d) of the Accounts and Audit Regulations 2003, which states that Chief Constables are obliged to include the police pensions account in their statement of accounts.  They also meet the requirements of the Code of Practice on Local Authority Accounting in the United Kingdom 2018/19 based on International Financial Reporting Standards IAS19, as last amended on 16 June 2011.  The Accounts have been prepared on an accruals basis.  The statements do not take account of liabilities to pay pensions and other benefits in the future.  This is reported upon separately in the Actuary’s statement.</w:t>
      </w:r>
    </w:p>
    <w:p w14:paraId="1ECAE0D9" w14:textId="77777777" w:rsidR="006F0914" w:rsidRPr="00E900D0" w:rsidRDefault="006F0914" w:rsidP="006F0914">
      <w:pPr>
        <w:pStyle w:val="Normal0"/>
        <w:jc w:val="both"/>
        <w:rPr>
          <w:rFonts w:ascii="Verdana" w:hAnsi="Verdana"/>
          <w:sz w:val="22"/>
          <w:szCs w:val="22"/>
          <w:lang w:val="en-GB" w:eastAsia="en-GB"/>
        </w:rPr>
      </w:pPr>
    </w:p>
    <w:p w14:paraId="6820B3E1" w14:textId="77777777" w:rsidR="006F0914" w:rsidRPr="00E900D0" w:rsidRDefault="006F0914" w:rsidP="006F0914">
      <w:pPr>
        <w:jc w:val="both"/>
        <w:rPr>
          <w:rFonts w:ascii="Verdana" w:hAnsi="Verdana" w:cs="Arial"/>
          <w:b/>
          <w:sz w:val="22"/>
          <w:szCs w:val="22"/>
          <w:lang w:val="en-GB" w:eastAsia="en-GB"/>
        </w:rPr>
      </w:pPr>
      <w:r w:rsidRPr="00E900D0">
        <w:rPr>
          <w:rFonts w:ascii="Verdana" w:hAnsi="Verdana" w:cs="Arial"/>
          <w:b/>
          <w:sz w:val="22"/>
          <w:szCs w:val="22"/>
          <w:lang w:val="en-GB" w:eastAsia="en-GB"/>
        </w:rPr>
        <w:t>Explanatory Notes to the Police Pension Fund Account Statements</w:t>
      </w:r>
    </w:p>
    <w:p w14:paraId="49A1B0C7" w14:textId="77777777" w:rsidR="006F0914" w:rsidRPr="00E900D0" w:rsidRDefault="006F0914" w:rsidP="006F0914">
      <w:pPr>
        <w:pStyle w:val="Normal0"/>
        <w:jc w:val="both"/>
        <w:rPr>
          <w:rFonts w:ascii="Verdana" w:hAnsi="Verdana"/>
          <w:sz w:val="22"/>
          <w:szCs w:val="22"/>
          <w:lang w:val="en-GB" w:eastAsia="en-GB"/>
        </w:rPr>
      </w:pPr>
    </w:p>
    <w:p w14:paraId="5B07ADAA" w14:textId="77777777" w:rsidR="006F0914" w:rsidRPr="00E900D0" w:rsidRDefault="006F0914" w:rsidP="006F0914">
      <w:pPr>
        <w:pStyle w:val="Normal0"/>
        <w:jc w:val="both"/>
        <w:rPr>
          <w:rFonts w:ascii="Verdana" w:hAnsi="Verdana"/>
          <w:sz w:val="22"/>
          <w:szCs w:val="22"/>
          <w:lang w:val="en-GB" w:eastAsia="en-GB"/>
        </w:rPr>
      </w:pPr>
      <w:r w:rsidRPr="00E900D0">
        <w:rPr>
          <w:rFonts w:ascii="Verdana" w:hAnsi="Verdana"/>
          <w:sz w:val="22"/>
          <w:szCs w:val="22"/>
          <w:lang w:val="en-GB" w:eastAsia="en-GB"/>
        </w:rPr>
        <w:t>The Chief Constable is required to include a separate police pension account in their Statement of Accounts and is responsible for paying the pension of its former police officers.  The Pension Fund is administered by the Chief Constable in accordance with the Police Pension Fund Regulations 2007 (SI 2007 No 1932).</w:t>
      </w:r>
    </w:p>
    <w:p w14:paraId="509E37C3" w14:textId="77777777" w:rsidR="006F0914" w:rsidRPr="00E900D0" w:rsidRDefault="006F0914" w:rsidP="006F0914">
      <w:pPr>
        <w:pStyle w:val="Normal0"/>
        <w:jc w:val="both"/>
        <w:rPr>
          <w:rFonts w:ascii="Verdana" w:hAnsi="Verdana"/>
          <w:sz w:val="22"/>
          <w:szCs w:val="22"/>
          <w:lang w:val="en-GB" w:eastAsia="en-GB"/>
        </w:rPr>
      </w:pPr>
    </w:p>
    <w:p w14:paraId="60CE07FC" w14:textId="77777777" w:rsidR="006F0914" w:rsidRPr="00E900D0" w:rsidRDefault="006F0914" w:rsidP="006F0914">
      <w:pPr>
        <w:pStyle w:val="Normal0"/>
        <w:jc w:val="both"/>
        <w:rPr>
          <w:rFonts w:ascii="Verdana" w:hAnsi="Verdana"/>
          <w:sz w:val="22"/>
          <w:szCs w:val="22"/>
          <w:lang w:val="en-GB" w:eastAsia="en-GB"/>
        </w:rPr>
      </w:pPr>
      <w:r w:rsidRPr="00E900D0">
        <w:rPr>
          <w:rFonts w:ascii="Verdana" w:hAnsi="Verdana"/>
          <w:sz w:val="22"/>
          <w:szCs w:val="22"/>
          <w:lang w:val="en-GB" w:eastAsia="en-GB"/>
        </w:rPr>
        <w:t>On 1 April 2006 new arrangements came into being for funding and accounting for the Police Pension Schemes.  Before 1 April 2006 these pensions were paid from the Revenue Account and the Authority (preceding the Police Reform and Social Responsibility Act 2011 creating the two corporation sole bodies; the Police and Crime Commissioner for Surrey and the Chief Constable of Surrey) received funding from central government as part of the general funding formula to support payments of pensions.  Prior to 1 April 2006, there were no employer contributions based on pensionable pay and no top-up grants.</w:t>
      </w:r>
    </w:p>
    <w:p w14:paraId="5B1527B6" w14:textId="77777777" w:rsidR="006F0914" w:rsidRPr="00E900D0" w:rsidRDefault="006F0914" w:rsidP="006F0914">
      <w:pPr>
        <w:pStyle w:val="Normal0"/>
        <w:jc w:val="both"/>
        <w:rPr>
          <w:rFonts w:ascii="Verdana" w:hAnsi="Verdana"/>
          <w:sz w:val="22"/>
          <w:szCs w:val="22"/>
          <w:lang w:val="en-GB" w:eastAsia="en-GB"/>
        </w:rPr>
      </w:pPr>
    </w:p>
    <w:p w14:paraId="55A150CD" w14:textId="77777777" w:rsidR="006F0914" w:rsidRPr="00E900D0" w:rsidRDefault="006F0914" w:rsidP="006F0914">
      <w:pPr>
        <w:pStyle w:val="Normal0"/>
        <w:jc w:val="both"/>
        <w:rPr>
          <w:rFonts w:ascii="Verdana" w:hAnsi="Verdana"/>
          <w:sz w:val="22"/>
          <w:szCs w:val="22"/>
          <w:lang w:val="en-GB" w:eastAsia="en-GB"/>
        </w:rPr>
      </w:pPr>
      <w:r w:rsidRPr="00E900D0">
        <w:rPr>
          <w:rFonts w:ascii="Verdana" w:hAnsi="Verdana"/>
          <w:sz w:val="22"/>
          <w:szCs w:val="22"/>
          <w:lang w:val="en-GB" w:eastAsia="en-GB"/>
        </w:rPr>
        <w:t>From 1 April 2006 pensions are paid from a separate local police pensions account, rather than direct from the Income and Expenditure Account.  Overall the change to the financial arrangements for police officer pensions is intended to be ‘cost neutral’ with no impact on either the national or local council tax payer.</w:t>
      </w:r>
    </w:p>
    <w:p w14:paraId="28A5A097" w14:textId="77777777" w:rsidR="006F0914" w:rsidRPr="00E900D0" w:rsidRDefault="006F0914" w:rsidP="006F0914">
      <w:pPr>
        <w:pStyle w:val="Normal0"/>
        <w:jc w:val="both"/>
        <w:rPr>
          <w:rFonts w:ascii="Verdana" w:hAnsi="Verdana"/>
          <w:sz w:val="22"/>
          <w:szCs w:val="22"/>
          <w:lang w:val="en-GB" w:eastAsia="en-GB"/>
        </w:rPr>
      </w:pPr>
    </w:p>
    <w:p w14:paraId="750E8BB5" w14:textId="77777777" w:rsidR="006F0914" w:rsidRPr="00E900D0" w:rsidRDefault="006F0914" w:rsidP="006F0914">
      <w:pPr>
        <w:pStyle w:val="Normal0"/>
        <w:jc w:val="both"/>
        <w:rPr>
          <w:rFonts w:ascii="Verdana" w:hAnsi="Verdana"/>
          <w:sz w:val="22"/>
          <w:szCs w:val="22"/>
          <w:lang w:val="en-GB" w:eastAsia="en-GB"/>
        </w:rPr>
      </w:pPr>
      <w:r w:rsidRPr="00E900D0">
        <w:rPr>
          <w:rFonts w:ascii="Verdana" w:hAnsi="Verdana"/>
          <w:sz w:val="22"/>
          <w:szCs w:val="22"/>
          <w:lang w:val="en-GB" w:eastAsia="en-GB"/>
        </w:rPr>
        <w:t>There are currently three Police Officer pension schemes. Officers in the ‘old scheme’ currently contribute between 14.25% and 15.05% depending upon level of basic annual salary (prior to 1 April 2012 officers in the ‘old scheme’ contributed 11% of pensionable pay).  Officers in the ‘new scheme’ currently contribute between 11.0% and 12.75% depending upon level of basic annual salary (prior to 1 April 2012 officers in the ‘new scheme’ contributed 9.5% of earnings or 6% if ineligible for ill-health benefits).  From 1 April 2015 the Police Pensions Scheme 2015 came into effect and all current active members were transferred to this scheme – with the exception of those qualifying for protections allowing them to remain in their current scheme.  Officers contribute between 12.44% and 13.78% depending on their basic salary.  The Chief Constable makes an employer’s contribution of 31% of pensionable pay.  Employee’s and Employer’s contribution levels are based on percentages of pensionable pay set nationally by the Home Office and are subject to triennial revaluation by the Government Actuary’s Department.  The Police Pension scheme has no assets to cover it liabilities, therefore the total payments to pensioners in any year must be paid for by current officer and employer contributions.</w:t>
      </w:r>
    </w:p>
    <w:p w14:paraId="4A128A33" w14:textId="77777777" w:rsidR="006F0914" w:rsidRPr="00E900D0" w:rsidRDefault="006F0914" w:rsidP="006F0914">
      <w:pPr>
        <w:pStyle w:val="Normal0"/>
        <w:jc w:val="both"/>
        <w:rPr>
          <w:rFonts w:ascii="Verdana" w:eastAsia="Times New Roman" w:hAnsi="Verdana"/>
          <w:sz w:val="22"/>
          <w:szCs w:val="22"/>
          <w:lang w:val="en-GB" w:eastAsia="en-GB"/>
        </w:rPr>
      </w:pPr>
    </w:p>
    <w:p w14:paraId="444CB2A6" w14:textId="77777777" w:rsidR="006F0914" w:rsidRPr="00E900D0" w:rsidRDefault="006F0914" w:rsidP="006F0914">
      <w:pPr>
        <w:pStyle w:val="Normal0"/>
        <w:jc w:val="both"/>
        <w:rPr>
          <w:rFonts w:ascii="Verdana" w:eastAsia="Times New Roman" w:hAnsi="Verdana"/>
          <w:sz w:val="22"/>
          <w:szCs w:val="22"/>
          <w:lang w:val="en-GB" w:eastAsia="en-GB"/>
        </w:rPr>
      </w:pPr>
      <w:r w:rsidRPr="00E900D0">
        <w:rPr>
          <w:rFonts w:ascii="Verdana" w:eastAsia="Times New Roman" w:hAnsi="Verdana"/>
          <w:sz w:val="22"/>
          <w:szCs w:val="22"/>
          <w:lang w:val="en-GB" w:eastAsia="en-GB"/>
        </w:rPr>
        <w:t xml:space="preserve">Under the current financing arrangements the Pension Account is balanced to nil at the end of the year.  In the event that the Pension Account is in deficit, the Home Office partially reimburse the Police and Crime Commissioner and the remaining amount required to balance it to nil is met from the Police Operating Account.  </w:t>
      </w:r>
    </w:p>
    <w:p w14:paraId="4D6E6844" w14:textId="77777777" w:rsidR="006F0914" w:rsidRPr="00E900D0" w:rsidRDefault="006F0914" w:rsidP="006F0914">
      <w:pPr>
        <w:pStyle w:val="Normal0"/>
        <w:jc w:val="both"/>
        <w:rPr>
          <w:rFonts w:ascii="Verdana" w:eastAsia="Times New Roman" w:hAnsi="Verdana"/>
          <w:sz w:val="22"/>
          <w:szCs w:val="22"/>
          <w:lang w:val="en-GB" w:eastAsia="en-GB"/>
        </w:rPr>
      </w:pPr>
    </w:p>
    <w:p w14:paraId="1FA2CA01" w14:textId="77777777" w:rsidR="006F0914" w:rsidRPr="00E900D0" w:rsidRDefault="006F0914" w:rsidP="006F0914">
      <w:pPr>
        <w:pStyle w:val="Normal0"/>
        <w:jc w:val="both"/>
        <w:rPr>
          <w:rFonts w:ascii="Verdana" w:eastAsia="Times New Roman" w:hAnsi="Verdana"/>
          <w:sz w:val="22"/>
          <w:szCs w:val="22"/>
          <w:lang w:val="en-GB" w:eastAsia="en-GB"/>
        </w:rPr>
      </w:pPr>
      <w:r w:rsidRPr="00E900D0">
        <w:rPr>
          <w:rFonts w:ascii="Verdana" w:eastAsia="Times New Roman" w:hAnsi="Verdana"/>
          <w:sz w:val="22"/>
          <w:szCs w:val="22"/>
          <w:lang w:val="en-GB" w:eastAsia="en-GB"/>
        </w:rPr>
        <w:t xml:space="preserve">The Net Asset Statement does not include liabilities to pay pensions and other benefits after the balance sheet date.  </w:t>
      </w:r>
    </w:p>
    <w:p w14:paraId="432C3EE9" w14:textId="77777777" w:rsidR="006F0914" w:rsidRPr="00E900D0" w:rsidRDefault="006F0914" w:rsidP="006F0914">
      <w:pPr>
        <w:pStyle w:val="Normal0"/>
        <w:jc w:val="both"/>
        <w:rPr>
          <w:rFonts w:ascii="Verdana" w:eastAsia="Times New Roman" w:hAnsi="Verdana"/>
          <w:sz w:val="22"/>
          <w:szCs w:val="22"/>
          <w:lang w:val="en-GB" w:eastAsia="en-GB"/>
        </w:rPr>
      </w:pPr>
    </w:p>
    <w:p w14:paraId="1376537A" w14:textId="77777777" w:rsidR="006F0914" w:rsidRPr="00E900D0" w:rsidRDefault="006F0914" w:rsidP="006F0914">
      <w:pPr>
        <w:pStyle w:val="Normal0"/>
        <w:jc w:val="both"/>
        <w:rPr>
          <w:rFonts w:ascii="Verdana" w:eastAsia="Times New Roman" w:hAnsi="Verdana"/>
          <w:sz w:val="22"/>
          <w:szCs w:val="22"/>
          <w:lang w:val="en-GB" w:eastAsia="en-GB"/>
        </w:rPr>
      </w:pPr>
      <w:r w:rsidRPr="00E900D0">
        <w:rPr>
          <w:rFonts w:ascii="Verdana" w:eastAsia="Times New Roman" w:hAnsi="Verdana"/>
          <w:sz w:val="22"/>
          <w:szCs w:val="22"/>
          <w:lang w:val="en-GB" w:eastAsia="en-GB"/>
        </w:rPr>
        <w:t xml:space="preserve">Liabilities to pay future pension benefits have been disclosed separately at </w:t>
      </w:r>
      <w:r w:rsidRPr="00355708">
        <w:rPr>
          <w:rFonts w:ascii="Verdana" w:eastAsia="Times New Roman" w:hAnsi="Verdana"/>
          <w:sz w:val="22"/>
          <w:szCs w:val="22"/>
          <w:highlight w:val="yellow"/>
          <w:lang w:val="en-GB" w:eastAsia="en-GB"/>
        </w:rPr>
        <w:t>Note 1</w:t>
      </w:r>
      <w:r w:rsidR="003E513C" w:rsidRPr="00355708">
        <w:rPr>
          <w:rFonts w:ascii="Verdana" w:eastAsia="Times New Roman" w:hAnsi="Verdana"/>
          <w:sz w:val="22"/>
          <w:szCs w:val="22"/>
          <w:highlight w:val="yellow"/>
          <w:lang w:val="en-GB" w:eastAsia="en-GB"/>
        </w:rPr>
        <w:t>7</w:t>
      </w:r>
      <w:r w:rsidRPr="00E900D0">
        <w:rPr>
          <w:rFonts w:ascii="Verdana" w:eastAsia="Times New Roman" w:hAnsi="Verdana"/>
          <w:sz w:val="22"/>
          <w:szCs w:val="22"/>
          <w:lang w:val="en-GB" w:eastAsia="en-GB"/>
        </w:rPr>
        <w:t xml:space="preserve"> in accordance with IAS 19 ‘Employee Benefits’.</w:t>
      </w:r>
    </w:p>
    <w:p w14:paraId="3D6D3933" w14:textId="77777777" w:rsidR="006F0914" w:rsidRPr="00E900D0" w:rsidRDefault="006F0914" w:rsidP="006F0914">
      <w:pPr>
        <w:pStyle w:val="Normal0"/>
        <w:jc w:val="both"/>
        <w:rPr>
          <w:rFonts w:ascii="Verdana" w:eastAsia="Times New Roman" w:hAnsi="Verdana"/>
          <w:sz w:val="22"/>
          <w:szCs w:val="22"/>
          <w:lang w:val="en-GB" w:eastAsia="en-GB"/>
        </w:rPr>
      </w:pPr>
    </w:p>
    <w:p w14:paraId="2238371D" w14:textId="77777777" w:rsidR="006F0914" w:rsidRDefault="006F0914" w:rsidP="006F0914">
      <w:pPr>
        <w:pStyle w:val="Normal0"/>
        <w:jc w:val="both"/>
        <w:rPr>
          <w:rFonts w:ascii="Verdana" w:eastAsia="Times New Roman" w:hAnsi="Verdana"/>
          <w:sz w:val="22"/>
          <w:szCs w:val="22"/>
          <w:lang w:val="en-GB" w:eastAsia="en-GB"/>
        </w:rPr>
      </w:pPr>
      <w:r w:rsidRPr="00E900D0">
        <w:rPr>
          <w:rFonts w:ascii="Verdana" w:eastAsia="Times New Roman" w:hAnsi="Verdana"/>
          <w:sz w:val="22"/>
          <w:szCs w:val="22"/>
          <w:lang w:val="en-GB" w:eastAsia="en-GB"/>
        </w:rPr>
        <w:t>The New Police Pension Scheme (NPPS) applies to police entrants who joined the service on or after 6 April 2006 up to 31 March 2015, or who chose to transfer from the previous Police Pension Scheme (</w:t>
      </w:r>
      <w:smartTag w:uri="urn:schemas-microsoft-com:office:smarttags" w:element="stockticker">
        <w:r w:rsidRPr="00E900D0">
          <w:rPr>
            <w:rFonts w:ascii="Verdana" w:eastAsia="Times New Roman" w:hAnsi="Verdana"/>
            <w:sz w:val="22"/>
            <w:szCs w:val="22"/>
            <w:lang w:val="en-GB" w:eastAsia="en-GB"/>
          </w:rPr>
          <w:t>PPS</w:t>
        </w:r>
      </w:smartTag>
      <w:r w:rsidRPr="00E900D0">
        <w:rPr>
          <w:rFonts w:ascii="Verdana" w:eastAsia="Times New Roman" w:hAnsi="Verdana"/>
          <w:sz w:val="22"/>
          <w:szCs w:val="22"/>
          <w:lang w:val="en-GB" w:eastAsia="en-GB"/>
        </w:rPr>
        <w:t>) to the NPPS.  The Police Pensions Scheme 2015 applies to all current active members who do not qualify for any protections allowing them to remain in their original scheme.  Benefits payable under all three schemes</w:t>
      </w:r>
      <w:r w:rsidR="00E900D0">
        <w:rPr>
          <w:rFonts w:ascii="Verdana" w:eastAsia="Times New Roman" w:hAnsi="Verdana"/>
          <w:sz w:val="22"/>
          <w:szCs w:val="22"/>
          <w:lang w:val="en-GB" w:eastAsia="en-GB"/>
        </w:rPr>
        <w:t xml:space="preserve"> are shown in tabular form</w:t>
      </w:r>
      <w:r w:rsidRPr="00E900D0">
        <w:rPr>
          <w:rFonts w:ascii="Verdana" w:eastAsia="Times New Roman" w:hAnsi="Verdana"/>
          <w:sz w:val="22"/>
          <w:szCs w:val="22"/>
          <w:lang w:val="en-GB" w:eastAsia="en-GB"/>
        </w:rPr>
        <w:t>:</w:t>
      </w:r>
    </w:p>
    <w:p w14:paraId="61A7285A" w14:textId="77777777" w:rsidR="00E900D0" w:rsidRDefault="00E900D0" w:rsidP="006F0914">
      <w:pPr>
        <w:pStyle w:val="Normal0"/>
        <w:jc w:val="both"/>
        <w:rPr>
          <w:rFonts w:ascii="Verdana" w:eastAsia="Times New Roman" w:hAnsi="Verdana"/>
          <w:sz w:val="22"/>
          <w:szCs w:val="22"/>
          <w:lang w:val="en-GB" w:eastAsia="en-GB"/>
        </w:rPr>
      </w:pPr>
    </w:p>
    <w:p w14:paraId="64C3F636" w14:textId="77777777" w:rsidR="00E900D0" w:rsidRDefault="00E900D0" w:rsidP="006F0914">
      <w:pPr>
        <w:pStyle w:val="Normal0"/>
        <w:jc w:val="both"/>
        <w:rPr>
          <w:rFonts w:ascii="Verdana" w:eastAsia="Times New Roman" w:hAnsi="Verdana"/>
          <w:sz w:val="22"/>
          <w:szCs w:val="22"/>
          <w:lang w:val="en-GB" w:eastAsia="en-GB"/>
        </w:rPr>
      </w:pPr>
    </w:p>
    <w:p w14:paraId="4CC95693" w14:textId="77777777" w:rsidR="00E900D0" w:rsidRDefault="00E900D0" w:rsidP="006F0914">
      <w:pPr>
        <w:pStyle w:val="Normal0"/>
        <w:jc w:val="both"/>
        <w:rPr>
          <w:rFonts w:ascii="Verdana" w:eastAsia="Times New Roman" w:hAnsi="Verdana"/>
          <w:sz w:val="22"/>
          <w:szCs w:val="22"/>
          <w:lang w:val="en-GB" w:eastAsia="en-GB"/>
        </w:rPr>
      </w:pPr>
    </w:p>
    <w:p w14:paraId="630B20E3" w14:textId="77777777" w:rsidR="00E900D0" w:rsidRPr="00E900D0" w:rsidRDefault="00E900D0" w:rsidP="006F0914">
      <w:pPr>
        <w:pStyle w:val="Normal0"/>
        <w:jc w:val="both"/>
        <w:rPr>
          <w:rFonts w:ascii="Verdana" w:eastAsia="Times New Roman" w:hAnsi="Verdana"/>
          <w:sz w:val="22"/>
          <w:szCs w:val="22"/>
          <w:lang w:val="en-GB" w:eastAsia="en-GB"/>
        </w:rPr>
      </w:pPr>
    </w:p>
    <w:p w14:paraId="3CF99C5A" w14:textId="77777777" w:rsidR="006F0914" w:rsidRPr="00E900D0" w:rsidRDefault="006F0914" w:rsidP="006F0914">
      <w:pPr>
        <w:pStyle w:val="Normal00"/>
        <w:ind w:left="500"/>
        <w:rPr>
          <w:rFonts w:ascii="Verdana" w:eastAsia="Times New Roman" w:hAnsi="Verdana" w:cs="Arial"/>
          <w:sz w:val="22"/>
          <w:szCs w:val="22"/>
          <w:lang w:val="en-GB" w:eastAsia="en-GB"/>
        </w:rPr>
      </w:pPr>
    </w:p>
    <w:tbl>
      <w:tblPr>
        <w:tblW w:w="13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3852"/>
        <w:gridCol w:w="3448"/>
        <w:gridCol w:w="3814"/>
      </w:tblGrid>
      <w:tr w:rsidR="006F0914" w14:paraId="1849F8B3" w14:textId="77777777" w:rsidTr="00E900D0">
        <w:trPr>
          <w:trHeight w:val="344"/>
          <w:jc w:val="center"/>
        </w:trPr>
        <w:tc>
          <w:tcPr>
            <w:tcW w:w="2474" w:type="dxa"/>
            <w:shd w:val="clear" w:color="auto" w:fill="auto"/>
          </w:tcPr>
          <w:p w14:paraId="4EEFF426" w14:textId="77777777" w:rsidR="006F0914" w:rsidRPr="00E900D0" w:rsidRDefault="006F0914" w:rsidP="007C11F3">
            <w:pPr>
              <w:pStyle w:val="Normal00"/>
              <w:tabs>
                <w:tab w:val="center" w:pos="4153"/>
                <w:tab w:val="right" w:pos="8306"/>
              </w:tabs>
              <w:rPr>
                <w:rFonts w:ascii="Verdana" w:eastAsia="Times New Roman" w:hAnsi="Verdana" w:cs="Arial"/>
                <w:b/>
                <w:sz w:val="20"/>
                <w:szCs w:val="20"/>
                <w:lang w:val="en-GB" w:eastAsia="en-GB"/>
              </w:rPr>
            </w:pPr>
          </w:p>
        </w:tc>
        <w:tc>
          <w:tcPr>
            <w:tcW w:w="3852" w:type="dxa"/>
            <w:shd w:val="clear" w:color="auto" w:fill="auto"/>
            <w:vAlign w:val="center"/>
          </w:tcPr>
          <w:p w14:paraId="66762C45" w14:textId="77777777" w:rsidR="006F0914" w:rsidRPr="00E900D0" w:rsidRDefault="006F0914" w:rsidP="007C11F3">
            <w:pPr>
              <w:pStyle w:val="Normal00"/>
              <w:tabs>
                <w:tab w:val="center" w:pos="4153"/>
                <w:tab w:val="right" w:pos="8306"/>
              </w:tabs>
              <w:rPr>
                <w:rFonts w:ascii="Verdana" w:eastAsia="Times New Roman" w:hAnsi="Verdana" w:cs="Arial"/>
                <w:b/>
                <w:sz w:val="20"/>
                <w:szCs w:val="20"/>
                <w:lang w:val="en-GB" w:eastAsia="en-GB"/>
              </w:rPr>
            </w:pPr>
            <w:r w:rsidRPr="00E900D0">
              <w:rPr>
                <w:rFonts w:ascii="Verdana" w:eastAsia="Times New Roman" w:hAnsi="Verdana" w:cs="Arial"/>
                <w:b/>
                <w:sz w:val="20"/>
                <w:szCs w:val="20"/>
                <w:lang w:val="en-GB" w:eastAsia="en-GB"/>
              </w:rPr>
              <w:t>Police Pension Scheme (</w:t>
            </w:r>
            <w:smartTag w:uri="urn:schemas-microsoft-com:office:smarttags" w:element="stockticker">
              <w:r w:rsidRPr="00E900D0">
                <w:rPr>
                  <w:rFonts w:ascii="Verdana" w:eastAsia="Times New Roman" w:hAnsi="Verdana" w:cs="Arial"/>
                  <w:b/>
                  <w:sz w:val="20"/>
                  <w:szCs w:val="20"/>
                  <w:lang w:val="en-GB" w:eastAsia="en-GB"/>
                </w:rPr>
                <w:t>PPS</w:t>
              </w:r>
            </w:smartTag>
            <w:r w:rsidRPr="00E900D0">
              <w:rPr>
                <w:rFonts w:ascii="Verdana" w:eastAsia="Times New Roman" w:hAnsi="Verdana" w:cs="Arial"/>
                <w:b/>
                <w:sz w:val="20"/>
                <w:szCs w:val="20"/>
                <w:lang w:val="en-GB" w:eastAsia="en-GB"/>
              </w:rPr>
              <w:t>) (1987)</w:t>
            </w:r>
          </w:p>
        </w:tc>
        <w:tc>
          <w:tcPr>
            <w:tcW w:w="3448" w:type="dxa"/>
            <w:shd w:val="clear" w:color="auto" w:fill="auto"/>
            <w:vAlign w:val="center"/>
          </w:tcPr>
          <w:p w14:paraId="5E8D446E" w14:textId="77777777" w:rsidR="006F0914" w:rsidRPr="00E900D0" w:rsidRDefault="006F0914" w:rsidP="007C11F3">
            <w:pPr>
              <w:pStyle w:val="Normal00"/>
              <w:tabs>
                <w:tab w:val="left" w:pos="1667"/>
                <w:tab w:val="center" w:pos="4153"/>
                <w:tab w:val="right" w:pos="8306"/>
              </w:tabs>
              <w:jc w:val="center"/>
              <w:rPr>
                <w:rFonts w:ascii="Verdana" w:eastAsia="Times New Roman" w:hAnsi="Verdana" w:cs="Arial"/>
                <w:b/>
                <w:sz w:val="20"/>
                <w:szCs w:val="20"/>
                <w:lang w:val="en-GB" w:eastAsia="en-GB"/>
              </w:rPr>
            </w:pPr>
            <w:r w:rsidRPr="00E900D0">
              <w:rPr>
                <w:rFonts w:ascii="Verdana" w:eastAsia="Times New Roman" w:hAnsi="Verdana" w:cs="Arial"/>
                <w:b/>
                <w:sz w:val="20"/>
                <w:szCs w:val="20"/>
                <w:lang w:val="en-GB" w:eastAsia="en-GB"/>
              </w:rPr>
              <w:t>New Police Pension Scheme (NPP) (2006)</w:t>
            </w:r>
          </w:p>
        </w:tc>
        <w:tc>
          <w:tcPr>
            <w:tcW w:w="3814" w:type="dxa"/>
            <w:shd w:val="clear" w:color="auto" w:fill="auto"/>
          </w:tcPr>
          <w:p w14:paraId="6C872958" w14:textId="77777777" w:rsidR="006F0914" w:rsidRPr="00E900D0" w:rsidRDefault="006F0914" w:rsidP="007C11F3">
            <w:pPr>
              <w:pStyle w:val="Normal00"/>
              <w:tabs>
                <w:tab w:val="left" w:pos="1667"/>
                <w:tab w:val="center" w:pos="4153"/>
                <w:tab w:val="right" w:pos="8306"/>
              </w:tabs>
              <w:jc w:val="center"/>
              <w:rPr>
                <w:rFonts w:ascii="Verdana" w:eastAsia="Times New Roman" w:hAnsi="Verdana" w:cs="Arial"/>
                <w:b/>
                <w:sz w:val="20"/>
                <w:szCs w:val="20"/>
                <w:lang w:val="en-GB" w:eastAsia="en-GB"/>
              </w:rPr>
            </w:pPr>
            <w:r w:rsidRPr="00E900D0">
              <w:rPr>
                <w:rFonts w:ascii="Verdana" w:eastAsia="Times New Roman" w:hAnsi="Verdana" w:cs="Arial"/>
                <w:b/>
                <w:sz w:val="20"/>
                <w:szCs w:val="20"/>
                <w:lang w:val="en-GB" w:eastAsia="en-GB"/>
              </w:rPr>
              <w:t>Police Pensions Scheme 2015</w:t>
            </w:r>
          </w:p>
        </w:tc>
      </w:tr>
      <w:tr w:rsidR="006F0914" w14:paraId="603B65A9" w14:textId="77777777" w:rsidTr="00E900D0">
        <w:trPr>
          <w:trHeight w:val="701"/>
          <w:jc w:val="center"/>
        </w:trPr>
        <w:tc>
          <w:tcPr>
            <w:tcW w:w="2474" w:type="dxa"/>
            <w:shd w:val="clear" w:color="auto" w:fill="auto"/>
          </w:tcPr>
          <w:p w14:paraId="68D6BBDF" w14:textId="77777777" w:rsidR="006F0914" w:rsidRPr="00E900D0" w:rsidRDefault="006F0914" w:rsidP="007C11F3">
            <w:pPr>
              <w:pStyle w:val="Normal00"/>
              <w:tabs>
                <w:tab w:val="center" w:pos="4153"/>
                <w:tab w:val="right" w:pos="8306"/>
              </w:tabs>
              <w:rPr>
                <w:rFonts w:ascii="Verdana" w:eastAsia="Times New Roman" w:hAnsi="Verdana" w:cs="Arial"/>
                <w:sz w:val="20"/>
                <w:szCs w:val="20"/>
                <w:lang w:val="en-GB" w:eastAsia="en-GB"/>
              </w:rPr>
            </w:pPr>
            <w:r w:rsidRPr="00E900D0">
              <w:rPr>
                <w:rFonts w:ascii="Verdana" w:eastAsia="Times New Roman" w:hAnsi="Verdana" w:cs="Arial"/>
                <w:sz w:val="20"/>
                <w:szCs w:val="20"/>
                <w:lang w:val="en-GB" w:eastAsia="en-GB"/>
              </w:rPr>
              <w:t>What is maximum pension</w:t>
            </w:r>
          </w:p>
        </w:tc>
        <w:tc>
          <w:tcPr>
            <w:tcW w:w="3852" w:type="dxa"/>
            <w:shd w:val="clear" w:color="auto" w:fill="auto"/>
          </w:tcPr>
          <w:p w14:paraId="10F259D8" w14:textId="77777777" w:rsidR="006F0914" w:rsidRPr="00E900D0" w:rsidRDefault="006F0914" w:rsidP="007C11F3">
            <w:pPr>
              <w:pStyle w:val="Normal00"/>
              <w:tabs>
                <w:tab w:val="center" w:pos="4153"/>
                <w:tab w:val="right" w:pos="8306"/>
              </w:tabs>
              <w:rPr>
                <w:rFonts w:ascii="Verdana" w:eastAsia="Times New Roman" w:hAnsi="Verdana" w:cs="Arial"/>
                <w:sz w:val="20"/>
                <w:szCs w:val="20"/>
                <w:lang w:val="en-GB" w:eastAsia="en-GB"/>
              </w:rPr>
            </w:pPr>
            <w:r w:rsidRPr="00E900D0">
              <w:rPr>
                <w:rFonts w:ascii="Verdana" w:eastAsia="Times New Roman" w:hAnsi="Verdana" w:cs="Arial"/>
                <w:sz w:val="20"/>
                <w:szCs w:val="20"/>
                <w:lang w:val="en-GB" w:eastAsia="en-GB"/>
              </w:rPr>
              <w:t>2/3 final salary, with option to exchange part of the pension for a lump sum</w:t>
            </w:r>
          </w:p>
        </w:tc>
        <w:tc>
          <w:tcPr>
            <w:tcW w:w="3448" w:type="dxa"/>
            <w:shd w:val="clear" w:color="auto" w:fill="auto"/>
          </w:tcPr>
          <w:p w14:paraId="3C6D624D" w14:textId="77777777" w:rsidR="006F0914" w:rsidRPr="00E900D0" w:rsidRDefault="006F0914" w:rsidP="007C11F3">
            <w:pPr>
              <w:pStyle w:val="Normal00"/>
              <w:tabs>
                <w:tab w:val="center" w:pos="4153"/>
                <w:tab w:val="right" w:pos="8306"/>
              </w:tabs>
              <w:rPr>
                <w:rFonts w:ascii="Verdana" w:eastAsia="Times New Roman" w:hAnsi="Verdana" w:cs="Arial"/>
                <w:sz w:val="20"/>
                <w:szCs w:val="20"/>
                <w:lang w:val="en-GB" w:eastAsia="en-GB"/>
              </w:rPr>
            </w:pPr>
            <w:r w:rsidRPr="00E900D0">
              <w:rPr>
                <w:rFonts w:ascii="Verdana" w:eastAsia="Times New Roman" w:hAnsi="Verdana" w:cs="Arial"/>
                <w:sz w:val="20"/>
                <w:szCs w:val="20"/>
                <w:lang w:val="en-GB" w:eastAsia="en-GB"/>
              </w:rPr>
              <w:t>½ final salary plus fixed lump sum of 4 times the pension, with option to exchange part or all of lump sum for extra pension</w:t>
            </w:r>
          </w:p>
        </w:tc>
        <w:tc>
          <w:tcPr>
            <w:tcW w:w="3814" w:type="dxa"/>
            <w:shd w:val="clear" w:color="auto" w:fill="auto"/>
          </w:tcPr>
          <w:p w14:paraId="4B60EB9B" w14:textId="77777777" w:rsidR="006F0914" w:rsidRPr="00E900D0" w:rsidRDefault="006F0914" w:rsidP="007C11F3">
            <w:pPr>
              <w:pStyle w:val="Normal00"/>
              <w:tabs>
                <w:tab w:val="center" w:pos="4153"/>
                <w:tab w:val="right" w:pos="8306"/>
              </w:tabs>
              <w:rPr>
                <w:rFonts w:ascii="Verdana" w:eastAsia="Times New Roman" w:hAnsi="Verdana" w:cs="Arial"/>
                <w:sz w:val="20"/>
                <w:szCs w:val="20"/>
                <w:lang w:val="en-GB" w:eastAsia="en-GB"/>
              </w:rPr>
            </w:pPr>
            <w:r w:rsidRPr="00E900D0">
              <w:rPr>
                <w:rFonts w:ascii="Verdana" w:eastAsia="Times New Roman" w:hAnsi="Verdana" w:cs="Arial"/>
                <w:sz w:val="20"/>
                <w:szCs w:val="20"/>
                <w:lang w:val="en-GB" w:eastAsia="en-GB"/>
              </w:rPr>
              <w:t>Pension at retirement is the sum of each of the accrued pension pots, subject to revaluation at a rate of CPI +1.25% per year</w:t>
            </w:r>
          </w:p>
        </w:tc>
      </w:tr>
      <w:tr w:rsidR="006F0914" w14:paraId="1EE26C07" w14:textId="77777777" w:rsidTr="00E900D0">
        <w:trPr>
          <w:trHeight w:val="410"/>
          <w:jc w:val="center"/>
        </w:trPr>
        <w:tc>
          <w:tcPr>
            <w:tcW w:w="2474" w:type="dxa"/>
            <w:shd w:val="clear" w:color="auto" w:fill="auto"/>
          </w:tcPr>
          <w:p w14:paraId="61B7E1C1" w14:textId="77777777" w:rsidR="006F0914" w:rsidRPr="00E900D0" w:rsidRDefault="006F0914" w:rsidP="007C11F3">
            <w:pPr>
              <w:pStyle w:val="Normal00"/>
              <w:tabs>
                <w:tab w:val="center" w:pos="4153"/>
                <w:tab w:val="right" w:pos="8306"/>
              </w:tabs>
              <w:rPr>
                <w:rFonts w:ascii="Verdana" w:eastAsia="Times New Roman" w:hAnsi="Verdana" w:cs="Arial"/>
                <w:sz w:val="20"/>
                <w:szCs w:val="20"/>
                <w:lang w:val="en-GB" w:eastAsia="en-GB"/>
              </w:rPr>
            </w:pPr>
            <w:r w:rsidRPr="00E900D0">
              <w:rPr>
                <w:rFonts w:ascii="Verdana" w:eastAsia="Times New Roman" w:hAnsi="Verdana" w:cs="Arial"/>
                <w:sz w:val="20"/>
                <w:szCs w:val="20"/>
                <w:lang w:val="en-GB" w:eastAsia="en-GB"/>
              </w:rPr>
              <w:t>Final salary basis</w:t>
            </w:r>
          </w:p>
        </w:tc>
        <w:tc>
          <w:tcPr>
            <w:tcW w:w="3852" w:type="dxa"/>
            <w:shd w:val="clear" w:color="auto" w:fill="auto"/>
          </w:tcPr>
          <w:p w14:paraId="665C8F63" w14:textId="77777777" w:rsidR="006F0914" w:rsidRPr="00E900D0" w:rsidRDefault="006F0914" w:rsidP="007C11F3">
            <w:pPr>
              <w:pStyle w:val="Normal00"/>
              <w:tabs>
                <w:tab w:val="center" w:pos="4153"/>
                <w:tab w:val="right" w:pos="8306"/>
              </w:tabs>
              <w:rPr>
                <w:rFonts w:ascii="Verdana" w:eastAsia="Times New Roman" w:hAnsi="Verdana" w:cs="Arial"/>
                <w:sz w:val="20"/>
                <w:szCs w:val="20"/>
                <w:lang w:val="en-GB" w:eastAsia="en-GB"/>
              </w:rPr>
            </w:pPr>
            <w:r w:rsidRPr="00E900D0">
              <w:rPr>
                <w:rFonts w:ascii="Verdana" w:eastAsia="Times New Roman" w:hAnsi="Verdana" w:cs="Arial"/>
                <w:sz w:val="20"/>
                <w:szCs w:val="20"/>
                <w:lang w:val="en-GB" w:eastAsia="en-GB"/>
              </w:rPr>
              <w:t>Pensionable remuneration is normally the average remuneration in the employee’s final year</w:t>
            </w:r>
          </w:p>
        </w:tc>
        <w:tc>
          <w:tcPr>
            <w:tcW w:w="3448" w:type="dxa"/>
            <w:shd w:val="clear" w:color="auto" w:fill="auto"/>
            <w:vAlign w:val="center"/>
          </w:tcPr>
          <w:p w14:paraId="07F5C6D9" w14:textId="77777777" w:rsidR="006F0914" w:rsidRPr="00E900D0" w:rsidRDefault="006F0914" w:rsidP="007C11F3">
            <w:pPr>
              <w:pStyle w:val="Normal00"/>
              <w:tabs>
                <w:tab w:val="center" w:pos="4153"/>
                <w:tab w:val="right" w:pos="8306"/>
              </w:tabs>
              <w:rPr>
                <w:rFonts w:ascii="Verdana" w:eastAsia="Times New Roman" w:hAnsi="Verdana" w:cs="Arial"/>
                <w:sz w:val="20"/>
                <w:szCs w:val="20"/>
                <w:lang w:val="en-GB" w:eastAsia="en-GB"/>
              </w:rPr>
            </w:pPr>
            <w:r w:rsidRPr="00E900D0">
              <w:rPr>
                <w:rFonts w:ascii="Verdana" w:eastAsia="Times New Roman" w:hAnsi="Verdana" w:cs="Arial"/>
                <w:sz w:val="20"/>
                <w:szCs w:val="20"/>
                <w:lang w:val="en-GB" w:eastAsia="en-GB"/>
              </w:rPr>
              <w:t>Earnings over the last ten years are taken into account via best average over 3 consecutive years</w:t>
            </w:r>
          </w:p>
        </w:tc>
        <w:tc>
          <w:tcPr>
            <w:tcW w:w="3814" w:type="dxa"/>
            <w:shd w:val="clear" w:color="auto" w:fill="auto"/>
          </w:tcPr>
          <w:p w14:paraId="7ADA2C4C" w14:textId="77777777" w:rsidR="006F0914" w:rsidRPr="00E900D0" w:rsidRDefault="006F0914" w:rsidP="007C11F3">
            <w:pPr>
              <w:pStyle w:val="Normal00"/>
              <w:tabs>
                <w:tab w:val="center" w:pos="4153"/>
                <w:tab w:val="right" w:pos="8306"/>
              </w:tabs>
              <w:rPr>
                <w:rFonts w:ascii="Verdana" w:eastAsia="Times New Roman" w:hAnsi="Verdana" w:cs="Arial"/>
                <w:sz w:val="20"/>
                <w:szCs w:val="20"/>
                <w:lang w:val="en-GB" w:eastAsia="en-GB"/>
              </w:rPr>
            </w:pPr>
            <w:r w:rsidRPr="00E900D0">
              <w:rPr>
                <w:rFonts w:ascii="Verdana" w:eastAsia="Times New Roman" w:hAnsi="Verdana" w:cs="Arial"/>
                <w:sz w:val="20"/>
                <w:szCs w:val="20"/>
                <w:lang w:val="en-GB" w:eastAsia="en-GB"/>
              </w:rPr>
              <w:t>Scheme is a Career Average Revalued Earnings scheme</w:t>
            </w:r>
          </w:p>
        </w:tc>
      </w:tr>
      <w:tr w:rsidR="006F0914" w14:paraId="259964C9" w14:textId="77777777" w:rsidTr="00E900D0">
        <w:trPr>
          <w:trHeight w:val="407"/>
          <w:jc w:val="center"/>
        </w:trPr>
        <w:tc>
          <w:tcPr>
            <w:tcW w:w="2474" w:type="dxa"/>
            <w:shd w:val="clear" w:color="auto" w:fill="auto"/>
          </w:tcPr>
          <w:p w14:paraId="6F570B4D" w14:textId="77777777" w:rsidR="006F0914" w:rsidRPr="00E900D0" w:rsidRDefault="006F0914" w:rsidP="007C11F3">
            <w:pPr>
              <w:pStyle w:val="Normal00"/>
              <w:tabs>
                <w:tab w:val="center" w:pos="4153"/>
                <w:tab w:val="right" w:pos="8306"/>
              </w:tabs>
              <w:rPr>
                <w:rFonts w:ascii="Verdana" w:eastAsia="Times New Roman" w:hAnsi="Verdana" w:cs="Arial"/>
                <w:sz w:val="20"/>
                <w:szCs w:val="20"/>
                <w:lang w:val="en-GB" w:eastAsia="en-GB"/>
              </w:rPr>
            </w:pPr>
            <w:r w:rsidRPr="00E900D0">
              <w:rPr>
                <w:rFonts w:ascii="Verdana" w:eastAsia="Times New Roman" w:hAnsi="Verdana" w:cs="Arial"/>
                <w:sz w:val="20"/>
                <w:szCs w:val="20"/>
                <w:lang w:val="en-GB" w:eastAsia="en-GB"/>
              </w:rPr>
              <w:t>Length of service for maximum pension</w:t>
            </w:r>
          </w:p>
        </w:tc>
        <w:tc>
          <w:tcPr>
            <w:tcW w:w="3852" w:type="dxa"/>
            <w:shd w:val="clear" w:color="auto" w:fill="auto"/>
            <w:vAlign w:val="center"/>
          </w:tcPr>
          <w:p w14:paraId="7959831A" w14:textId="77777777" w:rsidR="006F0914" w:rsidRPr="00E900D0" w:rsidRDefault="006F0914" w:rsidP="007C11F3">
            <w:pPr>
              <w:pStyle w:val="Normal00"/>
              <w:tabs>
                <w:tab w:val="center" w:pos="4153"/>
                <w:tab w:val="right" w:pos="8306"/>
              </w:tabs>
              <w:rPr>
                <w:rFonts w:ascii="Verdana" w:eastAsia="Times New Roman" w:hAnsi="Verdana" w:cs="Arial"/>
                <w:sz w:val="20"/>
                <w:szCs w:val="20"/>
                <w:lang w:val="en-GB" w:eastAsia="en-GB"/>
              </w:rPr>
            </w:pPr>
            <w:r w:rsidRPr="00E900D0">
              <w:rPr>
                <w:rFonts w:ascii="Verdana" w:eastAsia="Times New Roman" w:hAnsi="Verdana" w:cs="Arial"/>
                <w:sz w:val="20"/>
                <w:szCs w:val="20"/>
                <w:lang w:val="en-GB" w:eastAsia="en-GB"/>
              </w:rPr>
              <w:t>30 years</w:t>
            </w:r>
          </w:p>
        </w:tc>
        <w:tc>
          <w:tcPr>
            <w:tcW w:w="3448" w:type="dxa"/>
            <w:shd w:val="clear" w:color="auto" w:fill="auto"/>
            <w:vAlign w:val="center"/>
          </w:tcPr>
          <w:p w14:paraId="7A077FA4" w14:textId="77777777" w:rsidR="006F0914" w:rsidRPr="00E900D0" w:rsidRDefault="006F0914" w:rsidP="007C11F3">
            <w:pPr>
              <w:pStyle w:val="Normal00"/>
              <w:tabs>
                <w:tab w:val="center" w:pos="4153"/>
                <w:tab w:val="right" w:pos="8306"/>
              </w:tabs>
              <w:rPr>
                <w:rFonts w:ascii="Verdana" w:eastAsia="Times New Roman" w:hAnsi="Verdana" w:cs="Arial"/>
                <w:sz w:val="20"/>
                <w:szCs w:val="20"/>
                <w:lang w:val="en-GB" w:eastAsia="en-GB"/>
              </w:rPr>
            </w:pPr>
            <w:r w:rsidRPr="00E900D0">
              <w:rPr>
                <w:rFonts w:ascii="Verdana" w:eastAsia="Times New Roman" w:hAnsi="Verdana" w:cs="Arial"/>
                <w:sz w:val="20"/>
                <w:szCs w:val="20"/>
                <w:lang w:val="en-GB" w:eastAsia="en-GB"/>
              </w:rPr>
              <w:t>35 years</w:t>
            </w:r>
          </w:p>
        </w:tc>
        <w:tc>
          <w:tcPr>
            <w:tcW w:w="3814" w:type="dxa"/>
            <w:shd w:val="clear" w:color="auto" w:fill="auto"/>
            <w:vAlign w:val="center"/>
          </w:tcPr>
          <w:p w14:paraId="0CB8B8E2" w14:textId="77777777" w:rsidR="006F0914" w:rsidRPr="00E900D0" w:rsidRDefault="006F0914" w:rsidP="007C11F3">
            <w:pPr>
              <w:pStyle w:val="Normal00"/>
              <w:tabs>
                <w:tab w:val="center" w:pos="4153"/>
                <w:tab w:val="right" w:pos="8306"/>
              </w:tabs>
              <w:rPr>
                <w:rFonts w:ascii="Verdana" w:eastAsia="Times New Roman" w:hAnsi="Verdana" w:cs="Arial"/>
                <w:sz w:val="20"/>
                <w:szCs w:val="20"/>
                <w:lang w:val="en-GB" w:eastAsia="en-GB"/>
              </w:rPr>
            </w:pPr>
            <w:r w:rsidRPr="00E900D0">
              <w:rPr>
                <w:rFonts w:ascii="Verdana" w:eastAsia="Times New Roman" w:hAnsi="Verdana" w:cs="Arial"/>
                <w:sz w:val="20"/>
                <w:szCs w:val="20"/>
                <w:lang w:val="en-GB" w:eastAsia="en-GB"/>
              </w:rPr>
              <w:t>No maximum length of membership</w:t>
            </w:r>
          </w:p>
        </w:tc>
      </w:tr>
      <w:tr w:rsidR="006F0914" w14:paraId="654007A5" w14:textId="77777777" w:rsidTr="00E900D0">
        <w:trPr>
          <w:trHeight w:val="553"/>
          <w:jc w:val="center"/>
        </w:trPr>
        <w:tc>
          <w:tcPr>
            <w:tcW w:w="2474" w:type="dxa"/>
            <w:shd w:val="clear" w:color="auto" w:fill="auto"/>
          </w:tcPr>
          <w:p w14:paraId="08BC2CB8" w14:textId="77777777" w:rsidR="006F0914" w:rsidRPr="00E900D0" w:rsidRDefault="006F0914" w:rsidP="007C11F3">
            <w:pPr>
              <w:pStyle w:val="Normal00"/>
              <w:tabs>
                <w:tab w:val="center" w:pos="4153"/>
                <w:tab w:val="right" w:pos="8306"/>
              </w:tabs>
              <w:rPr>
                <w:rFonts w:ascii="Verdana" w:eastAsia="Times New Roman" w:hAnsi="Verdana" w:cs="Arial"/>
                <w:sz w:val="20"/>
                <w:szCs w:val="20"/>
                <w:lang w:val="en-GB" w:eastAsia="en-GB"/>
              </w:rPr>
            </w:pPr>
            <w:r w:rsidRPr="00E900D0">
              <w:rPr>
                <w:rFonts w:ascii="Verdana" w:eastAsia="Times New Roman" w:hAnsi="Verdana" w:cs="Arial"/>
                <w:sz w:val="20"/>
                <w:szCs w:val="20"/>
                <w:lang w:val="en-GB" w:eastAsia="en-GB"/>
              </w:rPr>
              <w:t>Earliest age to receive pension</w:t>
            </w:r>
          </w:p>
        </w:tc>
        <w:tc>
          <w:tcPr>
            <w:tcW w:w="3852" w:type="dxa"/>
            <w:shd w:val="clear" w:color="auto" w:fill="auto"/>
          </w:tcPr>
          <w:p w14:paraId="360C3D13" w14:textId="77777777" w:rsidR="006F0914" w:rsidRPr="00E900D0" w:rsidRDefault="006F0914" w:rsidP="007C11F3">
            <w:pPr>
              <w:pStyle w:val="Normal00"/>
              <w:tabs>
                <w:tab w:val="center" w:pos="4153"/>
                <w:tab w:val="right" w:pos="8306"/>
              </w:tabs>
              <w:rPr>
                <w:rFonts w:ascii="Verdana" w:eastAsia="Times New Roman" w:hAnsi="Verdana" w:cs="Arial"/>
                <w:sz w:val="20"/>
                <w:szCs w:val="20"/>
                <w:lang w:val="en-GB" w:eastAsia="en-GB"/>
              </w:rPr>
            </w:pPr>
            <w:r w:rsidRPr="00E900D0">
              <w:rPr>
                <w:rFonts w:ascii="Verdana" w:eastAsia="Times New Roman" w:hAnsi="Verdana" w:cs="Arial"/>
                <w:sz w:val="20"/>
                <w:szCs w:val="20"/>
                <w:lang w:val="en-GB" w:eastAsia="en-GB"/>
              </w:rPr>
              <w:t>Age 50 after 25 years of service</w:t>
            </w:r>
          </w:p>
          <w:p w14:paraId="0E8FDE84" w14:textId="77777777" w:rsidR="006F0914" w:rsidRPr="00E900D0" w:rsidRDefault="006F0914" w:rsidP="007C11F3">
            <w:pPr>
              <w:pStyle w:val="Normal00"/>
              <w:tabs>
                <w:tab w:val="center" w:pos="4153"/>
                <w:tab w:val="right" w:pos="8306"/>
              </w:tabs>
              <w:rPr>
                <w:rFonts w:ascii="Verdana" w:eastAsia="Times New Roman" w:hAnsi="Verdana" w:cs="Arial"/>
                <w:sz w:val="20"/>
                <w:szCs w:val="20"/>
                <w:lang w:val="en-GB" w:eastAsia="en-GB"/>
              </w:rPr>
            </w:pPr>
            <w:r w:rsidRPr="00E900D0">
              <w:rPr>
                <w:rFonts w:ascii="Verdana" w:eastAsia="Times New Roman" w:hAnsi="Verdana" w:cs="Arial"/>
                <w:sz w:val="20"/>
                <w:szCs w:val="20"/>
                <w:lang w:val="en-GB" w:eastAsia="en-GB"/>
              </w:rPr>
              <w:t>Any age after 30 years of service</w:t>
            </w:r>
          </w:p>
          <w:p w14:paraId="405834E9" w14:textId="77777777" w:rsidR="006F0914" w:rsidRPr="00E900D0" w:rsidRDefault="006F0914" w:rsidP="007C11F3">
            <w:pPr>
              <w:pStyle w:val="Normal00"/>
              <w:tabs>
                <w:tab w:val="center" w:pos="4153"/>
                <w:tab w:val="right" w:pos="8306"/>
              </w:tabs>
              <w:rPr>
                <w:rFonts w:ascii="Verdana" w:eastAsia="Times New Roman" w:hAnsi="Verdana" w:cs="Arial"/>
                <w:sz w:val="20"/>
                <w:szCs w:val="20"/>
                <w:lang w:val="en-GB" w:eastAsia="en-GB"/>
              </w:rPr>
            </w:pPr>
            <w:r w:rsidRPr="00E900D0">
              <w:rPr>
                <w:rFonts w:ascii="Verdana" w:eastAsia="Times New Roman" w:hAnsi="Verdana" w:cs="Arial"/>
                <w:sz w:val="20"/>
                <w:szCs w:val="20"/>
                <w:lang w:val="en-GB" w:eastAsia="en-GB"/>
              </w:rPr>
              <w:t>Age 55 for less than 25 years of service</w:t>
            </w:r>
          </w:p>
          <w:p w14:paraId="12F2A903" w14:textId="77777777" w:rsidR="006F0914" w:rsidRPr="00E900D0" w:rsidRDefault="006F0914" w:rsidP="007C11F3">
            <w:pPr>
              <w:pStyle w:val="Normal00"/>
              <w:tabs>
                <w:tab w:val="center" w:pos="4153"/>
                <w:tab w:val="right" w:pos="8306"/>
              </w:tabs>
              <w:rPr>
                <w:rFonts w:ascii="Verdana" w:eastAsia="Times New Roman" w:hAnsi="Verdana" w:cs="Arial"/>
                <w:sz w:val="20"/>
                <w:szCs w:val="20"/>
                <w:lang w:val="en-GB" w:eastAsia="en-GB"/>
              </w:rPr>
            </w:pPr>
            <w:r w:rsidRPr="00E900D0">
              <w:rPr>
                <w:rFonts w:ascii="Verdana" w:eastAsia="Times New Roman" w:hAnsi="Verdana" w:cs="Arial"/>
                <w:sz w:val="20"/>
                <w:szCs w:val="20"/>
                <w:lang w:val="en-GB" w:eastAsia="en-GB"/>
              </w:rPr>
              <w:t>Age 60 if leave service before compulsory retirement age with less than 25 years of service</w:t>
            </w:r>
          </w:p>
        </w:tc>
        <w:tc>
          <w:tcPr>
            <w:tcW w:w="3448" w:type="dxa"/>
            <w:shd w:val="clear" w:color="auto" w:fill="auto"/>
            <w:vAlign w:val="center"/>
          </w:tcPr>
          <w:p w14:paraId="024A8DD1" w14:textId="77777777" w:rsidR="006F0914" w:rsidRPr="00E900D0" w:rsidRDefault="006F0914" w:rsidP="007C11F3">
            <w:pPr>
              <w:pStyle w:val="Normal00"/>
              <w:tabs>
                <w:tab w:val="center" w:pos="4153"/>
                <w:tab w:val="right" w:pos="8306"/>
              </w:tabs>
              <w:rPr>
                <w:rFonts w:ascii="Verdana" w:eastAsia="Times New Roman" w:hAnsi="Verdana" w:cs="Arial"/>
                <w:sz w:val="20"/>
                <w:szCs w:val="20"/>
                <w:lang w:val="en-GB" w:eastAsia="en-GB"/>
              </w:rPr>
            </w:pPr>
            <w:r w:rsidRPr="00E900D0">
              <w:rPr>
                <w:rFonts w:ascii="Verdana" w:eastAsia="Times New Roman" w:hAnsi="Verdana" w:cs="Arial"/>
                <w:sz w:val="20"/>
                <w:szCs w:val="20"/>
                <w:lang w:val="en-GB" w:eastAsia="en-GB"/>
              </w:rPr>
              <w:t>Age 55 if remain in police service until that age</w:t>
            </w:r>
          </w:p>
          <w:p w14:paraId="012F4779" w14:textId="77777777" w:rsidR="006F0914" w:rsidRPr="00E900D0" w:rsidRDefault="006F0914" w:rsidP="007C11F3">
            <w:pPr>
              <w:pStyle w:val="Normal00"/>
              <w:tabs>
                <w:tab w:val="center" w:pos="4153"/>
                <w:tab w:val="right" w:pos="8306"/>
              </w:tabs>
              <w:rPr>
                <w:rFonts w:ascii="Verdana" w:eastAsia="Times New Roman" w:hAnsi="Verdana" w:cs="Arial"/>
                <w:sz w:val="20"/>
                <w:szCs w:val="20"/>
                <w:lang w:val="en-GB" w:eastAsia="en-GB"/>
              </w:rPr>
            </w:pPr>
          </w:p>
          <w:p w14:paraId="0DD59772" w14:textId="77777777" w:rsidR="006F0914" w:rsidRPr="00E900D0" w:rsidRDefault="006F0914" w:rsidP="007C11F3">
            <w:pPr>
              <w:pStyle w:val="Normal00"/>
              <w:tabs>
                <w:tab w:val="center" w:pos="4153"/>
                <w:tab w:val="right" w:pos="8306"/>
              </w:tabs>
              <w:rPr>
                <w:rFonts w:ascii="Verdana" w:eastAsia="Times New Roman" w:hAnsi="Verdana" w:cs="Arial"/>
                <w:sz w:val="20"/>
                <w:szCs w:val="20"/>
                <w:lang w:val="en-GB" w:eastAsia="en-GB"/>
              </w:rPr>
            </w:pPr>
            <w:r w:rsidRPr="00E900D0">
              <w:rPr>
                <w:rFonts w:ascii="Verdana" w:eastAsia="Times New Roman" w:hAnsi="Verdana" w:cs="Arial"/>
                <w:sz w:val="20"/>
                <w:szCs w:val="20"/>
                <w:lang w:val="en-GB" w:eastAsia="en-GB"/>
              </w:rPr>
              <w:t>Age 65 if leave police service before age 55 or opting out of the scheme</w:t>
            </w:r>
          </w:p>
        </w:tc>
        <w:tc>
          <w:tcPr>
            <w:tcW w:w="3814" w:type="dxa"/>
            <w:shd w:val="clear" w:color="auto" w:fill="auto"/>
          </w:tcPr>
          <w:p w14:paraId="561FBA83" w14:textId="77777777" w:rsidR="006F0914" w:rsidRPr="00E900D0" w:rsidRDefault="006F0914" w:rsidP="007C11F3">
            <w:pPr>
              <w:pStyle w:val="Normal00"/>
              <w:tabs>
                <w:tab w:val="center" w:pos="4153"/>
                <w:tab w:val="right" w:pos="8306"/>
              </w:tabs>
              <w:rPr>
                <w:rFonts w:ascii="Verdana" w:eastAsia="Times New Roman" w:hAnsi="Verdana" w:cs="Arial"/>
                <w:sz w:val="20"/>
                <w:szCs w:val="20"/>
                <w:lang w:val="en-GB" w:eastAsia="en-GB"/>
              </w:rPr>
            </w:pPr>
            <w:r w:rsidRPr="00E900D0">
              <w:rPr>
                <w:rFonts w:ascii="Verdana" w:eastAsia="Times New Roman" w:hAnsi="Verdana" w:cs="Arial"/>
                <w:sz w:val="20"/>
                <w:szCs w:val="20"/>
                <w:lang w:val="en-GB" w:eastAsia="en-GB"/>
              </w:rPr>
              <w:t>Age 60 if remain in police service until that age.</w:t>
            </w:r>
          </w:p>
          <w:p w14:paraId="1A4312F5" w14:textId="77777777" w:rsidR="006F0914" w:rsidRPr="00E900D0" w:rsidRDefault="006F0914" w:rsidP="007C11F3">
            <w:pPr>
              <w:pStyle w:val="Normal00"/>
              <w:tabs>
                <w:tab w:val="center" w:pos="4153"/>
                <w:tab w:val="right" w:pos="8306"/>
              </w:tabs>
              <w:rPr>
                <w:rFonts w:ascii="Verdana" w:eastAsia="Times New Roman" w:hAnsi="Verdana" w:cs="Arial"/>
                <w:sz w:val="20"/>
                <w:szCs w:val="20"/>
                <w:lang w:val="en-GB" w:eastAsia="en-GB"/>
              </w:rPr>
            </w:pPr>
          </w:p>
          <w:p w14:paraId="1A3B051E" w14:textId="77777777" w:rsidR="006F0914" w:rsidRPr="00E900D0" w:rsidRDefault="006F0914" w:rsidP="007C11F3">
            <w:pPr>
              <w:pStyle w:val="Normal00"/>
              <w:tabs>
                <w:tab w:val="center" w:pos="4153"/>
                <w:tab w:val="right" w:pos="8306"/>
              </w:tabs>
              <w:rPr>
                <w:rFonts w:ascii="Verdana" w:eastAsia="Times New Roman" w:hAnsi="Verdana" w:cs="Arial"/>
                <w:sz w:val="20"/>
                <w:szCs w:val="20"/>
                <w:lang w:val="en-GB" w:eastAsia="en-GB"/>
              </w:rPr>
            </w:pPr>
            <w:r w:rsidRPr="00E900D0">
              <w:rPr>
                <w:rFonts w:ascii="Verdana" w:eastAsia="Times New Roman" w:hAnsi="Verdana" w:cs="Arial"/>
                <w:sz w:val="20"/>
                <w:szCs w:val="20"/>
                <w:lang w:val="en-GB" w:eastAsia="en-GB"/>
              </w:rPr>
              <w:t>State pension age if leave police service before age 60.</w:t>
            </w:r>
          </w:p>
        </w:tc>
      </w:tr>
      <w:tr w:rsidR="006F0914" w14:paraId="661E7A8B" w14:textId="77777777" w:rsidTr="00E900D0">
        <w:trPr>
          <w:trHeight w:val="491"/>
          <w:jc w:val="center"/>
        </w:trPr>
        <w:tc>
          <w:tcPr>
            <w:tcW w:w="2474" w:type="dxa"/>
            <w:shd w:val="clear" w:color="auto" w:fill="auto"/>
          </w:tcPr>
          <w:p w14:paraId="6472242C" w14:textId="77777777" w:rsidR="006F0914" w:rsidRPr="00E900D0" w:rsidRDefault="006F0914" w:rsidP="007C11F3">
            <w:pPr>
              <w:pStyle w:val="Normal00"/>
              <w:tabs>
                <w:tab w:val="center" w:pos="4153"/>
                <w:tab w:val="right" w:pos="8306"/>
              </w:tabs>
              <w:rPr>
                <w:rFonts w:ascii="Verdana" w:eastAsia="Times New Roman" w:hAnsi="Verdana" w:cs="Arial"/>
                <w:sz w:val="20"/>
                <w:szCs w:val="20"/>
                <w:lang w:val="en-GB" w:eastAsia="en-GB"/>
              </w:rPr>
            </w:pPr>
            <w:r w:rsidRPr="00E900D0">
              <w:rPr>
                <w:rFonts w:ascii="Verdana" w:eastAsia="Times New Roman" w:hAnsi="Verdana" w:cs="Arial"/>
                <w:sz w:val="20"/>
                <w:szCs w:val="20"/>
                <w:lang w:val="en-GB" w:eastAsia="en-GB"/>
              </w:rPr>
              <w:t>Pension increases</w:t>
            </w:r>
          </w:p>
        </w:tc>
        <w:tc>
          <w:tcPr>
            <w:tcW w:w="3852" w:type="dxa"/>
            <w:shd w:val="clear" w:color="auto" w:fill="auto"/>
          </w:tcPr>
          <w:p w14:paraId="09E2A705" w14:textId="77777777" w:rsidR="006F0914" w:rsidRPr="00E900D0" w:rsidRDefault="006F0914" w:rsidP="007C11F3">
            <w:pPr>
              <w:pStyle w:val="Normal00"/>
              <w:tabs>
                <w:tab w:val="center" w:pos="4153"/>
                <w:tab w:val="right" w:pos="8306"/>
              </w:tabs>
              <w:rPr>
                <w:rFonts w:ascii="Verdana" w:eastAsia="Times New Roman" w:hAnsi="Verdana" w:cs="Arial"/>
                <w:sz w:val="20"/>
                <w:szCs w:val="20"/>
                <w:lang w:val="en-GB" w:eastAsia="en-GB"/>
              </w:rPr>
            </w:pPr>
            <w:r w:rsidRPr="00E900D0">
              <w:rPr>
                <w:rFonts w:ascii="Verdana" w:eastAsia="Times New Roman" w:hAnsi="Verdana" w:cs="Arial"/>
                <w:sz w:val="20"/>
                <w:szCs w:val="20"/>
                <w:lang w:val="en-GB" w:eastAsia="en-GB"/>
              </w:rPr>
              <w:t>All pensions in payment, deferred pensions and children’s pensions are increased annually in line with the Consumer Price Index.</w:t>
            </w:r>
          </w:p>
        </w:tc>
        <w:tc>
          <w:tcPr>
            <w:tcW w:w="3448" w:type="dxa"/>
            <w:shd w:val="clear" w:color="auto" w:fill="auto"/>
          </w:tcPr>
          <w:p w14:paraId="572E2808" w14:textId="77777777" w:rsidR="006F0914" w:rsidRPr="00E900D0" w:rsidRDefault="006F0914" w:rsidP="007C11F3">
            <w:pPr>
              <w:pStyle w:val="Normal00"/>
              <w:tabs>
                <w:tab w:val="center" w:pos="4153"/>
                <w:tab w:val="right" w:pos="8306"/>
              </w:tabs>
              <w:rPr>
                <w:rFonts w:ascii="Verdana" w:eastAsia="Times New Roman" w:hAnsi="Verdana" w:cs="Arial"/>
                <w:sz w:val="20"/>
                <w:szCs w:val="20"/>
                <w:lang w:val="en-GB" w:eastAsia="en-GB"/>
              </w:rPr>
            </w:pPr>
            <w:r w:rsidRPr="00E900D0">
              <w:rPr>
                <w:rFonts w:ascii="Verdana" w:eastAsia="Times New Roman" w:hAnsi="Verdana" w:cs="Arial"/>
                <w:sz w:val="20"/>
                <w:szCs w:val="20"/>
                <w:lang w:val="en-GB" w:eastAsia="en-GB"/>
              </w:rPr>
              <w:t>All pensions in payment, deferred pensions and children’s pensions are increased annually in line with the Consumer Price Index.</w:t>
            </w:r>
          </w:p>
        </w:tc>
        <w:tc>
          <w:tcPr>
            <w:tcW w:w="3814" w:type="dxa"/>
            <w:shd w:val="clear" w:color="auto" w:fill="auto"/>
          </w:tcPr>
          <w:p w14:paraId="20C2A41C" w14:textId="77777777" w:rsidR="006F0914" w:rsidRPr="00E900D0" w:rsidRDefault="006F0914" w:rsidP="007C11F3">
            <w:pPr>
              <w:pStyle w:val="Normal00"/>
              <w:tabs>
                <w:tab w:val="center" w:pos="4153"/>
                <w:tab w:val="right" w:pos="8306"/>
              </w:tabs>
              <w:rPr>
                <w:rFonts w:ascii="Verdana" w:eastAsia="Times New Roman" w:hAnsi="Verdana" w:cs="Arial"/>
                <w:sz w:val="20"/>
                <w:szCs w:val="20"/>
                <w:lang w:val="en-GB" w:eastAsia="en-GB"/>
              </w:rPr>
            </w:pPr>
            <w:r w:rsidRPr="00E900D0">
              <w:rPr>
                <w:rFonts w:ascii="Verdana" w:eastAsia="Times New Roman" w:hAnsi="Verdana" w:cs="Arial"/>
                <w:sz w:val="20"/>
                <w:szCs w:val="20"/>
                <w:lang w:val="en-GB" w:eastAsia="en-GB"/>
              </w:rPr>
              <w:t>All pensions in payment, deferred pensions and children’s pensions are increased annually in line with the Consumer Price Index.</w:t>
            </w:r>
          </w:p>
        </w:tc>
      </w:tr>
      <w:tr w:rsidR="006F0914" w14:paraId="27DACB50" w14:textId="77777777" w:rsidTr="00E900D0">
        <w:trPr>
          <w:trHeight w:val="482"/>
          <w:jc w:val="center"/>
        </w:trPr>
        <w:tc>
          <w:tcPr>
            <w:tcW w:w="2474" w:type="dxa"/>
            <w:shd w:val="clear" w:color="auto" w:fill="auto"/>
          </w:tcPr>
          <w:p w14:paraId="3A50256D" w14:textId="77777777" w:rsidR="006F0914" w:rsidRPr="00E900D0" w:rsidRDefault="006F0914" w:rsidP="007C11F3">
            <w:pPr>
              <w:pStyle w:val="Normal00"/>
              <w:tabs>
                <w:tab w:val="center" w:pos="4153"/>
                <w:tab w:val="right" w:pos="8306"/>
              </w:tabs>
              <w:rPr>
                <w:rFonts w:ascii="Verdana" w:eastAsia="Times New Roman" w:hAnsi="Verdana" w:cs="Arial"/>
                <w:sz w:val="20"/>
                <w:szCs w:val="20"/>
                <w:lang w:val="en-GB" w:eastAsia="en-GB"/>
              </w:rPr>
            </w:pPr>
            <w:r w:rsidRPr="00E900D0">
              <w:rPr>
                <w:rFonts w:ascii="Verdana" w:eastAsia="Times New Roman" w:hAnsi="Verdana" w:cs="Arial"/>
                <w:sz w:val="20"/>
                <w:szCs w:val="20"/>
                <w:lang w:val="en-GB" w:eastAsia="en-GB"/>
              </w:rPr>
              <w:t>How is pension accumulated</w:t>
            </w:r>
          </w:p>
        </w:tc>
        <w:tc>
          <w:tcPr>
            <w:tcW w:w="3852" w:type="dxa"/>
            <w:shd w:val="clear" w:color="auto" w:fill="auto"/>
          </w:tcPr>
          <w:p w14:paraId="2FB894E6" w14:textId="77777777" w:rsidR="006F0914" w:rsidRPr="00E900D0" w:rsidRDefault="006F0914" w:rsidP="007C11F3">
            <w:pPr>
              <w:pStyle w:val="Normal00"/>
              <w:tabs>
                <w:tab w:val="center" w:pos="4153"/>
                <w:tab w:val="right" w:pos="8306"/>
              </w:tabs>
              <w:rPr>
                <w:rFonts w:ascii="Verdana" w:eastAsia="Times New Roman" w:hAnsi="Verdana" w:cs="Arial"/>
                <w:sz w:val="20"/>
                <w:szCs w:val="20"/>
                <w:lang w:val="en-GB" w:eastAsia="en-GB"/>
              </w:rPr>
            </w:pPr>
            <w:r w:rsidRPr="00E900D0">
              <w:rPr>
                <w:rFonts w:ascii="Verdana" w:eastAsia="Times New Roman" w:hAnsi="Verdana" w:cs="Arial"/>
                <w:sz w:val="20"/>
                <w:szCs w:val="20"/>
                <w:lang w:val="en-GB" w:eastAsia="en-GB"/>
              </w:rPr>
              <w:t>1/60 of final salary for first 20 years of service, plus 1/30 for final 10 years of service up to a maximum pension entitlement of 40/60.</w:t>
            </w:r>
          </w:p>
        </w:tc>
        <w:tc>
          <w:tcPr>
            <w:tcW w:w="3448" w:type="dxa"/>
            <w:shd w:val="clear" w:color="auto" w:fill="auto"/>
          </w:tcPr>
          <w:p w14:paraId="57350E46" w14:textId="77777777" w:rsidR="006F0914" w:rsidRPr="00E900D0" w:rsidRDefault="006F0914" w:rsidP="007C11F3">
            <w:pPr>
              <w:pStyle w:val="Normal00"/>
              <w:tabs>
                <w:tab w:val="center" w:pos="4153"/>
                <w:tab w:val="right" w:pos="8306"/>
              </w:tabs>
              <w:rPr>
                <w:rFonts w:ascii="Verdana" w:eastAsia="Times New Roman" w:hAnsi="Verdana" w:cs="Arial"/>
                <w:sz w:val="20"/>
                <w:szCs w:val="20"/>
                <w:lang w:val="en-GB" w:eastAsia="en-GB"/>
              </w:rPr>
            </w:pPr>
            <w:r w:rsidRPr="00E900D0">
              <w:rPr>
                <w:rFonts w:ascii="Verdana" w:eastAsia="Times New Roman" w:hAnsi="Verdana" w:cs="Arial"/>
                <w:sz w:val="20"/>
                <w:szCs w:val="20"/>
                <w:lang w:val="en-GB" w:eastAsia="en-GB"/>
              </w:rPr>
              <w:t xml:space="preserve">1/70 of final salary for each year of service up to a maximum 50% of final pensionable after 35 years of service. </w:t>
            </w:r>
          </w:p>
        </w:tc>
        <w:tc>
          <w:tcPr>
            <w:tcW w:w="3814" w:type="dxa"/>
            <w:shd w:val="clear" w:color="auto" w:fill="auto"/>
          </w:tcPr>
          <w:p w14:paraId="297181A7" w14:textId="77777777" w:rsidR="006F0914" w:rsidRPr="00E900D0" w:rsidRDefault="006F0914" w:rsidP="007C11F3">
            <w:pPr>
              <w:pStyle w:val="Normal00"/>
              <w:tabs>
                <w:tab w:val="center" w:pos="4153"/>
                <w:tab w:val="right" w:pos="8306"/>
              </w:tabs>
              <w:rPr>
                <w:rFonts w:ascii="Verdana" w:eastAsia="Times New Roman" w:hAnsi="Verdana" w:cs="Arial"/>
                <w:sz w:val="20"/>
                <w:szCs w:val="20"/>
                <w:lang w:val="en-GB" w:eastAsia="en-GB"/>
              </w:rPr>
            </w:pPr>
            <w:r w:rsidRPr="00E900D0">
              <w:rPr>
                <w:rFonts w:ascii="Verdana" w:eastAsia="Times New Roman" w:hAnsi="Verdana" w:cs="Arial"/>
                <w:sz w:val="20"/>
                <w:szCs w:val="20"/>
                <w:lang w:val="en-GB" w:eastAsia="en-GB"/>
              </w:rPr>
              <w:t>1/55.3th of pensionable earnings each year is added to the members’ pension pot for each year of membership.</w:t>
            </w:r>
          </w:p>
          <w:p w14:paraId="02879E91" w14:textId="77777777" w:rsidR="006F0914" w:rsidRPr="00E900D0" w:rsidRDefault="006F0914" w:rsidP="007C11F3">
            <w:pPr>
              <w:pStyle w:val="Normal00"/>
              <w:tabs>
                <w:tab w:val="center" w:pos="4153"/>
                <w:tab w:val="right" w:pos="8306"/>
              </w:tabs>
              <w:rPr>
                <w:rFonts w:ascii="Verdana" w:eastAsia="Times New Roman" w:hAnsi="Verdana" w:cs="Arial"/>
                <w:sz w:val="20"/>
                <w:szCs w:val="20"/>
                <w:lang w:val="en-GB" w:eastAsia="en-GB"/>
              </w:rPr>
            </w:pPr>
          </w:p>
        </w:tc>
      </w:tr>
    </w:tbl>
    <w:p w14:paraId="0FB67D1B" w14:textId="77777777" w:rsidR="006F0914" w:rsidRDefault="006F0914" w:rsidP="006F0914">
      <w:pPr>
        <w:rPr>
          <w:rFonts w:eastAsia="Times New Roman" w:cs="Arial"/>
          <w:b/>
          <w:lang w:val="en-GB" w:eastAsia="en-GB"/>
        </w:rPr>
      </w:pPr>
    </w:p>
    <w:p w14:paraId="66EA3266" w14:textId="77777777" w:rsidR="006F0914" w:rsidRDefault="006F0914" w:rsidP="004D44FF">
      <w:pPr>
        <w:pStyle w:val="Style2"/>
        <w:jc w:val="both"/>
        <w:rPr>
          <w:rFonts w:ascii="Verdana" w:hAnsi="Verdana" w:cs="Times New Roman"/>
          <w:b w:val="0"/>
          <w:sz w:val="22"/>
          <w:szCs w:val="22"/>
        </w:rPr>
      </w:pPr>
    </w:p>
    <w:p w14:paraId="419C58BC" w14:textId="77777777" w:rsidR="006F0914" w:rsidRDefault="006F0914" w:rsidP="004D44FF">
      <w:pPr>
        <w:pStyle w:val="Style2"/>
        <w:jc w:val="both"/>
        <w:rPr>
          <w:rFonts w:ascii="Verdana" w:hAnsi="Verdana" w:cs="Times New Roman"/>
          <w:b w:val="0"/>
          <w:sz w:val="22"/>
          <w:szCs w:val="22"/>
        </w:rPr>
      </w:pPr>
    </w:p>
    <w:p w14:paraId="2604EA6F" w14:textId="77777777" w:rsidR="006F0914" w:rsidRDefault="006F0914" w:rsidP="004D44FF">
      <w:pPr>
        <w:pStyle w:val="Style2"/>
        <w:jc w:val="both"/>
        <w:rPr>
          <w:rFonts w:ascii="Verdana" w:hAnsi="Verdana" w:cs="Times New Roman"/>
          <w:b w:val="0"/>
          <w:sz w:val="22"/>
          <w:szCs w:val="22"/>
        </w:rPr>
      </w:pPr>
    </w:p>
    <w:p w14:paraId="25A25867" w14:textId="77777777" w:rsidR="006F0914" w:rsidRDefault="006F0914">
      <w:pPr>
        <w:rPr>
          <w:rFonts w:asciiTheme="majorHAnsi" w:eastAsiaTheme="majorEastAsia" w:hAnsiTheme="majorHAnsi" w:cstheme="majorBidi"/>
          <w:color w:val="2E74B5" w:themeColor="accent1" w:themeShade="BF"/>
          <w:sz w:val="32"/>
          <w:szCs w:val="32"/>
          <w:lang w:val="en-GB" w:eastAsia="en-GB"/>
        </w:rPr>
      </w:pPr>
      <w:r>
        <w:rPr>
          <w:lang w:val="en-GB" w:eastAsia="en-GB"/>
        </w:rPr>
        <w:br w:type="page"/>
      </w:r>
    </w:p>
    <w:p w14:paraId="6026241C" w14:textId="77777777" w:rsidR="00F227D9" w:rsidRPr="008540C8" w:rsidRDefault="00F227D9" w:rsidP="00F227D9">
      <w:pPr>
        <w:pStyle w:val="Heading1"/>
        <w:rPr>
          <w:lang w:val="en-GB" w:eastAsia="en-GB"/>
        </w:rPr>
      </w:pPr>
      <w:bookmarkStart w:id="40" w:name="_Toc77095585"/>
      <w:r w:rsidRPr="008540C8">
        <w:rPr>
          <w:lang w:val="en-GB" w:eastAsia="en-GB"/>
        </w:rPr>
        <w:t>Glossary of Accounting Terms</w:t>
      </w:r>
      <w:bookmarkEnd w:id="40"/>
    </w:p>
    <w:p w14:paraId="324424F5" w14:textId="77777777" w:rsidR="00F227D9" w:rsidRDefault="00F227D9" w:rsidP="00F227D9">
      <w:pPr>
        <w:pStyle w:val="Normal0"/>
        <w:jc w:val="both"/>
        <w:rPr>
          <w:rFonts w:ascii="Verdana" w:eastAsia="Times New Roman" w:hAnsi="Verdana" w:cs="Arial"/>
          <w:sz w:val="22"/>
          <w:szCs w:val="22"/>
          <w:lang w:val="en-GB" w:eastAsia="en-GB"/>
        </w:rPr>
      </w:pPr>
    </w:p>
    <w:p w14:paraId="7B4A9C39" w14:textId="77777777" w:rsidR="00E900D0" w:rsidRPr="00314C46" w:rsidRDefault="00E900D0" w:rsidP="00E900D0">
      <w:pPr>
        <w:pStyle w:val="Normal00"/>
        <w:jc w:val="both"/>
        <w:rPr>
          <w:rFonts w:ascii="Verdana" w:hAnsi="Verdana"/>
          <w:sz w:val="22"/>
          <w:szCs w:val="22"/>
        </w:rPr>
      </w:pPr>
      <w:r w:rsidRPr="00314C46">
        <w:rPr>
          <w:rFonts w:ascii="Verdana" w:hAnsi="Verdana"/>
          <w:sz w:val="22"/>
          <w:szCs w:val="22"/>
        </w:rPr>
        <w:t>This section explains key terms and specialist financial language used in the Statement of Accounts</w:t>
      </w:r>
    </w:p>
    <w:p w14:paraId="78583303" w14:textId="77777777" w:rsidR="00E900D0" w:rsidRPr="00314C46" w:rsidRDefault="00E900D0" w:rsidP="00E900D0">
      <w:pPr>
        <w:pStyle w:val="Normal00"/>
        <w:jc w:val="both"/>
        <w:rPr>
          <w:rFonts w:ascii="Verdana" w:hAnsi="Verdana"/>
          <w:sz w:val="22"/>
          <w:szCs w:val="22"/>
        </w:rPr>
      </w:pPr>
    </w:p>
    <w:p w14:paraId="6AA9E11D" w14:textId="77777777" w:rsidR="008C26E5" w:rsidRPr="00F31699" w:rsidRDefault="008C26E5" w:rsidP="008C26E5">
      <w:pPr>
        <w:pStyle w:val="Normal0"/>
        <w:jc w:val="both"/>
        <w:rPr>
          <w:rFonts w:ascii="Verdana" w:hAnsi="Verdana"/>
          <w:b/>
          <w:sz w:val="22"/>
          <w:szCs w:val="22"/>
        </w:rPr>
      </w:pPr>
      <w:r w:rsidRPr="00F31699">
        <w:rPr>
          <w:rFonts w:ascii="Verdana" w:hAnsi="Verdana"/>
          <w:b/>
          <w:sz w:val="22"/>
          <w:szCs w:val="22"/>
        </w:rPr>
        <w:t>ACCRUAL</w:t>
      </w:r>
    </w:p>
    <w:p w14:paraId="122E0C73" w14:textId="77777777" w:rsidR="008C26E5" w:rsidRPr="00F31699" w:rsidRDefault="008C26E5" w:rsidP="008C26E5">
      <w:pPr>
        <w:pStyle w:val="Normal0"/>
        <w:jc w:val="both"/>
        <w:rPr>
          <w:rFonts w:ascii="Verdana" w:hAnsi="Verdana"/>
          <w:sz w:val="22"/>
          <w:szCs w:val="22"/>
        </w:rPr>
      </w:pPr>
      <w:r w:rsidRPr="00F31699">
        <w:rPr>
          <w:rFonts w:ascii="Verdana" w:hAnsi="Verdana"/>
          <w:sz w:val="22"/>
          <w:szCs w:val="22"/>
        </w:rPr>
        <w:t>An accrual is a liability for expenditure relating to goods and services that have been received or supplied but are not invoiced until the following financial year.</w:t>
      </w:r>
    </w:p>
    <w:p w14:paraId="0BA0555F" w14:textId="77777777" w:rsidR="008C26E5" w:rsidRPr="00F31699" w:rsidRDefault="008C26E5" w:rsidP="008C26E5">
      <w:pPr>
        <w:jc w:val="both"/>
        <w:rPr>
          <w:rFonts w:ascii="Verdana" w:hAnsi="Verdana" w:cs="Arial"/>
          <w:sz w:val="22"/>
          <w:szCs w:val="22"/>
        </w:rPr>
      </w:pPr>
    </w:p>
    <w:p w14:paraId="20F7DCD4" w14:textId="77777777" w:rsidR="008C26E5" w:rsidRPr="00F31699" w:rsidRDefault="008C26E5" w:rsidP="008C26E5">
      <w:pPr>
        <w:jc w:val="both"/>
        <w:rPr>
          <w:rFonts w:ascii="Verdana" w:hAnsi="Verdana" w:cs="Arial"/>
          <w:b/>
          <w:sz w:val="22"/>
          <w:szCs w:val="22"/>
        </w:rPr>
      </w:pPr>
      <w:r w:rsidRPr="00F31699">
        <w:rPr>
          <w:rFonts w:ascii="Verdana" w:hAnsi="Verdana" w:cs="Arial"/>
          <w:b/>
          <w:sz w:val="22"/>
          <w:szCs w:val="22"/>
        </w:rPr>
        <w:t>ACCRUED INCOME</w:t>
      </w:r>
    </w:p>
    <w:p w14:paraId="5FDF7726" w14:textId="77777777" w:rsidR="008C26E5" w:rsidRPr="00F31699" w:rsidRDefault="008C26E5" w:rsidP="008C26E5">
      <w:pPr>
        <w:jc w:val="both"/>
        <w:rPr>
          <w:rFonts w:ascii="Verdana" w:hAnsi="Verdana" w:cs="Arial"/>
          <w:sz w:val="22"/>
          <w:szCs w:val="22"/>
        </w:rPr>
      </w:pPr>
      <w:r w:rsidRPr="00F31699">
        <w:rPr>
          <w:rFonts w:ascii="Verdana" w:hAnsi="Verdana" w:cs="Arial"/>
          <w:sz w:val="22"/>
          <w:szCs w:val="22"/>
        </w:rPr>
        <w:t>Income earned in the financial year which has not yet been received.</w:t>
      </w:r>
    </w:p>
    <w:p w14:paraId="1AEAC73F" w14:textId="77777777" w:rsidR="008C26E5" w:rsidRPr="00F31699" w:rsidRDefault="008C26E5" w:rsidP="008C26E5">
      <w:pPr>
        <w:jc w:val="both"/>
        <w:rPr>
          <w:rFonts w:ascii="Verdana" w:hAnsi="Verdana" w:cs="Arial"/>
          <w:sz w:val="22"/>
          <w:szCs w:val="22"/>
        </w:rPr>
      </w:pPr>
    </w:p>
    <w:p w14:paraId="3BEA7894" w14:textId="77777777" w:rsidR="008C26E5" w:rsidRPr="00F31699" w:rsidRDefault="008C26E5" w:rsidP="008C26E5">
      <w:pPr>
        <w:jc w:val="both"/>
        <w:rPr>
          <w:rFonts w:ascii="Verdana" w:hAnsi="Verdana" w:cs="Arial"/>
          <w:b/>
          <w:sz w:val="22"/>
          <w:szCs w:val="22"/>
        </w:rPr>
      </w:pPr>
      <w:r w:rsidRPr="00F31699">
        <w:rPr>
          <w:rFonts w:ascii="Verdana" w:hAnsi="Verdana" w:cs="Arial"/>
          <w:b/>
          <w:sz w:val="22"/>
          <w:szCs w:val="22"/>
        </w:rPr>
        <w:t>ACTUARIAL GAINS AND LOSSES</w:t>
      </w:r>
      <w:r w:rsidR="00A83F24">
        <w:rPr>
          <w:rFonts w:ascii="Verdana" w:hAnsi="Verdana" w:cs="Arial"/>
          <w:b/>
          <w:sz w:val="22"/>
          <w:szCs w:val="22"/>
        </w:rPr>
        <w:t xml:space="preserve"> (PENSIONS)</w:t>
      </w:r>
    </w:p>
    <w:p w14:paraId="2D20A48D" w14:textId="77777777" w:rsidR="008C26E5" w:rsidRPr="00F31699" w:rsidRDefault="008C26E5" w:rsidP="008C26E5">
      <w:pPr>
        <w:jc w:val="both"/>
        <w:rPr>
          <w:rFonts w:ascii="Verdana" w:hAnsi="Verdana" w:cs="Arial"/>
          <w:sz w:val="22"/>
          <w:szCs w:val="22"/>
        </w:rPr>
      </w:pPr>
      <w:r w:rsidRPr="00F31699">
        <w:rPr>
          <w:rFonts w:ascii="Verdana" w:hAnsi="Verdana" w:cs="Arial"/>
          <w:sz w:val="22"/>
          <w:szCs w:val="22"/>
        </w:rPr>
        <w:t>For a defined benefit pension scheme, the changes in actuarial deficits or surpluses that arise because, either events have not coincided with the actuarial assumptions made for the last valuation (experience gains and losses), or the actuarial assumptions have changed.</w:t>
      </w:r>
    </w:p>
    <w:p w14:paraId="58558672" w14:textId="77777777" w:rsidR="008C26E5" w:rsidRPr="00F31699" w:rsidRDefault="008C26E5" w:rsidP="008C26E5">
      <w:pPr>
        <w:jc w:val="both"/>
        <w:rPr>
          <w:rFonts w:ascii="Verdana" w:hAnsi="Verdana" w:cs="Arial"/>
          <w:sz w:val="22"/>
          <w:szCs w:val="22"/>
        </w:rPr>
      </w:pPr>
    </w:p>
    <w:p w14:paraId="6413995B" w14:textId="77777777" w:rsidR="008C26E5" w:rsidRPr="00F31699" w:rsidRDefault="008C26E5" w:rsidP="008C26E5">
      <w:pPr>
        <w:jc w:val="both"/>
        <w:rPr>
          <w:rFonts w:ascii="Verdana" w:hAnsi="Verdana" w:cs="Arial"/>
          <w:b/>
          <w:sz w:val="22"/>
          <w:szCs w:val="22"/>
        </w:rPr>
      </w:pPr>
      <w:r w:rsidRPr="00F31699">
        <w:rPr>
          <w:rFonts w:ascii="Verdana" w:hAnsi="Verdana" w:cs="Arial"/>
          <w:b/>
          <w:sz w:val="22"/>
          <w:szCs w:val="22"/>
        </w:rPr>
        <w:t>AMORTISATION</w:t>
      </w:r>
    </w:p>
    <w:p w14:paraId="5EEF1F02" w14:textId="77777777" w:rsidR="008C26E5" w:rsidRPr="00F31699" w:rsidRDefault="008C26E5" w:rsidP="008C26E5">
      <w:pPr>
        <w:jc w:val="both"/>
        <w:rPr>
          <w:rFonts w:ascii="Verdana" w:hAnsi="Verdana" w:cs="Arial"/>
          <w:sz w:val="22"/>
          <w:szCs w:val="22"/>
        </w:rPr>
      </w:pPr>
      <w:r w:rsidRPr="00F31699">
        <w:rPr>
          <w:rFonts w:ascii="Verdana" w:hAnsi="Verdana" w:cs="Arial"/>
          <w:sz w:val="22"/>
          <w:szCs w:val="22"/>
        </w:rPr>
        <w:t>An annual charge made to the overall PCC budget, reducing the value of an asset to zero, over a period of time.</w:t>
      </w:r>
    </w:p>
    <w:p w14:paraId="16857F99" w14:textId="77777777" w:rsidR="008C26E5" w:rsidRPr="00F31699" w:rsidRDefault="008C26E5" w:rsidP="008C26E5">
      <w:pPr>
        <w:jc w:val="both"/>
        <w:rPr>
          <w:rFonts w:ascii="Verdana" w:hAnsi="Verdana" w:cs="Arial"/>
          <w:sz w:val="22"/>
          <w:szCs w:val="22"/>
        </w:rPr>
      </w:pPr>
    </w:p>
    <w:p w14:paraId="1A7CCB54" w14:textId="77777777" w:rsidR="008C26E5" w:rsidRPr="00F31699" w:rsidRDefault="008C26E5" w:rsidP="008C26E5">
      <w:pPr>
        <w:jc w:val="both"/>
        <w:rPr>
          <w:rFonts w:ascii="Verdana" w:hAnsi="Verdana" w:cs="Arial"/>
          <w:b/>
          <w:sz w:val="22"/>
          <w:szCs w:val="22"/>
        </w:rPr>
      </w:pPr>
      <w:r w:rsidRPr="00F31699">
        <w:rPr>
          <w:rFonts w:ascii="Verdana" w:hAnsi="Verdana" w:cs="Arial"/>
          <w:b/>
          <w:sz w:val="22"/>
          <w:szCs w:val="22"/>
        </w:rPr>
        <w:t>ASSET</w:t>
      </w:r>
    </w:p>
    <w:p w14:paraId="40911894" w14:textId="77777777" w:rsidR="008C26E5" w:rsidRPr="00F31699" w:rsidRDefault="008C26E5" w:rsidP="008C26E5">
      <w:pPr>
        <w:jc w:val="both"/>
        <w:rPr>
          <w:rFonts w:ascii="Verdana" w:hAnsi="Verdana" w:cs="Arial"/>
          <w:sz w:val="22"/>
          <w:szCs w:val="22"/>
        </w:rPr>
      </w:pPr>
      <w:r w:rsidRPr="00F31699">
        <w:rPr>
          <w:rFonts w:ascii="Verdana" w:hAnsi="Verdana" w:cs="Arial"/>
          <w:sz w:val="22"/>
          <w:szCs w:val="22"/>
        </w:rPr>
        <w:t xml:space="preserve">Tangible or intangible resources owned by the force and which have future economic value that can be measured and can be expressed in pounds. </w:t>
      </w:r>
    </w:p>
    <w:p w14:paraId="1968AF0C" w14:textId="77777777" w:rsidR="008C26E5" w:rsidRDefault="008C26E5" w:rsidP="008C26E5">
      <w:pPr>
        <w:jc w:val="both"/>
        <w:rPr>
          <w:rFonts w:ascii="Verdana" w:hAnsi="Verdana" w:cs="Arial"/>
          <w:sz w:val="22"/>
          <w:szCs w:val="22"/>
        </w:rPr>
      </w:pPr>
    </w:p>
    <w:p w14:paraId="60102B8F" w14:textId="77777777" w:rsidR="00E900D0" w:rsidRPr="00F31699" w:rsidRDefault="00E900D0" w:rsidP="00E900D0">
      <w:pPr>
        <w:pStyle w:val="Normal0"/>
        <w:jc w:val="both"/>
        <w:rPr>
          <w:rFonts w:ascii="Verdana" w:hAnsi="Verdana"/>
          <w:b/>
          <w:sz w:val="22"/>
          <w:szCs w:val="22"/>
          <w:lang w:val="en-GB" w:eastAsia="en-GB"/>
        </w:rPr>
      </w:pPr>
      <w:r w:rsidRPr="00F31699">
        <w:rPr>
          <w:rFonts w:ascii="Verdana" w:hAnsi="Verdana"/>
          <w:b/>
          <w:sz w:val="22"/>
          <w:szCs w:val="22"/>
          <w:lang w:val="en-GB" w:eastAsia="en-GB"/>
        </w:rPr>
        <w:t>C</w:t>
      </w:r>
      <w:r>
        <w:rPr>
          <w:rFonts w:ascii="Verdana" w:hAnsi="Verdana"/>
          <w:b/>
          <w:sz w:val="22"/>
          <w:szCs w:val="22"/>
          <w:lang w:val="en-GB" w:eastAsia="en-GB"/>
        </w:rPr>
        <w:t>C</w:t>
      </w:r>
    </w:p>
    <w:p w14:paraId="676402BC" w14:textId="77777777" w:rsidR="00E900D0" w:rsidRDefault="00E900D0" w:rsidP="00E900D0">
      <w:pPr>
        <w:jc w:val="both"/>
        <w:rPr>
          <w:rFonts w:ascii="Verdana" w:hAnsi="Verdana"/>
          <w:sz w:val="22"/>
          <w:szCs w:val="22"/>
          <w:lang w:val="en-GB" w:eastAsia="en-GB"/>
        </w:rPr>
      </w:pPr>
      <w:r>
        <w:rPr>
          <w:rFonts w:ascii="Verdana" w:hAnsi="Verdana"/>
          <w:sz w:val="22"/>
          <w:szCs w:val="22"/>
          <w:lang w:val="en-GB" w:eastAsia="en-GB"/>
        </w:rPr>
        <w:t>Chief Constable</w:t>
      </w:r>
    </w:p>
    <w:p w14:paraId="02C9D4D2" w14:textId="77777777" w:rsidR="00E900D0" w:rsidRPr="00F31699" w:rsidRDefault="00E900D0" w:rsidP="00E900D0">
      <w:pPr>
        <w:jc w:val="both"/>
        <w:rPr>
          <w:rFonts w:ascii="Verdana" w:hAnsi="Verdana" w:cs="Arial"/>
          <w:sz w:val="22"/>
          <w:szCs w:val="22"/>
        </w:rPr>
      </w:pPr>
    </w:p>
    <w:p w14:paraId="13F62CB2" w14:textId="77777777" w:rsidR="008C26E5" w:rsidRPr="00F31699" w:rsidRDefault="008C26E5" w:rsidP="008C26E5">
      <w:pPr>
        <w:pStyle w:val="Normal0"/>
        <w:jc w:val="both"/>
        <w:rPr>
          <w:rFonts w:ascii="Verdana" w:hAnsi="Verdana"/>
          <w:b/>
          <w:sz w:val="22"/>
          <w:szCs w:val="22"/>
          <w:lang w:val="en-GB" w:eastAsia="en-GB"/>
        </w:rPr>
      </w:pPr>
      <w:r w:rsidRPr="00F31699">
        <w:rPr>
          <w:rFonts w:ascii="Verdana" w:hAnsi="Verdana"/>
          <w:b/>
          <w:sz w:val="22"/>
          <w:szCs w:val="22"/>
          <w:lang w:val="en-GB" w:eastAsia="en-GB"/>
        </w:rPr>
        <w:t>CIPFA</w:t>
      </w:r>
    </w:p>
    <w:p w14:paraId="661D692D" w14:textId="77777777" w:rsidR="008C26E5" w:rsidRPr="00F31699" w:rsidRDefault="008C26E5" w:rsidP="008C26E5">
      <w:pPr>
        <w:pStyle w:val="Normal0"/>
        <w:jc w:val="both"/>
        <w:rPr>
          <w:rFonts w:ascii="Verdana" w:hAnsi="Verdana"/>
          <w:sz w:val="22"/>
          <w:szCs w:val="22"/>
          <w:lang w:val="en-GB" w:eastAsia="en-GB"/>
        </w:rPr>
      </w:pPr>
      <w:r w:rsidRPr="00F31699">
        <w:rPr>
          <w:rFonts w:ascii="Verdana" w:hAnsi="Verdana"/>
          <w:sz w:val="22"/>
          <w:szCs w:val="22"/>
          <w:lang w:val="en-GB" w:eastAsia="en-GB"/>
        </w:rPr>
        <w:t xml:space="preserve">The Chartered Institute of Public Finance and Accountancy is one of the professional accountancy bodies in the UK.  CIPFA specialises in the public services and has responsibility for setting accounting standards for these services.  More details can be found on the CIPFA website: </w:t>
      </w:r>
      <w:hyperlink r:id="rId19" w:history="1">
        <w:r w:rsidRPr="00F31699">
          <w:rPr>
            <w:rStyle w:val="Hyperlink"/>
            <w:rFonts w:ascii="Verdana" w:eastAsia="Times New Roman" w:hAnsi="Verdana" w:cs="Times New Roman"/>
            <w:sz w:val="22"/>
            <w:szCs w:val="22"/>
            <w:lang w:val="en-GB" w:eastAsia="en-GB"/>
          </w:rPr>
          <w:t>www.cipfa.org.uk</w:t>
        </w:r>
      </w:hyperlink>
    </w:p>
    <w:p w14:paraId="1158E341" w14:textId="77777777" w:rsidR="008C26E5" w:rsidRPr="00F31699" w:rsidRDefault="008C26E5" w:rsidP="008C26E5">
      <w:pPr>
        <w:jc w:val="both"/>
        <w:rPr>
          <w:rFonts w:ascii="Verdana" w:hAnsi="Verdana" w:cs="Arial"/>
          <w:sz w:val="22"/>
          <w:szCs w:val="22"/>
        </w:rPr>
      </w:pPr>
    </w:p>
    <w:p w14:paraId="1A12EA6A" w14:textId="77777777" w:rsidR="008C26E5" w:rsidRPr="00F31699" w:rsidRDefault="008C26E5" w:rsidP="008C26E5">
      <w:pPr>
        <w:jc w:val="both"/>
        <w:rPr>
          <w:rFonts w:ascii="Verdana" w:hAnsi="Verdana" w:cs="Arial"/>
          <w:sz w:val="22"/>
          <w:szCs w:val="22"/>
        </w:rPr>
      </w:pPr>
      <w:r w:rsidRPr="00F31699">
        <w:rPr>
          <w:rFonts w:ascii="Verdana" w:hAnsi="Verdana" w:cs="Arial"/>
          <w:b/>
          <w:sz w:val="22"/>
          <w:szCs w:val="22"/>
        </w:rPr>
        <w:t>COMPREHENSIVE INCOME AND EXPENDITURE STATEMENT</w:t>
      </w:r>
    </w:p>
    <w:p w14:paraId="62B7A804" w14:textId="77777777" w:rsidR="008C26E5" w:rsidRPr="00F31699" w:rsidRDefault="008C26E5" w:rsidP="008C26E5">
      <w:pPr>
        <w:jc w:val="both"/>
        <w:rPr>
          <w:rFonts w:ascii="Verdana" w:hAnsi="Verdana" w:cs="Arial"/>
          <w:sz w:val="22"/>
          <w:szCs w:val="22"/>
        </w:rPr>
      </w:pPr>
      <w:r w:rsidRPr="00F31699">
        <w:rPr>
          <w:rFonts w:ascii="Verdana" w:hAnsi="Verdana" w:cs="Arial"/>
          <w:sz w:val="22"/>
          <w:szCs w:val="22"/>
        </w:rPr>
        <w:t>The main revenue fund of the CC showing accounting costs for the year.</w:t>
      </w:r>
    </w:p>
    <w:p w14:paraId="3AB5948B" w14:textId="77777777" w:rsidR="008C26E5" w:rsidRPr="00F31699" w:rsidRDefault="008C26E5" w:rsidP="008C26E5">
      <w:pPr>
        <w:jc w:val="both"/>
        <w:rPr>
          <w:rFonts w:ascii="Verdana" w:hAnsi="Verdana" w:cs="Arial"/>
          <w:sz w:val="22"/>
          <w:szCs w:val="22"/>
        </w:rPr>
      </w:pPr>
    </w:p>
    <w:p w14:paraId="63107255" w14:textId="77777777" w:rsidR="008C26E5" w:rsidRPr="00F31699" w:rsidRDefault="008C26E5" w:rsidP="008C26E5">
      <w:pPr>
        <w:pStyle w:val="Normal0"/>
        <w:jc w:val="both"/>
        <w:rPr>
          <w:rFonts w:ascii="Verdana" w:hAnsi="Verdana"/>
          <w:b/>
          <w:sz w:val="22"/>
          <w:szCs w:val="22"/>
          <w:lang w:val="en-GB" w:eastAsia="en-GB"/>
        </w:rPr>
      </w:pPr>
      <w:r w:rsidRPr="00F31699">
        <w:rPr>
          <w:rFonts w:ascii="Verdana" w:hAnsi="Verdana"/>
          <w:b/>
          <w:sz w:val="22"/>
          <w:szCs w:val="22"/>
          <w:lang w:val="en-GB" w:eastAsia="en-GB"/>
        </w:rPr>
        <w:t xml:space="preserve">CODE </w:t>
      </w:r>
    </w:p>
    <w:p w14:paraId="08FF1EEB" w14:textId="77777777" w:rsidR="008C26E5" w:rsidRPr="00F31699" w:rsidRDefault="008C26E5" w:rsidP="008C26E5">
      <w:pPr>
        <w:pStyle w:val="Normal0"/>
        <w:jc w:val="both"/>
        <w:rPr>
          <w:rFonts w:ascii="Verdana" w:hAnsi="Verdana"/>
          <w:sz w:val="22"/>
          <w:szCs w:val="22"/>
          <w:lang w:val="en-GB" w:eastAsia="en-GB"/>
        </w:rPr>
      </w:pPr>
      <w:r w:rsidRPr="00F31699">
        <w:rPr>
          <w:rFonts w:ascii="Verdana" w:hAnsi="Verdana"/>
          <w:sz w:val="22"/>
          <w:szCs w:val="22"/>
          <w:lang w:val="en-GB" w:eastAsia="en-GB"/>
        </w:rPr>
        <w:t>These practices primarily comprise the Code of Practice on Local Authority Accounting in the United Kingdom (The Code) and the Service Reporting Code of Practice, both issued by the Chartered Institute of Public Finance and Accountancy (CIPFA), and supported by International Financial Reporting Standards (</w:t>
      </w:r>
      <w:smartTag w:uri="urn:schemas-microsoft-com:office:smarttags" w:element="stockticker">
        <w:r w:rsidRPr="00F31699">
          <w:rPr>
            <w:rFonts w:ascii="Verdana" w:hAnsi="Verdana"/>
            <w:sz w:val="22"/>
            <w:szCs w:val="22"/>
            <w:lang w:val="en-GB" w:eastAsia="en-GB"/>
          </w:rPr>
          <w:t>IFRS</w:t>
        </w:r>
      </w:smartTag>
      <w:r w:rsidRPr="00F31699">
        <w:rPr>
          <w:rFonts w:ascii="Verdana" w:hAnsi="Verdana"/>
          <w:sz w:val="22"/>
          <w:szCs w:val="22"/>
          <w:lang w:val="en-GB" w:eastAsia="en-GB"/>
        </w:rPr>
        <w:t>) and statutory guidance issued under section 7 of the 2011 Regulations.  More details can be found on the CI</w:t>
      </w:r>
      <w:smartTag w:uri="urn:schemas-microsoft-com:office:smarttags" w:element="stockticker">
        <w:r w:rsidRPr="00F31699">
          <w:rPr>
            <w:rFonts w:ascii="Verdana" w:hAnsi="Verdana"/>
            <w:sz w:val="22"/>
            <w:szCs w:val="22"/>
            <w:lang w:val="en-GB" w:eastAsia="en-GB"/>
          </w:rPr>
          <w:t>PFA</w:t>
        </w:r>
      </w:smartTag>
      <w:r w:rsidRPr="00F31699">
        <w:rPr>
          <w:rFonts w:ascii="Verdana" w:hAnsi="Verdana"/>
          <w:sz w:val="22"/>
          <w:szCs w:val="22"/>
          <w:lang w:val="en-GB" w:eastAsia="en-GB"/>
        </w:rPr>
        <w:t xml:space="preserve"> website: </w:t>
      </w:r>
      <w:hyperlink r:id="rId20" w:history="1">
        <w:r w:rsidRPr="00F31699">
          <w:rPr>
            <w:rStyle w:val="Hyperlink"/>
            <w:rFonts w:ascii="Verdana" w:eastAsia="Times New Roman" w:hAnsi="Verdana" w:cs="Times New Roman"/>
            <w:sz w:val="22"/>
            <w:szCs w:val="22"/>
            <w:lang w:val="en-GB" w:eastAsia="en-GB"/>
          </w:rPr>
          <w:t>www.cipfa.org.uk</w:t>
        </w:r>
      </w:hyperlink>
    </w:p>
    <w:p w14:paraId="3E51D066" w14:textId="77777777" w:rsidR="009F62ED" w:rsidRDefault="009F62ED" w:rsidP="008C26E5">
      <w:pPr>
        <w:jc w:val="both"/>
        <w:rPr>
          <w:rFonts w:ascii="Verdana" w:hAnsi="Verdana" w:cs="Arial"/>
          <w:b/>
          <w:sz w:val="22"/>
          <w:szCs w:val="22"/>
        </w:rPr>
      </w:pPr>
    </w:p>
    <w:p w14:paraId="63B4A747" w14:textId="77777777" w:rsidR="008C26E5" w:rsidRPr="00F31699" w:rsidRDefault="008C26E5" w:rsidP="008C26E5">
      <w:pPr>
        <w:jc w:val="both"/>
        <w:rPr>
          <w:rFonts w:ascii="Verdana" w:hAnsi="Verdana" w:cs="Arial"/>
          <w:b/>
          <w:sz w:val="22"/>
          <w:szCs w:val="22"/>
        </w:rPr>
      </w:pPr>
      <w:r w:rsidRPr="00F31699">
        <w:rPr>
          <w:rFonts w:ascii="Verdana" w:hAnsi="Verdana" w:cs="Arial"/>
          <w:b/>
          <w:sz w:val="22"/>
          <w:szCs w:val="22"/>
        </w:rPr>
        <w:t>CURRENT SERVICE COST (PENSIONS)</w:t>
      </w:r>
    </w:p>
    <w:p w14:paraId="248240E9" w14:textId="77777777" w:rsidR="008C26E5" w:rsidRPr="00F31699" w:rsidRDefault="008C26E5" w:rsidP="008C26E5">
      <w:pPr>
        <w:jc w:val="both"/>
        <w:rPr>
          <w:rFonts w:ascii="Verdana" w:hAnsi="Verdana" w:cs="Arial"/>
          <w:sz w:val="22"/>
          <w:szCs w:val="22"/>
        </w:rPr>
      </w:pPr>
      <w:r w:rsidRPr="00F31699">
        <w:rPr>
          <w:rFonts w:ascii="Verdana" w:hAnsi="Verdana" w:cs="Arial"/>
          <w:sz w:val="22"/>
          <w:szCs w:val="22"/>
        </w:rPr>
        <w:t>The increase in the present value of a defined benefit scheme’s liabilities expected to arise from employee service in the current period.</w:t>
      </w:r>
    </w:p>
    <w:p w14:paraId="3400F69F" w14:textId="77777777" w:rsidR="008C26E5" w:rsidRPr="00F31699" w:rsidRDefault="008C26E5" w:rsidP="008C26E5">
      <w:pPr>
        <w:jc w:val="both"/>
        <w:rPr>
          <w:rFonts w:ascii="Verdana" w:hAnsi="Verdana" w:cs="Arial"/>
          <w:sz w:val="22"/>
          <w:szCs w:val="22"/>
        </w:rPr>
      </w:pPr>
    </w:p>
    <w:p w14:paraId="240212A5" w14:textId="77777777" w:rsidR="008C26E5" w:rsidRPr="00F31699" w:rsidRDefault="008C26E5" w:rsidP="008C26E5">
      <w:pPr>
        <w:jc w:val="both"/>
        <w:rPr>
          <w:rFonts w:ascii="Verdana" w:hAnsi="Verdana" w:cs="Arial"/>
          <w:b/>
          <w:sz w:val="22"/>
          <w:szCs w:val="22"/>
        </w:rPr>
      </w:pPr>
      <w:r w:rsidRPr="00F31699">
        <w:rPr>
          <w:rFonts w:ascii="Verdana" w:hAnsi="Verdana" w:cs="Arial"/>
          <w:b/>
          <w:sz w:val="22"/>
          <w:szCs w:val="22"/>
        </w:rPr>
        <w:t>CURTAILMENT (PENSIONS)</w:t>
      </w:r>
    </w:p>
    <w:p w14:paraId="7E921875" w14:textId="77777777" w:rsidR="008C26E5" w:rsidRPr="00F31699" w:rsidRDefault="008C26E5" w:rsidP="008C26E5">
      <w:pPr>
        <w:jc w:val="both"/>
        <w:rPr>
          <w:rFonts w:ascii="Verdana" w:hAnsi="Verdana" w:cs="Arial"/>
          <w:sz w:val="22"/>
          <w:szCs w:val="22"/>
        </w:rPr>
      </w:pPr>
      <w:r w:rsidRPr="00F31699">
        <w:rPr>
          <w:rFonts w:ascii="Verdana" w:hAnsi="Verdana" w:cs="Arial"/>
          <w:sz w:val="22"/>
          <w:szCs w:val="22"/>
        </w:rPr>
        <w:t>For a defined benefit scheme, an event that reduces the expected years of future service of present employees or reduces for a number of employees the accrual of defined benefits for some or all of their future service. Curtailments include:-</w:t>
      </w:r>
    </w:p>
    <w:p w14:paraId="45C13C83" w14:textId="77777777" w:rsidR="008C26E5" w:rsidRPr="00F31699" w:rsidRDefault="008C26E5" w:rsidP="008C26E5">
      <w:pPr>
        <w:jc w:val="both"/>
        <w:rPr>
          <w:rFonts w:ascii="Verdana" w:hAnsi="Verdana" w:cs="Arial"/>
          <w:sz w:val="22"/>
          <w:szCs w:val="22"/>
        </w:rPr>
      </w:pPr>
    </w:p>
    <w:p w14:paraId="213B38BF" w14:textId="77777777" w:rsidR="008C26E5" w:rsidRPr="00F31699" w:rsidRDefault="008C26E5" w:rsidP="008C26E5">
      <w:pPr>
        <w:jc w:val="both"/>
        <w:rPr>
          <w:rFonts w:ascii="Verdana" w:hAnsi="Verdana" w:cs="Arial"/>
          <w:sz w:val="22"/>
          <w:szCs w:val="22"/>
        </w:rPr>
      </w:pPr>
      <w:r w:rsidRPr="00F31699">
        <w:rPr>
          <w:rFonts w:ascii="Verdana" w:hAnsi="Verdana" w:cs="Arial"/>
          <w:sz w:val="22"/>
          <w:szCs w:val="22"/>
        </w:rPr>
        <w:t>•</w:t>
      </w:r>
      <w:r w:rsidRPr="00F31699">
        <w:rPr>
          <w:rFonts w:ascii="Verdana" w:hAnsi="Verdana" w:cs="Arial"/>
          <w:sz w:val="22"/>
          <w:szCs w:val="22"/>
        </w:rPr>
        <w:tab/>
        <w:t>Termination of employees’ services earlier than expected, and</w:t>
      </w:r>
    </w:p>
    <w:p w14:paraId="77FCB1FA" w14:textId="77777777" w:rsidR="008C26E5" w:rsidRPr="00F31699" w:rsidRDefault="008C26E5" w:rsidP="008C26E5">
      <w:pPr>
        <w:ind w:left="720" w:hanging="720"/>
        <w:jc w:val="both"/>
        <w:rPr>
          <w:rFonts w:ascii="Verdana" w:hAnsi="Verdana" w:cs="Arial"/>
          <w:sz w:val="22"/>
          <w:szCs w:val="22"/>
        </w:rPr>
      </w:pPr>
      <w:r w:rsidRPr="00F31699">
        <w:rPr>
          <w:rFonts w:ascii="Verdana" w:hAnsi="Verdana" w:cs="Arial"/>
          <w:sz w:val="22"/>
          <w:szCs w:val="22"/>
        </w:rPr>
        <w:t>•</w:t>
      </w:r>
      <w:r w:rsidRPr="00F31699">
        <w:rPr>
          <w:rFonts w:ascii="Verdana" w:hAnsi="Verdana" w:cs="Arial"/>
          <w:sz w:val="22"/>
          <w:szCs w:val="22"/>
        </w:rPr>
        <w:tab/>
        <w:t>Termination of or amendment to the terms, of a defined benefit scheme so   that some or all future service by current employees will no longer qualify for benefits or will qualify only for reduced benefits.</w:t>
      </w:r>
    </w:p>
    <w:p w14:paraId="3444C5AC" w14:textId="77777777" w:rsidR="008C26E5" w:rsidRDefault="008C26E5" w:rsidP="008C26E5">
      <w:pPr>
        <w:jc w:val="both"/>
        <w:rPr>
          <w:rFonts w:ascii="Verdana" w:hAnsi="Verdana" w:cs="Arial"/>
          <w:b/>
          <w:sz w:val="22"/>
          <w:szCs w:val="22"/>
        </w:rPr>
      </w:pPr>
    </w:p>
    <w:p w14:paraId="4D602915" w14:textId="77777777" w:rsidR="008C26E5" w:rsidRPr="00F31699" w:rsidRDefault="008C26E5" w:rsidP="008C26E5">
      <w:pPr>
        <w:jc w:val="both"/>
        <w:rPr>
          <w:rFonts w:ascii="Verdana" w:hAnsi="Verdana" w:cs="Arial"/>
          <w:sz w:val="22"/>
          <w:szCs w:val="22"/>
        </w:rPr>
      </w:pPr>
      <w:r w:rsidRPr="00F31699">
        <w:rPr>
          <w:rFonts w:ascii="Verdana" w:hAnsi="Verdana" w:cs="Arial"/>
          <w:b/>
          <w:sz w:val="22"/>
          <w:szCs w:val="22"/>
        </w:rPr>
        <w:t>DEFINED BENEFIT SCHEME</w:t>
      </w:r>
    </w:p>
    <w:p w14:paraId="7D14DD0C" w14:textId="77777777" w:rsidR="008C26E5" w:rsidRPr="00F31699" w:rsidRDefault="008C26E5" w:rsidP="008C26E5">
      <w:pPr>
        <w:jc w:val="both"/>
        <w:rPr>
          <w:rFonts w:ascii="Verdana" w:hAnsi="Verdana" w:cs="Arial"/>
          <w:sz w:val="22"/>
          <w:szCs w:val="22"/>
        </w:rPr>
      </w:pPr>
      <w:r w:rsidRPr="00F31699">
        <w:rPr>
          <w:rFonts w:ascii="Verdana" w:hAnsi="Verdana" w:cs="Arial"/>
          <w:sz w:val="22"/>
          <w:szCs w:val="22"/>
        </w:rPr>
        <w:t>A defined benefit scheme is a pension or other retirement benefit scheme other than a defined contribution scheme. Usually, the scheme rules define the benefits independently of the contributions payable, and the benefits are not directly related to the investments of the scheme. The scheme may be funded or unfunded.</w:t>
      </w:r>
    </w:p>
    <w:p w14:paraId="24710E12" w14:textId="77777777" w:rsidR="008C26E5" w:rsidRPr="00F31699" w:rsidRDefault="008C26E5" w:rsidP="008C26E5">
      <w:pPr>
        <w:jc w:val="both"/>
        <w:rPr>
          <w:rFonts w:ascii="Verdana" w:hAnsi="Verdana" w:cs="Arial"/>
          <w:sz w:val="22"/>
          <w:szCs w:val="22"/>
        </w:rPr>
      </w:pPr>
    </w:p>
    <w:p w14:paraId="203593FE" w14:textId="77777777" w:rsidR="008C26E5" w:rsidRPr="00F31699" w:rsidRDefault="008C26E5" w:rsidP="008C26E5">
      <w:pPr>
        <w:jc w:val="both"/>
        <w:rPr>
          <w:rFonts w:ascii="Verdana" w:hAnsi="Verdana" w:cs="Arial"/>
          <w:b/>
          <w:sz w:val="22"/>
          <w:szCs w:val="22"/>
        </w:rPr>
      </w:pPr>
      <w:r w:rsidRPr="00F31699">
        <w:rPr>
          <w:rFonts w:ascii="Verdana" w:hAnsi="Verdana" w:cs="Arial"/>
          <w:b/>
          <w:sz w:val="22"/>
          <w:szCs w:val="22"/>
        </w:rPr>
        <w:t>DEFINED CONTRIBUTION SCHEME</w:t>
      </w:r>
    </w:p>
    <w:p w14:paraId="427B4DBE" w14:textId="77777777" w:rsidR="008C26E5" w:rsidRPr="00F31699" w:rsidRDefault="008C26E5" w:rsidP="008C26E5">
      <w:pPr>
        <w:jc w:val="both"/>
        <w:rPr>
          <w:rFonts w:ascii="Verdana" w:hAnsi="Verdana" w:cs="Arial"/>
          <w:sz w:val="22"/>
          <w:szCs w:val="22"/>
        </w:rPr>
      </w:pPr>
      <w:r w:rsidRPr="00F31699">
        <w:rPr>
          <w:rFonts w:ascii="Verdana" w:hAnsi="Verdana" w:cs="Arial"/>
          <w:sz w:val="22"/>
          <w:szCs w:val="22"/>
        </w:rPr>
        <w:t>A pension or other retirement benefit scheme into which an employer pays regular contributions fixed as an amount or as a percentage of pay and will have no legal or constructive obligation to pay further contributions if the scheme does not have sufficient assets to pay all employee benefits relating to employee service in the current and prior periods.</w:t>
      </w:r>
    </w:p>
    <w:p w14:paraId="0F623D08" w14:textId="77777777" w:rsidR="008C26E5" w:rsidRPr="00F31699" w:rsidRDefault="008C26E5" w:rsidP="008C26E5">
      <w:pPr>
        <w:jc w:val="both"/>
        <w:rPr>
          <w:rFonts w:ascii="Verdana" w:hAnsi="Verdana" w:cs="Arial"/>
          <w:sz w:val="22"/>
          <w:szCs w:val="22"/>
        </w:rPr>
      </w:pPr>
    </w:p>
    <w:p w14:paraId="46CC0890" w14:textId="77777777" w:rsidR="008C26E5" w:rsidRPr="00F31699" w:rsidRDefault="008C26E5" w:rsidP="008C26E5">
      <w:pPr>
        <w:pStyle w:val="Normal0"/>
        <w:jc w:val="both"/>
        <w:rPr>
          <w:rFonts w:ascii="Verdana" w:hAnsi="Verdana"/>
          <w:b/>
          <w:sz w:val="22"/>
          <w:szCs w:val="22"/>
          <w:lang w:val="en-GB" w:eastAsia="en-GB"/>
        </w:rPr>
      </w:pPr>
      <w:r w:rsidRPr="00F31699">
        <w:rPr>
          <w:rFonts w:ascii="Verdana" w:hAnsi="Verdana"/>
          <w:b/>
          <w:sz w:val="22"/>
          <w:szCs w:val="22"/>
          <w:lang w:val="en-GB" w:eastAsia="en-GB"/>
        </w:rPr>
        <w:t>EXPECTED RATE OF RETURN ON PENSION ASSETS</w:t>
      </w:r>
    </w:p>
    <w:p w14:paraId="1C71600B" w14:textId="77777777" w:rsidR="008C26E5" w:rsidRPr="00F31699" w:rsidRDefault="008C26E5" w:rsidP="008C26E5">
      <w:pPr>
        <w:pStyle w:val="Normal0"/>
        <w:jc w:val="both"/>
        <w:rPr>
          <w:rFonts w:ascii="Verdana" w:hAnsi="Verdana"/>
          <w:sz w:val="22"/>
          <w:szCs w:val="22"/>
          <w:lang w:val="en-GB" w:eastAsia="en-GB"/>
        </w:rPr>
      </w:pPr>
      <w:r w:rsidRPr="00F31699">
        <w:rPr>
          <w:rFonts w:ascii="Verdana" w:hAnsi="Verdana"/>
          <w:sz w:val="22"/>
          <w:szCs w:val="22"/>
          <w:lang w:val="en-GB" w:eastAsia="en-GB"/>
        </w:rPr>
        <w:t>For a funded defined benefit scheme, the average rate of return, including both income and changes in fair value but net of scheme expenses, expected over the remaining life of the related obligation on the actual assets held by the scheme.</w:t>
      </w:r>
    </w:p>
    <w:p w14:paraId="447E56C5" w14:textId="77777777" w:rsidR="008C26E5" w:rsidRPr="00F31699" w:rsidRDefault="008C26E5" w:rsidP="008C26E5">
      <w:pPr>
        <w:jc w:val="both"/>
        <w:rPr>
          <w:rFonts w:ascii="Verdana" w:hAnsi="Verdana" w:cs="Arial"/>
          <w:sz w:val="22"/>
          <w:szCs w:val="22"/>
        </w:rPr>
      </w:pPr>
    </w:p>
    <w:p w14:paraId="3DD39610" w14:textId="77777777" w:rsidR="008C26E5" w:rsidRPr="00F31699" w:rsidRDefault="008C26E5" w:rsidP="008C26E5">
      <w:pPr>
        <w:jc w:val="both"/>
        <w:rPr>
          <w:rFonts w:ascii="Verdana" w:hAnsi="Verdana" w:cs="Arial"/>
          <w:b/>
          <w:sz w:val="22"/>
          <w:szCs w:val="22"/>
        </w:rPr>
      </w:pPr>
      <w:r w:rsidRPr="00F31699">
        <w:rPr>
          <w:rFonts w:ascii="Verdana" w:hAnsi="Verdana" w:cs="Arial"/>
          <w:b/>
          <w:sz w:val="22"/>
          <w:szCs w:val="22"/>
        </w:rPr>
        <w:t>EXPENSE</w:t>
      </w:r>
    </w:p>
    <w:p w14:paraId="7930BD20" w14:textId="77777777" w:rsidR="008C26E5" w:rsidRPr="00F31699" w:rsidRDefault="008C26E5" w:rsidP="008C26E5">
      <w:pPr>
        <w:jc w:val="both"/>
        <w:rPr>
          <w:rFonts w:ascii="Verdana" w:hAnsi="Verdana" w:cs="Arial"/>
          <w:sz w:val="22"/>
          <w:szCs w:val="22"/>
        </w:rPr>
      </w:pPr>
      <w:r w:rsidRPr="00F31699">
        <w:rPr>
          <w:rFonts w:ascii="Verdana" w:hAnsi="Verdana" w:cs="Arial"/>
          <w:sz w:val="22"/>
          <w:szCs w:val="22"/>
        </w:rPr>
        <w:t>Money spent or cost incurred by the force to police and protect the county, representing the cost of policing.</w:t>
      </w:r>
    </w:p>
    <w:p w14:paraId="5DD4623E" w14:textId="77777777" w:rsidR="008C26E5" w:rsidRPr="00F31699" w:rsidRDefault="008C26E5" w:rsidP="008C26E5">
      <w:pPr>
        <w:jc w:val="both"/>
        <w:rPr>
          <w:rFonts w:ascii="Verdana" w:hAnsi="Verdana" w:cs="Arial"/>
          <w:sz w:val="22"/>
          <w:szCs w:val="22"/>
        </w:rPr>
      </w:pPr>
    </w:p>
    <w:p w14:paraId="37C9DAD6" w14:textId="77777777" w:rsidR="008C26E5" w:rsidRPr="00F31699" w:rsidRDefault="008C26E5" w:rsidP="008C26E5">
      <w:pPr>
        <w:pStyle w:val="Normal0"/>
        <w:jc w:val="both"/>
        <w:rPr>
          <w:rFonts w:ascii="Verdana" w:eastAsia="Times New Roman" w:hAnsi="Verdana"/>
          <w:b/>
          <w:sz w:val="22"/>
          <w:szCs w:val="22"/>
        </w:rPr>
      </w:pPr>
      <w:r w:rsidRPr="00F31699">
        <w:rPr>
          <w:rFonts w:ascii="Verdana" w:eastAsia="Times New Roman" w:hAnsi="Verdana"/>
          <w:b/>
          <w:sz w:val="22"/>
          <w:szCs w:val="22"/>
        </w:rPr>
        <w:t>GOING CONCERN</w:t>
      </w:r>
    </w:p>
    <w:p w14:paraId="55DD1650" w14:textId="77777777" w:rsidR="008C26E5" w:rsidRPr="00F31699" w:rsidRDefault="008C26E5" w:rsidP="008C26E5">
      <w:pPr>
        <w:pStyle w:val="Normal0"/>
        <w:jc w:val="both"/>
        <w:rPr>
          <w:rFonts w:ascii="Verdana" w:eastAsia="Times New Roman" w:hAnsi="Verdana"/>
          <w:sz w:val="22"/>
          <w:szCs w:val="22"/>
        </w:rPr>
      </w:pPr>
      <w:r w:rsidRPr="00F31699">
        <w:rPr>
          <w:rFonts w:ascii="Verdana" w:eastAsia="Times New Roman" w:hAnsi="Verdana"/>
          <w:sz w:val="22"/>
          <w:szCs w:val="22"/>
        </w:rPr>
        <w:t>The concept that the organisation will remain in operational existence for the foreseeable future, in particular that the revenue accounts and Balance Sheet assume no intention to curtail significantly the scale of the operations.</w:t>
      </w:r>
    </w:p>
    <w:p w14:paraId="1DADDB59" w14:textId="77777777" w:rsidR="008C26E5" w:rsidRPr="00F31699" w:rsidRDefault="008C26E5" w:rsidP="008C26E5">
      <w:pPr>
        <w:jc w:val="both"/>
        <w:rPr>
          <w:rFonts w:ascii="Verdana" w:hAnsi="Verdana" w:cs="Arial"/>
          <w:sz w:val="22"/>
          <w:szCs w:val="22"/>
        </w:rPr>
      </w:pPr>
    </w:p>
    <w:p w14:paraId="31C4A878" w14:textId="77777777" w:rsidR="00E900D0" w:rsidRDefault="00E900D0" w:rsidP="008C26E5">
      <w:pPr>
        <w:pStyle w:val="Normal0"/>
        <w:jc w:val="both"/>
        <w:rPr>
          <w:rFonts w:ascii="Verdana" w:eastAsia="Times New Roman" w:hAnsi="Verdana"/>
          <w:b/>
          <w:sz w:val="22"/>
          <w:szCs w:val="22"/>
        </w:rPr>
      </w:pPr>
    </w:p>
    <w:p w14:paraId="607FD3D7" w14:textId="77777777" w:rsidR="00E900D0" w:rsidRDefault="00E900D0" w:rsidP="008C26E5">
      <w:pPr>
        <w:pStyle w:val="Normal0"/>
        <w:jc w:val="both"/>
        <w:rPr>
          <w:rFonts w:ascii="Verdana" w:eastAsia="Times New Roman" w:hAnsi="Verdana"/>
          <w:b/>
          <w:sz w:val="22"/>
          <w:szCs w:val="22"/>
        </w:rPr>
      </w:pPr>
    </w:p>
    <w:p w14:paraId="22EECD8D" w14:textId="77777777" w:rsidR="008C26E5" w:rsidRPr="00F31699" w:rsidRDefault="008C26E5" w:rsidP="008C26E5">
      <w:pPr>
        <w:pStyle w:val="Normal0"/>
        <w:jc w:val="both"/>
        <w:rPr>
          <w:rFonts w:ascii="Verdana" w:eastAsia="Times New Roman" w:hAnsi="Verdana"/>
          <w:sz w:val="22"/>
          <w:szCs w:val="22"/>
        </w:rPr>
      </w:pPr>
      <w:r w:rsidRPr="00F31699">
        <w:rPr>
          <w:rFonts w:ascii="Verdana" w:eastAsia="Times New Roman" w:hAnsi="Verdana"/>
          <w:b/>
          <w:sz w:val="22"/>
          <w:szCs w:val="22"/>
        </w:rPr>
        <w:t xml:space="preserve">IAS19 </w:t>
      </w:r>
    </w:p>
    <w:p w14:paraId="3E506A06" w14:textId="77777777" w:rsidR="008C26E5" w:rsidRPr="00F31699" w:rsidRDefault="008C26E5" w:rsidP="008C26E5">
      <w:pPr>
        <w:pStyle w:val="Normal0"/>
        <w:jc w:val="both"/>
        <w:rPr>
          <w:rFonts w:ascii="Verdana" w:eastAsia="Times New Roman" w:hAnsi="Verdana"/>
          <w:sz w:val="22"/>
          <w:szCs w:val="22"/>
        </w:rPr>
      </w:pPr>
      <w:r w:rsidRPr="00F31699">
        <w:rPr>
          <w:rFonts w:ascii="Verdana" w:eastAsia="Times New Roman" w:hAnsi="Verdana"/>
          <w:sz w:val="22"/>
          <w:szCs w:val="22"/>
        </w:rPr>
        <w:t>International Accounting Standard 19 (IAS19) for Employee Benefits sets out the accounting treatment and disclosure for employee benefits and pensions.</w:t>
      </w:r>
    </w:p>
    <w:p w14:paraId="2E002CD1" w14:textId="77777777" w:rsidR="008C26E5" w:rsidRPr="00F31699" w:rsidRDefault="008C26E5" w:rsidP="008C26E5">
      <w:pPr>
        <w:pStyle w:val="Normal0"/>
        <w:jc w:val="both"/>
        <w:rPr>
          <w:rFonts w:ascii="Verdana" w:eastAsia="Times New Roman" w:hAnsi="Verdana"/>
          <w:sz w:val="22"/>
          <w:szCs w:val="22"/>
        </w:rPr>
      </w:pPr>
    </w:p>
    <w:p w14:paraId="57C41016" w14:textId="77777777" w:rsidR="008C26E5" w:rsidRPr="00F31699" w:rsidRDefault="008C26E5" w:rsidP="008C26E5">
      <w:pPr>
        <w:pStyle w:val="Normal0"/>
        <w:jc w:val="both"/>
        <w:rPr>
          <w:rFonts w:ascii="Verdana" w:eastAsia="Times New Roman" w:hAnsi="Verdana"/>
          <w:b/>
          <w:sz w:val="22"/>
          <w:szCs w:val="22"/>
        </w:rPr>
      </w:pPr>
      <w:r w:rsidRPr="00F31699">
        <w:rPr>
          <w:rFonts w:ascii="Verdana" w:eastAsia="Times New Roman" w:hAnsi="Verdana"/>
          <w:b/>
          <w:sz w:val="22"/>
          <w:szCs w:val="22"/>
        </w:rPr>
        <w:t>IFRS</w:t>
      </w:r>
    </w:p>
    <w:p w14:paraId="17AA04BF" w14:textId="77777777" w:rsidR="008C26E5" w:rsidRPr="00F31699" w:rsidRDefault="008C26E5" w:rsidP="008C26E5">
      <w:pPr>
        <w:pStyle w:val="Normal0"/>
        <w:jc w:val="both"/>
        <w:rPr>
          <w:rFonts w:ascii="Verdana" w:eastAsia="Times New Roman" w:hAnsi="Verdana"/>
          <w:sz w:val="22"/>
          <w:szCs w:val="22"/>
        </w:rPr>
      </w:pPr>
      <w:r w:rsidRPr="00F31699">
        <w:rPr>
          <w:rFonts w:ascii="Verdana" w:eastAsia="Times New Roman" w:hAnsi="Verdana"/>
          <w:sz w:val="22"/>
          <w:szCs w:val="22"/>
        </w:rPr>
        <w:t>International Financial Reporting Standards</w:t>
      </w:r>
    </w:p>
    <w:p w14:paraId="7084C450" w14:textId="77777777" w:rsidR="008C26E5" w:rsidRPr="00F31699" w:rsidRDefault="008C26E5" w:rsidP="008C26E5">
      <w:pPr>
        <w:pStyle w:val="Normal0"/>
        <w:jc w:val="both"/>
        <w:rPr>
          <w:rFonts w:ascii="Verdana" w:eastAsia="Times New Roman" w:hAnsi="Verdana"/>
          <w:sz w:val="22"/>
          <w:szCs w:val="22"/>
        </w:rPr>
      </w:pPr>
    </w:p>
    <w:p w14:paraId="306C225B" w14:textId="77777777" w:rsidR="008C26E5" w:rsidRPr="00F31699" w:rsidRDefault="008C26E5" w:rsidP="008C26E5">
      <w:pPr>
        <w:pStyle w:val="Normal0"/>
        <w:jc w:val="both"/>
        <w:rPr>
          <w:rFonts w:ascii="Verdana" w:eastAsia="Times New Roman" w:hAnsi="Verdana"/>
          <w:sz w:val="22"/>
          <w:szCs w:val="22"/>
        </w:rPr>
      </w:pPr>
      <w:r w:rsidRPr="00F31699">
        <w:rPr>
          <w:rFonts w:ascii="Verdana" w:eastAsia="Times New Roman" w:hAnsi="Verdana"/>
          <w:b/>
          <w:sz w:val="22"/>
          <w:szCs w:val="22"/>
        </w:rPr>
        <w:t xml:space="preserve">INCOME </w:t>
      </w:r>
    </w:p>
    <w:p w14:paraId="3F6EC91C" w14:textId="77777777" w:rsidR="008C26E5" w:rsidRPr="00F31699" w:rsidRDefault="008C26E5" w:rsidP="008C26E5">
      <w:pPr>
        <w:pStyle w:val="Normal0"/>
        <w:jc w:val="both"/>
        <w:rPr>
          <w:rFonts w:ascii="Verdana" w:eastAsia="Times New Roman" w:hAnsi="Verdana"/>
          <w:sz w:val="22"/>
          <w:szCs w:val="22"/>
        </w:rPr>
      </w:pPr>
      <w:r w:rsidRPr="00F31699">
        <w:rPr>
          <w:rFonts w:ascii="Verdana" w:eastAsia="Times New Roman" w:hAnsi="Verdana"/>
          <w:sz w:val="22"/>
          <w:szCs w:val="22"/>
        </w:rPr>
        <w:t xml:space="preserve">Income is money (or some equivalent value) that the force, usually receives in exchange for providing a police service.  </w:t>
      </w:r>
    </w:p>
    <w:p w14:paraId="18261F06" w14:textId="77777777" w:rsidR="00E900D0" w:rsidRDefault="00E900D0" w:rsidP="008C26E5">
      <w:pPr>
        <w:pStyle w:val="Normal0"/>
        <w:jc w:val="both"/>
        <w:rPr>
          <w:rFonts w:ascii="Verdana" w:eastAsia="Times New Roman" w:hAnsi="Verdana"/>
          <w:b/>
          <w:sz w:val="22"/>
          <w:szCs w:val="22"/>
        </w:rPr>
      </w:pPr>
    </w:p>
    <w:p w14:paraId="0980F995" w14:textId="77777777" w:rsidR="008C26E5" w:rsidRPr="00F31699" w:rsidRDefault="008C26E5" w:rsidP="008C26E5">
      <w:pPr>
        <w:pStyle w:val="Normal0"/>
        <w:jc w:val="both"/>
        <w:rPr>
          <w:rFonts w:ascii="Verdana" w:eastAsia="Times New Roman" w:hAnsi="Verdana"/>
          <w:b/>
          <w:sz w:val="22"/>
          <w:szCs w:val="22"/>
        </w:rPr>
      </w:pPr>
      <w:r w:rsidRPr="00F31699">
        <w:rPr>
          <w:rFonts w:ascii="Verdana" w:eastAsia="Times New Roman" w:hAnsi="Verdana"/>
          <w:b/>
          <w:sz w:val="22"/>
          <w:szCs w:val="22"/>
        </w:rPr>
        <w:t>INTEREST COSTS (PENSIONS)</w:t>
      </w:r>
    </w:p>
    <w:p w14:paraId="33F378C9" w14:textId="77777777" w:rsidR="008C26E5" w:rsidRPr="00F31699" w:rsidRDefault="008C26E5" w:rsidP="008C26E5">
      <w:pPr>
        <w:pStyle w:val="Normal0"/>
        <w:jc w:val="both"/>
        <w:rPr>
          <w:rFonts w:ascii="Verdana" w:eastAsia="Times New Roman" w:hAnsi="Verdana"/>
          <w:sz w:val="22"/>
          <w:szCs w:val="22"/>
        </w:rPr>
      </w:pPr>
      <w:r w:rsidRPr="00F31699">
        <w:rPr>
          <w:rFonts w:ascii="Verdana" w:eastAsia="Times New Roman" w:hAnsi="Verdana"/>
          <w:sz w:val="22"/>
          <w:szCs w:val="22"/>
        </w:rPr>
        <w:t>For a defined benefit scheme, the expected increase during the period in the present value of the scheme liabilities because the benefits are one period closer to settlement.</w:t>
      </w:r>
    </w:p>
    <w:p w14:paraId="1E6D7E94" w14:textId="77777777" w:rsidR="008C26E5" w:rsidRPr="00F31699" w:rsidRDefault="008C26E5" w:rsidP="008C26E5">
      <w:pPr>
        <w:pStyle w:val="Normal0"/>
        <w:jc w:val="both"/>
        <w:rPr>
          <w:rFonts w:ascii="Verdana" w:eastAsia="Times New Roman" w:hAnsi="Verdana"/>
          <w:b/>
          <w:sz w:val="22"/>
          <w:szCs w:val="22"/>
        </w:rPr>
      </w:pPr>
    </w:p>
    <w:p w14:paraId="699DB926" w14:textId="77777777" w:rsidR="008C26E5" w:rsidRPr="00F31699" w:rsidRDefault="008C26E5" w:rsidP="008C26E5">
      <w:pPr>
        <w:pStyle w:val="Normal0"/>
        <w:jc w:val="both"/>
        <w:rPr>
          <w:rFonts w:ascii="Verdana" w:eastAsia="Times New Roman" w:hAnsi="Verdana"/>
          <w:b/>
          <w:sz w:val="22"/>
          <w:szCs w:val="22"/>
        </w:rPr>
      </w:pPr>
      <w:r w:rsidRPr="00F31699">
        <w:rPr>
          <w:rFonts w:ascii="Verdana" w:eastAsia="Times New Roman" w:hAnsi="Verdana"/>
          <w:b/>
          <w:sz w:val="22"/>
          <w:szCs w:val="22"/>
        </w:rPr>
        <w:t>INVESTMENTS (PENSION FUND)</w:t>
      </w:r>
    </w:p>
    <w:p w14:paraId="62D4C849" w14:textId="77777777" w:rsidR="008C26E5" w:rsidRPr="00F31699" w:rsidRDefault="008C26E5" w:rsidP="008C26E5">
      <w:pPr>
        <w:pStyle w:val="Normal0"/>
        <w:jc w:val="both"/>
        <w:rPr>
          <w:rFonts w:ascii="Verdana" w:eastAsia="Times New Roman" w:hAnsi="Verdana"/>
          <w:sz w:val="22"/>
          <w:szCs w:val="22"/>
        </w:rPr>
      </w:pPr>
      <w:r w:rsidRPr="00F31699">
        <w:rPr>
          <w:rFonts w:ascii="Verdana" w:eastAsia="Times New Roman" w:hAnsi="Verdana"/>
          <w:sz w:val="22"/>
          <w:szCs w:val="22"/>
        </w:rPr>
        <w:t>The investments of the pensions fund will be accounted for in the statement of that fund. However, the PCC Group is also required to disclose, as part of the disclosures relating to retirement benefits, the attributable share of pension scheme assets associated with their underlying obligations.</w:t>
      </w:r>
    </w:p>
    <w:p w14:paraId="18147E6D" w14:textId="77777777" w:rsidR="008C26E5" w:rsidRPr="00F31699" w:rsidRDefault="008C26E5" w:rsidP="008C26E5">
      <w:pPr>
        <w:jc w:val="both"/>
        <w:rPr>
          <w:rFonts w:ascii="Verdana" w:hAnsi="Verdana" w:cs="Arial"/>
          <w:sz w:val="22"/>
          <w:szCs w:val="22"/>
        </w:rPr>
      </w:pPr>
    </w:p>
    <w:p w14:paraId="6542D045" w14:textId="77777777" w:rsidR="008C26E5" w:rsidRPr="00F31699" w:rsidRDefault="008C26E5" w:rsidP="008C26E5">
      <w:pPr>
        <w:pStyle w:val="Normal0"/>
        <w:jc w:val="both"/>
        <w:rPr>
          <w:rFonts w:ascii="Verdana" w:hAnsi="Verdana"/>
          <w:b/>
          <w:sz w:val="22"/>
          <w:szCs w:val="22"/>
          <w:lang w:val="en-GB" w:eastAsia="en-GB"/>
        </w:rPr>
      </w:pPr>
      <w:r w:rsidRPr="00F31699">
        <w:rPr>
          <w:rFonts w:ascii="Verdana" w:hAnsi="Verdana"/>
          <w:b/>
          <w:sz w:val="22"/>
          <w:szCs w:val="22"/>
          <w:lang w:val="en-GB" w:eastAsia="en-GB"/>
        </w:rPr>
        <w:t>JOINT AUDIT COMMITTEE (JAC)</w:t>
      </w:r>
    </w:p>
    <w:p w14:paraId="4F3CDB81" w14:textId="77777777" w:rsidR="008C26E5" w:rsidRPr="00F31699" w:rsidRDefault="008C26E5" w:rsidP="008C26E5">
      <w:pPr>
        <w:pStyle w:val="Normal0"/>
        <w:jc w:val="both"/>
        <w:rPr>
          <w:rFonts w:ascii="Verdana" w:hAnsi="Verdana"/>
          <w:sz w:val="22"/>
          <w:szCs w:val="22"/>
          <w:lang w:val="en-GB" w:eastAsia="en-GB"/>
        </w:rPr>
      </w:pPr>
      <w:r w:rsidRPr="00F31699">
        <w:rPr>
          <w:rFonts w:ascii="Verdana" w:hAnsi="Verdana"/>
          <w:sz w:val="22"/>
          <w:szCs w:val="22"/>
          <w:lang w:val="en-GB" w:eastAsia="en-GB"/>
        </w:rPr>
        <w:t>The JAC is an independent Joint External Audit Committee of the Su</w:t>
      </w:r>
      <w:r w:rsidR="003E44C5">
        <w:rPr>
          <w:rFonts w:ascii="Verdana" w:hAnsi="Verdana"/>
          <w:sz w:val="22"/>
          <w:szCs w:val="22"/>
          <w:lang w:val="en-GB" w:eastAsia="en-GB"/>
        </w:rPr>
        <w:t>rrey</w:t>
      </w:r>
      <w:r w:rsidRPr="00F31699">
        <w:rPr>
          <w:rFonts w:ascii="Verdana" w:hAnsi="Verdana"/>
          <w:sz w:val="22"/>
          <w:szCs w:val="22"/>
          <w:lang w:val="en-GB" w:eastAsia="en-GB"/>
        </w:rPr>
        <w:t xml:space="preserve"> Police and Crime Commissioner a</w:t>
      </w:r>
      <w:r w:rsidR="003E44C5">
        <w:rPr>
          <w:rFonts w:ascii="Verdana" w:hAnsi="Verdana"/>
          <w:sz w:val="22"/>
          <w:szCs w:val="22"/>
          <w:lang w:val="en-GB" w:eastAsia="en-GB"/>
        </w:rPr>
        <w:t>nd the Chief Constable of Surrey</w:t>
      </w:r>
      <w:r w:rsidRPr="00F31699">
        <w:rPr>
          <w:rFonts w:ascii="Verdana" w:hAnsi="Verdana"/>
          <w:sz w:val="22"/>
          <w:szCs w:val="22"/>
          <w:lang w:val="en-GB" w:eastAsia="en-GB"/>
        </w:rPr>
        <w:t xml:space="preserve"> providing a key component of corporate governance arrangements for both corporations sole.</w:t>
      </w:r>
    </w:p>
    <w:p w14:paraId="6CBDC80A" w14:textId="77777777" w:rsidR="008C26E5" w:rsidRPr="00F31699" w:rsidRDefault="008C26E5" w:rsidP="008C26E5">
      <w:pPr>
        <w:pStyle w:val="Normal0"/>
        <w:jc w:val="both"/>
        <w:rPr>
          <w:rFonts w:ascii="Verdana" w:hAnsi="Verdana"/>
          <w:sz w:val="22"/>
          <w:szCs w:val="22"/>
          <w:lang w:val="en-GB" w:eastAsia="en-GB"/>
        </w:rPr>
      </w:pPr>
    </w:p>
    <w:p w14:paraId="47B02237" w14:textId="77777777" w:rsidR="008C26E5" w:rsidRPr="00F31699" w:rsidRDefault="008C26E5" w:rsidP="008C26E5">
      <w:pPr>
        <w:pStyle w:val="Normal0"/>
        <w:jc w:val="both"/>
        <w:rPr>
          <w:rFonts w:ascii="Verdana" w:hAnsi="Verdana"/>
          <w:b/>
          <w:sz w:val="22"/>
          <w:szCs w:val="22"/>
          <w:lang w:val="en-GB" w:eastAsia="en-GB"/>
        </w:rPr>
      </w:pPr>
      <w:r w:rsidRPr="00F31699">
        <w:rPr>
          <w:rFonts w:ascii="Verdana" w:hAnsi="Verdana"/>
          <w:b/>
          <w:sz w:val="22"/>
          <w:szCs w:val="22"/>
          <w:lang w:val="en-GB" w:eastAsia="en-GB"/>
        </w:rPr>
        <w:t>LAAP</w:t>
      </w:r>
    </w:p>
    <w:p w14:paraId="4B1D781D" w14:textId="77777777" w:rsidR="008C26E5" w:rsidRPr="00F31699" w:rsidRDefault="008C26E5" w:rsidP="008C26E5">
      <w:pPr>
        <w:pStyle w:val="Normal0"/>
        <w:jc w:val="both"/>
        <w:rPr>
          <w:rFonts w:ascii="Verdana" w:hAnsi="Verdana"/>
          <w:sz w:val="22"/>
          <w:szCs w:val="22"/>
          <w:lang w:val="en-GB" w:eastAsia="en-GB"/>
        </w:rPr>
      </w:pPr>
      <w:r w:rsidRPr="00F31699">
        <w:rPr>
          <w:rFonts w:ascii="Verdana" w:hAnsi="Verdana"/>
          <w:sz w:val="22"/>
          <w:szCs w:val="22"/>
          <w:lang w:val="en-GB" w:eastAsia="en-GB"/>
        </w:rPr>
        <w:t>The Local Authority Accounting Panel issues LAAP Bulletins to assist practitioners with the application of the requirements of the Code of Practice on Local Authority Accounting and Prudential Code, and to provide advice on emerging or urgent accounting issues.  Bulletins provide influential guidance that is intended to be best practice, but are not prescriptive and do not have the formal status of the Code or Prudential Code.</w:t>
      </w:r>
    </w:p>
    <w:p w14:paraId="4495CC19" w14:textId="77777777" w:rsidR="008C26E5" w:rsidRPr="00F31699" w:rsidRDefault="008C26E5" w:rsidP="008C26E5">
      <w:pPr>
        <w:jc w:val="both"/>
        <w:rPr>
          <w:rFonts w:ascii="Verdana" w:hAnsi="Verdana" w:cs="Arial"/>
          <w:sz w:val="22"/>
          <w:szCs w:val="22"/>
        </w:rPr>
      </w:pPr>
    </w:p>
    <w:p w14:paraId="41C3B393" w14:textId="77777777" w:rsidR="008C26E5" w:rsidRPr="00F31699" w:rsidRDefault="008C26E5" w:rsidP="008C26E5">
      <w:pPr>
        <w:jc w:val="both"/>
        <w:rPr>
          <w:rFonts w:ascii="Verdana" w:hAnsi="Verdana" w:cs="Arial"/>
          <w:b/>
          <w:sz w:val="22"/>
          <w:szCs w:val="22"/>
        </w:rPr>
      </w:pPr>
      <w:r w:rsidRPr="00F31699">
        <w:rPr>
          <w:rFonts w:ascii="Verdana" w:hAnsi="Verdana" w:cs="Arial"/>
          <w:b/>
          <w:sz w:val="22"/>
          <w:szCs w:val="22"/>
        </w:rPr>
        <w:t>LIABILITY</w:t>
      </w:r>
    </w:p>
    <w:p w14:paraId="0BCCD5BD" w14:textId="77777777" w:rsidR="008C26E5" w:rsidRPr="00F31699" w:rsidRDefault="008C26E5" w:rsidP="008C26E5">
      <w:pPr>
        <w:jc w:val="both"/>
        <w:rPr>
          <w:rFonts w:ascii="Verdana" w:hAnsi="Verdana" w:cs="Arial"/>
          <w:b/>
          <w:sz w:val="22"/>
          <w:szCs w:val="22"/>
        </w:rPr>
      </w:pPr>
      <w:r w:rsidRPr="00F31699">
        <w:rPr>
          <w:rFonts w:ascii="Verdana" w:hAnsi="Verdana" w:cs="Arial"/>
          <w:sz w:val="22"/>
          <w:szCs w:val="22"/>
        </w:rPr>
        <w:t xml:space="preserve">An obligation that legally binds an individual or company to settle a debt. </w:t>
      </w:r>
    </w:p>
    <w:p w14:paraId="4C306423" w14:textId="77777777" w:rsidR="008C26E5" w:rsidRPr="00F31699" w:rsidRDefault="008C26E5" w:rsidP="008C26E5">
      <w:pPr>
        <w:pStyle w:val="Normal0"/>
        <w:jc w:val="both"/>
        <w:rPr>
          <w:rFonts w:ascii="Verdana" w:hAnsi="Verdana"/>
          <w:sz w:val="22"/>
          <w:szCs w:val="22"/>
          <w:lang w:val="en-GB" w:eastAsia="en-GB"/>
        </w:rPr>
      </w:pPr>
    </w:p>
    <w:p w14:paraId="777E808F" w14:textId="77777777" w:rsidR="008C26E5" w:rsidRPr="00F31699" w:rsidRDefault="008C26E5" w:rsidP="008C26E5">
      <w:pPr>
        <w:pStyle w:val="Normal0"/>
        <w:jc w:val="both"/>
        <w:rPr>
          <w:rFonts w:ascii="Verdana" w:hAnsi="Verdana"/>
          <w:b/>
          <w:sz w:val="22"/>
          <w:szCs w:val="22"/>
          <w:lang w:val="en-GB" w:eastAsia="en-GB"/>
        </w:rPr>
      </w:pPr>
      <w:r w:rsidRPr="00F31699">
        <w:rPr>
          <w:rFonts w:ascii="Verdana" w:hAnsi="Verdana"/>
          <w:b/>
          <w:color w:val="000000"/>
          <w:sz w:val="22"/>
          <w:szCs w:val="22"/>
          <w:lang w:val="en-GB" w:eastAsia="en-GB"/>
        </w:rPr>
        <w:t>NET OPERATING EXPENDITURE</w:t>
      </w:r>
    </w:p>
    <w:p w14:paraId="4B16D2BA" w14:textId="77777777" w:rsidR="008C26E5" w:rsidRPr="00F31699" w:rsidRDefault="008C26E5" w:rsidP="008C26E5">
      <w:pPr>
        <w:pStyle w:val="Normal0"/>
        <w:jc w:val="both"/>
        <w:rPr>
          <w:rFonts w:ascii="Verdana" w:hAnsi="Verdana"/>
          <w:sz w:val="22"/>
          <w:szCs w:val="22"/>
          <w:lang w:val="en-GB" w:eastAsia="en-GB"/>
        </w:rPr>
      </w:pPr>
      <w:r w:rsidRPr="00F31699">
        <w:rPr>
          <w:rFonts w:ascii="Verdana" w:hAnsi="Verdana"/>
          <w:sz w:val="22"/>
          <w:szCs w:val="22"/>
          <w:lang w:val="en-GB" w:eastAsia="en-GB"/>
        </w:rPr>
        <w:t>The total net expenditure before financing from Central Government grants or local Council Tax and before the movements shown in the Statement of Movement on the General Fund Balance.</w:t>
      </w:r>
    </w:p>
    <w:p w14:paraId="459F0F3F" w14:textId="77777777" w:rsidR="008C26E5" w:rsidRPr="00F31699" w:rsidRDefault="008C26E5" w:rsidP="008C26E5">
      <w:pPr>
        <w:pStyle w:val="Normal0"/>
        <w:jc w:val="both"/>
        <w:rPr>
          <w:rFonts w:ascii="Verdana" w:hAnsi="Verdana"/>
          <w:sz w:val="22"/>
          <w:szCs w:val="22"/>
          <w:lang w:val="en-GB" w:eastAsia="en-GB"/>
        </w:rPr>
      </w:pPr>
    </w:p>
    <w:p w14:paraId="0218D063" w14:textId="77777777" w:rsidR="008C26E5" w:rsidRPr="00F31699" w:rsidRDefault="008C26E5" w:rsidP="008C26E5">
      <w:pPr>
        <w:jc w:val="both"/>
        <w:rPr>
          <w:rFonts w:ascii="Verdana" w:hAnsi="Verdana" w:cs="Arial"/>
          <w:b/>
          <w:sz w:val="22"/>
          <w:szCs w:val="22"/>
        </w:rPr>
      </w:pPr>
      <w:r w:rsidRPr="00F31699">
        <w:rPr>
          <w:rFonts w:ascii="Verdana" w:hAnsi="Verdana" w:cs="Arial"/>
          <w:b/>
          <w:sz w:val="22"/>
          <w:szCs w:val="22"/>
        </w:rPr>
        <w:t>PAST SERVICE COSTS (PENSIONS)</w:t>
      </w:r>
    </w:p>
    <w:p w14:paraId="0CFF1A0B" w14:textId="77777777" w:rsidR="008C26E5" w:rsidRPr="00F31699" w:rsidRDefault="008C26E5" w:rsidP="008C26E5">
      <w:pPr>
        <w:jc w:val="both"/>
        <w:rPr>
          <w:rFonts w:ascii="Verdana" w:hAnsi="Verdana" w:cs="Arial"/>
          <w:sz w:val="22"/>
          <w:szCs w:val="22"/>
        </w:rPr>
      </w:pPr>
      <w:r w:rsidRPr="00F31699">
        <w:rPr>
          <w:rFonts w:ascii="Verdana" w:hAnsi="Verdana" w:cs="Arial"/>
          <w:sz w:val="22"/>
          <w:szCs w:val="22"/>
        </w:rPr>
        <w:t>For a defined benefit scheme, the increase in the present value of the scheme liabilities related to employee service in prior periods arising in the current period as a result of the introduction of, or improvement to, retirement benefits.</w:t>
      </w:r>
    </w:p>
    <w:p w14:paraId="3196D4B1" w14:textId="77777777" w:rsidR="008C26E5" w:rsidRPr="00F31699" w:rsidRDefault="008C26E5" w:rsidP="008C26E5">
      <w:pPr>
        <w:jc w:val="both"/>
        <w:rPr>
          <w:rFonts w:ascii="Verdana" w:hAnsi="Verdana" w:cs="Arial"/>
          <w:sz w:val="22"/>
          <w:szCs w:val="22"/>
        </w:rPr>
      </w:pPr>
    </w:p>
    <w:p w14:paraId="026A59B8" w14:textId="77777777" w:rsidR="008C26E5" w:rsidRPr="00F31699" w:rsidRDefault="008C26E5" w:rsidP="008C26E5">
      <w:pPr>
        <w:pStyle w:val="Normal0"/>
        <w:jc w:val="both"/>
        <w:rPr>
          <w:rFonts w:ascii="Verdana" w:hAnsi="Verdana"/>
          <w:b/>
          <w:sz w:val="22"/>
          <w:szCs w:val="22"/>
          <w:lang w:val="en-GB" w:eastAsia="en-GB"/>
        </w:rPr>
      </w:pPr>
      <w:r w:rsidRPr="00F31699">
        <w:rPr>
          <w:rFonts w:ascii="Verdana" w:hAnsi="Verdana"/>
          <w:b/>
          <w:sz w:val="22"/>
          <w:szCs w:val="22"/>
          <w:lang w:val="en-GB" w:eastAsia="en-GB"/>
        </w:rPr>
        <w:t>PCC</w:t>
      </w:r>
    </w:p>
    <w:p w14:paraId="4500A0C0" w14:textId="77777777" w:rsidR="008C26E5" w:rsidRPr="00F31699" w:rsidRDefault="008C26E5" w:rsidP="008C26E5">
      <w:pPr>
        <w:pStyle w:val="Normal0"/>
        <w:jc w:val="both"/>
        <w:rPr>
          <w:rFonts w:ascii="Verdana" w:hAnsi="Verdana"/>
          <w:sz w:val="22"/>
          <w:szCs w:val="22"/>
          <w:lang w:val="en-GB" w:eastAsia="en-GB"/>
        </w:rPr>
      </w:pPr>
      <w:r w:rsidRPr="00F31699">
        <w:rPr>
          <w:rFonts w:ascii="Verdana" w:hAnsi="Verdana"/>
          <w:sz w:val="22"/>
          <w:szCs w:val="22"/>
          <w:lang w:val="en-GB" w:eastAsia="en-GB"/>
        </w:rPr>
        <w:t>Police and Crime Commissioner</w:t>
      </w:r>
    </w:p>
    <w:p w14:paraId="4423D116" w14:textId="77777777" w:rsidR="008C26E5" w:rsidRPr="00F31699" w:rsidRDefault="008C26E5" w:rsidP="008C26E5">
      <w:pPr>
        <w:pStyle w:val="Normal0"/>
        <w:jc w:val="both"/>
        <w:rPr>
          <w:rFonts w:ascii="Verdana" w:hAnsi="Verdana"/>
          <w:sz w:val="22"/>
          <w:szCs w:val="22"/>
          <w:lang w:val="en-GB" w:eastAsia="en-GB"/>
        </w:rPr>
      </w:pPr>
    </w:p>
    <w:p w14:paraId="2D191E4C" w14:textId="77777777" w:rsidR="008C26E5" w:rsidRPr="00F31699" w:rsidRDefault="008C26E5" w:rsidP="008C26E5">
      <w:pPr>
        <w:pStyle w:val="Normal0"/>
        <w:jc w:val="both"/>
        <w:rPr>
          <w:rFonts w:ascii="Verdana" w:hAnsi="Verdana"/>
          <w:b/>
          <w:sz w:val="22"/>
          <w:szCs w:val="22"/>
          <w:lang w:val="en-GB" w:eastAsia="en-GB"/>
        </w:rPr>
      </w:pPr>
      <w:r w:rsidRPr="00F31699">
        <w:rPr>
          <w:rFonts w:ascii="Verdana" w:hAnsi="Verdana"/>
          <w:b/>
          <w:sz w:val="22"/>
          <w:szCs w:val="22"/>
          <w:lang w:val="en-GB" w:eastAsia="en-GB"/>
        </w:rPr>
        <w:t>POLICE GRANT</w:t>
      </w:r>
    </w:p>
    <w:p w14:paraId="37AC1344" w14:textId="77777777" w:rsidR="008C26E5" w:rsidRPr="00F31699" w:rsidRDefault="008C26E5" w:rsidP="008C26E5">
      <w:pPr>
        <w:pStyle w:val="Normal0"/>
        <w:jc w:val="both"/>
        <w:rPr>
          <w:rFonts w:ascii="Verdana" w:hAnsi="Verdana"/>
          <w:sz w:val="22"/>
          <w:szCs w:val="22"/>
          <w:lang w:val="en-GB" w:eastAsia="en-GB"/>
        </w:rPr>
      </w:pPr>
      <w:r w:rsidRPr="00F31699">
        <w:rPr>
          <w:rFonts w:ascii="Verdana" w:hAnsi="Verdana"/>
          <w:sz w:val="22"/>
          <w:szCs w:val="22"/>
          <w:lang w:val="en-GB" w:eastAsia="en-GB"/>
        </w:rPr>
        <w:t>A specific grant paid to the PCC by Central Government to support its revenue expenditure.  It is a fixed sum calculated by the Government on an assumed needs basis.</w:t>
      </w:r>
    </w:p>
    <w:p w14:paraId="5F6BE062" w14:textId="77777777" w:rsidR="008C26E5" w:rsidRDefault="008C26E5" w:rsidP="008C26E5">
      <w:pPr>
        <w:jc w:val="both"/>
        <w:rPr>
          <w:rFonts w:ascii="Verdana" w:hAnsi="Verdana" w:cs="Arial"/>
          <w:sz w:val="22"/>
          <w:szCs w:val="22"/>
        </w:rPr>
      </w:pPr>
    </w:p>
    <w:p w14:paraId="488BF0C9" w14:textId="77777777" w:rsidR="00355708" w:rsidRPr="00314C46" w:rsidRDefault="00355708" w:rsidP="00355708">
      <w:pPr>
        <w:pStyle w:val="Normal00"/>
        <w:jc w:val="both"/>
        <w:rPr>
          <w:rFonts w:ascii="Verdana" w:eastAsia="Times New Roman" w:hAnsi="Verdana"/>
          <w:b/>
          <w:sz w:val="22"/>
          <w:szCs w:val="22"/>
        </w:rPr>
      </w:pPr>
      <w:r w:rsidRPr="00314C46">
        <w:rPr>
          <w:rFonts w:ascii="Verdana" w:eastAsia="Times New Roman" w:hAnsi="Verdana"/>
          <w:b/>
          <w:sz w:val="22"/>
          <w:szCs w:val="22"/>
        </w:rPr>
        <w:t>PROJECTED UNIT METHOD (PENSIONS)</w:t>
      </w:r>
    </w:p>
    <w:p w14:paraId="3BA1190D" w14:textId="77777777" w:rsidR="00355708" w:rsidRPr="00355708" w:rsidRDefault="00355708" w:rsidP="00355708">
      <w:pPr>
        <w:pStyle w:val="Normal00"/>
        <w:jc w:val="both"/>
        <w:rPr>
          <w:rFonts w:ascii="Verdana" w:eastAsia="Times New Roman" w:hAnsi="Verdana"/>
          <w:sz w:val="22"/>
          <w:szCs w:val="22"/>
        </w:rPr>
      </w:pPr>
      <w:r w:rsidRPr="00355708">
        <w:rPr>
          <w:rFonts w:ascii="Verdana" w:eastAsia="Times New Roman" w:hAnsi="Verdana"/>
          <w:sz w:val="22"/>
          <w:szCs w:val="22"/>
        </w:rPr>
        <w:t>An accrued benefits valuation method in which the scheme liabilities make allowance for projected earnings. An accrued benefits valuation method is a valuation method in which the scheme liabilities at the valuation date relate to:</w:t>
      </w:r>
    </w:p>
    <w:p w14:paraId="2E4ACCE2" w14:textId="77777777" w:rsidR="00355708" w:rsidRPr="00355708" w:rsidRDefault="00355708" w:rsidP="005E3E6F">
      <w:pPr>
        <w:pStyle w:val="ListParagraph"/>
        <w:numPr>
          <w:ilvl w:val="0"/>
          <w:numId w:val="25"/>
        </w:numPr>
        <w:jc w:val="both"/>
        <w:rPr>
          <w:rFonts w:ascii="Verdana" w:hAnsi="Verdana"/>
          <w:sz w:val="22"/>
        </w:rPr>
      </w:pPr>
      <w:r w:rsidRPr="00355708">
        <w:rPr>
          <w:rFonts w:ascii="Verdana" w:hAnsi="Verdana"/>
          <w:sz w:val="22"/>
        </w:rPr>
        <w:t>The benefits for pensioners and deferred pensioners (i.e. individuals who have ceased to be active members but are entitled to benefits payable at</w:t>
      </w:r>
      <w:r w:rsidR="005E3E6F">
        <w:rPr>
          <w:rFonts w:ascii="Verdana" w:hAnsi="Verdana"/>
          <w:sz w:val="22"/>
        </w:rPr>
        <w:t xml:space="preserve"> a later date) and their depende</w:t>
      </w:r>
      <w:r w:rsidRPr="00355708">
        <w:rPr>
          <w:rFonts w:ascii="Verdana" w:hAnsi="Verdana"/>
          <w:sz w:val="22"/>
        </w:rPr>
        <w:t>nts, allowing where appropriate for future increases; and</w:t>
      </w:r>
    </w:p>
    <w:p w14:paraId="06A2C6AF" w14:textId="77777777" w:rsidR="00355708" w:rsidRPr="00355708" w:rsidRDefault="00355708" w:rsidP="005E3E6F">
      <w:pPr>
        <w:pStyle w:val="ListParagraph"/>
        <w:numPr>
          <w:ilvl w:val="0"/>
          <w:numId w:val="25"/>
        </w:numPr>
        <w:jc w:val="both"/>
        <w:rPr>
          <w:rFonts w:ascii="Verdana" w:hAnsi="Verdana"/>
          <w:sz w:val="22"/>
        </w:rPr>
      </w:pPr>
      <w:r w:rsidRPr="00355708">
        <w:rPr>
          <w:rFonts w:ascii="Verdana" w:hAnsi="Verdana"/>
          <w:sz w:val="22"/>
        </w:rPr>
        <w:t>The accrued benefits for member in service on the valuation date.</w:t>
      </w:r>
    </w:p>
    <w:p w14:paraId="2DACCD1D" w14:textId="77777777" w:rsidR="00355708" w:rsidRPr="00355708" w:rsidRDefault="00355708" w:rsidP="00355708">
      <w:pPr>
        <w:pStyle w:val="Normal00"/>
        <w:jc w:val="both"/>
        <w:rPr>
          <w:rFonts w:ascii="Verdana" w:hAnsi="Verdana"/>
          <w:sz w:val="22"/>
          <w:szCs w:val="22"/>
        </w:rPr>
      </w:pPr>
    </w:p>
    <w:p w14:paraId="5945AB73" w14:textId="77777777" w:rsidR="008C26E5" w:rsidRPr="00F31699" w:rsidRDefault="008C26E5" w:rsidP="008C26E5">
      <w:pPr>
        <w:jc w:val="both"/>
        <w:rPr>
          <w:rFonts w:ascii="Verdana" w:hAnsi="Verdana" w:cs="Arial"/>
          <w:b/>
          <w:sz w:val="22"/>
          <w:szCs w:val="22"/>
        </w:rPr>
      </w:pPr>
      <w:r w:rsidRPr="00F31699">
        <w:rPr>
          <w:rFonts w:ascii="Verdana" w:hAnsi="Verdana" w:cs="Arial"/>
          <w:b/>
          <w:sz w:val="22"/>
          <w:szCs w:val="22"/>
        </w:rPr>
        <w:t>PROVISION</w:t>
      </w:r>
    </w:p>
    <w:p w14:paraId="60CF336A" w14:textId="77777777" w:rsidR="008C26E5" w:rsidRPr="00F31699" w:rsidRDefault="008C26E5" w:rsidP="008C26E5">
      <w:pPr>
        <w:jc w:val="both"/>
        <w:rPr>
          <w:rFonts w:ascii="Verdana" w:hAnsi="Verdana" w:cs="Arial"/>
          <w:sz w:val="22"/>
          <w:szCs w:val="22"/>
        </w:rPr>
      </w:pPr>
      <w:r w:rsidRPr="00F31699">
        <w:rPr>
          <w:rFonts w:ascii="Verdana" w:hAnsi="Verdana" w:cs="Arial"/>
          <w:sz w:val="22"/>
          <w:szCs w:val="22"/>
        </w:rPr>
        <w:t>An amount set aside to provide for a liability which is likely to be incurred but the exact amount and the date on which it will arise is uncertain.</w:t>
      </w:r>
    </w:p>
    <w:p w14:paraId="07F46525" w14:textId="77777777" w:rsidR="008C26E5" w:rsidRPr="00F31699" w:rsidRDefault="008C26E5" w:rsidP="008C26E5">
      <w:pPr>
        <w:jc w:val="both"/>
        <w:rPr>
          <w:rFonts w:ascii="Verdana" w:hAnsi="Verdana" w:cs="Arial"/>
          <w:sz w:val="22"/>
          <w:szCs w:val="22"/>
        </w:rPr>
      </w:pPr>
    </w:p>
    <w:p w14:paraId="45D8E4AE" w14:textId="77777777" w:rsidR="008C26E5" w:rsidRPr="00F31699" w:rsidRDefault="008C26E5" w:rsidP="008C26E5">
      <w:pPr>
        <w:jc w:val="both"/>
        <w:rPr>
          <w:rFonts w:ascii="Verdana" w:hAnsi="Verdana" w:cs="Arial"/>
          <w:b/>
          <w:sz w:val="22"/>
          <w:szCs w:val="22"/>
        </w:rPr>
      </w:pPr>
      <w:r w:rsidRPr="00F31699">
        <w:rPr>
          <w:rFonts w:ascii="Verdana" w:hAnsi="Verdana" w:cs="Arial"/>
          <w:b/>
          <w:sz w:val="22"/>
          <w:szCs w:val="22"/>
        </w:rPr>
        <w:t>RELATED PARTIES</w:t>
      </w:r>
    </w:p>
    <w:p w14:paraId="2CC9AF71" w14:textId="77777777" w:rsidR="008C26E5" w:rsidRPr="00F31699" w:rsidRDefault="008C26E5" w:rsidP="008C26E5">
      <w:pPr>
        <w:jc w:val="both"/>
        <w:rPr>
          <w:rFonts w:ascii="Verdana" w:hAnsi="Verdana" w:cs="Arial"/>
          <w:sz w:val="22"/>
          <w:szCs w:val="22"/>
        </w:rPr>
      </w:pPr>
      <w:r w:rsidRPr="00F31699">
        <w:rPr>
          <w:rFonts w:ascii="Verdana" w:hAnsi="Verdana" w:cs="Arial"/>
          <w:sz w:val="22"/>
          <w:szCs w:val="22"/>
        </w:rPr>
        <w:t>Two or more parties are related parties when at any time during the financial period:</w:t>
      </w:r>
    </w:p>
    <w:p w14:paraId="505C5FC9" w14:textId="77777777" w:rsidR="008C26E5" w:rsidRPr="00F31699" w:rsidRDefault="008C26E5" w:rsidP="008C26E5">
      <w:pPr>
        <w:jc w:val="both"/>
        <w:rPr>
          <w:rFonts w:ascii="Verdana" w:hAnsi="Verdana" w:cs="Arial"/>
          <w:sz w:val="22"/>
          <w:szCs w:val="22"/>
        </w:rPr>
      </w:pPr>
    </w:p>
    <w:p w14:paraId="02D384C7" w14:textId="77777777" w:rsidR="008C26E5" w:rsidRPr="00355708" w:rsidRDefault="008C26E5" w:rsidP="005E3E6F">
      <w:pPr>
        <w:pStyle w:val="ListParagraph"/>
        <w:numPr>
          <w:ilvl w:val="0"/>
          <w:numId w:val="26"/>
        </w:numPr>
        <w:jc w:val="both"/>
        <w:rPr>
          <w:rFonts w:ascii="Verdana" w:hAnsi="Verdana" w:cs="Arial"/>
          <w:sz w:val="22"/>
          <w:szCs w:val="22"/>
        </w:rPr>
      </w:pPr>
      <w:r w:rsidRPr="00355708">
        <w:rPr>
          <w:rFonts w:ascii="Verdana" w:hAnsi="Verdana" w:cs="Arial"/>
          <w:sz w:val="22"/>
          <w:szCs w:val="22"/>
        </w:rPr>
        <w:t>one party has direct or indirect control of the other party, or</w:t>
      </w:r>
    </w:p>
    <w:p w14:paraId="07998935" w14:textId="77777777" w:rsidR="008C26E5" w:rsidRPr="00355708" w:rsidRDefault="008C26E5" w:rsidP="005E3E6F">
      <w:pPr>
        <w:pStyle w:val="ListParagraph"/>
        <w:numPr>
          <w:ilvl w:val="0"/>
          <w:numId w:val="26"/>
        </w:numPr>
        <w:jc w:val="both"/>
        <w:rPr>
          <w:rFonts w:ascii="Verdana" w:hAnsi="Verdana" w:cs="Arial"/>
          <w:sz w:val="22"/>
          <w:szCs w:val="22"/>
        </w:rPr>
      </w:pPr>
      <w:r w:rsidRPr="00355708">
        <w:rPr>
          <w:rFonts w:ascii="Verdana" w:hAnsi="Verdana" w:cs="Arial"/>
          <w:sz w:val="22"/>
          <w:szCs w:val="22"/>
        </w:rPr>
        <w:t>the parties are subject to common control from the same source, or</w:t>
      </w:r>
    </w:p>
    <w:p w14:paraId="2831719A" w14:textId="77777777" w:rsidR="008C26E5" w:rsidRPr="00355708" w:rsidRDefault="008C26E5" w:rsidP="005E3E6F">
      <w:pPr>
        <w:pStyle w:val="ListParagraph"/>
        <w:numPr>
          <w:ilvl w:val="0"/>
          <w:numId w:val="26"/>
        </w:numPr>
        <w:jc w:val="both"/>
        <w:rPr>
          <w:rFonts w:ascii="Verdana" w:hAnsi="Verdana" w:cs="Arial"/>
          <w:sz w:val="22"/>
          <w:szCs w:val="22"/>
        </w:rPr>
      </w:pPr>
      <w:r w:rsidRPr="00355708">
        <w:rPr>
          <w:rFonts w:ascii="Verdana" w:hAnsi="Verdana" w:cs="Arial"/>
          <w:sz w:val="22"/>
          <w:szCs w:val="22"/>
        </w:rPr>
        <w:t>one party has influence over the financial and operational policies of the other party to an extent that the other party might be inhibited from pursuing at all times its own separate interests, or</w:t>
      </w:r>
    </w:p>
    <w:p w14:paraId="0BDFE606" w14:textId="77777777" w:rsidR="008C26E5" w:rsidRPr="00355708" w:rsidRDefault="008C26E5" w:rsidP="005E3E6F">
      <w:pPr>
        <w:pStyle w:val="ListParagraph"/>
        <w:numPr>
          <w:ilvl w:val="0"/>
          <w:numId w:val="26"/>
        </w:numPr>
        <w:jc w:val="both"/>
        <w:rPr>
          <w:rFonts w:ascii="Verdana" w:hAnsi="Verdana" w:cs="Arial"/>
          <w:sz w:val="22"/>
          <w:szCs w:val="22"/>
        </w:rPr>
      </w:pPr>
      <w:r w:rsidRPr="00355708">
        <w:rPr>
          <w:rFonts w:ascii="Verdana" w:hAnsi="Verdana" w:cs="Arial"/>
          <w:sz w:val="22"/>
          <w:szCs w:val="22"/>
        </w:rPr>
        <w:t>the parties in entering a transaction, are subject to influence from the same source to such an extent that one of the parties to the transaction has subordinated its own separate interests.</w:t>
      </w:r>
    </w:p>
    <w:p w14:paraId="27882A8B" w14:textId="77777777" w:rsidR="008C26E5" w:rsidRPr="00F31699" w:rsidRDefault="008C26E5" w:rsidP="008C26E5">
      <w:pPr>
        <w:jc w:val="both"/>
        <w:rPr>
          <w:rFonts w:ascii="Verdana" w:hAnsi="Verdana" w:cs="Arial"/>
          <w:sz w:val="22"/>
          <w:szCs w:val="22"/>
        </w:rPr>
      </w:pPr>
    </w:p>
    <w:p w14:paraId="2DD4D4BA" w14:textId="77777777" w:rsidR="008C26E5" w:rsidRPr="00F31699" w:rsidRDefault="008C26E5" w:rsidP="008C26E5">
      <w:pPr>
        <w:jc w:val="both"/>
        <w:rPr>
          <w:rFonts w:ascii="Verdana" w:hAnsi="Verdana" w:cs="Arial"/>
          <w:b/>
          <w:sz w:val="22"/>
          <w:szCs w:val="22"/>
        </w:rPr>
      </w:pPr>
      <w:r w:rsidRPr="00F31699">
        <w:rPr>
          <w:rFonts w:ascii="Verdana" w:hAnsi="Verdana" w:cs="Arial"/>
          <w:b/>
          <w:sz w:val="22"/>
          <w:szCs w:val="22"/>
        </w:rPr>
        <w:t xml:space="preserve">RELATED PARTY TRANSACTION </w:t>
      </w:r>
    </w:p>
    <w:p w14:paraId="58F1A492" w14:textId="77777777" w:rsidR="008C26E5" w:rsidRPr="00F31699" w:rsidRDefault="008C26E5" w:rsidP="008C26E5">
      <w:pPr>
        <w:jc w:val="both"/>
        <w:rPr>
          <w:rFonts w:ascii="Verdana" w:hAnsi="Verdana" w:cs="Arial"/>
          <w:sz w:val="22"/>
          <w:szCs w:val="22"/>
        </w:rPr>
      </w:pPr>
      <w:r w:rsidRPr="00F31699">
        <w:rPr>
          <w:rFonts w:ascii="Verdana" w:hAnsi="Verdana" w:cs="Arial"/>
          <w:sz w:val="22"/>
          <w:szCs w:val="22"/>
        </w:rPr>
        <w:t xml:space="preserve">A related party transaction is the transfer of assets or liabilities or the performance of services by, to or for a related party irrespective of whether a charge is made. </w:t>
      </w:r>
    </w:p>
    <w:p w14:paraId="494351B0" w14:textId="77777777" w:rsidR="008C26E5" w:rsidRPr="00F31699" w:rsidRDefault="008C26E5" w:rsidP="008C26E5">
      <w:pPr>
        <w:jc w:val="both"/>
        <w:rPr>
          <w:rFonts w:ascii="Verdana" w:hAnsi="Verdana" w:cs="Arial"/>
          <w:sz w:val="22"/>
          <w:szCs w:val="22"/>
        </w:rPr>
      </w:pPr>
    </w:p>
    <w:p w14:paraId="36A1AA99" w14:textId="77777777" w:rsidR="00355708" w:rsidRDefault="00355708" w:rsidP="008C26E5">
      <w:pPr>
        <w:jc w:val="both"/>
        <w:rPr>
          <w:rFonts w:ascii="Verdana" w:hAnsi="Verdana" w:cs="Arial"/>
          <w:b/>
          <w:sz w:val="22"/>
          <w:szCs w:val="22"/>
        </w:rPr>
      </w:pPr>
    </w:p>
    <w:p w14:paraId="731A8B5E" w14:textId="77777777" w:rsidR="008C26E5" w:rsidRPr="00F31699" w:rsidRDefault="008C26E5" w:rsidP="008C26E5">
      <w:pPr>
        <w:jc w:val="both"/>
        <w:rPr>
          <w:rFonts w:ascii="Verdana" w:hAnsi="Verdana" w:cs="Arial"/>
          <w:b/>
          <w:sz w:val="22"/>
          <w:szCs w:val="22"/>
        </w:rPr>
      </w:pPr>
      <w:r w:rsidRPr="00F31699">
        <w:rPr>
          <w:rFonts w:ascii="Verdana" w:hAnsi="Verdana" w:cs="Arial"/>
          <w:b/>
          <w:sz w:val="22"/>
          <w:szCs w:val="22"/>
        </w:rPr>
        <w:t>RESERVE</w:t>
      </w:r>
    </w:p>
    <w:p w14:paraId="5C61828B" w14:textId="77777777" w:rsidR="008C26E5" w:rsidRPr="00F31699" w:rsidRDefault="008C26E5" w:rsidP="008C26E5">
      <w:pPr>
        <w:jc w:val="both"/>
        <w:rPr>
          <w:rFonts w:ascii="Verdana" w:hAnsi="Verdana" w:cs="Arial"/>
          <w:sz w:val="22"/>
          <w:szCs w:val="22"/>
        </w:rPr>
      </w:pPr>
      <w:r w:rsidRPr="00F31699">
        <w:rPr>
          <w:rFonts w:ascii="Verdana" w:hAnsi="Verdana" w:cs="Arial"/>
          <w:sz w:val="22"/>
          <w:szCs w:val="22"/>
        </w:rPr>
        <w:t>An amount set aside for a specific purpose and carried forward to meet expenditure in future years. General reserves represent accumulated balances which may be used to support future spending. Earmarked reserves are those reserves set aside to meet specific policy purposes.</w:t>
      </w:r>
    </w:p>
    <w:p w14:paraId="23D9EFD4" w14:textId="77777777" w:rsidR="008C26E5" w:rsidRPr="00F31699" w:rsidRDefault="008C26E5" w:rsidP="008C26E5">
      <w:pPr>
        <w:jc w:val="both"/>
        <w:rPr>
          <w:rFonts w:ascii="Verdana" w:hAnsi="Verdana" w:cs="Arial"/>
          <w:sz w:val="22"/>
          <w:szCs w:val="22"/>
        </w:rPr>
      </w:pPr>
    </w:p>
    <w:p w14:paraId="7AD26FFA" w14:textId="77777777" w:rsidR="008C26E5" w:rsidRPr="00F31699" w:rsidRDefault="008C26E5" w:rsidP="008C26E5">
      <w:pPr>
        <w:pStyle w:val="Normal0"/>
        <w:rPr>
          <w:rFonts w:ascii="Verdana" w:hAnsi="Verdana"/>
          <w:b/>
          <w:sz w:val="22"/>
          <w:szCs w:val="22"/>
          <w:lang w:val="en-GB" w:eastAsia="en-GB"/>
        </w:rPr>
      </w:pPr>
      <w:r w:rsidRPr="00F31699">
        <w:rPr>
          <w:rFonts w:ascii="Verdana" w:hAnsi="Verdana"/>
          <w:b/>
          <w:color w:val="000000"/>
          <w:sz w:val="22"/>
          <w:szCs w:val="22"/>
          <w:lang w:val="en-GB" w:eastAsia="en-GB"/>
        </w:rPr>
        <w:t>REVENUE BUDGET</w:t>
      </w:r>
    </w:p>
    <w:p w14:paraId="761ED376" w14:textId="77777777" w:rsidR="008C26E5" w:rsidRPr="00F31699" w:rsidRDefault="008C26E5" w:rsidP="008C26E5">
      <w:pPr>
        <w:pStyle w:val="Normal0"/>
        <w:rPr>
          <w:rFonts w:ascii="Verdana" w:hAnsi="Verdana"/>
          <w:sz w:val="22"/>
          <w:szCs w:val="22"/>
          <w:lang w:val="en-GB" w:eastAsia="en-GB"/>
        </w:rPr>
      </w:pPr>
      <w:r w:rsidRPr="00F31699">
        <w:rPr>
          <w:rFonts w:ascii="Verdana" w:hAnsi="Verdana" w:cs="ArialMT"/>
          <w:color w:val="000000"/>
          <w:sz w:val="22"/>
          <w:szCs w:val="22"/>
          <w:lang w:val="en-GB" w:eastAsia="en-GB"/>
        </w:rPr>
        <w:t>The Revenue Budget estimates annual income and expenditure requirements, and sets out the financial implications of the PCC Group policies and the basis of the annual precept to be levied on collection funds.</w:t>
      </w:r>
    </w:p>
    <w:p w14:paraId="17A349A2" w14:textId="77777777" w:rsidR="008C26E5" w:rsidRPr="00F31699" w:rsidRDefault="008C26E5" w:rsidP="008C26E5">
      <w:pPr>
        <w:jc w:val="both"/>
        <w:rPr>
          <w:rFonts w:ascii="Verdana" w:hAnsi="Verdana" w:cs="Arial"/>
          <w:sz w:val="22"/>
          <w:szCs w:val="22"/>
        </w:rPr>
      </w:pPr>
    </w:p>
    <w:p w14:paraId="6E4C97C0" w14:textId="77777777" w:rsidR="008C26E5" w:rsidRPr="00F31699" w:rsidRDefault="008C26E5" w:rsidP="008C26E5">
      <w:pPr>
        <w:pStyle w:val="Normal0"/>
        <w:rPr>
          <w:rFonts w:ascii="Verdana" w:hAnsi="Verdana"/>
          <w:b/>
          <w:sz w:val="22"/>
          <w:szCs w:val="22"/>
          <w:lang w:val="en-GB" w:eastAsia="en-GB"/>
        </w:rPr>
      </w:pPr>
      <w:r w:rsidRPr="00F31699">
        <w:rPr>
          <w:rFonts w:ascii="Verdana" w:hAnsi="Verdana"/>
          <w:b/>
          <w:sz w:val="22"/>
          <w:szCs w:val="22"/>
          <w:lang w:val="en-GB" w:eastAsia="en-GB"/>
        </w:rPr>
        <w:t>SCHEME LIABILITIES (PENSIONS)</w:t>
      </w:r>
    </w:p>
    <w:p w14:paraId="0B66A108" w14:textId="77777777" w:rsidR="008C26E5" w:rsidRPr="00F31699" w:rsidRDefault="008C26E5" w:rsidP="008C26E5">
      <w:pPr>
        <w:jc w:val="both"/>
        <w:rPr>
          <w:rFonts w:ascii="Verdana" w:hAnsi="Verdana" w:cs="Arial"/>
          <w:sz w:val="22"/>
          <w:szCs w:val="22"/>
        </w:rPr>
      </w:pPr>
      <w:r w:rsidRPr="00F31699">
        <w:rPr>
          <w:rFonts w:ascii="Verdana" w:hAnsi="Verdana"/>
          <w:sz w:val="22"/>
          <w:szCs w:val="22"/>
        </w:rPr>
        <w:t>The liabilities of a defined benefit scheme for outgoings due after the valuation date. Scheme liabilities measured using the projected unit method reflects the benefits that the employer is committed to provide for service up to the valuation date.</w:t>
      </w:r>
    </w:p>
    <w:p w14:paraId="7B3C622E" w14:textId="77777777" w:rsidR="008C26E5" w:rsidRPr="00F31699" w:rsidRDefault="008C26E5" w:rsidP="008C26E5">
      <w:pPr>
        <w:jc w:val="both"/>
        <w:rPr>
          <w:rFonts w:ascii="Verdana" w:hAnsi="Verdana" w:cs="Arial"/>
          <w:sz w:val="22"/>
          <w:szCs w:val="22"/>
        </w:rPr>
      </w:pPr>
    </w:p>
    <w:p w14:paraId="568F7A57" w14:textId="77777777" w:rsidR="008C26E5" w:rsidRPr="00F31699" w:rsidRDefault="008C26E5" w:rsidP="008C26E5">
      <w:pPr>
        <w:jc w:val="both"/>
        <w:rPr>
          <w:rFonts w:ascii="Verdana" w:hAnsi="Verdana" w:cs="Arial"/>
          <w:b/>
          <w:sz w:val="22"/>
          <w:szCs w:val="22"/>
        </w:rPr>
      </w:pPr>
      <w:r w:rsidRPr="00F31699">
        <w:rPr>
          <w:rFonts w:ascii="Verdana" w:hAnsi="Verdana" w:cs="Arial"/>
          <w:b/>
          <w:sz w:val="22"/>
          <w:szCs w:val="22"/>
        </w:rPr>
        <w:t>SETTLEMENT (PENSIONS)</w:t>
      </w:r>
    </w:p>
    <w:p w14:paraId="595550B8" w14:textId="77777777" w:rsidR="00355708" w:rsidRDefault="008C26E5" w:rsidP="008C26E5">
      <w:pPr>
        <w:jc w:val="both"/>
        <w:rPr>
          <w:rFonts w:ascii="Verdana" w:hAnsi="Verdana" w:cs="Arial"/>
          <w:sz w:val="22"/>
          <w:szCs w:val="22"/>
        </w:rPr>
      </w:pPr>
      <w:r w:rsidRPr="00F31699">
        <w:rPr>
          <w:rFonts w:ascii="Verdana" w:hAnsi="Verdana" w:cs="Arial"/>
          <w:sz w:val="22"/>
          <w:szCs w:val="22"/>
        </w:rPr>
        <w:t xml:space="preserve">An irrevocable action that relieves the employer (or the defined benefit scheme) of the primary responsibility for a pension obligation and eliminates significant risks relating to the obligation and the assets used to effect the settlement. </w:t>
      </w:r>
    </w:p>
    <w:p w14:paraId="39067903" w14:textId="77777777" w:rsidR="008C26E5" w:rsidRPr="00F31699" w:rsidRDefault="008C26E5" w:rsidP="008C26E5">
      <w:pPr>
        <w:jc w:val="both"/>
        <w:rPr>
          <w:rFonts w:ascii="Verdana" w:hAnsi="Verdana" w:cs="Arial"/>
          <w:sz w:val="22"/>
          <w:szCs w:val="22"/>
        </w:rPr>
      </w:pPr>
      <w:r w:rsidRPr="00F31699">
        <w:rPr>
          <w:rFonts w:ascii="Verdana" w:hAnsi="Verdana" w:cs="Arial"/>
          <w:sz w:val="22"/>
          <w:szCs w:val="22"/>
        </w:rPr>
        <w:t>Settlements include:-</w:t>
      </w:r>
    </w:p>
    <w:p w14:paraId="485D3D95" w14:textId="77777777" w:rsidR="008C26E5" w:rsidRPr="00F31699" w:rsidRDefault="008C26E5" w:rsidP="008C26E5">
      <w:pPr>
        <w:ind w:left="720" w:hanging="720"/>
        <w:jc w:val="both"/>
        <w:rPr>
          <w:rFonts w:ascii="Verdana" w:hAnsi="Verdana" w:cs="Arial"/>
          <w:sz w:val="22"/>
          <w:szCs w:val="22"/>
        </w:rPr>
      </w:pPr>
      <w:r w:rsidRPr="00F31699">
        <w:rPr>
          <w:rFonts w:ascii="Verdana" w:hAnsi="Verdana" w:cs="Arial"/>
          <w:sz w:val="22"/>
          <w:szCs w:val="22"/>
        </w:rPr>
        <w:t>•</w:t>
      </w:r>
      <w:r w:rsidRPr="00F31699">
        <w:rPr>
          <w:rFonts w:ascii="Verdana" w:hAnsi="Verdana" w:cs="Arial"/>
          <w:sz w:val="22"/>
          <w:szCs w:val="22"/>
        </w:rPr>
        <w:tab/>
        <w:t>a lump sum cash payment to scheme members in exchange for their rights to receive specified pension benefits</w:t>
      </w:r>
    </w:p>
    <w:p w14:paraId="3C1060A2" w14:textId="77777777" w:rsidR="008C26E5" w:rsidRPr="00F31699" w:rsidRDefault="008C26E5" w:rsidP="008C26E5">
      <w:pPr>
        <w:jc w:val="both"/>
        <w:rPr>
          <w:rFonts w:ascii="Verdana" w:hAnsi="Verdana" w:cs="Arial"/>
          <w:sz w:val="22"/>
          <w:szCs w:val="22"/>
        </w:rPr>
      </w:pPr>
      <w:r w:rsidRPr="00F31699">
        <w:rPr>
          <w:rFonts w:ascii="Verdana" w:hAnsi="Verdana" w:cs="Arial"/>
          <w:sz w:val="22"/>
          <w:szCs w:val="22"/>
        </w:rPr>
        <w:t>•</w:t>
      </w:r>
      <w:r w:rsidRPr="00F31699">
        <w:rPr>
          <w:rFonts w:ascii="Verdana" w:hAnsi="Verdana" w:cs="Arial"/>
          <w:sz w:val="22"/>
          <w:szCs w:val="22"/>
        </w:rPr>
        <w:tab/>
        <w:t>purchase of an irrevocable annuity contract sufficient to cover vested benefits, and</w:t>
      </w:r>
    </w:p>
    <w:p w14:paraId="5B580915" w14:textId="77777777" w:rsidR="008C26E5" w:rsidRPr="00F31699" w:rsidRDefault="008C26E5" w:rsidP="008C26E5">
      <w:pPr>
        <w:ind w:left="720" w:hanging="720"/>
        <w:jc w:val="both"/>
        <w:rPr>
          <w:rFonts w:ascii="Verdana" w:hAnsi="Verdana" w:cs="Arial"/>
          <w:sz w:val="22"/>
          <w:szCs w:val="22"/>
        </w:rPr>
      </w:pPr>
      <w:r w:rsidRPr="00F31699">
        <w:rPr>
          <w:rFonts w:ascii="Verdana" w:hAnsi="Verdana" w:cs="Arial"/>
          <w:sz w:val="22"/>
          <w:szCs w:val="22"/>
        </w:rPr>
        <w:t>•</w:t>
      </w:r>
      <w:r w:rsidRPr="00F31699">
        <w:rPr>
          <w:rFonts w:ascii="Verdana" w:hAnsi="Verdana" w:cs="Arial"/>
          <w:sz w:val="22"/>
          <w:szCs w:val="22"/>
        </w:rPr>
        <w:tab/>
        <w:t>transfer of scheme assets and liabilities relating to a group of employees leaving the scheme.</w:t>
      </w:r>
    </w:p>
    <w:p w14:paraId="5B61497D" w14:textId="77777777" w:rsidR="008C26E5" w:rsidRPr="00F31699" w:rsidRDefault="008C26E5" w:rsidP="008C26E5">
      <w:pPr>
        <w:ind w:left="720" w:hanging="720"/>
        <w:jc w:val="both"/>
        <w:rPr>
          <w:rFonts w:ascii="Verdana" w:hAnsi="Verdana" w:cs="Arial"/>
          <w:sz w:val="22"/>
          <w:szCs w:val="22"/>
        </w:rPr>
      </w:pPr>
    </w:p>
    <w:p w14:paraId="3E4D189A" w14:textId="77777777" w:rsidR="008C26E5" w:rsidRPr="00F31699" w:rsidRDefault="008C26E5" w:rsidP="008C26E5">
      <w:pPr>
        <w:pStyle w:val="Normal0"/>
        <w:rPr>
          <w:rFonts w:ascii="Verdana" w:hAnsi="Verdana"/>
          <w:b/>
          <w:sz w:val="22"/>
          <w:szCs w:val="22"/>
          <w:lang w:val="en-GB" w:eastAsia="en-GB"/>
        </w:rPr>
      </w:pPr>
      <w:r w:rsidRPr="00F31699">
        <w:rPr>
          <w:rFonts w:ascii="Verdana" w:hAnsi="Verdana"/>
          <w:b/>
          <w:color w:val="000000"/>
          <w:sz w:val="22"/>
          <w:szCs w:val="22"/>
          <w:lang w:val="en-GB" w:eastAsia="en-GB"/>
        </w:rPr>
        <w:t>TOTAL NET EXPENDITURE</w:t>
      </w:r>
    </w:p>
    <w:p w14:paraId="2EB59DC5" w14:textId="77777777" w:rsidR="008C26E5" w:rsidRPr="00D5396C" w:rsidRDefault="008C26E5" w:rsidP="008C26E5">
      <w:pPr>
        <w:pStyle w:val="Normal0"/>
        <w:rPr>
          <w:rFonts w:ascii="Verdana" w:hAnsi="Verdana"/>
          <w:sz w:val="22"/>
          <w:szCs w:val="22"/>
          <w:lang w:val="en-GB" w:eastAsia="en-GB"/>
        </w:rPr>
      </w:pPr>
      <w:r w:rsidRPr="00F31699">
        <w:rPr>
          <w:rFonts w:ascii="Verdana" w:hAnsi="Verdana" w:cs="ArialMT"/>
          <w:color w:val="000000"/>
          <w:sz w:val="22"/>
          <w:szCs w:val="22"/>
          <w:lang w:val="en-GB" w:eastAsia="en-GB"/>
        </w:rPr>
        <w:t>Total net spending requirement after deducting specific grants and other local income is financed by Central Government grants and local Council Tax</w:t>
      </w:r>
      <w:r w:rsidRPr="00FA3F11">
        <w:rPr>
          <w:rFonts w:ascii="Verdana" w:hAnsi="Verdana" w:cs="Arial"/>
          <w:sz w:val="22"/>
          <w:szCs w:val="22"/>
        </w:rPr>
        <w:t>.</w:t>
      </w:r>
    </w:p>
    <w:p w14:paraId="08724F88" w14:textId="77777777" w:rsidR="008C26E5" w:rsidRDefault="008C26E5" w:rsidP="00F227D9">
      <w:pPr>
        <w:pStyle w:val="Normal0"/>
        <w:jc w:val="both"/>
        <w:rPr>
          <w:rFonts w:ascii="Verdana" w:eastAsia="Times New Roman" w:hAnsi="Verdana" w:cs="Arial"/>
          <w:sz w:val="22"/>
          <w:szCs w:val="22"/>
          <w:lang w:val="en-GB" w:eastAsia="en-GB"/>
        </w:rPr>
      </w:pPr>
    </w:p>
    <w:p w14:paraId="2461DA64" w14:textId="77777777" w:rsidR="008C26E5" w:rsidRDefault="008C26E5" w:rsidP="00F227D9">
      <w:pPr>
        <w:pStyle w:val="Normal0"/>
        <w:jc w:val="both"/>
        <w:rPr>
          <w:rFonts w:ascii="Verdana" w:eastAsia="Times New Roman" w:hAnsi="Verdana" w:cs="Arial"/>
          <w:sz w:val="22"/>
          <w:szCs w:val="22"/>
          <w:lang w:val="en-GB" w:eastAsia="en-GB"/>
        </w:rPr>
      </w:pPr>
    </w:p>
    <w:p w14:paraId="5903FAD4" w14:textId="77777777" w:rsidR="008C26E5" w:rsidRDefault="008C26E5" w:rsidP="00F227D9">
      <w:pPr>
        <w:pStyle w:val="Normal0"/>
        <w:jc w:val="both"/>
        <w:rPr>
          <w:rFonts w:ascii="Verdana" w:eastAsia="Times New Roman" w:hAnsi="Verdana" w:cs="Arial"/>
          <w:sz w:val="22"/>
          <w:szCs w:val="22"/>
          <w:lang w:val="en-GB" w:eastAsia="en-GB"/>
        </w:rPr>
      </w:pPr>
    </w:p>
    <w:p w14:paraId="08BA8251" w14:textId="77777777" w:rsidR="008C26E5" w:rsidRDefault="008C26E5" w:rsidP="00F227D9">
      <w:pPr>
        <w:pStyle w:val="Normal0"/>
        <w:jc w:val="both"/>
        <w:rPr>
          <w:rFonts w:ascii="Verdana" w:eastAsia="Times New Roman" w:hAnsi="Verdana" w:cs="Arial"/>
          <w:sz w:val="22"/>
          <w:szCs w:val="22"/>
          <w:lang w:val="en-GB" w:eastAsia="en-GB"/>
        </w:rPr>
      </w:pPr>
    </w:p>
    <w:p w14:paraId="76261518" w14:textId="77777777" w:rsidR="008C26E5" w:rsidRDefault="008C26E5" w:rsidP="00F227D9">
      <w:pPr>
        <w:pStyle w:val="Normal0"/>
        <w:jc w:val="both"/>
        <w:rPr>
          <w:rFonts w:ascii="Verdana" w:eastAsia="Times New Roman" w:hAnsi="Verdana" w:cs="Arial"/>
          <w:sz w:val="22"/>
          <w:szCs w:val="22"/>
          <w:lang w:val="en-GB" w:eastAsia="en-GB"/>
        </w:rPr>
      </w:pPr>
    </w:p>
    <w:p w14:paraId="2E043859" w14:textId="77777777" w:rsidR="008C26E5" w:rsidRDefault="008C26E5" w:rsidP="00F227D9">
      <w:pPr>
        <w:pStyle w:val="Normal0"/>
        <w:jc w:val="both"/>
        <w:rPr>
          <w:rFonts w:ascii="Verdana" w:eastAsia="Times New Roman" w:hAnsi="Verdana" w:cs="Arial"/>
          <w:sz w:val="22"/>
          <w:szCs w:val="22"/>
          <w:lang w:val="en-GB" w:eastAsia="en-GB"/>
        </w:rPr>
      </w:pPr>
    </w:p>
    <w:p w14:paraId="72F28745" w14:textId="77777777" w:rsidR="008C26E5" w:rsidRDefault="008C26E5" w:rsidP="00F227D9">
      <w:pPr>
        <w:pStyle w:val="Normal0"/>
        <w:jc w:val="both"/>
        <w:rPr>
          <w:rFonts w:ascii="Verdana" w:eastAsia="Times New Roman" w:hAnsi="Verdana" w:cs="Arial"/>
          <w:sz w:val="22"/>
          <w:szCs w:val="22"/>
          <w:lang w:val="en-GB" w:eastAsia="en-GB"/>
        </w:rPr>
      </w:pPr>
    </w:p>
    <w:p w14:paraId="5D3C5335" w14:textId="77777777" w:rsidR="008C26E5" w:rsidRDefault="008C26E5" w:rsidP="00F227D9">
      <w:pPr>
        <w:pStyle w:val="Normal0"/>
        <w:jc w:val="both"/>
        <w:rPr>
          <w:rFonts w:ascii="Verdana" w:eastAsia="Times New Roman" w:hAnsi="Verdana" w:cs="Arial"/>
          <w:sz w:val="22"/>
          <w:szCs w:val="22"/>
          <w:lang w:val="en-GB" w:eastAsia="en-GB"/>
        </w:rPr>
      </w:pPr>
    </w:p>
    <w:p w14:paraId="6E50FCE1" w14:textId="77777777" w:rsidR="008C26E5" w:rsidRDefault="008C26E5" w:rsidP="00F227D9">
      <w:pPr>
        <w:pStyle w:val="Normal0"/>
        <w:jc w:val="both"/>
        <w:rPr>
          <w:rFonts w:ascii="Verdana" w:eastAsia="Times New Roman" w:hAnsi="Verdana" w:cs="Arial"/>
          <w:sz w:val="22"/>
          <w:szCs w:val="22"/>
          <w:lang w:val="en-GB" w:eastAsia="en-GB"/>
        </w:rPr>
      </w:pPr>
    </w:p>
    <w:p w14:paraId="340241C5" w14:textId="77777777" w:rsidR="008C26E5" w:rsidRPr="00FA3F11" w:rsidRDefault="008C26E5" w:rsidP="00F227D9">
      <w:pPr>
        <w:pStyle w:val="Normal0"/>
        <w:jc w:val="both"/>
        <w:rPr>
          <w:rFonts w:ascii="Verdana" w:eastAsia="Times New Roman" w:hAnsi="Verdana" w:cs="Arial"/>
          <w:sz w:val="22"/>
          <w:szCs w:val="22"/>
          <w:lang w:val="en-GB" w:eastAsia="en-GB"/>
        </w:rPr>
      </w:pPr>
    </w:p>
    <w:sectPr w:rsidR="008C26E5" w:rsidRPr="00FA3F11" w:rsidSect="00B54A0C">
      <w:type w:val="nextColumn"/>
      <w:pgSz w:w="16840" w:h="11900" w:orient="landscape" w:code="9"/>
      <w:pgMar w:top="709" w:right="720" w:bottom="567" w:left="720"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5E07B" w14:textId="77777777" w:rsidR="00D50C5D" w:rsidRDefault="00D50C5D">
      <w:r>
        <w:separator/>
      </w:r>
    </w:p>
  </w:endnote>
  <w:endnote w:type="continuationSeparator" w:id="0">
    <w:p w14:paraId="2D66EA37" w14:textId="77777777" w:rsidR="00D50C5D" w:rsidRDefault="00D50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S Lol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A3CB5" w14:textId="77777777" w:rsidR="00D50C5D" w:rsidRDefault="00D50C5D">
    <w:pPr>
      <w:pStyle w:val="Footer"/>
      <w:jc w:val="center"/>
    </w:pPr>
  </w:p>
  <w:p w14:paraId="2037B9E8" w14:textId="77777777" w:rsidR="00D50C5D" w:rsidRDefault="00D50C5D" w:rsidP="00F227D9">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0347922"/>
      <w:docPartObj>
        <w:docPartGallery w:val="Page Numbers (Bottom of Page)"/>
        <w:docPartUnique/>
      </w:docPartObj>
    </w:sdtPr>
    <w:sdtEndPr>
      <w:rPr>
        <w:noProof/>
      </w:rPr>
    </w:sdtEndPr>
    <w:sdtContent>
      <w:p w14:paraId="7FFF6245" w14:textId="4FCCF7D7" w:rsidR="00D50C5D" w:rsidRDefault="00D50C5D">
        <w:pPr>
          <w:pStyle w:val="Footer"/>
          <w:jc w:val="center"/>
        </w:pPr>
        <w:r>
          <w:fldChar w:fldCharType="begin"/>
        </w:r>
        <w:r>
          <w:instrText xml:space="preserve"> PAGE   \* MERGEFORMAT </w:instrText>
        </w:r>
        <w:r>
          <w:fldChar w:fldCharType="separate"/>
        </w:r>
        <w:r w:rsidR="0073748E">
          <w:rPr>
            <w:noProof/>
          </w:rPr>
          <w:t>1</w:t>
        </w:r>
        <w:r>
          <w:rPr>
            <w:noProof/>
          </w:rPr>
          <w:fldChar w:fldCharType="end"/>
        </w:r>
      </w:p>
    </w:sdtContent>
  </w:sdt>
  <w:p w14:paraId="0369F7F1" w14:textId="77777777" w:rsidR="00D50C5D" w:rsidRDefault="00D50C5D" w:rsidP="00F227D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29588" w14:textId="77777777" w:rsidR="00D50C5D" w:rsidRDefault="00D50C5D">
      <w:r>
        <w:separator/>
      </w:r>
    </w:p>
  </w:footnote>
  <w:footnote w:type="continuationSeparator" w:id="0">
    <w:p w14:paraId="0F56302C" w14:textId="77777777" w:rsidR="00D50C5D" w:rsidRDefault="00D50C5D">
      <w:r>
        <w:continuationSeparator/>
      </w:r>
    </w:p>
  </w:footnote>
  <w:footnote w:id="1">
    <w:p w14:paraId="6923BBFE" w14:textId="77777777" w:rsidR="00D50C5D" w:rsidRDefault="00D50C5D" w:rsidP="00D835CC">
      <w:pPr>
        <w:pStyle w:val="FootnoteText"/>
        <w:rPr>
          <w:rFonts w:ascii="Calibri" w:hAnsi="Calibri"/>
          <w:sz w:val="18"/>
          <w:szCs w:val="18"/>
        </w:rPr>
      </w:pPr>
      <w:r w:rsidRPr="00345718">
        <w:rPr>
          <w:rStyle w:val="FootnoteReference"/>
          <w:rFonts w:ascii="Calibri" w:hAnsi="Calibri"/>
          <w:sz w:val="18"/>
          <w:szCs w:val="18"/>
        </w:rPr>
        <w:footnoteRef/>
      </w:r>
      <w:r w:rsidRPr="00345718">
        <w:rPr>
          <w:rFonts w:ascii="Calibri" w:hAnsi="Calibri"/>
          <w:sz w:val="18"/>
          <w:szCs w:val="18"/>
        </w:rPr>
        <w:t xml:space="preserve">  </w:t>
      </w:r>
      <w:hyperlink r:id="rId1" w:history="1">
        <w:r w:rsidRPr="00345718">
          <w:rPr>
            <w:rStyle w:val="Hyperlink"/>
            <w:rFonts w:ascii="Calibri" w:hAnsi="Calibri"/>
            <w:sz w:val="18"/>
            <w:szCs w:val="18"/>
          </w:rPr>
          <w:t>Code of Corporate Governance</w:t>
        </w:r>
      </w:hyperlink>
      <w:r>
        <w:rPr>
          <w:rFonts w:ascii="Calibri" w:hAnsi="Calibri"/>
          <w:sz w:val="18"/>
          <w:szCs w:val="18"/>
        </w:rPr>
        <w:t>)</w:t>
      </w:r>
      <w:r w:rsidRPr="0000323E">
        <w:t xml:space="preserve"> </w:t>
      </w:r>
      <w:hyperlink r:id="rId2" w:history="1">
        <w:r w:rsidRPr="00ED0617">
          <w:rPr>
            <w:rStyle w:val="Hyperlink"/>
            <w:rFonts w:ascii="Calibri" w:hAnsi="Calibri"/>
            <w:sz w:val="18"/>
            <w:szCs w:val="18"/>
          </w:rPr>
          <w:t>https://www.</w:t>
        </w:r>
        <w:r>
          <w:rPr>
            <w:rStyle w:val="Hyperlink"/>
            <w:rFonts w:ascii="Calibri" w:hAnsi="Calibri"/>
            <w:sz w:val="18"/>
            <w:szCs w:val="18"/>
          </w:rPr>
          <w:t>Surrey</w:t>
        </w:r>
        <w:r w:rsidRPr="00ED0617">
          <w:rPr>
            <w:rStyle w:val="Hyperlink"/>
            <w:rFonts w:ascii="Calibri" w:hAnsi="Calibri"/>
            <w:sz w:val="18"/>
            <w:szCs w:val="18"/>
          </w:rPr>
          <w:t>-pcc.gov.uk/media/4781/code-of-corporate-governance-v9-2020.pdf</w:t>
        </w:r>
      </w:hyperlink>
    </w:p>
    <w:p w14:paraId="1AEFEAF3" w14:textId="77777777" w:rsidR="00D50C5D" w:rsidRPr="00E45E81" w:rsidRDefault="00D50C5D" w:rsidP="00D835CC">
      <w:pPr>
        <w:pStyle w:val="FootnoteText"/>
        <w:rPr>
          <w:rFonts w:ascii="Calibri" w:hAnsi="Calibri"/>
          <w:color w:val="FF0000"/>
          <w:sz w:val="18"/>
          <w:szCs w:val="18"/>
          <w:u w:val="single"/>
        </w:rPr>
      </w:pPr>
    </w:p>
  </w:footnote>
  <w:footnote w:id="2">
    <w:p w14:paraId="0115206E" w14:textId="77777777" w:rsidR="00D50C5D" w:rsidRPr="00345718" w:rsidRDefault="00D50C5D" w:rsidP="00D835CC">
      <w:pPr>
        <w:pStyle w:val="FootnoteText"/>
        <w:rPr>
          <w:rFonts w:ascii="Calibri" w:hAnsi="Calibri"/>
          <w:sz w:val="18"/>
          <w:szCs w:val="18"/>
        </w:rPr>
      </w:pPr>
      <w:r w:rsidRPr="00345718">
        <w:rPr>
          <w:rStyle w:val="FootnoteReference"/>
          <w:rFonts w:ascii="Calibri" w:hAnsi="Calibri"/>
          <w:sz w:val="18"/>
          <w:szCs w:val="18"/>
        </w:rPr>
        <w:footnoteRef/>
      </w:r>
      <w:r w:rsidRPr="00345718">
        <w:rPr>
          <w:rFonts w:ascii="Calibri" w:hAnsi="Calibri"/>
          <w:iCs/>
          <w:sz w:val="18"/>
          <w:szCs w:val="18"/>
        </w:rPr>
        <w:t xml:space="preserve">  “Delivering Good</w:t>
      </w:r>
      <w:r w:rsidRPr="00345718">
        <w:rPr>
          <w:rFonts w:ascii="Calibri" w:hAnsi="Calibri"/>
          <w:sz w:val="18"/>
          <w:szCs w:val="18"/>
        </w:rPr>
        <w:t xml:space="preserve"> Go</w:t>
      </w:r>
      <w:r w:rsidRPr="00345718">
        <w:rPr>
          <w:rFonts w:ascii="Calibri" w:hAnsi="Calibri"/>
          <w:iCs/>
          <w:sz w:val="18"/>
          <w:szCs w:val="18"/>
        </w:rPr>
        <w:t>vernance in Local Government”</w:t>
      </w:r>
      <w:r w:rsidRPr="00345718">
        <w:rPr>
          <w:rFonts w:ascii="Calibri" w:hAnsi="Calibri"/>
          <w:sz w:val="18"/>
          <w:szCs w:val="18"/>
        </w:rPr>
        <w:t xml:space="preserve"> </w:t>
      </w:r>
      <w:hyperlink r:id="rId3" w:history="1">
        <w:r w:rsidRPr="00345718">
          <w:rPr>
            <w:rStyle w:val="Hyperlink"/>
            <w:rFonts w:ascii="Calibri" w:hAnsi="Calibri"/>
            <w:sz w:val="18"/>
            <w:szCs w:val="18"/>
          </w:rPr>
          <w:t>http://www.cipfa.org/policy-and-guidance/publications/d/delivering-good-governance-in-local-government-framework-2016-edition</w:t>
        </w:r>
      </w:hyperlink>
    </w:p>
  </w:footnote>
  <w:footnote w:id="3">
    <w:p w14:paraId="2289DFA0" w14:textId="77777777" w:rsidR="00D50C5D" w:rsidRPr="00345718" w:rsidRDefault="00D50C5D" w:rsidP="00D835CC">
      <w:pPr>
        <w:pStyle w:val="FootnoteText"/>
        <w:rPr>
          <w:rFonts w:ascii="Calibri" w:hAnsi="Calibri"/>
          <w:sz w:val="18"/>
          <w:szCs w:val="18"/>
        </w:rPr>
      </w:pPr>
      <w:r w:rsidRPr="00345718">
        <w:rPr>
          <w:rStyle w:val="FootnoteReference"/>
          <w:rFonts w:ascii="Calibri" w:hAnsi="Calibri"/>
          <w:sz w:val="18"/>
          <w:szCs w:val="18"/>
        </w:rPr>
        <w:footnoteRef/>
      </w:r>
      <w:r w:rsidRPr="00345718">
        <w:rPr>
          <w:rFonts w:ascii="Calibri" w:hAnsi="Calibri"/>
          <w:sz w:val="18"/>
          <w:szCs w:val="18"/>
        </w:rPr>
        <w:t xml:space="preserve">  “</w:t>
      </w:r>
      <w:r w:rsidRPr="00345718">
        <w:rPr>
          <w:rFonts w:ascii="Calibri" w:hAnsi="Calibri"/>
          <w:iCs/>
          <w:sz w:val="18"/>
          <w:szCs w:val="18"/>
        </w:rPr>
        <w:t>Delivering Good</w:t>
      </w:r>
      <w:r w:rsidRPr="00345718">
        <w:rPr>
          <w:rFonts w:ascii="Calibri" w:hAnsi="Calibri"/>
          <w:sz w:val="18"/>
          <w:szCs w:val="18"/>
        </w:rPr>
        <w:t xml:space="preserve"> Go</w:t>
      </w:r>
      <w:r w:rsidRPr="00345718">
        <w:rPr>
          <w:rFonts w:ascii="Calibri" w:hAnsi="Calibri"/>
          <w:iCs/>
          <w:sz w:val="18"/>
          <w:szCs w:val="18"/>
        </w:rPr>
        <w:t>vernance in Local Government”</w:t>
      </w:r>
      <w:r w:rsidRPr="00345718">
        <w:rPr>
          <w:rFonts w:ascii="Calibri" w:hAnsi="Calibri"/>
          <w:sz w:val="18"/>
          <w:szCs w:val="18"/>
        </w:rPr>
        <w:t xml:space="preserve"> and the guidance notes for policing bodies (revised 2016) </w:t>
      </w:r>
      <w:hyperlink r:id="rId4" w:history="1">
        <w:r w:rsidRPr="00345718">
          <w:rPr>
            <w:rStyle w:val="Hyperlink"/>
            <w:rFonts w:ascii="Calibri" w:hAnsi="Calibri"/>
            <w:sz w:val="18"/>
            <w:szCs w:val="18"/>
          </w:rPr>
          <w:t>http://www.cipfa.org/policy-and-guidance/publications/d/delivering-good-governance-guidance-notes-for-policing-bodies-in-england-and-wales-2016-edition</w:t>
        </w:r>
      </w:hyperlink>
    </w:p>
  </w:footnote>
  <w:footnote w:id="4">
    <w:p w14:paraId="1E54B16E" w14:textId="77777777" w:rsidR="00D50C5D" w:rsidRPr="000803AE" w:rsidRDefault="00D50C5D" w:rsidP="00D835CC">
      <w:pPr>
        <w:pStyle w:val="FootnoteText"/>
        <w:ind w:left="284" w:hanging="284"/>
        <w:rPr>
          <w:rFonts w:ascii="Calibri" w:hAnsi="Calibri"/>
          <w:sz w:val="18"/>
          <w:szCs w:val="18"/>
        </w:rPr>
      </w:pPr>
      <w:r w:rsidRPr="00954DC3">
        <w:rPr>
          <w:rStyle w:val="FootnoteReference"/>
          <w:sz w:val="18"/>
          <w:szCs w:val="18"/>
        </w:rPr>
        <w:footnoteRef/>
      </w:r>
      <w:r>
        <w:rPr>
          <w:sz w:val="18"/>
          <w:szCs w:val="18"/>
        </w:rPr>
        <w:t xml:space="preserve">   </w:t>
      </w:r>
      <w:r w:rsidRPr="000803AE">
        <w:rPr>
          <w:rFonts w:ascii="Calibri" w:hAnsi="Calibri"/>
          <w:sz w:val="18"/>
          <w:szCs w:val="18"/>
        </w:rPr>
        <w:t>The role of the Chief Finance Officer of the Police and Crime Commissioner and the Chief Finance</w:t>
      </w:r>
      <w:r>
        <w:rPr>
          <w:rFonts w:ascii="Calibri" w:hAnsi="Calibri"/>
          <w:sz w:val="18"/>
          <w:szCs w:val="18"/>
        </w:rPr>
        <w:t xml:space="preserve"> Officer of the Chief Constable </w:t>
      </w:r>
      <w:r w:rsidRPr="000803AE">
        <w:rPr>
          <w:rFonts w:ascii="Calibri" w:hAnsi="Calibri"/>
          <w:sz w:val="18"/>
          <w:szCs w:val="18"/>
        </w:rPr>
        <w:t xml:space="preserve">(July 2012) </w:t>
      </w:r>
      <w:hyperlink r:id="rId5" w:history="1">
        <w:r w:rsidRPr="002E26D5">
          <w:rPr>
            <w:rStyle w:val="Hyperlink"/>
            <w:rFonts w:ascii="Calibri" w:hAnsi="Calibri"/>
            <w:sz w:val="18"/>
            <w:szCs w:val="18"/>
          </w:rPr>
          <w:t>http://www.cipfa.org/policy-and-guidance/reports/cipfa-statement-on-the-role-of-the-chief-financial-officer-of-the-police-and-crime-commissioner-and-the-chief-finance-officer-of-the-chief-constable</w:t>
        </w:r>
      </w:hyperlink>
    </w:p>
  </w:footnote>
  <w:footnote w:id="5">
    <w:p w14:paraId="32277FB2" w14:textId="77777777" w:rsidR="00D50C5D" w:rsidRPr="000803AE" w:rsidRDefault="00D50C5D" w:rsidP="00D835CC">
      <w:pPr>
        <w:pStyle w:val="FootnoteText"/>
        <w:rPr>
          <w:rFonts w:ascii="Calibri" w:hAnsi="Calibri"/>
          <w:sz w:val="18"/>
          <w:szCs w:val="18"/>
        </w:rPr>
      </w:pPr>
      <w:r w:rsidRPr="000803AE">
        <w:rPr>
          <w:rStyle w:val="FootnoteReference"/>
          <w:rFonts w:ascii="Calibri" w:hAnsi="Calibri"/>
          <w:sz w:val="18"/>
          <w:szCs w:val="18"/>
        </w:rPr>
        <w:footnoteRef/>
      </w:r>
      <w:r>
        <w:rPr>
          <w:rFonts w:ascii="Calibri" w:hAnsi="Calibri"/>
          <w:sz w:val="18"/>
          <w:szCs w:val="18"/>
        </w:rPr>
        <w:t xml:space="preserve">    Police and Crime Plan</w:t>
      </w:r>
      <w:r w:rsidRPr="009D608A">
        <w:rPr>
          <w:rFonts w:ascii="Calibri" w:hAnsi="Calibri"/>
          <w:sz w:val="18"/>
          <w:szCs w:val="18"/>
        </w:rPr>
        <w:t>:</w:t>
      </w:r>
      <w:r w:rsidRPr="00A55878">
        <w:rPr>
          <w:rFonts w:ascii="Calibri" w:hAnsi="Calibri"/>
          <w:sz w:val="18"/>
          <w:szCs w:val="18"/>
        </w:rPr>
        <w:t xml:space="preserve"> </w:t>
      </w:r>
      <w:hyperlink r:id="rId6" w:history="1">
        <w:r w:rsidRPr="00A55878">
          <w:rPr>
            <w:rStyle w:val="Hyperlink"/>
            <w:rFonts w:ascii="Calibri" w:hAnsi="Calibri"/>
            <w:sz w:val="18"/>
            <w:szCs w:val="18"/>
          </w:rPr>
          <w:t>Police &amp; Crime Plan</w:t>
        </w:r>
      </w:hyperlink>
    </w:p>
  </w:footnote>
  <w:footnote w:id="6">
    <w:p w14:paraId="305AB0BC" w14:textId="77777777" w:rsidR="00D50C5D" w:rsidRPr="000803AE" w:rsidRDefault="00D50C5D" w:rsidP="00D835CC">
      <w:pPr>
        <w:pStyle w:val="FootnoteText"/>
        <w:rPr>
          <w:rFonts w:ascii="Calibri" w:hAnsi="Calibri"/>
          <w:sz w:val="18"/>
          <w:szCs w:val="18"/>
        </w:rPr>
      </w:pPr>
      <w:r w:rsidRPr="000803AE">
        <w:rPr>
          <w:rStyle w:val="FootnoteReference"/>
          <w:rFonts w:ascii="Calibri" w:hAnsi="Calibri"/>
          <w:sz w:val="18"/>
          <w:szCs w:val="18"/>
        </w:rPr>
        <w:footnoteRef/>
      </w:r>
      <w:r>
        <w:rPr>
          <w:rFonts w:ascii="Calibri" w:hAnsi="Calibri"/>
          <w:sz w:val="18"/>
          <w:szCs w:val="18"/>
        </w:rPr>
        <w:t xml:space="preserve">    </w:t>
      </w:r>
      <w:hyperlink r:id="rId7" w:history="1">
        <w:r w:rsidRPr="008034AE">
          <w:rPr>
            <w:rStyle w:val="Hyperlink"/>
            <w:rFonts w:ascii="Calibri" w:hAnsi="Calibri"/>
            <w:sz w:val="18"/>
            <w:szCs w:val="18"/>
          </w:rPr>
          <w:t>Strategic Policing Requirement</w:t>
        </w:r>
      </w:hyperlink>
      <w:r w:rsidRPr="008034AE">
        <w:rPr>
          <w:rFonts w:ascii="Calibri" w:hAnsi="Calibri"/>
          <w:sz w:val="18"/>
          <w:szCs w:val="18"/>
        </w:rPr>
        <w:t>:</w:t>
      </w:r>
      <w:r>
        <w:rPr>
          <w:rFonts w:ascii="Calibri" w:hAnsi="Calibri"/>
          <w:sz w:val="18"/>
          <w:szCs w:val="18"/>
          <w:u w:val="single"/>
        </w:rPr>
        <w:t xml:space="preserve"> </w:t>
      </w:r>
      <w:r>
        <w:rPr>
          <w:rFonts w:ascii="Calibri" w:hAnsi="Calibri"/>
          <w:sz w:val="18"/>
          <w:szCs w:val="18"/>
        </w:rPr>
        <w:t xml:space="preserve"> </w:t>
      </w:r>
      <w:hyperlink r:id="rId8" w:history="1">
        <w:r w:rsidRPr="008E0175">
          <w:rPr>
            <w:rStyle w:val="Hyperlink"/>
            <w:rFonts w:ascii="Calibri" w:hAnsi="Calibri"/>
            <w:sz w:val="18"/>
            <w:szCs w:val="18"/>
          </w:rPr>
          <w:t>https://www.gov.uk/government/publications/strategic-policing-requirement</w:t>
        </w:r>
      </w:hyperlink>
    </w:p>
  </w:footnote>
  <w:footnote w:id="7">
    <w:p w14:paraId="223AEF0F" w14:textId="77777777" w:rsidR="00D50C5D" w:rsidRPr="004F1B6A" w:rsidRDefault="00D50C5D" w:rsidP="00D835CC">
      <w:pPr>
        <w:pStyle w:val="FootnoteText"/>
        <w:rPr>
          <w:rFonts w:ascii="Calibri" w:hAnsi="Calibri"/>
          <w:sz w:val="18"/>
          <w:szCs w:val="18"/>
        </w:rPr>
      </w:pPr>
      <w:r w:rsidRPr="00E042A3">
        <w:rPr>
          <w:rStyle w:val="FootnoteReference"/>
          <w:rFonts w:ascii="Calibri" w:hAnsi="Calibri"/>
          <w:sz w:val="18"/>
          <w:szCs w:val="18"/>
        </w:rPr>
        <w:footnoteRef/>
      </w:r>
      <w:r w:rsidRPr="00E042A3">
        <w:rPr>
          <w:rFonts w:ascii="Calibri" w:hAnsi="Calibri"/>
          <w:sz w:val="18"/>
          <w:szCs w:val="18"/>
        </w:rPr>
        <w:t xml:space="preserve">    Governan</w:t>
      </w:r>
      <w:r w:rsidRPr="004F1B6A">
        <w:rPr>
          <w:rFonts w:ascii="Calibri" w:hAnsi="Calibri"/>
          <w:sz w:val="18"/>
          <w:szCs w:val="18"/>
        </w:rPr>
        <w:t xml:space="preserve">ce Documents: </w:t>
      </w:r>
      <w:hyperlink r:id="rId9" w:history="1">
        <w:r w:rsidRPr="00D4147B">
          <w:rPr>
            <w:rStyle w:val="Hyperlink"/>
            <w:rFonts w:ascii="Calibri" w:hAnsi="Calibri"/>
            <w:sz w:val="18"/>
            <w:szCs w:val="18"/>
          </w:rPr>
          <w:t>https://www.surrey-pcc.gov.uk/transparency/key-responsibilities/</w:t>
        </w:r>
      </w:hyperlink>
    </w:p>
  </w:footnote>
  <w:footnote w:id="8">
    <w:p w14:paraId="49F1CA9C" w14:textId="77777777" w:rsidR="00D50C5D" w:rsidRPr="004F1B6A" w:rsidRDefault="00D50C5D" w:rsidP="00D835CC">
      <w:pPr>
        <w:pStyle w:val="FootnoteText"/>
        <w:rPr>
          <w:sz w:val="18"/>
          <w:szCs w:val="18"/>
          <w:highlight w:val="yellow"/>
        </w:rPr>
      </w:pPr>
      <w:r w:rsidRPr="004F1B6A">
        <w:rPr>
          <w:rStyle w:val="FootnoteReference"/>
          <w:rFonts w:ascii="Calibri" w:hAnsi="Calibri"/>
          <w:sz w:val="18"/>
          <w:szCs w:val="18"/>
        </w:rPr>
        <w:footnoteRef/>
      </w:r>
      <w:r w:rsidRPr="004F1B6A">
        <w:rPr>
          <w:rFonts w:ascii="Calibri" w:hAnsi="Calibri"/>
          <w:sz w:val="18"/>
          <w:szCs w:val="18"/>
        </w:rPr>
        <w:t xml:space="preserve"> </w:t>
      </w:r>
      <w:r w:rsidRPr="004F1B6A">
        <w:rPr>
          <w:sz w:val="18"/>
          <w:szCs w:val="18"/>
        </w:rPr>
        <w:t xml:space="preserve">   </w:t>
      </w:r>
      <w:r w:rsidRPr="004F1B6A">
        <w:rPr>
          <w:rFonts w:ascii="Calibri" w:hAnsi="Calibri"/>
          <w:sz w:val="18"/>
          <w:szCs w:val="18"/>
        </w:rPr>
        <w:t>HMIC Crime Data Integrity inspection report 2018 Surrey Police:</w:t>
      </w:r>
      <w:r>
        <w:rPr>
          <w:sz w:val="18"/>
          <w:szCs w:val="18"/>
        </w:rPr>
        <w:t xml:space="preserve"> </w:t>
      </w:r>
      <w:hyperlink r:id="rId10" w:history="1">
        <w:r w:rsidRPr="00D4147B">
          <w:rPr>
            <w:rStyle w:val="Hyperlink"/>
            <w:rFonts w:ascii="Calibri" w:hAnsi="Calibri"/>
            <w:sz w:val="18"/>
            <w:szCs w:val="18"/>
          </w:rPr>
          <w:t>https://www.justiceinspectorates.gov.uk/hmicfrs/publications/surrey-crime-data-integrity-inspection-2018/</w:t>
        </w:r>
      </w:hyperlink>
    </w:p>
  </w:footnote>
  <w:footnote w:id="9">
    <w:p w14:paraId="5BF68EAF" w14:textId="77777777" w:rsidR="00D50C5D" w:rsidRPr="004E4D99" w:rsidRDefault="00D50C5D" w:rsidP="00D835CC">
      <w:pPr>
        <w:pStyle w:val="FootnoteText"/>
        <w:rPr>
          <w:rFonts w:ascii="Calibri" w:hAnsi="Calibri"/>
          <w:bCs/>
          <w:sz w:val="18"/>
          <w:szCs w:val="18"/>
        </w:rPr>
      </w:pPr>
      <w:r w:rsidRPr="006049F0">
        <w:rPr>
          <w:rStyle w:val="FootnoteReference"/>
          <w:rFonts w:ascii="Calibri" w:hAnsi="Calibri"/>
          <w:sz w:val="18"/>
          <w:szCs w:val="18"/>
        </w:rPr>
        <w:footnoteRef/>
      </w:r>
      <w:r w:rsidRPr="006049F0">
        <w:rPr>
          <w:rFonts w:ascii="Calibri" w:hAnsi="Calibri"/>
          <w:sz w:val="18"/>
          <w:szCs w:val="18"/>
        </w:rPr>
        <w:t xml:space="preserve"> </w:t>
      </w:r>
      <w:r w:rsidRPr="006049F0">
        <w:rPr>
          <w:rStyle w:val="style4b1"/>
          <w:rFonts w:ascii="Calibri" w:hAnsi="Calibri"/>
          <w:b w:val="0"/>
          <w:sz w:val="18"/>
          <w:szCs w:val="18"/>
        </w:rPr>
        <w:t>Anti-Fraud, Bribery an</w:t>
      </w:r>
      <w:r>
        <w:rPr>
          <w:rStyle w:val="style4b1"/>
          <w:rFonts w:ascii="Calibri" w:hAnsi="Calibri"/>
          <w:b w:val="0"/>
          <w:sz w:val="18"/>
          <w:szCs w:val="18"/>
        </w:rPr>
        <w:t xml:space="preserve">d Corruption Policy: </w:t>
      </w:r>
      <w:hyperlink r:id="rId11" w:history="1">
        <w:r w:rsidRPr="00D4147B">
          <w:rPr>
            <w:rStyle w:val="Hyperlink"/>
            <w:rFonts w:ascii="Calibri" w:hAnsi="Calibri"/>
            <w:sz w:val="18"/>
            <w:szCs w:val="18"/>
          </w:rPr>
          <w:t>https://www.surrey.police.uk/SysSiteAssets/foi-media/surrey/policies/anti-fraud-corruption-and-bribery-policy.pdf</w:t>
        </w:r>
      </w:hyperlink>
    </w:p>
  </w:footnote>
  <w:footnote w:id="10">
    <w:p w14:paraId="1CCCC72A" w14:textId="77777777" w:rsidR="00D50C5D" w:rsidRPr="004F5B05" w:rsidRDefault="00D50C5D" w:rsidP="00D835CC">
      <w:pPr>
        <w:pStyle w:val="FootnoteText"/>
        <w:rPr>
          <w:rFonts w:ascii="Calibri" w:hAnsi="Calibri"/>
          <w:sz w:val="18"/>
          <w:szCs w:val="18"/>
        </w:rPr>
      </w:pPr>
      <w:r w:rsidRPr="00F82AE8">
        <w:rPr>
          <w:rStyle w:val="FootnoteReference"/>
          <w:rFonts w:ascii="Calibri" w:hAnsi="Calibri"/>
          <w:sz w:val="18"/>
          <w:szCs w:val="18"/>
        </w:rPr>
        <w:footnoteRef/>
      </w:r>
      <w:r w:rsidRPr="00F82AE8">
        <w:rPr>
          <w:rFonts w:ascii="Calibri" w:hAnsi="Calibri"/>
          <w:sz w:val="18"/>
          <w:szCs w:val="18"/>
        </w:rPr>
        <w:t xml:space="preserve">   </w:t>
      </w:r>
      <w:r>
        <w:rPr>
          <w:rFonts w:ascii="Calibri" w:hAnsi="Calibri"/>
          <w:sz w:val="18"/>
          <w:szCs w:val="18"/>
        </w:rPr>
        <w:t xml:space="preserve"> IOPC U</w:t>
      </w:r>
      <w:r w:rsidRPr="00F82AE8">
        <w:rPr>
          <w:rFonts w:ascii="Calibri" w:hAnsi="Calibri"/>
          <w:sz w:val="18"/>
          <w:szCs w:val="18"/>
        </w:rPr>
        <w:t>se of Force</w:t>
      </w:r>
      <w:r>
        <w:rPr>
          <w:rFonts w:ascii="Calibri" w:hAnsi="Calibri"/>
          <w:sz w:val="18"/>
          <w:szCs w:val="18"/>
        </w:rPr>
        <w:t xml:space="preserve">: </w:t>
      </w:r>
      <w:r w:rsidRPr="00D41E4B">
        <w:t xml:space="preserve"> </w:t>
      </w:r>
      <w:hyperlink r:id="rId12" w:history="1">
        <w:r w:rsidRPr="006577DE">
          <w:rPr>
            <w:rStyle w:val="Hyperlink"/>
            <w:rFonts w:ascii="Calibri" w:hAnsi="Calibri"/>
            <w:sz w:val="18"/>
            <w:szCs w:val="18"/>
          </w:rPr>
          <w:t>https://www.policeconduct.gov.uk/sites/default/files/Documents/research-learning/IPCC_Use_Of_Force_Report.pdf</w:t>
        </w:r>
      </w:hyperlink>
    </w:p>
  </w:footnote>
  <w:footnote w:id="11">
    <w:p w14:paraId="770145D6" w14:textId="77777777" w:rsidR="00D50C5D" w:rsidRPr="00AE4602" w:rsidRDefault="00D50C5D" w:rsidP="00D835CC">
      <w:pPr>
        <w:pStyle w:val="FootnoteText"/>
        <w:rPr>
          <w:rFonts w:ascii="Calibri" w:hAnsi="Calibri"/>
          <w:sz w:val="18"/>
          <w:szCs w:val="18"/>
        </w:rPr>
      </w:pPr>
      <w:r w:rsidRPr="004F5B05">
        <w:rPr>
          <w:rStyle w:val="FootnoteReference"/>
          <w:rFonts w:ascii="Calibri" w:hAnsi="Calibri"/>
          <w:sz w:val="18"/>
          <w:szCs w:val="18"/>
        </w:rPr>
        <w:footnoteRef/>
      </w:r>
      <w:r w:rsidRPr="004F5B05">
        <w:rPr>
          <w:rFonts w:ascii="Calibri" w:hAnsi="Calibri"/>
          <w:sz w:val="18"/>
          <w:szCs w:val="18"/>
        </w:rPr>
        <w:t xml:space="preserve">  </w:t>
      </w:r>
      <w:r>
        <w:rPr>
          <w:rFonts w:ascii="Calibri" w:hAnsi="Calibri"/>
          <w:sz w:val="18"/>
          <w:szCs w:val="18"/>
        </w:rPr>
        <w:t xml:space="preserve">  </w:t>
      </w:r>
      <w:r w:rsidRPr="004F5B05">
        <w:rPr>
          <w:rFonts w:ascii="Calibri" w:hAnsi="Calibri"/>
          <w:sz w:val="18"/>
          <w:szCs w:val="18"/>
        </w:rPr>
        <w:t>HMIC</w:t>
      </w:r>
      <w:r>
        <w:rPr>
          <w:rFonts w:ascii="Calibri" w:hAnsi="Calibri"/>
          <w:sz w:val="18"/>
          <w:szCs w:val="18"/>
        </w:rPr>
        <w:t>FRS</w:t>
      </w:r>
      <w:r w:rsidRPr="004F5B05">
        <w:rPr>
          <w:rFonts w:ascii="Calibri" w:hAnsi="Calibri"/>
          <w:sz w:val="18"/>
          <w:szCs w:val="18"/>
        </w:rPr>
        <w:t xml:space="preserve"> PEEL assessment</w:t>
      </w:r>
      <w:r>
        <w:rPr>
          <w:rFonts w:ascii="Calibri" w:hAnsi="Calibri"/>
          <w:sz w:val="18"/>
          <w:szCs w:val="18"/>
        </w:rPr>
        <w:t>:</w:t>
      </w:r>
      <w:r w:rsidRPr="00351B0A">
        <w:t xml:space="preserve"> </w:t>
      </w:r>
      <w:hyperlink r:id="rId13" w:history="1">
        <w:r w:rsidRPr="00D4147B">
          <w:rPr>
            <w:rStyle w:val="Hyperlink"/>
            <w:rFonts w:ascii="Calibri" w:hAnsi="Calibri"/>
            <w:sz w:val="18"/>
            <w:szCs w:val="18"/>
          </w:rPr>
          <w:t>https://www.justiceinspectorates.gov.uk/hmicfrs/peel-assessments/peel-2018/surrey/</w:t>
        </w:r>
      </w:hyperlink>
    </w:p>
    <w:p w14:paraId="06E109B3" w14:textId="77777777" w:rsidR="00D50C5D" w:rsidRPr="00D4147B" w:rsidRDefault="00D50C5D" w:rsidP="00D835CC">
      <w:pPr>
        <w:pStyle w:val="FootnoteText"/>
        <w:rPr>
          <w:rFonts w:ascii="Calibri" w:hAnsi="Calibri"/>
          <w:sz w:val="18"/>
          <w:szCs w:val="18"/>
        </w:rPr>
      </w:pPr>
    </w:p>
  </w:footnote>
  <w:footnote w:id="12">
    <w:p w14:paraId="15480179" w14:textId="77777777" w:rsidR="00D50C5D" w:rsidRPr="00C715C8" w:rsidRDefault="00D50C5D" w:rsidP="00D835CC">
      <w:pPr>
        <w:spacing w:before="40" w:after="40"/>
        <w:rPr>
          <w:rFonts w:ascii="Calibri" w:eastAsia="Calibri" w:hAnsi="Calibri" w:cs="Times New Roman"/>
          <w:sz w:val="18"/>
          <w:szCs w:val="18"/>
        </w:rPr>
      </w:pPr>
      <w:r w:rsidRPr="00C715C8">
        <w:rPr>
          <w:rStyle w:val="FootnoteReference"/>
          <w:rFonts w:ascii="Calibri" w:hAnsi="Calibri"/>
          <w:sz w:val="18"/>
          <w:szCs w:val="18"/>
        </w:rPr>
        <w:footnoteRef/>
      </w:r>
      <w:r w:rsidRPr="00C715C8">
        <w:rPr>
          <w:rFonts w:ascii="Calibri" w:hAnsi="Calibri"/>
          <w:sz w:val="18"/>
          <w:szCs w:val="18"/>
        </w:rPr>
        <w:t xml:space="preserve">   Surrey Business Plan:  </w:t>
      </w:r>
      <w:hyperlink r:id="rId14" w:history="1">
        <w:r w:rsidRPr="00C715C8">
          <w:rPr>
            <w:rStyle w:val="Hyperlink"/>
            <w:rFonts w:ascii="Calibri" w:eastAsia="Calibri" w:hAnsi="Calibri" w:cs="Times New Roman"/>
            <w:sz w:val="18"/>
            <w:szCs w:val="18"/>
          </w:rPr>
          <w:t>https://www.surrey.police.uk/SysSiteAssets/media/downloads/surrey/about-us/business-plan-2017.pdf</w:t>
        </w:r>
      </w:hyperlink>
    </w:p>
  </w:footnote>
  <w:footnote w:id="13">
    <w:p w14:paraId="70AC9FCC" w14:textId="22B776FD" w:rsidR="00D50C5D" w:rsidRPr="00A050AB" w:rsidRDefault="00D50C5D" w:rsidP="00A050AB">
      <w:pPr>
        <w:pStyle w:val="FootnoteText"/>
        <w:rPr>
          <w:rFonts w:ascii="Calibri" w:hAnsi="Calibri"/>
          <w:color w:val="0000FF"/>
          <w:sz w:val="18"/>
          <w:szCs w:val="18"/>
          <w:u w:val="single"/>
        </w:rPr>
      </w:pPr>
      <w:r w:rsidRPr="00BF5E7C">
        <w:rPr>
          <w:rStyle w:val="FootnoteReference"/>
          <w:rFonts w:ascii="Calibri" w:hAnsi="Calibri"/>
          <w:sz w:val="18"/>
          <w:szCs w:val="18"/>
        </w:rPr>
        <w:footnoteRef/>
      </w:r>
      <w:r w:rsidRPr="00BF5E7C">
        <w:rPr>
          <w:rFonts w:ascii="Calibri" w:hAnsi="Calibri"/>
          <w:sz w:val="18"/>
          <w:szCs w:val="18"/>
        </w:rPr>
        <w:t xml:space="preserve">  Surrey Chief </w:t>
      </w:r>
      <w:r w:rsidRPr="00C715C8">
        <w:rPr>
          <w:rFonts w:ascii="Calibri" w:hAnsi="Calibri"/>
          <w:sz w:val="18"/>
          <w:szCs w:val="18"/>
        </w:rPr>
        <w:t>Constable’s ‘</w:t>
      </w:r>
      <w:r>
        <w:rPr>
          <w:rFonts w:ascii="Calibri" w:hAnsi="Calibri"/>
          <w:sz w:val="18"/>
          <w:szCs w:val="18"/>
        </w:rPr>
        <w:t>Our Commitment</w:t>
      </w:r>
      <w:r w:rsidRPr="00C715C8">
        <w:rPr>
          <w:rFonts w:ascii="Calibri" w:hAnsi="Calibri"/>
          <w:sz w:val="18"/>
          <w:szCs w:val="18"/>
        </w:rPr>
        <w:t xml:space="preserve">’ vision: </w:t>
      </w:r>
      <w:r w:rsidRPr="00872F75">
        <w:rPr>
          <w:rStyle w:val="Hyperlink"/>
          <w:rFonts w:ascii="Calibri" w:hAnsi="Calibri"/>
          <w:sz w:val="18"/>
          <w:szCs w:val="18"/>
        </w:rPr>
        <w:t>https://www.surrey.police.uk/SysSiteAssets/media/downloads/surrey/about-us/our-commitments/surrey_202009_ourcommitments.pdf</w:t>
      </w:r>
    </w:p>
  </w:footnote>
  <w:footnote w:id="14">
    <w:p w14:paraId="066D39C8" w14:textId="77777777" w:rsidR="00D50C5D" w:rsidRPr="00C715C8" w:rsidRDefault="00D50C5D" w:rsidP="00D835CC">
      <w:pPr>
        <w:pStyle w:val="FootnoteText"/>
        <w:rPr>
          <w:rFonts w:ascii="Calibri" w:hAnsi="Calibri"/>
          <w:sz w:val="18"/>
          <w:szCs w:val="18"/>
        </w:rPr>
      </w:pPr>
      <w:r w:rsidRPr="00C715C8">
        <w:rPr>
          <w:rStyle w:val="FootnoteReference"/>
          <w:sz w:val="18"/>
          <w:szCs w:val="18"/>
        </w:rPr>
        <w:footnoteRef/>
      </w:r>
      <w:r w:rsidRPr="00C715C8">
        <w:t xml:space="preserve"> </w:t>
      </w:r>
      <w:r w:rsidRPr="00C715C8">
        <w:rPr>
          <w:rFonts w:ascii="Calibri" w:hAnsi="Calibri"/>
          <w:sz w:val="18"/>
          <w:szCs w:val="18"/>
        </w:rPr>
        <w:t xml:space="preserve">Surrey police Force Management Statement 2018: </w:t>
      </w:r>
      <w:hyperlink r:id="rId15" w:history="1">
        <w:r w:rsidRPr="00C715C8">
          <w:rPr>
            <w:rStyle w:val="Hyperlink"/>
            <w:rFonts w:ascii="Calibri" w:hAnsi="Calibri"/>
            <w:sz w:val="18"/>
            <w:szCs w:val="18"/>
          </w:rPr>
          <w:t>https://www.Surrey.police.uk/SysSiteAssets/foi-media/Surrey/other_information/Surrey-police-force-management-statement-2019.pdf</w:t>
        </w:r>
      </w:hyperlink>
    </w:p>
    <w:p w14:paraId="274E6854" w14:textId="77777777" w:rsidR="00D50C5D" w:rsidRPr="00D4147B" w:rsidRDefault="0073748E" w:rsidP="00D835CC">
      <w:pPr>
        <w:pStyle w:val="FootnoteText"/>
        <w:rPr>
          <w:rFonts w:ascii="Calibri" w:hAnsi="Calibri"/>
          <w:sz w:val="18"/>
          <w:szCs w:val="18"/>
        </w:rPr>
      </w:pPr>
      <w:hyperlink r:id="rId16" w:history="1">
        <w:r w:rsidR="00D50C5D" w:rsidRPr="00D4147B">
          <w:rPr>
            <w:rStyle w:val="Hyperlink"/>
            <w:rFonts w:ascii="Calibri" w:hAnsi="Calibri"/>
            <w:sz w:val="18"/>
            <w:szCs w:val="18"/>
          </w:rPr>
          <w:t>https://www.surrey.police.uk/SysSiteAssets/media/downloads/surrey/about-us/sp_forcemanagementstatement.pdf</w:t>
        </w:r>
      </w:hyperlink>
    </w:p>
    <w:p w14:paraId="06051A9D" w14:textId="77777777" w:rsidR="00D50C5D" w:rsidRPr="00D4147B" w:rsidRDefault="00D50C5D" w:rsidP="00D835CC">
      <w:pPr>
        <w:pStyle w:val="FootnoteText"/>
        <w:rPr>
          <w:rFonts w:ascii="Calibri" w:hAnsi="Calibri"/>
          <w:sz w:val="18"/>
          <w:szCs w:val="18"/>
        </w:rPr>
      </w:pPr>
    </w:p>
  </w:footnote>
  <w:footnote w:id="15">
    <w:p w14:paraId="0CDAA014" w14:textId="77777777" w:rsidR="00D50C5D" w:rsidRPr="00B32F84" w:rsidRDefault="00D50C5D" w:rsidP="00D835CC">
      <w:pPr>
        <w:pStyle w:val="FootnoteText"/>
        <w:rPr>
          <w:sz w:val="18"/>
          <w:szCs w:val="18"/>
        </w:rPr>
      </w:pPr>
      <w:r w:rsidRPr="00345718">
        <w:rPr>
          <w:rStyle w:val="FootnoteReference"/>
          <w:rFonts w:ascii="Calibri" w:hAnsi="Calibri"/>
          <w:sz w:val="18"/>
          <w:szCs w:val="18"/>
        </w:rPr>
        <w:footnoteRef/>
      </w:r>
      <w:r w:rsidRPr="00345718">
        <w:rPr>
          <w:rFonts w:ascii="Calibri" w:hAnsi="Calibri"/>
          <w:sz w:val="18"/>
          <w:szCs w:val="18"/>
        </w:rPr>
        <w:t xml:space="preserve">  The use of targets in policing: </w:t>
      </w:r>
      <w:hyperlink r:id="rId17" w:history="1">
        <w:r w:rsidRPr="00D15467">
          <w:rPr>
            <w:rStyle w:val="Hyperlink"/>
            <w:rFonts w:ascii="Calibri" w:hAnsi="Calibri"/>
            <w:sz w:val="18"/>
            <w:szCs w:val="18"/>
          </w:rPr>
          <w:t>https://www.gov.uk/government/uploads/system/uploads/attachment_data/file/466058/Review_Targets_2015.pdf</w:t>
        </w:r>
      </w:hyperlink>
    </w:p>
  </w:footnote>
  <w:footnote w:id="16">
    <w:p w14:paraId="3A3BC4BB" w14:textId="77777777" w:rsidR="00D50C5D" w:rsidRPr="004F5B05" w:rsidRDefault="00D50C5D" w:rsidP="00D835CC">
      <w:pPr>
        <w:pStyle w:val="FootnoteText"/>
        <w:rPr>
          <w:rFonts w:ascii="Calibri" w:hAnsi="Calibri"/>
          <w:sz w:val="18"/>
          <w:szCs w:val="18"/>
        </w:rPr>
      </w:pPr>
      <w:r w:rsidRPr="007C09D7">
        <w:rPr>
          <w:rStyle w:val="FootnoteReference"/>
          <w:rFonts w:ascii="Calibri" w:hAnsi="Calibri"/>
          <w:sz w:val="18"/>
          <w:szCs w:val="18"/>
          <w:highlight w:val="yellow"/>
        </w:rPr>
        <w:footnoteRef/>
      </w:r>
      <w:r w:rsidRPr="007C09D7">
        <w:rPr>
          <w:rFonts w:ascii="Calibri" w:hAnsi="Calibri"/>
          <w:sz w:val="18"/>
          <w:szCs w:val="18"/>
          <w:highlight w:val="yellow"/>
        </w:rPr>
        <w:t xml:space="preserve">   HMICFRS Value for Money profiles Surrey 2019: </w:t>
      </w:r>
      <w:hyperlink r:id="rId18" w:history="1">
        <w:r w:rsidRPr="007C09D7">
          <w:rPr>
            <w:rStyle w:val="Hyperlink"/>
            <w:rFonts w:ascii="Calibri" w:hAnsi="Calibri"/>
            <w:sz w:val="18"/>
            <w:szCs w:val="18"/>
            <w:highlight w:val="yellow"/>
          </w:rPr>
          <w:t>https://www.justiceinspectorates.gov.uk/hmicfrs/our-work/article/value-for-money-inspections/value-for-money-profiles/value-for-money-dashboards/</w:t>
        </w:r>
      </w:hyperlink>
    </w:p>
  </w:footnote>
  <w:footnote w:id="17">
    <w:p w14:paraId="21F70CE2" w14:textId="77777777" w:rsidR="00D50C5D" w:rsidRPr="00281E67" w:rsidRDefault="00D50C5D" w:rsidP="00D835CC">
      <w:pPr>
        <w:pStyle w:val="FootnoteText"/>
        <w:rPr>
          <w:rFonts w:ascii="Calibri" w:hAnsi="Calibri"/>
          <w:sz w:val="18"/>
          <w:szCs w:val="18"/>
        </w:rPr>
      </w:pPr>
      <w:r w:rsidRPr="00281E67">
        <w:rPr>
          <w:rStyle w:val="FootnoteReference"/>
          <w:rFonts w:ascii="Calibri" w:hAnsi="Calibri"/>
          <w:sz w:val="18"/>
          <w:szCs w:val="18"/>
        </w:rPr>
        <w:footnoteRef/>
      </w:r>
      <w:r w:rsidRPr="00281E67">
        <w:rPr>
          <w:rFonts w:ascii="Calibri" w:hAnsi="Calibri"/>
          <w:sz w:val="18"/>
          <w:szCs w:val="18"/>
        </w:rPr>
        <w:t xml:space="preserve">    Joint Audit Committee</w:t>
      </w:r>
      <w:r>
        <w:rPr>
          <w:rFonts w:ascii="Calibri" w:hAnsi="Calibri"/>
          <w:sz w:val="18"/>
          <w:szCs w:val="18"/>
        </w:rPr>
        <w:t>:</w:t>
      </w:r>
      <w:r w:rsidRPr="00281E67">
        <w:rPr>
          <w:rFonts w:ascii="Calibri" w:hAnsi="Calibri"/>
          <w:sz w:val="18"/>
          <w:szCs w:val="18"/>
        </w:rPr>
        <w:t xml:space="preserve"> </w:t>
      </w:r>
      <w:hyperlink r:id="rId19" w:history="1">
        <w:r w:rsidRPr="008A4B85">
          <w:rPr>
            <w:rStyle w:val="Hyperlink"/>
            <w:rFonts w:ascii="Calibri" w:hAnsi="Calibri"/>
            <w:sz w:val="18"/>
            <w:szCs w:val="18"/>
          </w:rPr>
          <w:t>https://www.surrey-pcc.gov.uk/transparency/meetings-agendas/</w:t>
        </w:r>
      </w:hyperlink>
    </w:p>
  </w:footnote>
  <w:footnote w:id="18">
    <w:p w14:paraId="1DB5F080" w14:textId="77777777" w:rsidR="00D50C5D" w:rsidRPr="004F5B05" w:rsidRDefault="00D50C5D" w:rsidP="00D835CC">
      <w:pPr>
        <w:pStyle w:val="FootnoteText"/>
        <w:rPr>
          <w:rFonts w:ascii="Calibri" w:hAnsi="Calibri"/>
          <w:sz w:val="18"/>
          <w:szCs w:val="18"/>
        </w:rPr>
      </w:pPr>
      <w:r w:rsidRPr="004F5B05">
        <w:rPr>
          <w:rStyle w:val="FootnoteReference"/>
          <w:rFonts w:ascii="Calibri" w:hAnsi="Calibri"/>
          <w:sz w:val="18"/>
          <w:szCs w:val="18"/>
        </w:rPr>
        <w:footnoteRef/>
      </w:r>
      <w:r>
        <w:rPr>
          <w:rFonts w:ascii="Calibri" w:hAnsi="Calibri"/>
          <w:sz w:val="18"/>
          <w:szCs w:val="18"/>
        </w:rPr>
        <w:t xml:space="preserve">    Surrey Police website: </w:t>
      </w:r>
      <w:hyperlink r:id="rId20" w:history="1">
        <w:r w:rsidRPr="008A4B85">
          <w:rPr>
            <w:rStyle w:val="Hyperlink"/>
            <w:rFonts w:ascii="Calibri" w:hAnsi="Calibri"/>
            <w:sz w:val="18"/>
            <w:szCs w:val="18"/>
          </w:rPr>
          <w:t>https://www.surrey.police.uk/foi-ai/af/accessing-information/</w:t>
        </w:r>
      </w:hyperlink>
      <w:r>
        <w:rPr>
          <w:rFonts w:ascii="Calibri" w:hAnsi="Calibri"/>
          <w:sz w:val="18"/>
          <w:szCs w:val="18"/>
        </w:rPr>
        <w:t xml:space="preserve"> </w:t>
      </w:r>
    </w:p>
  </w:footnote>
  <w:footnote w:id="19">
    <w:p w14:paraId="67D83364" w14:textId="77777777" w:rsidR="00D50C5D" w:rsidRDefault="00D50C5D" w:rsidP="00D835CC">
      <w:pPr>
        <w:pStyle w:val="FootnoteText"/>
        <w:rPr>
          <w:rFonts w:ascii="Calibri" w:hAnsi="Calibri"/>
          <w:sz w:val="18"/>
          <w:szCs w:val="18"/>
        </w:rPr>
      </w:pPr>
      <w:r w:rsidRPr="004F5B05">
        <w:rPr>
          <w:rStyle w:val="FootnoteReference"/>
          <w:rFonts w:ascii="Calibri" w:hAnsi="Calibri"/>
          <w:sz w:val="18"/>
          <w:szCs w:val="18"/>
        </w:rPr>
        <w:footnoteRef/>
      </w:r>
      <w:r w:rsidRPr="004F5B05">
        <w:rPr>
          <w:rFonts w:ascii="Calibri" w:hAnsi="Calibri"/>
          <w:sz w:val="18"/>
          <w:szCs w:val="18"/>
        </w:rPr>
        <w:t xml:space="preserve">   </w:t>
      </w:r>
      <w:r>
        <w:rPr>
          <w:rFonts w:ascii="Calibri" w:hAnsi="Calibri"/>
          <w:sz w:val="18"/>
          <w:szCs w:val="18"/>
        </w:rPr>
        <w:t xml:space="preserve"> </w:t>
      </w:r>
      <w:r w:rsidRPr="004F5B05">
        <w:rPr>
          <w:rFonts w:ascii="Calibri" w:hAnsi="Calibri"/>
          <w:sz w:val="18"/>
          <w:szCs w:val="18"/>
        </w:rPr>
        <w:t xml:space="preserve">Misconduct Hearings: </w:t>
      </w:r>
      <w:hyperlink r:id="rId21" w:history="1">
        <w:r w:rsidRPr="008A4B85">
          <w:rPr>
            <w:rStyle w:val="Hyperlink"/>
            <w:rFonts w:ascii="Calibri" w:hAnsi="Calibri"/>
            <w:sz w:val="18"/>
            <w:szCs w:val="18"/>
          </w:rPr>
          <w:t>https://www.surrey.police.uk/search?q=misconduct+meetings</w:t>
        </w:r>
      </w:hyperlink>
    </w:p>
    <w:p w14:paraId="6C387BCF" w14:textId="77777777" w:rsidR="00D50C5D" w:rsidRPr="004F5B05" w:rsidRDefault="00D50C5D" w:rsidP="00D835CC">
      <w:pPr>
        <w:pStyle w:val="FootnoteText"/>
        <w:rPr>
          <w:rFonts w:ascii="Calibri" w:hAnsi="Calibri"/>
          <w:sz w:val="18"/>
          <w:szCs w:val="18"/>
        </w:rPr>
      </w:pPr>
    </w:p>
  </w:footnote>
  <w:footnote w:id="20">
    <w:p w14:paraId="4DF2B766" w14:textId="77777777" w:rsidR="00D50C5D" w:rsidRPr="00B75DDA" w:rsidRDefault="00D50C5D" w:rsidP="00C5423F">
      <w:pPr>
        <w:pStyle w:val="FootnoteText"/>
        <w:rPr>
          <w:rFonts w:asciiTheme="minorHAnsi" w:hAnsiTheme="minorHAnsi"/>
          <w:sz w:val="18"/>
          <w:szCs w:val="18"/>
        </w:rPr>
      </w:pPr>
      <w:r w:rsidRPr="00B75DDA">
        <w:rPr>
          <w:rStyle w:val="FootnoteReference"/>
          <w:rFonts w:ascii="Calibri" w:hAnsi="Calibri"/>
          <w:sz w:val="18"/>
          <w:szCs w:val="18"/>
        </w:rPr>
        <w:footnoteRef/>
      </w:r>
      <w:r w:rsidRPr="00B75DDA">
        <w:rPr>
          <w:rFonts w:ascii="Calibri" w:hAnsi="Calibri"/>
          <w:sz w:val="18"/>
          <w:szCs w:val="18"/>
        </w:rPr>
        <w:t xml:space="preserve"> Annual Internal Audit Opin</w:t>
      </w:r>
      <w:r w:rsidRPr="00B75DDA">
        <w:rPr>
          <w:rFonts w:asciiTheme="minorHAnsi" w:hAnsiTheme="minorHAnsi"/>
          <w:sz w:val="18"/>
          <w:szCs w:val="18"/>
        </w:rPr>
        <w:t xml:space="preserve">ion 2019-20: </w:t>
      </w:r>
      <w:hyperlink r:id="rId22" w:history="1">
        <w:r w:rsidRPr="00B75DDA">
          <w:rPr>
            <w:rStyle w:val="Hyperlink"/>
            <w:rFonts w:asciiTheme="minorHAnsi" w:hAnsiTheme="minorHAnsi"/>
            <w:sz w:val="18"/>
            <w:szCs w:val="18"/>
          </w:rPr>
          <w:t>https://surrey-pcc.gov.uk/wp-content/uploads/2020/07/10a.pdf</w:t>
        </w:r>
      </w:hyperlink>
    </w:p>
    <w:p w14:paraId="73729FFD" w14:textId="77777777" w:rsidR="00D50C5D" w:rsidRPr="00B75DDA" w:rsidRDefault="00D50C5D" w:rsidP="00C5423F">
      <w:pPr>
        <w:pStyle w:val="FootnoteText"/>
        <w:rPr>
          <w:rFonts w:asciiTheme="minorHAnsi" w:hAnsiTheme="minorHAnsi"/>
          <w:color w:val="FF0000"/>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46300C2C"/>
    <w:lvl w:ilvl="0" w:tplc="8190E0E6">
      <w:start w:val="1"/>
      <w:numFmt w:val="decimal"/>
      <w:pStyle w:val="Style1"/>
      <w:lvlText w:val="%1."/>
      <w:lvlJc w:val="left"/>
      <w:pPr>
        <w:ind w:left="5606" w:hanging="360"/>
      </w:pPr>
      <w:rPr>
        <w:rFonts w:hint="default"/>
      </w:rPr>
    </w:lvl>
    <w:lvl w:ilvl="1" w:tplc="9B106274" w:tentative="1">
      <w:start w:val="1"/>
      <w:numFmt w:val="lowerLetter"/>
      <w:lvlText w:val="%2."/>
      <w:lvlJc w:val="left"/>
      <w:pPr>
        <w:ind w:left="1800" w:hanging="360"/>
      </w:pPr>
    </w:lvl>
    <w:lvl w:ilvl="2" w:tplc="81923730" w:tentative="1">
      <w:start w:val="1"/>
      <w:numFmt w:val="lowerRoman"/>
      <w:lvlText w:val="%3."/>
      <w:lvlJc w:val="right"/>
      <w:pPr>
        <w:ind w:left="2520" w:hanging="180"/>
      </w:pPr>
    </w:lvl>
    <w:lvl w:ilvl="3" w:tplc="86D62062" w:tentative="1">
      <w:start w:val="1"/>
      <w:numFmt w:val="decimal"/>
      <w:lvlText w:val="%4."/>
      <w:lvlJc w:val="left"/>
      <w:pPr>
        <w:ind w:left="3240" w:hanging="360"/>
      </w:pPr>
    </w:lvl>
    <w:lvl w:ilvl="4" w:tplc="B066EA7E" w:tentative="1">
      <w:start w:val="1"/>
      <w:numFmt w:val="lowerLetter"/>
      <w:lvlText w:val="%5."/>
      <w:lvlJc w:val="left"/>
      <w:pPr>
        <w:ind w:left="3960" w:hanging="360"/>
      </w:pPr>
    </w:lvl>
    <w:lvl w:ilvl="5" w:tplc="AB8C8D2A" w:tentative="1">
      <w:start w:val="1"/>
      <w:numFmt w:val="lowerRoman"/>
      <w:lvlText w:val="%6."/>
      <w:lvlJc w:val="right"/>
      <w:pPr>
        <w:ind w:left="4680" w:hanging="180"/>
      </w:pPr>
    </w:lvl>
    <w:lvl w:ilvl="6" w:tplc="F03CD366" w:tentative="1">
      <w:start w:val="1"/>
      <w:numFmt w:val="decimal"/>
      <w:lvlText w:val="%7."/>
      <w:lvlJc w:val="left"/>
      <w:pPr>
        <w:ind w:left="5400" w:hanging="360"/>
      </w:pPr>
    </w:lvl>
    <w:lvl w:ilvl="7" w:tplc="AD9E28B8" w:tentative="1">
      <w:start w:val="1"/>
      <w:numFmt w:val="lowerLetter"/>
      <w:lvlText w:val="%8."/>
      <w:lvlJc w:val="left"/>
      <w:pPr>
        <w:ind w:left="6120" w:hanging="360"/>
      </w:pPr>
    </w:lvl>
    <w:lvl w:ilvl="8" w:tplc="95A680AE" w:tentative="1">
      <w:start w:val="1"/>
      <w:numFmt w:val="lowerRoman"/>
      <w:lvlText w:val="%9."/>
      <w:lvlJc w:val="right"/>
      <w:pPr>
        <w:ind w:left="6840" w:hanging="180"/>
      </w:pPr>
    </w:lvl>
  </w:abstractNum>
  <w:abstractNum w:abstractNumId="1" w15:restartNumberingAfterBreak="0">
    <w:nsid w:val="00000002"/>
    <w:multiLevelType w:val="hybridMultilevel"/>
    <w:tmpl w:val="706AF5B0"/>
    <w:lvl w:ilvl="0" w:tplc="9D9E50B6">
      <w:start w:val="1"/>
      <w:numFmt w:val="bullet"/>
      <w:lvlText w:val=""/>
      <w:lvlJc w:val="left"/>
      <w:pPr>
        <w:ind w:left="1440" w:hanging="360"/>
      </w:pPr>
      <w:rPr>
        <w:rFonts w:ascii="Symbol" w:hAnsi="Symbol" w:hint="default"/>
      </w:rPr>
    </w:lvl>
    <w:lvl w:ilvl="1" w:tplc="AA9EF8E4" w:tentative="1">
      <w:start w:val="1"/>
      <w:numFmt w:val="bullet"/>
      <w:lvlText w:val="o"/>
      <w:lvlJc w:val="left"/>
      <w:pPr>
        <w:ind w:left="2160" w:hanging="360"/>
      </w:pPr>
      <w:rPr>
        <w:rFonts w:ascii="Courier New" w:hAnsi="Courier New" w:cs="Courier New" w:hint="default"/>
      </w:rPr>
    </w:lvl>
    <w:lvl w:ilvl="2" w:tplc="C6BA4404" w:tentative="1">
      <w:start w:val="1"/>
      <w:numFmt w:val="bullet"/>
      <w:lvlText w:val=""/>
      <w:lvlJc w:val="left"/>
      <w:pPr>
        <w:ind w:left="2880" w:hanging="360"/>
      </w:pPr>
      <w:rPr>
        <w:rFonts w:ascii="Wingdings" w:hAnsi="Wingdings" w:hint="default"/>
      </w:rPr>
    </w:lvl>
    <w:lvl w:ilvl="3" w:tplc="AFF8582C" w:tentative="1">
      <w:start w:val="1"/>
      <w:numFmt w:val="bullet"/>
      <w:lvlText w:val=""/>
      <w:lvlJc w:val="left"/>
      <w:pPr>
        <w:ind w:left="3600" w:hanging="360"/>
      </w:pPr>
      <w:rPr>
        <w:rFonts w:ascii="Symbol" w:hAnsi="Symbol" w:hint="default"/>
      </w:rPr>
    </w:lvl>
    <w:lvl w:ilvl="4" w:tplc="FA7885B8" w:tentative="1">
      <w:start w:val="1"/>
      <w:numFmt w:val="bullet"/>
      <w:lvlText w:val="o"/>
      <w:lvlJc w:val="left"/>
      <w:pPr>
        <w:ind w:left="4320" w:hanging="360"/>
      </w:pPr>
      <w:rPr>
        <w:rFonts w:ascii="Courier New" w:hAnsi="Courier New" w:cs="Courier New" w:hint="default"/>
      </w:rPr>
    </w:lvl>
    <w:lvl w:ilvl="5" w:tplc="7AEE8DF4" w:tentative="1">
      <w:start w:val="1"/>
      <w:numFmt w:val="bullet"/>
      <w:lvlText w:val=""/>
      <w:lvlJc w:val="left"/>
      <w:pPr>
        <w:ind w:left="5040" w:hanging="360"/>
      </w:pPr>
      <w:rPr>
        <w:rFonts w:ascii="Wingdings" w:hAnsi="Wingdings" w:hint="default"/>
      </w:rPr>
    </w:lvl>
    <w:lvl w:ilvl="6" w:tplc="5060E108" w:tentative="1">
      <w:start w:val="1"/>
      <w:numFmt w:val="bullet"/>
      <w:lvlText w:val=""/>
      <w:lvlJc w:val="left"/>
      <w:pPr>
        <w:ind w:left="5760" w:hanging="360"/>
      </w:pPr>
      <w:rPr>
        <w:rFonts w:ascii="Symbol" w:hAnsi="Symbol" w:hint="default"/>
      </w:rPr>
    </w:lvl>
    <w:lvl w:ilvl="7" w:tplc="7AB61FFE" w:tentative="1">
      <w:start w:val="1"/>
      <w:numFmt w:val="bullet"/>
      <w:lvlText w:val="o"/>
      <w:lvlJc w:val="left"/>
      <w:pPr>
        <w:ind w:left="6480" w:hanging="360"/>
      </w:pPr>
      <w:rPr>
        <w:rFonts w:ascii="Courier New" w:hAnsi="Courier New" w:cs="Courier New" w:hint="default"/>
      </w:rPr>
    </w:lvl>
    <w:lvl w:ilvl="8" w:tplc="D890CF72" w:tentative="1">
      <w:start w:val="1"/>
      <w:numFmt w:val="bullet"/>
      <w:lvlText w:val=""/>
      <w:lvlJc w:val="left"/>
      <w:pPr>
        <w:ind w:left="7200" w:hanging="360"/>
      </w:pPr>
      <w:rPr>
        <w:rFonts w:ascii="Wingdings" w:hAnsi="Wingdings" w:hint="default"/>
      </w:rPr>
    </w:lvl>
  </w:abstractNum>
  <w:abstractNum w:abstractNumId="2" w15:restartNumberingAfterBreak="0">
    <w:nsid w:val="00000003"/>
    <w:multiLevelType w:val="hybridMultilevel"/>
    <w:tmpl w:val="376C9D4E"/>
    <w:lvl w:ilvl="0" w:tplc="5C2A2F6C">
      <w:start w:val="1"/>
      <w:numFmt w:val="bullet"/>
      <w:lvlText w:val=""/>
      <w:lvlJc w:val="left"/>
      <w:pPr>
        <w:ind w:left="720" w:hanging="360"/>
      </w:pPr>
      <w:rPr>
        <w:rFonts w:ascii="Symbol" w:hAnsi="Symbol" w:hint="default"/>
      </w:rPr>
    </w:lvl>
    <w:lvl w:ilvl="1" w:tplc="976E01D2" w:tentative="1">
      <w:start w:val="1"/>
      <w:numFmt w:val="bullet"/>
      <w:lvlText w:val="o"/>
      <w:lvlJc w:val="left"/>
      <w:pPr>
        <w:ind w:left="1440" w:hanging="360"/>
      </w:pPr>
      <w:rPr>
        <w:rFonts w:ascii="Courier New" w:hAnsi="Courier New" w:cs="Courier New" w:hint="default"/>
      </w:rPr>
    </w:lvl>
    <w:lvl w:ilvl="2" w:tplc="207C9286" w:tentative="1">
      <w:start w:val="1"/>
      <w:numFmt w:val="bullet"/>
      <w:lvlText w:val=""/>
      <w:lvlJc w:val="left"/>
      <w:pPr>
        <w:ind w:left="2160" w:hanging="360"/>
      </w:pPr>
      <w:rPr>
        <w:rFonts w:ascii="Wingdings" w:hAnsi="Wingdings" w:hint="default"/>
      </w:rPr>
    </w:lvl>
    <w:lvl w:ilvl="3" w:tplc="A48AC2D0" w:tentative="1">
      <w:start w:val="1"/>
      <w:numFmt w:val="bullet"/>
      <w:lvlText w:val=""/>
      <w:lvlJc w:val="left"/>
      <w:pPr>
        <w:ind w:left="2880" w:hanging="360"/>
      </w:pPr>
      <w:rPr>
        <w:rFonts w:ascii="Symbol" w:hAnsi="Symbol" w:hint="default"/>
      </w:rPr>
    </w:lvl>
    <w:lvl w:ilvl="4" w:tplc="19EE07A8" w:tentative="1">
      <w:start w:val="1"/>
      <w:numFmt w:val="bullet"/>
      <w:lvlText w:val="o"/>
      <w:lvlJc w:val="left"/>
      <w:pPr>
        <w:ind w:left="3600" w:hanging="360"/>
      </w:pPr>
      <w:rPr>
        <w:rFonts w:ascii="Courier New" w:hAnsi="Courier New" w:cs="Courier New" w:hint="default"/>
      </w:rPr>
    </w:lvl>
    <w:lvl w:ilvl="5" w:tplc="164485C8" w:tentative="1">
      <w:start w:val="1"/>
      <w:numFmt w:val="bullet"/>
      <w:lvlText w:val=""/>
      <w:lvlJc w:val="left"/>
      <w:pPr>
        <w:ind w:left="4320" w:hanging="360"/>
      </w:pPr>
      <w:rPr>
        <w:rFonts w:ascii="Wingdings" w:hAnsi="Wingdings" w:hint="default"/>
      </w:rPr>
    </w:lvl>
    <w:lvl w:ilvl="6" w:tplc="B428DC5A" w:tentative="1">
      <w:start w:val="1"/>
      <w:numFmt w:val="bullet"/>
      <w:lvlText w:val=""/>
      <w:lvlJc w:val="left"/>
      <w:pPr>
        <w:ind w:left="5040" w:hanging="360"/>
      </w:pPr>
      <w:rPr>
        <w:rFonts w:ascii="Symbol" w:hAnsi="Symbol" w:hint="default"/>
      </w:rPr>
    </w:lvl>
    <w:lvl w:ilvl="7" w:tplc="2BDC2442" w:tentative="1">
      <w:start w:val="1"/>
      <w:numFmt w:val="bullet"/>
      <w:lvlText w:val="o"/>
      <w:lvlJc w:val="left"/>
      <w:pPr>
        <w:ind w:left="5760" w:hanging="360"/>
      </w:pPr>
      <w:rPr>
        <w:rFonts w:ascii="Courier New" w:hAnsi="Courier New" w:cs="Courier New" w:hint="default"/>
      </w:rPr>
    </w:lvl>
    <w:lvl w:ilvl="8" w:tplc="6DB2C606"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B602FE84"/>
    <w:lvl w:ilvl="0" w:tplc="EA3A37F2">
      <w:start w:val="1"/>
      <w:numFmt w:val="bullet"/>
      <w:lvlText w:val=""/>
      <w:lvlJc w:val="left"/>
      <w:pPr>
        <w:ind w:left="1080" w:hanging="720"/>
      </w:pPr>
      <w:rPr>
        <w:rFonts w:ascii="Symbol" w:hAnsi="Symbol" w:hint="default"/>
      </w:rPr>
    </w:lvl>
    <w:lvl w:ilvl="1" w:tplc="C8C23EB6">
      <w:start w:val="1"/>
      <w:numFmt w:val="bullet"/>
      <w:lvlText w:val="o"/>
      <w:lvlJc w:val="left"/>
      <w:pPr>
        <w:ind w:left="1440" w:hanging="360"/>
      </w:pPr>
      <w:rPr>
        <w:rFonts w:ascii="Courier New" w:hAnsi="Courier New" w:cs="Courier New" w:hint="default"/>
      </w:rPr>
    </w:lvl>
    <w:lvl w:ilvl="2" w:tplc="4822C214" w:tentative="1">
      <w:start w:val="1"/>
      <w:numFmt w:val="bullet"/>
      <w:lvlText w:val=""/>
      <w:lvlJc w:val="left"/>
      <w:pPr>
        <w:ind w:left="2160" w:hanging="360"/>
      </w:pPr>
      <w:rPr>
        <w:rFonts w:ascii="Wingdings" w:hAnsi="Wingdings" w:hint="default"/>
      </w:rPr>
    </w:lvl>
    <w:lvl w:ilvl="3" w:tplc="340C02BA" w:tentative="1">
      <w:start w:val="1"/>
      <w:numFmt w:val="bullet"/>
      <w:lvlText w:val=""/>
      <w:lvlJc w:val="left"/>
      <w:pPr>
        <w:ind w:left="2880" w:hanging="360"/>
      </w:pPr>
      <w:rPr>
        <w:rFonts w:ascii="Symbol" w:hAnsi="Symbol" w:hint="default"/>
      </w:rPr>
    </w:lvl>
    <w:lvl w:ilvl="4" w:tplc="149AB72C" w:tentative="1">
      <w:start w:val="1"/>
      <w:numFmt w:val="bullet"/>
      <w:lvlText w:val="o"/>
      <w:lvlJc w:val="left"/>
      <w:pPr>
        <w:ind w:left="3600" w:hanging="360"/>
      </w:pPr>
      <w:rPr>
        <w:rFonts w:ascii="Courier New" w:hAnsi="Courier New" w:cs="Courier New" w:hint="default"/>
      </w:rPr>
    </w:lvl>
    <w:lvl w:ilvl="5" w:tplc="BAB2DB62" w:tentative="1">
      <w:start w:val="1"/>
      <w:numFmt w:val="bullet"/>
      <w:lvlText w:val=""/>
      <w:lvlJc w:val="left"/>
      <w:pPr>
        <w:ind w:left="4320" w:hanging="360"/>
      </w:pPr>
      <w:rPr>
        <w:rFonts w:ascii="Wingdings" w:hAnsi="Wingdings" w:hint="default"/>
      </w:rPr>
    </w:lvl>
    <w:lvl w:ilvl="6" w:tplc="D03AFBEA" w:tentative="1">
      <w:start w:val="1"/>
      <w:numFmt w:val="bullet"/>
      <w:lvlText w:val=""/>
      <w:lvlJc w:val="left"/>
      <w:pPr>
        <w:ind w:left="5040" w:hanging="360"/>
      </w:pPr>
      <w:rPr>
        <w:rFonts w:ascii="Symbol" w:hAnsi="Symbol" w:hint="default"/>
      </w:rPr>
    </w:lvl>
    <w:lvl w:ilvl="7" w:tplc="03682018" w:tentative="1">
      <w:start w:val="1"/>
      <w:numFmt w:val="bullet"/>
      <w:lvlText w:val="o"/>
      <w:lvlJc w:val="left"/>
      <w:pPr>
        <w:ind w:left="5760" w:hanging="360"/>
      </w:pPr>
      <w:rPr>
        <w:rFonts w:ascii="Courier New" w:hAnsi="Courier New" w:cs="Courier New" w:hint="default"/>
      </w:rPr>
    </w:lvl>
    <w:lvl w:ilvl="8" w:tplc="82BAC21A" w:tentative="1">
      <w:start w:val="1"/>
      <w:numFmt w:val="bullet"/>
      <w:lvlText w:val=""/>
      <w:lvlJc w:val="left"/>
      <w:pPr>
        <w:ind w:left="6480" w:hanging="360"/>
      </w:pPr>
      <w:rPr>
        <w:rFonts w:ascii="Wingdings" w:hAnsi="Wingdings" w:hint="default"/>
      </w:rPr>
    </w:lvl>
  </w:abstractNum>
  <w:abstractNum w:abstractNumId="4" w15:restartNumberingAfterBreak="0">
    <w:nsid w:val="00000007"/>
    <w:multiLevelType w:val="hybridMultilevel"/>
    <w:tmpl w:val="69881882"/>
    <w:lvl w:ilvl="0" w:tplc="CED2F3E6">
      <w:start w:val="1"/>
      <w:numFmt w:val="decimal"/>
      <w:lvlText w:val="%1."/>
      <w:lvlJc w:val="left"/>
      <w:pPr>
        <w:ind w:left="720" w:hanging="360"/>
      </w:pPr>
      <w:rPr>
        <w:rFonts w:hint="default"/>
      </w:rPr>
    </w:lvl>
    <w:lvl w:ilvl="1" w:tplc="6F94EDD4" w:tentative="1">
      <w:start w:val="1"/>
      <w:numFmt w:val="lowerLetter"/>
      <w:lvlText w:val="%2."/>
      <w:lvlJc w:val="left"/>
      <w:pPr>
        <w:ind w:left="1440" w:hanging="360"/>
      </w:pPr>
    </w:lvl>
    <w:lvl w:ilvl="2" w:tplc="6F8A6B56" w:tentative="1">
      <w:start w:val="1"/>
      <w:numFmt w:val="lowerRoman"/>
      <w:lvlText w:val="%3."/>
      <w:lvlJc w:val="right"/>
      <w:pPr>
        <w:ind w:left="2160" w:hanging="180"/>
      </w:pPr>
    </w:lvl>
    <w:lvl w:ilvl="3" w:tplc="42B2F20C" w:tentative="1">
      <w:start w:val="1"/>
      <w:numFmt w:val="decimal"/>
      <w:lvlText w:val="%4."/>
      <w:lvlJc w:val="left"/>
      <w:pPr>
        <w:ind w:left="2880" w:hanging="360"/>
      </w:pPr>
    </w:lvl>
    <w:lvl w:ilvl="4" w:tplc="5C967AE4" w:tentative="1">
      <w:start w:val="1"/>
      <w:numFmt w:val="lowerLetter"/>
      <w:lvlText w:val="%5."/>
      <w:lvlJc w:val="left"/>
      <w:pPr>
        <w:ind w:left="3600" w:hanging="360"/>
      </w:pPr>
    </w:lvl>
    <w:lvl w:ilvl="5" w:tplc="1CEE5694" w:tentative="1">
      <w:start w:val="1"/>
      <w:numFmt w:val="lowerRoman"/>
      <w:lvlText w:val="%6."/>
      <w:lvlJc w:val="right"/>
      <w:pPr>
        <w:ind w:left="4320" w:hanging="180"/>
      </w:pPr>
    </w:lvl>
    <w:lvl w:ilvl="6" w:tplc="DCCE70BC" w:tentative="1">
      <w:start w:val="1"/>
      <w:numFmt w:val="decimal"/>
      <w:lvlText w:val="%7."/>
      <w:lvlJc w:val="left"/>
      <w:pPr>
        <w:ind w:left="5040" w:hanging="360"/>
      </w:pPr>
    </w:lvl>
    <w:lvl w:ilvl="7" w:tplc="640A45D8" w:tentative="1">
      <w:start w:val="1"/>
      <w:numFmt w:val="lowerLetter"/>
      <w:lvlText w:val="%8."/>
      <w:lvlJc w:val="left"/>
      <w:pPr>
        <w:ind w:left="5760" w:hanging="360"/>
      </w:pPr>
    </w:lvl>
    <w:lvl w:ilvl="8" w:tplc="FAB0B5E8" w:tentative="1">
      <w:start w:val="1"/>
      <w:numFmt w:val="lowerRoman"/>
      <w:lvlText w:val="%9."/>
      <w:lvlJc w:val="right"/>
      <w:pPr>
        <w:ind w:left="6480" w:hanging="180"/>
      </w:pPr>
    </w:lvl>
  </w:abstractNum>
  <w:abstractNum w:abstractNumId="5" w15:restartNumberingAfterBreak="0">
    <w:nsid w:val="00000008"/>
    <w:multiLevelType w:val="hybridMultilevel"/>
    <w:tmpl w:val="38161D60"/>
    <w:lvl w:ilvl="0" w:tplc="E79AAADC">
      <w:start w:val="1"/>
      <w:numFmt w:val="bullet"/>
      <w:lvlText w:val=""/>
      <w:lvlJc w:val="left"/>
      <w:pPr>
        <w:ind w:left="720" w:hanging="360"/>
      </w:pPr>
      <w:rPr>
        <w:rFonts w:ascii="Symbol" w:hAnsi="Symbol" w:hint="default"/>
      </w:rPr>
    </w:lvl>
    <w:lvl w:ilvl="1" w:tplc="4F4A4012" w:tentative="1">
      <w:start w:val="1"/>
      <w:numFmt w:val="bullet"/>
      <w:lvlText w:val="o"/>
      <w:lvlJc w:val="left"/>
      <w:pPr>
        <w:ind w:left="1440" w:hanging="360"/>
      </w:pPr>
      <w:rPr>
        <w:rFonts w:ascii="Courier New" w:hAnsi="Courier New" w:cs="Courier New" w:hint="default"/>
      </w:rPr>
    </w:lvl>
    <w:lvl w:ilvl="2" w:tplc="6C7AFD54" w:tentative="1">
      <w:start w:val="1"/>
      <w:numFmt w:val="bullet"/>
      <w:lvlText w:val=""/>
      <w:lvlJc w:val="left"/>
      <w:pPr>
        <w:ind w:left="2160" w:hanging="360"/>
      </w:pPr>
      <w:rPr>
        <w:rFonts w:ascii="Wingdings" w:hAnsi="Wingdings" w:hint="default"/>
      </w:rPr>
    </w:lvl>
    <w:lvl w:ilvl="3" w:tplc="2BCA399A" w:tentative="1">
      <w:start w:val="1"/>
      <w:numFmt w:val="bullet"/>
      <w:lvlText w:val=""/>
      <w:lvlJc w:val="left"/>
      <w:pPr>
        <w:ind w:left="2880" w:hanging="360"/>
      </w:pPr>
      <w:rPr>
        <w:rFonts w:ascii="Symbol" w:hAnsi="Symbol" w:hint="default"/>
      </w:rPr>
    </w:lvl>
    <w:lvl w:ilvl="4" w:tplc="2604CB56" w:tentative="1">
      <w:start w:val="1"/>
      <w:numFmt w:val="bullet"/>
      <w:lvlText w:val="o"/>
      <w:lvlJc w:val="left"/>
      <w:pPr>
        <w:ind w:left="3600" w:hanging="360"/>
      </w:pPr>
      <w:rPr>
        <w:rFonts w:ascii="Courier New" w:hAnsi="Courier New" w:cs="Courier New" w:hint="default"/>
      </w:rPr>
    </w:lvl>
    <w:lvl w:ilvl="5" w:tplc="4710B6AA" w:tentative="1">
      <w:start w:val="1"/>
      <w:numFmt w:val="bullet"/>
      <w:lvlText w:val=""/>
      <w:lvlJc w:val="left"/>
      <w:pPr>
        <w:ind w:left="4320" w:hanging="360"/>
      </w:pPr>
      <w:rPr>
        <w:rFonts w:ascii="Wingdings" w:hAnsi="Wingdings" w:hint="default"/>
      </w:rPr>
    </w:lvl>
    <w:lvl w:ilvl="6" w:tplc="1200C94A" w:tentative="1">
      <w:start w:val="1"/>
      <w:numFmt w:val="bullet"/>
      <w:lvlText w:val=""/>
      <w:lvlJc w:val="left"/>
      <w:pPr>
        <w:ind w:left="5040" w:hanging="360"/>
      </w:pPr>
      <w:rPr>
        <w:rFonts w:ascii="Symbol" w:hAnsi="Symbol" w:hint="default"/>
      </w:rPr>
    </w:lvl>
    <w:lvl w:ilvl="7" w:tplc="97064702" w:tentative="1">
      <w:start w:val="1"/>
      <w:numFmt w:val="bullet"/>
      <w:lvlText w:val="o"/>
      <w:lvlJc w:val="left"/>
      <w:pPr>
        <w:ind w:left="5760" w:hanging="360"/>
      </w:pPr>
      <w:rPr>
        <w:rFonts w:ascii="Courier New" w:hAnsi="Courier New" w:cs="Courier New" w:hint="default"/>
      </w:rPr>
    </w:lvl>
    <w:lvl w:ilvl="8" w:tplc="79D6A3B0" w:tentative="1">
      <w:start w:val="1"/>
      <w:numFmt w:val="bullet"/>
      <w:lvlText w:val=""/>
      <w:lvlJc w:val="left"/>
      <w:pPr>
        <w:ind w:left="6480" w:hanging="360"/>
      </w:pPr>
      <w:rPr>
        <w:rFonts w:ascii="Wingdings" w:hAnsi="Wingdings" w:hint="default"/>
      </w:rPr>
    </w:lvl>
  </w:abstractNum>
  <w:abstractNum w:abstractNumId="6" w15:restartNumberingAfterBreak="0">
    <w:nsid w:val="00000009"/>
    <w:multiLevelType w:val="hybridMultilevel"/>
    <w:tmpl w:val="A71C76C6"/>
    <w:lvl w:ilvl="0" w:tplc="11EE4916">
      <w:start w:val="1"/>
      <w:numFmt w:val="bullet"/>
      <w:lvlText w:val=""/>
      <w:lvlJc w:val="left"/>
      <w:pPr>
        <w:ind w:left="720" w:hanging="360"/>
      </w:pPr>
      <w:rPr>
        <w:rFonts w:ascii="Symbol" w:hAnsi="Symbol" w:hint="default"/>
      </w:rPr>
    </w:lvl>
    <w:lvl w:ilvl="1" w:tplc="587050E6">
      <w:start w:val="1"/>
      <w:numFmt w:val="bullet"/>
      <w:lvlText w:val="o"/>
      <w:lvlJc w:val="left"/>
      <w:pPr>
        <w:ind w:left="1440" w:hanging="360"/>
      </w:pPr>
      <w:rPr>
        <w:rFonts w:ascii="Courier New" w:hAnsi="Courier New" w:cs="Courier New" w:hint="default"/>
      </w:rPr>
    </w:lvl>
    <w:lvl w:ilvl="2" w:tplc="0282B2FA" w:tentative="1">
      <w:start w:val="1"/>
      <w:numFmt w:val="bullet"/>
      <w:lvlText w:val=""/>
      <w:lvlJc w:val="left"/>
      <w:pPr>
        <w:ind w:left="2160" w:hanging="360"/>
      </w:pPr>
      <w:rPr>
        <w:rFonts w:ascii="Wingdings" w:hAnsi="Wingdings" w:hint="default"/>
      </w:rPr>
    </w:lvl>
    <w:lvl w:ilvl="3" w:tplc="9E360C68" w:tentative="1">
      <w:start w:val="1"/>
      <w:numFmt w:val="bullet"/>
      <w:lvlText w:val=""/>
      <w:lvlJc w:val="left"/>
      <w:pPr>
        <w:ind w:left="2880" w:hanging="360"/>
      </w:pPr>
      <w:rPr>
        <w:rFonts w:ascii="Symbol" w:hAnsi="Symbol" w:hint="default"/>
      </w:rPr>
    </w:lvl>
    <w:lvl w:ilvl="4" w:tplc="6794F986" w:tentative="1">
      <w:start w:val="1"/>
      <w:numFmt w:val="bullet"/>
      <w:lvlText w:val="o"/>
      <w:lvlJc w:val="left"/>
      <w:pPr>
        <w:ind w:left="3600" w:hanging="360"/>
      </w:pPr>
      <w:rPr>
        <w:rFonts w:ascii="Courier New" w:hAnsi="Courier New" w:cs="Courier New" w:hint="default"/>
      </w:rPr>
    </w:lvl>
    <w:lvl w:ilvl="5" w:tplc="3B8E1482" w:tentative="1">
      <w:start w:val="1"/>
      <w:numFmt w:val="bullet"/>
      <w:lvlText w:val=""/>
      <w:lvlJc w:val="left"/>
      <w:pPr>
        <w:ind w:left="4320" w:hanging="360"/>
      </w:pPr>
      <w:rPr>
        <w:rFonts w:ascii="Wingdings" w:hAnsi="Wingdings" w:hint="default"/>
      </w:rPr>
    </w:lvl>
    <w:lvl w:ilvl="6" w:tplc="1D7ECBEC" w:tentative="1">
      <w:start w:val="1"/>
      <w:numFmt w:val="bullet"/>
      <w:lvlText w:val=""/>
      <w:lvlJc w:val="left"/>
      <w:pPr>
        <w:ind w:left="5040" w:hanging="360"/>
      </w:pPr>
      <w:rPr>
        <w:rFonts w:ascii="Symbol" w:hAnsi="Symbol" w:hint="default"/>
      </w:rPr>
    </w:lvl>
    <w:lvl w:ilvl="7" w:tplc="AD2AC1AA" w:tentative="1">
      <w:start w:val="1"/>
      <w:numFmt w:val="bullet"/>
      <w:lvlText w:val="o"/>
      <w:lvlJc w:val="left"/>
      <w:pPr>
        <w:ind w:left="5760" w:hanging="360"/>
      </w:pPr>
      <w:rPr>
        <w:rFonts w:ascii="Courier New" w:hAnsi="Courier New" w:cs="Courier New" w:hint="default"/>
      </w:rPr>
    </w:lvl>
    <w:lvl w:ilvl="8" w:tplc="16344242" w:tentative="1">
      <w:start w:val="1"/>
      <w:numFmt w:val="bullet"/>
      <w:lvlText w:val=""/>
      <w:lvlJc w:val="left"/>
      <w:pPr>
        <w:ind w:left="6480" w:hanging="360"/>
      </w:pPr>
      <w:rPr>
        <w:rFonts w:ascii="Wingdings" w:hAnsi="Wingdings" w:hint="default"/>
      </w:rPr>
    </w:lvl>
  </w:abstractNum>
  <w:abstractNum w:abstractNumId="7" w15:restartNumberingAfterBreak="0">
    <w:nsid w:val="0000000A"/>
    <w:multiLevelType w:val="hybridMultilevel"/>
    <w:tmpl w:val="E0DAB9B2"/>
    <w:lvl w:ilvl="0" w:tplc="9DDC94C4">
      <w:start w:val="1"/>
      <w:numFmt w:val="bullet"/>
      <w:lvlText w:val=""/>
      <w:lvlJc w:val="left"/>
      <w:pPr>
        <w:ind w:left="1168" w:hanging="360"/>
      </w:pPr>
      <w:rPr>
        <w:rFonts w:ascii="Symbol" w:hAnsi="Symbol" w:hint="default"/>
      </w:rPr>
    </w:lvl>
    <w:lvl w:ilvl="1" w:tplc="8B387B0A" w:tentative="1">
      <w:start w:val="1"/>
      <w:numFmt w:val="bullet"/>
      <w:lvlText w:val="o"/>
      <w:lvlJc w:val="left"/>
      <w:pPr>
        <w:ind w:left="1888" w:hanging="360"/>
      </w:pPr>
      <w:rPr>
        <w:rFonts w:ascii="Courier New" w:hAnsi="Courier New" w:cs="Courier New" w:hint="default"/>
      </w:rPr>
    </w:lvl>
    <w:lvl w:ilvl="2" w:tplc="973C62C4" w:tentative="1">
      <w:start w:val="1"/>
      <w:numFmt w:val="bullet"/>
      <w:lvlText w:val=""/>
      <w:lvlJc w:val="left"/>
      <w:pPr>
        <w:ind w:left="2608" w:hanging="360"/>
      </w:pPr>
      <w:rPr>
        <w:rFonts w:ascii="Wingdings" w:hAnsi="Wingdings" w:hint="default"/>
      </w:rPr>
    </w:lvl>
    <w:lvl w:ilvl="3" w:tplc="9088504C" w:tentative="1">
      <w:start w:val="1"/>
      <w:numFmt w:val="bullet"/>
      <w:lvlText w:val=""/>
      <w:lvlJc w:val="left"/>
      <w:pPr>
        <w:ind w:left="3328" w:hanging="360"/>
      </w:pPr>
      <w:rPr>
        <w:rFonts w:ascii="Symbol" w:hAnsi="Symbol" w:hint="default"/>
      </w:rPr>
    </w:lvl>
    <w:lvl w:ilvl="4" w:tplc="C600936E" w:tentative="1">
      <w:start w:val="1"/>
      <w:numFmt w:val="bullet"/>
      <w:lvlText w:val="o"/>
      <w:lvlJc w:val="left"/>
      <w:pPr>
        <w:ind w:left="4048" w:hanging="360"/>
      </w:pPr>
      <w:rPr>
        <w:rFonts w:ascii="Courier New" w:hAnsi="Courier New" w:cs="Courier New" w:hint="default"/>
      </w:rPr>
    </w:lvl>
    <w:lvl w:ilvl="5" w:tplc="719E4B98" w:tentative="1">
      <w:start w:val="1"/>
      <w:numFmt w:val="bullet"/>
      <w:lvlText w:val=""/>
      <w:lvlJc w:val="left"/>
      <w:pPr>
        <w:ind w:left="4768" w:hanging="360"/>
      </w:pPr>
      <w:rPr>
        <w:rFonts w:ascii="Wingdings" w:hAnsi="Wingdings" w:hint="default"/>
      </w:rPr>
    </w:lvl>
    <w:lvl w:ilvl="6" w:tplc="8B76D548" w:tentative="1">
      <w:start w:val="1"/>
      <w:numFmt w:val="bullet"/>
      <w:lvlText w:val=""/>
      <w:lvlJc w:val="left"/>
      <w:pPr>
        <w:ind w:left="5488" w:hanging="360"/>
      </w:pPr>
      <w:rPr>
        <w:rFonts w:ascii="Symbol" w:hAnsi="Symbol" w:hint="default"/>
      </w:rPr>
    </w:lvl>
    <w:lvl w:ilvl="7" w:tplc="B61E3BEE" w:tentative="1">
      <w:start w:val="1"/>
      <w:numFmt w:val="bullet"/>
      <w:lvlText w:val="o"/>
      <w:lvlJc w:val="left"/>
      <w:pPr>
        <w:ind w:left="6208" w:hanging="360"/>
      </w:pPr>
      <w:rPr>
        <w:rFonts w:ascii="Courier New" w:hAnsi="Courier New" w:cs="Courier New" w:hint="default"/>
      </w:rPr>
    </w:lvl>
    <w:lvl w:ilvl="8" w:tplc="7ED65734" w:tentative="1">
      <w:start w:val="1"/>
      <w:numFmt w:val="bullet"/>
      <w:lvlText w:val=""/>
      <w:lvlJc w:val="left"/>
      <w:pPr>
        <w:ind w:left="6928" w:hanging="360"/>
      </w:pPr>
      <w:rPr>
        <w:rFonts w:ascii="Wingdings" w:hAnsi="Wingdings" w:hint="default"/>
      </w:rPr>
    </w:lvl>
  </w:abstractNum>
  <w:abstractNum w:abstractNumId="8" w15:restartNumberingAfterBreak="0">
    <w:nsid w:val="0000000B"/>
    <w:multiLevelType w:val="hybridMultilevel"/>
    <w:tmpl w:val="AC502834"/>
    <w:lvl w:ilvl="0" w:tplc="26CA5F74">
      <w:start w:val="6"/>
      <w:numFmt w:val="decimal"/>
      <w:lvlText w:val="%1"/>
      <w:lvlJc w:val="left"/>
      <w:pPr>
        <w:ind w:left="928" w:hanging="360"/>
      </w:pPr>
      <w:rPr>
        <w:rFonts w:hint="default"/>
      </w:rPr>
    </w:lvl>
    <w:lvl w:ilvl="1" w:tplc="48F2EBB8" w:tentative="1">
      <w:start w:val="1"/>
      <w:numFmt w:val="lowerLetter"/>
      <w:lvlText w:val="%2."/>
      <w:lvlJc w:val="left"/>
      <w:pPr>
        <w:ind w:left="1648" w:hanging="360"/>
      </w:pPr>
    </w:lvl>
    <w:lvl w:ilvl="2" w:tplc="B8563A36" w:tentative="1">
      <w:start w:val="1"/>
      <w:numFmt w:val="lowerRoman"/>
      <w:lvlText w:val="%3."/>
      <w:lvlJc w:val="right"/>
      <w:pPr>
        <w:ind w:left="2368" w:hanging="180"/>
      </w:pPr>
    </w:lvl>
    <w:lvl w:ilvl="3" w:tplc="A31CEB1A" w:tentative="1">
      <w:start w:val="1"/>
      <w:numFmt w:val="decimal"/>
      <w:lvlText w:val="%4."/>
      <w:lvlJc w:val="left"/>
      <w:pPr>
        <w:ind w:left="3088" w:hanging="360"/>
      </w:pPr>
    </w:lvl>
    <w:lvl w:ilvl="4" w:tplc="E1D44096" w:tentative="1">
      <w:start w:val="1"/>
      <w:numFmt w:val="lowerLetter"/>
      <w:lvlText w:val="%5."/>
      <w:lvlJc w:val="left"/>
      <w:pPr>
        <w:ind w:left="3808" w:hanging="360"/>
      </w:pPr>
    </w:lvl>
    <w:lvl w:ilvl="5" w:tplc="17C080BE" w:tentative="1">
      <w:start w:val="1"/>
      <w:numFmt w:val="lowerRoman"/>
      <w:lvlText w:val="%6."/>
      <w:lvlJc w:val="right"/>
      <w:pPr>
        <w:ind w:left="4528" w:hanging="180"/>
      </w:pPr>
    </w:lvl>
    <w:lvl w:ilvl="6" w:tplc="7A742444" w:tentative="1">
      <w:start w:val="1"/>
      <w:numFmt w:val="decimal"/>
      <w:lvlText w:val="%7."/>
      <w:lvlJc w:val="left"/>
      <w:pPr>
        <w:ind w:left="5248" w:hanging="360"/>
      </w:pPr>
    </w:lvl>
    <w:lvl w:ilvl="7" w:tplc="C8562344" w:tentative="1">
      <w:start w:val="1"/>
      <w:numFmt w:val="lowerLetter"/>
      <w:lvlText w:val="%8."/>
      <w:lvlJc w:val="left"/>
      <w:pPr>
        <w:ind w:left="5968" w:hanging="360"/>
      </w:pPr>
    </w:lvl>
    <w:lvl w:ilvl="8" w:tplc="74AEC62A" w:tentative="1">
      <w:start w:val="1"/>
      <w:numFmt w:val="lowerRoman"/>
      <w:lvlText w:val="%9."/>
      <w:lvlJc w:val="right"/>
      <w:pPr>
        <w:ind w:left="6688" w:hanging="180"/>
      </w:pPr>
    </w:lvl>
  </w:abstractNum>
  <w:abstractNum w:abstractNumId="9" w15:restartNumberingAfterBreak="0">
    <w:nsid w:val="0000000C"/>
    <w:multiLevelType w:val="multilevel"/>
    <w:tmpl w:val="26F26CE2"/>
    <w:name w:val="WW8Num12"/>
    <w:lvl w:ilvl="0">
      <w:start w:val="1"/>
      <w:numFmt w:val="bullet"/>
      <w:lvlText w:val=""/>
      <w:lvlJc w:val="left"/>
      <w:pPr>
        <w:tabs>
          <w:tab w:val="num" w:pos="1080"/>
        </w:tabs>
        <w:ind w:left="1080" w:hanging="360"/>
      </w:pPr>
      <w:rPr>
        <w:rFonts w:ascii="Symbol" w:hAnsi="Symbol" w:cs="Arial" w:hint="default"/>
      </w:rPr>
    </w:lvl>
    <w:lvl w:ilvl="1">
      <w:start w:val="4"/>
      <w:numFmt w:val="bullet"/>
      <w:lvlText w:val="-"/>
      <w:lvlJc w:val="left"/>
      <w:pPr>
        <w:tabs>
          <w:tab w:val="num" w:pos="1800"/>
        </w:tabs>
        <w:ind w:left="1800" w:hanging="360"/>
      </w:pPr>
      <w:rPr>
        <w:rFonts w:ascii="Verdana" w:eastAsia="Times New Roman" w:hAnsi="Verdana" w:cs="Arial" w:hint="default"/>
        <w:b w:val="0"/>
        <w:i w:val="0"/>
      </w:rPr>
    </w:lvl>
    <w:lvl w:ilvl="2">
      <w:start w:val="1"/>
      <w:numFmt w:val="bullet"/>
      <w:lvlText w:val=""/>
      <w:lvlJc w:val="left"/>
      <w:pPr>
        <w:tabs>
          <w:tab w:val="num" w:pos="2700"/>
        </w:tabs>
        <w:ind w:left="2700" w:hanging="360"/>
      </w:pPr>
      <w:rPr>
        <w:rFonts w:ascii="Symbol" w:hAnsi="Symbol" w:cs="Symbol" w:hint="default"/>
      </w:rPr>
    </w:lvl>
    <w:lvl w:ilvl="3">
      <w:start w:val="8"/>
      <w:numFmt w:val="decimal"/>
      <w:lvlText w:val="%4."/>
      <w:lvlJc w:val="left"/>
      <w:pPr>
        <w:tabs>
          <w:tab w:val="num" w:pos="720"/>
        </w:tabs>
        <w:ind w:left="3240" w:hanging="36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00CC4AE6"/>
    <w:multiLevelType w:val="hybridMultilevel"/>
    <w:tmpl w:val="2BD845B8"/>
    <w:lvl w:ilvl="0" w:tplc="08090001">
      <w:start w:val="1"/>
      <w:numFmt w:val="bullet"/>
      <w:lvlText w:val=""/>
      <w:lvlJc w:val="left"/>
      <w:pPr>
        <w:ind w:left="5606" w:hanging="360"/>
      </w:pPr>
      <w:rPr>
        <w:rFonts w:ascii="Symbol" w:hAnsi="Symbol" w:hint="default"/>
      </w:rPr>
    </w:lvl>
    <w:lvl w:ilvl="1" w:tplc="9B106274" w:tentative="1">
      <w:start w:val="1"/>
      <w:numFmt w:val="lowerLetter"/>
      <w:lvlText w:val="%2."/>
      <w:lvlJc w:val="left"/>
      <w:pPr>
        <w:ind w:left="1800" w:hanging="360"/>
      </w:pPr>
    </w:lvl>
    <w:lvl w:ilvl="2" w:tplc="81923730" w:tentative="1">
      <w:start w:val="1"/>
      <w:numFmt w:val="lowerRoman"/>
      <w:lvlText w:val="%3."/>
      <w:lvlJc w:val="right"/>
      <w:pPr>
        <w:ind w:left="2520" w:hanging="180"/>
      </w:pPr>
    </w:lvl>
    <w:lvl w:ilvl="3" w:tplc="86D62062" w:tentative="1">
      <w:start w:val="1"/>
      <w:numFmt w:val="decimal"/>
      <w:lvlText w:val="%4."/>
      <w:lvlJc w:val="left"/>
      <w:pPr>
        <w:ind w:left="3240" w:hanging="360"/>
      </w:pPr>
    </w:lvl>
    <w:lvl w:ilvl="4" w:tplc="B066EA7E" w:tentative="1">
      <w:start w:val="1"/>
      <w:numFmt w:val="lowerLetter"/>
      <w:lvlText w:val="%5."/>
      <w:lvlJc w:val="left"/>
      <w:pPr>
        <w:ind w:left="3960" w:hanging="360"/>
      </w:pPr>
    </w:lvl>
    <w:lvl w:ilvl="5" w:tplc="AB8C8D2A" w:tentative="1">
      <w:start w:val="1"/>
      <w:numFmt w:val="lowerRoman"/>
      <w:lvlText w:val="%6."/>
      <w:lvlJc w:val="right"/>
      <w:pPr>
        <w:ind w:left="4680" w:hanging="180"/>
      </w:pPr>
    </w:lvl>
    <w:lvl w:ilvl="6" w:tplc="F03CD366" w:tentative="1">
      <w:start w:val="1"/>
      <w:numFmt w:val="decimal"/>
      <w:lvlText w:val="%7."/>
      <w:lvlJc w:val="left"/>
      <w:pPr>
        <w:ind w:left="5400" w:hanging="360"/>
      </w:pPr>
    </w:lvl>
    <w:lvl w:ilvl="7" w:tplc="AD9E28B8" w:tentative="1">
      <w:start w:val="1"/>
      <w:numFmt w:val="lowerLetter"/>
      <w:lvlText w:val="%8."/>
      <w:lvlJc w:val="left"/>
      <w:pPr>
        <w:ind w:left="6120" w:hanging="360"/>
      </w:pPr>
    </w:lvl>
    <w:lvl w:ilvl="8" w:tplc="95A680AE" w:tentative="1">
      <w:start w:val="1"/>
      <w:numFmt w:val="lowerRoman"/>
      <w:lvlText w:val="%9."/>
      <w:lvlJc w:val="right"/>
      <w:pPr>
        <w:ind w:left="6840" w:hanging="180"/>
      </w:pPr>
    </w:lvl>
  </w:abstractNum>
  <w:abstractNum w:abstractNumId="11" w15:restartNumberingAfterBreak="0">
    <w:nsid w:val="02372D0B"/>
    <w:multiLevelType w:val="multilevel"/>
    <w:tmpl w:val="03507B0E"/>
    <w:lvl w:ilvl="0">
      <w:start w:val="1"/>
      <w:numFmt w:val="decimal"/>
      <w:lvlText w:val="%1"/>
      <w:lvlJc w:val="left"/>
      <w:pPr>
        <w:tabs>
          <w:tab w:val="num" w:pos="360"/>
        </w:tabs>
        <w:ind w:left="360" w:hanging="360"/>
      </w:pPr>
      <w:rPr>
        <w:rFonts w:ascii="Symbol" w:hAnsi="Symbol" w:cs="Symbol" w:hint="default"/>
        <w:sz w:val="22"/>
        <w:szCs w:val="22"/>
      </w:rPr>
    </w:lvl>
    <w:lvl w:ilvl="1">
      <w:start w:val="1"/>
      <w:numFmt w:val="decimal"/>
      <w:lvlText w:val="%1.%2"/>
      <w:lvlJc w:val="left"/>
      <w:pPr>
        <w:tabs>
          <w:tab w:val="num" w:pos="720"/>
        </w:tabs>
        <w:ind w:left="720" w:hanging="720"/>
      </w:pPr>
      <w:rPr>
        <w:rFonts w:ascii="Calibri" w:hAnsi="Calibri" w:cs="Arial" w:hint="default"/>
        <w:color w:val="auto"/>
        <w:sz w:val="22"/>
        <w:szCs w:val="22"/>
      </w:rPr>
    </w:lvl>
    <w:lvl w:ilvl="2">
      <w:start w:val="1"/>
      <w:numFmt w:val="decimal"/>
      <w:lvlText w:val="%1.%2.%3"/>
      <w:lvlJc w:val="left"/>
      <w:pPr>
        <w:tabs>
          <w:tab w:val="num" w:pos="720"/>
        </w:tabs>
        <w:ind w:left="720" w:hanging="720"/>
      </w:pPr>
      <w:rPr>
        <w:rFonts w:ascii="Symbol" w:hAnsi="Symbol" w:cs="Symbol" w:hint="default"/>
        <w:sz w:val="22"/>
        <w:szCs w:val="22"/>
      </w:rPr>
    </w:lvl>
    <w:lvl w:ilvl="3">
      <w:start w:val="1"/>
      <w:numFmt w:val="decimal"/>
      <w:lvlText w:val="%1.%2.%3.%4"/>
      <w:lvlJc w:val="left"/>
      <w:pPr>
        <w:tabs>
          <w:tab w:val="num" w:pos="1080"/>
        </w:tabs>
        <w:ind w:left="1080" w:hanging="1080"/>
      </w:pPr>
      <w:rPr>
        <w:rFonts w:ascii="Symbol" w:hAnsi="Symbol" w:cs="Symbol" w:hint="default"/>
        <w:sz w:val="22"/>
        <w:szCs w:val="22"/>
      </w:rPr>
    </w:lvl>
    <w:lvl w:ilvl="4">
      <w:start w:val="1"/>
      <w:numFmt w:val="decimal"/>
      <w:lvlText w:val="%1.%2.%3.%4.%5"/>
      <w:lvlJc w:val="left"/>
      <w:pPr>
        <w:tabs>
          <w:tab w:val="num" w:pos="1440"/>
        </w:tabs>
        <w:ind w:left="1440" w:hanging="1440"/>
      </w:pPr>
      <w:rPr>
        <w:rFonts w:ascii="Symbol" w:hAnsi="Symbol" w:cs="Symbol" w:hint="default"/>
        <w:sz w:val="22"/>
        <w:szCs w:val="22"/>
      </w:rPr>
    </w:lvl>
    <w:lvl w:ilvl="5">
      <w:start w:val="1"/>
      <w:numFmt w:val="decimal"/>
      <w:lvlText w:val="%1.%2.%3.%4.%5.%6"/>
      <w:lvlJc w:val="left"/>
      <w:pPr>
        <w:tabs>
          <w:tab w:val="num" w:pos="1800"/>
        </w:tabs>
        <w:ind w:left="1800" w:hanging="1800"/>
      </w:pPr>
      <w:rPr>
        <w:rFonts w:ascii="Symbol" w:hAnsi="Symbol" w:cs="Symbol" w:hint="default"/>
        <w:sz w:val="22"/>
        <w:szCs w:val="22"/>
      </w:rPr>
    </w:lvl>
    <w:lvl w:ilvl="6">
      <w:start w:val="1"/>
      <w:numFmt w:val="decimal"/>
      <w:lvlText w:val="%1.%2.%3.%4.%5.%6.%7"/>
      <w:lvlJc w:val="left"/>
      <w:pPr>
        <w:tabs>
          <w:tab w:val="num" w:pos="1800"/>
        </w:tabs>
        <w:ind w:left="1800" w:hanging="1800"/>
      </w:pPr>
      <w:rPr>
        <w:rFonts w:ascii="Symbol" w:hAnsi="Symbol" w:cs="Symbol" w:hint="default"/>
        <w:sz w:val="22"/>
        <w:szCs w:val="22"/>
      </w:rPr>
    </w:lvl>
    <w:lvl w:ilvl="7">
      <w:start w:val="1"/>
      <w:numFmt w:val="decimal"/>
      <w:lvlText w:val="%1.%2.%3.%4.%5.%6.%7.%8"/>
      <w:lvlJc w:val="left"/>
      <w:pPr>
        <w:tabs>
          <w:tab w:val="num" w:pos="2160"/>
        </w:tabs>
        <w:ind w:left="2160" w:hanging="2160"/>
      </w:pPr>
      <w:rPr>
        <w:rFonts w:ascii="Symbol" w:hAnsi="Symbol" w:cs="Symbol" w:hint="default"/>
        <w:sz w:val="22"/>
        <w:szCs w:val="22"/>
      </w:rPr>
    </w:lvl>
    <w:lvl w:ilvl="8">
      <w:start w:val="1"/>
      <w:numFmt w:val="decimal"/>
      <w:lvlText w:val="%1.%2.%3.%4.%5.%6.%7.%8.%9"/>
      <w:lvlJc w:val="left"/>
      <w:pPr>
        <w:tabs>
          <w:tab w:val="num" w:pos="2520"/>
        </w:tabs>
        <w:ind w:left="2520" w:hanging="2520"/>
      </w:pPr>
      <w:rPr>
        <w:rFonts w:ascii="Symbol" w:hAnsi="Symbol" w:cs="Symbol" w:hint="default"/>
        <w:sz w:val="22"/>
        <w:szCs w:val="22"/>
      </w:rPr>
    </w:lvl>
  </w:abstractNum>
  <w:abstractNum w:abstractNumId="12" w15:restartNumberingAfterBreak="0">
    <w:nsid w:val="0D954E5D"/>
    <w:multiLevelType w:val="hybridMultilevel"/>
    <w:tmpl w:val="21B234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12D1AF4"/>
    <w:multiLevelType w:val="hybridMultilevel"/>
    <w:tmpl w:val="53B6E696"/>
    <w:lvl w:ilvl="0" w:tplc="08090001">
      <w:start w:val="1"/>
      <w:numFmt w:val="bullet"/>
      <w:lvlText w:val=""/>
      <w:lvlJc w:val="left"/>
      <w:pPr>
        <w:ind w:left="1080" w:hanging="360"/>
      </w:pPr>
      <w:rPr>
        <w:rFonts w:ascii="Symbol" w:hAnsi="Symbol" w:hint="default"/>
      </w:rPr>
    </w:lvl>
    <w:lvl w:ilvl="1" w:tplc="48F2EBB8" w:tentative="1">
      <w:start w:val="1"/>
      <w:numFmt w:val="lowerLetter"/>
      <w:lvlText w:val="%2."/>
      <w:lvlJc w:val="left"/>
      <w:pPr>
        <w:ind w:left="1800" w:hanging="360"/>
      </w:pPr>
    </w:lvl>
    <w:lvl w:ilvl="2" w:tplc="B8563A36" w:tentative="1">
      <w:start w:val="1"/>
      <w:numFmt w:val="lowerRoman"/>
      <w:lvlText w:val="%3."/>
      <w:lvlJc w:val="right"/>
      <w:pPr>
        <w:ind w:left="2520" w:hanging="180"/>
      </w:pPr>
    </w:lvl>
    <w:lvl w:ilvl="3" w:tplc="A31CEB1A" w:tentative="1">
      <w:start w:val="1"/>
      <w:numFmt w:val="decimal"/>
      <w:lvlText w:val="%4."/>
      <w:lvlJc w:val="left"/>
      <w:pPr>
        <w:ind w:left="3240" w:hanging="360"/>
      </w:pPr>
    </w:lvl>
    <w:lvl w:ilvl="4" w:tplc="E1D44096" w:tentative="1">
      <w:start w:val="1"/>
      <w:numFmt w:val="lowerLetter"/>
      <w:lvlText w:val="%5."/>
      <w:lvlJc w:val="left"/>
      <w:pPr>
        <w:ind w:left="3960" w:hanging="360"/>
      </w:pPr>
    </w:lvl>
    <w:lvl w:ilvl="5" w:tplc="17C080BE" w:tentative="1">
      <w:start w:val="1"/>
      <w:numFmt w:val="lowerRoman"/>
      <w:lvlText w:val="%6."/>
      <w:lvlJc w:val="right"/>
      <w:pPr>
        <w:ind w:left="4680" w:hanging="180"/>
      </w:pPr>
    </w:lvl>
    <w:lvl w:ilvl="6" w:tplc="7A742444" w:tentative="1">
      <w:start w:val="1"/>
      <w:numFmt w:val="decimal"/>
      <w:lvlText w:val="%7."/>
      <w:lvlJc w:val="left"/>
      <w:pPr>
        <w:ind w:left="5400" w:hanging="360"/>
      </w:pPr>
    </w:lvl>
    <w:lvl w:ilvl="7" w:tplc="C8562344" w:tentative="1">
      <w:start w:val="1"/>
      <w:numFmt w:val="lowerLetter"/>
      <w:lvlText w:val="%8."/>
      <w:lvlJc w:val="left"/>
      <w:pPr>
        <w:ind w:left="6120" w:hanging="360"/>
      </w:pPr>
    </w:lvl>
    <w:lvl w:ilvl="8" w:tplc="74AEC62A" w:tentative="1">
      <w:start w:val="1"/>
      <w:numFmt w:val="lowerRoman"/>
      <w:lvlText w:val="%9."/>
      <w:lvlJc w:val="right"/>
      <w:pPr>
        <w:ind w:left="6840" w:hanging="180"/>
      </w:pPr>
    </w:lvl>
  </w:abstractNum>
  <w:abstractNum w:abstractNumId="14" w15:restartNumberingAfterBreak="0">
    <w:nsid w:val="120152D6"/>
    <w:multiLevelType w:val="hybridMultilevel"/>
    <w:tmpl w:val="582A9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205752"/>
    <w:multiLevelType w:val="hybridMultilevel"/>
    <w:tmpl w:val="3E1635A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A333AF5"/>
    <w:multiLevelType w:val="hybridMultilevel"/>
    <w:tmpl w:val="09D211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1102C3A"/>
    <w:multiLevelType w:val="hybridMultilevel"/>
    <w:tmpl w:val="BD389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99306F"/>
    <w:multiLevelType w:val="hybridMultilevel"/>
    <w:tmpl w:val="90DCAE56"/>
    <w:name w:val="WW8Num42"/>
    <w:lvl w:ilvl="0" w:tplc="10620580">
      <w:start w:val="5"/>
      <w:numFmt w:val="decimal"/>
      <w:lvlText w:val="%1"/>
      <w:lvlJc w:val="left"/>
      <w:pPr>
        <w:tabs>
          <w:tab w:val="num" w:pos="720"/>
        </w:tabs>
        <w:ind w:left="720" w:hanging="360"/>
      </w:pPr>
      <w:rPr>
        <w:rFonts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7EB1C40"/>
    <w:multiLevelType w:val="hybridMultilevel"/>
    <w:tmpl w:val="E2D48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8DB03CC"/>
    <w:multiLevelType w:val="hybridMultilevel"/>
    <w:tmpl w:val="A71C7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404A07"/>
    <w:multiLevelType w:val="hybridMultilevel"/>
    <w:tmpl w:val="73364AD4"/>
    <w:lvl w:ilvl="0" w:tplc="08090001">
      <w:start w:val="1"/>
      <w:numFmt w:val="bullet"/>
      <w:lvlText w:val=""/>
      <w:lvlJc w:val="left"/>
      <w:pPr>
        <w:ind w:left="360" w:hanging="360"/>
      </w:pPr>
      <w:rPr>
        <w:rFonts w:ascii="Symbol" w:hAnsi="Symbol" w:hint="default"/>
      </w:rPr>
    </w:lvl>
    <w:lvl w:ilvl="1" w:tplc="9B106274" w:tentative="1">
      <w:start w:val="1"/>
      <w:numFmt w:val="lowerLetter"/>
      <w:lvlText w:val="%2."/>
      <w:lvlJc w:val="left"/>
      <w:pPr>
        <w:ind w:left="-3446" w:hanging="360"/>
      </w:pPr>
    </w:lvl>
    <w:lvl w:ilvl="2" w:tplc="81923730" w:tentative="1">
      <w:start w:val="1"/>
      <w:numFmt w:val="lowerRoman"/>
      <w:lvlText w:val="%3."/>
      <w:lvlJc w:val="right"/>
      <w:pPr>
        <w:ind w:left="-2726" w:hanging="180"/>
      </w:pPr>
    </w:lvl>
    <w:lvl w:ilvl="3" w:tplc="86D62062" w:tentative="1">
      <w:start w:val="1"/>
      <w:numFmt w:val="decimal"/>
      <w:lvlText w:val="%4."/>
      <w:lvlJc w:val="left"/>
      <w:pPr>
        <w:ind w:left="-2006" w:hanging="360"/>
      </w:pPr>
    </w:lvl>
    <w:lvl w:ilvl="4" w:tplc="B066EA7E" w:tentative="1">
      <w:start w:val="1"/>
      <w:numFmt w:val="lowerLetter"/>
      <w:lvlText w:val="%5."/>
      <w:lvlJc w:val="left"/>
      <w:pPr>
        <w:ind w:left="-1286" w:hanging="360"/>
      </w:pPr>
    </w:lvl>
    <w:lvl w:ilvl="5" w:tplc="AB8C8D2A" w:tentative="1">
      <w:start w:val="1"/>
      <w:numFmt w:val="lowerRoman"/>
      <w:lvlText w:val="%6."/>
      <w:lvlJc w:val="right"/>
      <w:pPr>
        <w:ind w:left="-566" w:hanging="180"/>
      </w:pPr>
    </w:lvl>
    <w:lvl w:ilvl="6" w:tplc="F03CD366" w:tentative="1">
      <w:start w:val="1"/>
      <w:numFmt w:val="decimal"/>
      <w:lvlText w:val="%7."/>
      <w:lvlJc w:val="left"/>
      <w:pPr>
        <w:ind w:left="154" w:hanging="360"/>
      </w:pPr>
    </w:lvl>
    <w:lvl w:ilvl="7" w:tplc="AD9E28B8" w:tentative="1">
      <w:start w:val="1"/>
      <w:numFmt w:val="lowerLetter"/>
      <w:lvlText w:val="%8."/>
      <w:lvlJc w:val="left"/>
      <w:pPr>
        <w:ind w:left="874" w:hanging="360"/>
      </w:pPr>
    </w:lvl>
    <w:lvl w:ilvl="8" w:tplc="95A680AE" w:tentative="1">
      <w:start w:val="1"/>
      <w:numFmt w:val="lowerRoman"/>
      <w:lvlText w:val="%9."/>
      <w:lvlJc w:val="right"/>
      <w:pPr>
        <w:ind w:left="1594" w:hanging="180"/>
      </w:pPr>
    </w:lvl>
  </w:abstractNum>
  <w:abstractNum w:abstractNumId="22" w15:restartNumberingAfterBreak="0">
    <w:nsid w:val="385E299C"/>
    <w:multiLevelType w:val="hybridMultilevel"/>
    <w:tmpl w:val="69881882"/>
    <w:lvl w:ilvl="0" w:tplc="CED2F3E6">
      <w:start w:val="1"/>
      <w:numFmt w:val="decimal"/>
      <w:lvlText w:val="%1."/>
      <w:lvlJc w:val="left"/>
      <w:pPr>
        <w:ind w:left="720" w:hanging="360"/>
      </w:pPr>
      <w:rPr>
        <w:rFonts w:hint="default"/>
      </w:rPr>
    </w:lvl>
    <w:lvl w:ilvl="1" w:tplc="6F94EDD4" w:tentative="1">
      <w:start w:val="1"/>
      <w:numFmt w:val="lowerLetter"/>
      <w:lvlText w:val="%2."/>
      <w:lvlJc w:val="left"/>
      <w:pPr>
        <w:ind w:left="1440" w:hanging="360"/>
      </w:pPr>
    </w:lvl>
    <w:lvl w:ilvl="2" w:tplc="6F8A6B56" w:tentative="1">
      <w:start w:val="1"/>
      <w:numFmt w:val="lowerRoman"/>
      <w:lvlText w:val="%3."/>
      <w:lvlJc w:val="right"/>
      <w:pPr>
        <w:ind w:left="2160" w:hanging="180"/>
      </w:pPr>
    </w:lvl>
    <w:lvl w:ilvl="3" w:tplc="42B2F20C" w:tentative="1">
      <w:start w:val="1"/>
      <w:numFmt w:val="decimal"/>
      <w:lvlText w:val="%4."/>
      <w:lvlJc w:val="left"/>
      <w:pPr>
        <w:ind w:left="2880" w:hanging="360"/>
      </w:pPr>
    </w:lvl>
    <w:lvl w:ilvl="4" w:tplc="5C967AE4" w:tentative="1">
      <w:start w:val="1"/>
      <w:numFmt w:val="lowerLetter"/>
      <w:lvlText w:val="%5."/>
      <w:lvlJc w:val="left"/>
      <w:pPr>
        <w:ind w:left="3600" w:hanging="360"/>
      </w:pPr>
    </w:lvl>
    <w:lvl w:ilvl="5" w:tplc="1CEE5694" w:tentative="1">
      <w:start w:val="1"/>
      <w:numFmt w:val="lowerRoman"/>
      <w:lvlText w:val="%6."/>
      <w:lvlJc w:val="right"/>
      <w:pPr>
        <w:ind w:left="4320" w:hanging="180"/>
      </w:pPr>
    </w:lvl>
    <w:lvl w:ilvl="6" w:tplc="DCCE70BC" w:tentative="1">
      <w:start w:val="1"/>
      <w:numFmt w:val="decimal"/>
      <w:lvlText w:val="%7."/>
      <w:lvlJc w:val="left"/>
      <w:pPr>
        <w:ind w:left="5040" w:hanging="360"/>
      </w:pPr>
    </w:lvl>
    <w:lvl w:ilvl="7" w:tplc="640A45D8" w:tentative="1">
      <w:start w:val="1"/>
      <w:numFmt w:val="lowerLetter"/>
      <w:lvlText w:val="%8."/>
      <w:lvlJc w:val="left"/>
      <w:pPr>
        <w:ind w:left="5760" w:hanging="360"/>
      </w:pPr>
    </w:lvl>
    <w:lvl w:ilvl="8" w:tplc="FAB0B5E8" w:tentative="1">
      <w:start w:val="1"/>
      <w:numFmt w:val="lowerRoman"/>
      <w:lvlText w:val="%9."/>
      <w:lvlJc w:val="right"/>
      <w:pPr>
        <w:ind w:left="6480" w:hanging="180"/>
      </w:pPr>
    </w:lvl>
  </w:abstractNum>
  <w:abstractNum w:abstractNumId="23" w15:restartNumberingAfterBreak="0">
    <w:nsid w:val="40567474"/>
    <w:multiLevelType w:val="multilevel"/>
    <w:tmpl w:val="E25A1E64"/>
    <w:name w:val="WW8Num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449D0CCB"/>
    <w:multiLevelType w:val="hybridMultilevel"/>
    <w:tmpl w:val="19762CBC"/>
    <w:lvl w:ilvl="0" w:tplc="08090001">
      <w:start w:val="1"/>
      <w:numFmt w:val="bullet"/>
      <w:lvlText w:val=""/>
      <w:lvlJc w:val="left"/>
      <w:pPr>
        <w:ind w:left="1080" w:hanging="360"/>
      </w:pPr>
      <w:rPr>
        <w:rFonts w:ascii="Symbol" w:hAnsi="Symbol" w:hint="default"/>
      </w:rPr>
    </w:lvl>
    <w:lvl w:ilvl="1" w:tplc="48F2EBB8" w:tentative="1">
      <w:start w:val="1"/>
      <w:numFmt w:val="lowerLetter"/>
      <w:lvlText w:val="%2."/>
      <w:lvlJc w:val="left"/>
      <w:pPr>
        <w:ind w:left="1800" w:hanging="360"/>
      </w:pPr>
    </w:lvl>
    <w:lvl w:ilvl="2" w:tplc="B8563A36" w:tentative="1">
      <w:start w:val="1"/>
      <w:numFmt w:val="lowerRoman"/>
      <w:lvlText w:val="%3."/>
      <w:lvlJc w:val="right"/>
      <w:pPr>
        <w:ind w:left="2520" w:hanging="180"/>
      </w:pPr>
    </w:lvl>
    <w:lvl w:ilvl="3" w:tplc="A31CEB1A" w:tentative="1">
      <w:start w:val="1"/>
      <w:numFmt w:val="decimal"/>
      <w:lvlText w:val="%4."/>
      <w:lvlJc w:val="left"/>
      <w:pPr>
        <w:ind w:left="3240" w:hanging="360"/>
      </w:pPr>
    </w:lvl>
    <w:lvl w:ilvl="4" w:tplc="E1D44096" w:tentative="1">
      <w:start w:val="1"/>
      <w:numFmt w:val="lowerLetter"/>
      <w:lvlText w:val="%5."/>
      <w:lvlJc w:val="left"/>
      <w:pPr>
        <w:ind w:left="3960" w:hanging="360"/>
      </w:pPr>
    </w:lvl>
    <w:lvl w:ilvl="5" w:tplc="17C080BE" w:tentative="1">
      <w:start w:val="1"/>
      <w:numFmt w:val="lowerRoman"/>
      <w:lvlText w:val="%6."/>
      <w:lvlJc w:val="right"/>
      <w:pPr>
        <w:ind w:left="4680" w:hanging="180"/>
      </w:pPr>
    </w:lvl>
    <w:lvl w:ilvl="6" w:tplc="7A742444" w:tentative="1">
      <w:start w:val="1"/>
      <w:numFmt w:val="decimal"/>
      <w:lvlText w:val="%7."/>
      <w:lvlJc w:val="left"/>
      <w:pPr>
        <w:ind w:left="5400" w:hanging="360"/>
      </w:pPr>
    </w:lvl>
    <w:lvl w:ilvl="7" w:tplc="C8562344" w:tentative="1">
      <w:start w:val="1"/>
      <w:numFmt w:val="lowerLetter"/>
      <w:lvlText w:val="%8."/>
      <w:lvlJc w:val="left"/>
      <w:pPr>
        <w:ind w:left="6120" w:hanging="360"/>
      </w:pPr>
    </w:lvl>
    <w:lvl w:ilvl="8" w:tplc="74AEC62A" w:tentative="1">
      <w:start w:val="1"/>
      <w:numFmt w:val="lowerRoman"/>
      <w:lvlText w:val="%9."/>
      <w:lvlJc w:val="right"/>
      <w:pPr>
        <w:ind w:left="6840" w:hanging="180"/>
      </w:pPr>
    </w:lvl>
  </w:abstractNum>
  <w:abstractNum w:abstractNumId="25" w15:restartNumberingAfterBreak="0">
    <w:nsid w:val="4BD72A03"/>
    <w:multiLevelType w:val="hybridMultilevel"/>
    <w:tmpl w:val="E0DAB9B2"/>
    <w:lvl w:ilvl="0" w:tplc="08090001">
      <w:start w:val="1"/>
      <w:numFmt w:val="bullet"/>
      <w:lvlText w:val=""/>
      <w:lvlJc w:val="left"/>
      <w:pPr>
        <w:ind w:left="1168" w:hanging="360"/>
      </w:pPr>
      <w:rPr>
        <w:rFonts w:ascii="Symbol" w:hAnsi="Symbol" w:hint="default"/>
      </w:rPr>
    </w:lvl>
    <w:lvl w:ilvl="1" w:tplc="08090003" w:tentative="1">
      <w:start w:val="1"/>
      <w:numFmt w:val="bullet"/>
      <w:lvlText w:val="o"/>
      <w:lvlJc w:val="left"/>
      <w:pPr>
        <w:ind w:left="1888" w:hanging="360"/>
      </w:pPr>
      <w:rPr>
        <w:rFonts w:ascii="Courier New" w:hAnsi="Courier New" w:cs="Courier New" w:hint="default"/>
      </w:rPr>
    </w:lvl>
    <w:lvl w:ilvl="2" w:tplc="08090005" w:tentative="1">
      <w:start w:val="1"/>
      <w:numFmt w:val="bullet"/>
      <w:lvlText w:val=""/>
      <w:lvlJc w:val="left"/>
      <w:pPr>
        <w:ind w:left="2608" w:hanging="360"/>
      </w:pPr>
      <w:rPr>
        <w:rFonts w:ascii="Wingdings" w:hAnsi="Wingdings" w:hint="default"/>
      </w:rPr>
    </w:lvl>
    <w:lvl w:ilvl="3" w:tplc="08090001" w:tentative="1">
      <w:start w:val="1"/>
      <w:numFmt w:val="bullet"/>
      <w:lvlText w:val=""/>
      <w:lvlJc w:val="left"/>
      <w:pPr>
        <w:ind w:left="3328" w:hanging="360"/>
      </w:pPr>
      <w:rPr>
        <w:rFonts w:ascii="Symbol" w:hAnsi="Symbol" w:hint="default"/>
      </w:rPr>
    </w:lvl>
    <w:lvl w:ilvl="4" w:tplc="08090003" w:tentative="1">
      <w:start w:val="1"/>
      <w:numFmt w:val="bullet"/>
      <w:lvlText w:val="o"/>
      <w:lvlJc w:val="left"/>
      <w:pPr>
        <w:ind w:left="4048" w:hanging="360"/>
      </w:pPr>
      <w:rPr>
        <w:rFonts w:ascii="Courier New" w:hAnsi="Courier New" w:cs="Courier New" w:hint="default"/>
      </w:rPr>
    </w:lvl>
    <w:lvl w:ilvl="5" w:tplc="08090005" w:tentative="1">
      <w:start w:val="1"/>
      <w:numFmt w:val="bullet"/>
      <w:lvlText w:val=""/>
      <w:lvlJc w:val="left"/>
      <w:pPr>
        <w:ind w:left="4768" w:hanging="360"/>
      </w:pPr>
      <w:rPr>
        <w:rFonts w:ascii="Wingdings" w:hAnsi="Wingdings" w:hint="default"/>
      </w:rPr>
    </w:lvl>
    <w:lvl w:ilvl="6" w:tplc="08090001" w:tentative="1">
      <w:start w:val="1"/>
      <w:numFmt w:val="bullet"/>
      <w:lvlText w:val=""/>
      <w:lvlJc w:val="left"/>
      <w:pPr>
        <w:ind w:left="5488" w:hanging="360"/>
      </w:pPr>
      <w:rPr>
        <w:rFonts w:ascii="Symbol" w:hAnsi="Symbol" w:hint="default"/>
      </w:rPr>
    </w:lvl>
    <w:lvl w:ilvl="7" w:tplc="08090003" w:tentative="1">
      <w:start w:val="1"/>
      <w:numFmt w:val="bullet"/>
      <w:lvlText w:val="o"/>
      <w:lvlJc w:val="left"/>
      <w:pPr>
        <w:ind w:left="6208" w:hanging="360"/>
      </w:pPr>
      <w:rPr>
        <w:rFonts w:ascii="Courier New" w:hAnsi="Courier New" w:cs="Courier New" w:hint="default"/>
      </w:rPr>
    </w:lvl>
    <w:lvl w:ilvl="8" w:tplc="08090005" w:tentative="1">
      <w:start w:val="1"/>
      <w:numFmt w:val="bullet"/>
      <w:lvlText w:val=""/>
      <w:lvlJc w:val="left"/>
      <w:pPr>
        <w:ind w:left="6928" w:hanging="360"/>
      </w:pPr>
      <w:rPr>
        <w:rFonts w:ascii="Wingdings" w:hAnsi="Wingdings" w:hint="default"/>
      </w:rPr>
    </w:lvl>
  </w:abstractNum>
  <w:abstractNum w:abstractNumId="26" w15:restartNumberingAfterBreak="0">
    <w:nsid w:val="54674DDE"/>
    <w:multiLevelType w:val="hybridMultilevel"/>
    <w:tmpl w:val="F5240A42"/>
    <w:lvl w:ilvl="0" w:tplc="08090001">
      <w:start w:val="1"/>
      <w:numFmt w:val="bullet"/>
      <w:lvlText w:val=""/>
      <w:lvlJc w:val="left"/>
      <w:pPr>
        <w:ind w:left="5606" w:hanging="360"/>
      </w:pPr>
      <w:rPr>
        <w:rFonts w:ascii="Symbol" w:hAnsi="Symbol" w:hint="default"/>
      </w:rPr>
    </w:lvl>
    <w:lvl w:ilvl="1" w:tplc="9B106274" w:tentative="1">
      <w:start w:val="1"/>
      <w:numFmt w:val="lowerLetter"/>
      <w:lvlText w:val="%2."/>
      <w:lvlJc w:val="left"/>
      <w:pPr>
        <w:ind w:left="1800" w:hanging="360"/>
      </w:pPr>
    </w:lvl>
    <w:lvl w:ilvl="2" w:tplc="81923730" w:tentative="1">
      <w:start w:val="1"/>
      <w:numFmt w:val="lowerRoman"/>
      <w:lvlText w:val="%3."/>
      <w:lvlJc w:val="right"/>
      <w:pPr>
        <w:ind w:left="2520" w:hanging="180"/>
      </w:pPr>
    </w:lvl>
    <w:lvl w:ilvl="3" w:tplc="86D62062" w:tentative="1">
      <w:start w:val="1"/>
      <w:numFmt w:val="decimal"/>
      <w:lvlText w:val="%4."/>
      <w:lvlJc w:val="left"/>
      <w:pPr>
        <w:ind w:left="3240" w:hanging="360"/>
      </w:pPr>
    </w:lvl>
    <w:lvl w:ilvl="4" w:tplc="B066EA7E" w:tentative="1">
      <w:start w:val="1"/>
      <w:numFmt w:val="lowerLetter"/>
      <w:lvlText w:val="%5."/>
      <w:lvlJc w:val="left"/>
      <w:pPr>
        <w:ind w:left="3960" w:hanging="360"/>
      </w:pPr>
    </w:lvl>
    <w:lvl w:ilvl="5" w:tplc="AB8C8D2A" w:tentative="1">
      <w:start w:val="1"/>
      <w:numFmt w:val="lowerRoman"/>
      <w:lvlText w:val="%6."/>
      <w:lvlJc w:val="right"/>
      <w:pPr>
        <w:ind w:left="4680" w:hanging="180"/>
      </w:pPr>
    </w:lvl>
    <w:lvl w:ilvl="6" w:tplc="F03CD366" w:tentative="1">
      <w:start w:val="1"/>
      <w:numFmt w:val="decimal"/>
      <w:lvlText w:val="%7."/>
      <w:lvlJc w:val="left"/>
      <w:pPr>
        <w:ind w:left="5400" w:hanging="360"/>
      </w:pPr>
    </w:lvl>
    <w:lvl w:ilvl="7" w:tplc="AD9E28B8" w:tentative="1">
      <w:start w:val="1"/>
      <w:numFmt w:val="lowerLetter"/>
      <w:lvlText w:val="%8."/>
      <w:lvlJc w:val="left"/>
      <w:pPr>
        <w:ind w:left="6120" w:hanging="360"/>
      </w:pPr>
    </w:lvl>
    <w:lvl w:ilvl="8" w:tplc="95A680AE" w:tentative="1">
      <w:start w:val="1"/>
      <w:numFmt w:val="lowerRoman"/>
      <w:lvlText w:val="%9."/>
      <w:lvlJc w:val="right"/>
      <w:pPr>
        <w:ind w:left="6840" w:hanging="180"/>
      </w:pPr>
    </w:lvl>
  </w:abstractNum>
  <w:abstractNum w:abstractNumId="27" w15:restartNumberingAfterBreak="0">
    <w:nsid w:val="6BAE36FE"/>
    <w:multiLevelType w:val="hybridMultilevel"/>
    <w:tmpl w:val="C07AA0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CD869F2"/>
    <w:multiLevelType w:val="hybridMultilevel"/>
    <w:tmpl w:val="597AF598"/>
    <w:lvl w:ilvl="0" w:tplc="08090001">
      <w:start w:val="1"/>
      <w:numFmt w:val="bullet"/>
      <w:lvlText w:val=""/>
      <w:lvlJc w:val="left"/>
      <w:pPr>
        <w:ind w:left="5606" w:hanging="360"/>
      </w:pPr>
      <w:rPr>
        <w:rFonts w:ascii="Symbol" w:hAnsi="Symbol" w:hint="default"/>
      </w:rPr>
    </w:lvl>
    <w:lvl w:ilvl="1" w:tplc="9B106274" w:tentative="1">
      <w:start w:val="1"/>
      <w:numFmt w:val="lowerLetter"/>
      <w:lvlText w:val="%2."/>
      <w:lvlJc w:val="left"/>
      <w:pPr>
        <w:ind w:left="1800" w:hanging="360"/>
      </w:pPr>
    </w:lvl>
    <w:lvl w:ilvl="2" w:tplc="81923730" w:tentative="1">
      <w:start w:val="1"/>
      <w:numFmt w:val="lowerRoman"/>
      <w:lvlText w:val="%3."/>
      <w:lvlJc w:val="right"/>
      <w:pPr>
        <w:ind w:left="2520" w:hanging="180"/>
      </w:pPr>
    </w:lvl>
    <w:lvl w:ilvl="3" w:tplc="86D62062" w:tentative="1">
      <w:start w:val="1"/>
      <w:numFmt w:val="decimal"/>
      <w:lvlText w:val="%4."/>
      <w:lvlJc w:val="left"/>
      <w:pPr>
        <w:ind w:left="3240" w:hanging="360"/>
      </w:pPr>
    </w:lvl>
    <w:lvl w:ilvl="4" w:tplc="B066EA7E" w:tentative="1">
      <w:start w:val="1"/>
      <w:numFmt w:val="lowerLetter"/>
      <w:lvlText w:val="%5."/>
      <w:lvlJc w:val="left"/>
      <w:pPr>
        <w:ind w:left="3960" w:hanging="360"/>
      </w:pPr>
    </w:lvl>
    <w:lvl w:ilvl="5" w:tplc="AB8C8D2A" w:tentative="1">
      <w:start w:val="1"/>
      <w:numFmt w:val="lowerRoman"/>
      <w:lvlText w:val="%6."/>
      <w:lvlJc w:val="right"/>
      <w:pPr>
        <w:ind w:left="4680" w:hanging="180"/>
      </w:pPr>
    </w:lvl>
    <w:lvl w:ilvl="6" w:tplc="F03CD366" w:tentative="1">
      <w:start w:val="1"/>
      <w:numFmt w:val="decimal"/>
      <w:lvlText w:val="%7."/>
      <w:lvlJc w:val="left"/>
      <w:pPr>
        <w:ind w:left="5400" w:hanging="360"/>
      </w:pPr>
    </w:lvl>
    <w:lvl w:ilvl="7" w:tplc="AD9E28B8" w:tentative="1">
      <w:start w:val="1"/>
      <w:numFmt w:val="lowerLetter"/>
      <w:lvlText w:val="%8."/>
      <w:lvlJc w:val="left"/>
      <w:pPr>
        <w:ind w:left="6120" w:hanging="360"/>
      </w:pPr>
    </w:lvl>
    <w:lvl w:ilvl="8" w:tplc="95A680AE" w:tentative="1">
      <w:start w:val="1"/>
      <w:numFmt w:val="lowerRoman"/>
      <w:lvlText w:val="%9."/>
      <w:lvlJc w:val="right"/>
      <w:pPr>
        <w:ind w:left="6840" w:hanging="180"/>
      </w:pPr>
    </w:lvl>
  </w:abstractNum>
  <w:abstractNum w:abstractNumId="29" w15:restartNumberingAfterBreak="0">
    <w:nsid w:val="6D826529"/>
    <w:multiLevelType w:val="hybridMultilevel"/>
    <w:tmpl w:val="4F6650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0736C7"/>
    <w:multiLevelType w:val="hybridMultilevel"/>
    <w:tmpl w:val="706AF5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6CE0D54"/>
    <w:multiLevelType w:val="hybridMultilevel"/>
    <w:tmpl w:val="F300C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350918"/>
    <w:multiLevelType w:val="hybridMultilevel"/>
    <w:tmpl w:val="20B40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30"/>
  </w:num>
  <w:num w:numId="11">
    <w:abstractNumId w:val="20"/>
  </w:num>
  <w:num w:numId="12">
    <w:abstractNumId w:val="25"/>
  </w:num>
  <w:num w:numId="13">
    <w:abstractNumId w:val="9"/>
  </w:num>
  <w:num w:numId="14">
    <w:abstractNumId w:val="23"/>
  </w:num>
  <w:num w:numId="15">
    <w:abstractNumId w:val="12"/>
  </w:num>
  <w:num w:numId="16">
    <w:abstractNumId w:val="11"/>
  </w:num>
  <w:num w:numId="17">
    <w:abstractNumId w:val="27"/>
  </w:num>
  <w:num w:numId="18">
    <w:abstractNumId w:val="13"/>
  </w:num>
  <w:num w:numId="19">
    <w:abstractNumId w:val="24"/>
  </w:num>
  <w:num w:numId="20">
    <w:abstractNumId w:val="15"/>
  </w:num>
  <w:num w:numId="21">
    <w:abstractNumId w:val="28"/>
  </w:num>
  <w:num w:numId="22">
    <w:abstractNumId w:val="26"/>
  </w:num>
  <w:num w:numId="23">
    <w:abstractNumId w:val="10"/>
  </w:num>
  <w:num w:numId="24">
    <w:abstractNumId w:val="16"/>
  </w:num>
  <w:num w:numId="25">
    <w:abstractNumId w:val="21"/>
  </w:num>
  <w:num w:numId="26">
    <w:abstractNumId w:val="19"/>
  </w:num>
  <w:num w:numId="27">
    <w:abstractNumId w:val="32"/>
  </w:num>
  <w:num w:numId="28">
    <w:abstractNumId w:val="29"/>
  </w:num>
  <w:num w:numId="29">
    <w:abstractNumId w:val="22"/>
  </w:num>
  <w:num w:numId="30">
    <w:abstractNumId w:val="31"/>
  </w:num>
  <w:num w:numId="31">
    <w:abstractNumId w:val="14"/>
  </w:num>
  <w:num w:numId="32">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76B"/>
    <w:rsid w:val="000029AE"/>
    <w:rsid w:val="00012441"/>
    <w:rsid w:val="000142E0"/>
    <w:rsid w:val="00031705"/>
    <w:rsid w:val="0004065E"/>
    <w:rsid w:val="000438B0"/>
    <w:rsid w:val="00050307"/>
    <w:rsid w:val="000528E2"/>
    <w:rsid w:val="00054281"/>
    <w:rsid w:val="000545F4"/>
    <w:rsid w:val="000620F7"/>
    <w:rsid w:val="000672D5"/>
    <w:rsid w:val="0007251E"/>
    <w:rsid w:val="00072FB1"/>
    <w:rsid w:val="000737C6"/>
    <w:rsid w:val="00080023"/>
    <w:rsid w:val="0008344D"/>
    <w:rsid w:val="00085308"/>
    <w:rsid w:val="00090245"/>
    <w:rsid w:val="00093F70"/>
    <w:rsid w:val="00097018"/>
    <w:rsid w:val="000B6F36"/>
    <w:rsid w:val="000C2D29"/>
    <w:rsid w:val="000C5C8B"/>
    <w:rsid w:val="000C615A"/>
    <w:rsid w:val="000C6A1E"/>
    <w:rsid w:val="000D2EE4"/>
    <w:rsid w:val="000D3639"/>
    <w:rsid w:val="000D380F"/>
    <w:rsid w:val="000D4B72"/>
    <w:rsid w:val="000E382F"/>
    <w:rsid w:val="000E7D0A"/>
    <w:rsid w:val="000F36B5"/>
    <w:rsid w:val="000F42F2"/>
    <w:rsid w:val="000F4F3E"/>
    <w:rsid w:val="001022EE"/>
    <w:rsid w:val="0011175D"/>
    <w:rsid w:val="00112634"/>
    <w:rsid w:val="0011744A"/>
    <w:rsid w:val="00117F6A"/>
    <w:rsid w:val="00121FED"/>
    <w:rsid w:val="00136908"/>
    <w:rsid w:val="001373EC"/>
    <w:rsid w:val="001541FD"/>
    <w:rsid w:val="00154A58"/>
    <w:rsid w:val="0015627F"/>
    <w:rsid w:val="001624A9"/>
    <w:rsid w:val="00171FA9"/>
    <w:rsid w:val="00175CB5"/>
    <w:rsid w:val="00177720"/>
    <w:rsid w:val="00177F85"/>
    <w:rsid w:val="00177FD7"/>
    <w:rsid w:val="00181561"/>
    <w:rsid w:val="00185C26"/>
    <w:rsid w:val="001873B6"/>
    <w:rsid w:val="0019097B"/>
    <w:rsid w:val="00192B82"/>
    <w:rsid w:val="00197032"/>
    <w:rsid w:val="001A0AA1"/>
    <w:rsid w:val="001A1AFD"/>
    <w:rsid w:val="001A532F"/>
    <w:rsid w:val="001A7830"/>
    <w:rsid w:val="001A7BEB"/>
    <w:rsid w:val="001B1F72"/>
    <w:rsid w:val="001B2874"/>
    <w:rsid w:val="001B4357"/>
    <w:rsid w:val="001B5749"/>
    <w:rsid w:val="001B66A5"/>
    <w:rsid w:val="001C3F6C"/>
    <w:rsid w:val="001C5D42"/>
    <w:rsid w:val="001D1CA8"/>
    <w:rsid w:val="001E6651"/>
    <w:rsid w:val="001F0E31"/>
    <w:rsid w:val="001F28E8"/>
    <w:rsid w:val="001F2A9E"/>
    <w:rsid w:val="001F3AA9"/>
    <w:rsid w:val="00201546"/>
    <w:rsid w:val="0020651E"/>
    <w:rsid w:val="002070F1"/>
    <w:rsid w:val="00212174"/>
    <w:rsid w:val="0021382D"/>
    <w:rsid w:val="00215C2F"/>
    <w:rsid w:val="00220628"/>
    <w:rsid w:val="00227503"/>
    <w:rsid w:val="00227875"/>
    <w:rsid w:val="00232962"/>
    <w:rsid w:val="00232DC8"/>
    <w:rsid w:val="0023575A"/>
    <w:rsid w:val="00236CEC"/>
    <w:rsid w:val="0024288B"/>
    <w:rsid w:val="00253338"/>
    <w:rsid w:val="00254C6C"/>
    <w:rsid w:val="00263ED1"/>
    <w:rsid w:val="00265A51"/>
    <w:rsid w:val="00270B3E"/>
    <w:rsid w:val="0027176B"/>
    <w:rsid w:val="002767E5"/>
    <w:rsid w:val="00276E38"/>
    <w:rsid w:val="00277A9F"/>
    <w:rsid w:val="002829E7"/>
    <w:rsid w:val="0028489A"/>
    <w:rsid w:val="002A45A6"/>
    <w:rsid w:val="002A4C55"/>
    <w:rsid w:val="002A683F"/>
    <w:rsid w:val="002A69A9"/>
    <w:rsid w:val="002A7782"/>
    <w:rsid w:val="002B0C61"/>
    <w:rsid w:val="002B1CF9"/>
    <w:rsid w:val="002B5AAF"/>
    <w:rsid w:val="002C0D61"/>
    <w:rsid w:val="002C1306"/>
    <w:rsid w:val="002C4AB1"/>
    <w:rsid w:val="002C62BB"/>
    <w:rsid w:val="002E2671"/>
    <w:rsid w:val="002E4563"/>
    <w:rsid w:val="002E4C7E"/>
    <w:rsid w:val="002E6C3C"/>
    <w:rsid w:val="002E77B2"/>
    <w:rsid w:val="00302602"/>
    <w:rsid w:val="003063F1"/>
    <w:rsid w:val="0031733F"/>
    <w:rsid w:val="00317718"/>
    <w:rsid w:val="0032137A"/>
    <w:rsid w:val="00321D4F"/>
    <w:rsid w:val="003250E3"/>
    <w:rsid w:val="003267F1"/>
    <w:rsid w:val="003331E5"/>
    <w:rsid w:val="00335488"/>
    <w:rsid w:val="0033722E"/>
    <w:rsid w:val="003375BB"/>
    <w:rsid w:val="00337681"/>
    <w:rsid w:val="00344348"/>
    <w:rsid w:val="0034498D"/>
    <w:rsid w:val="00346AD0"/>
    <w:rsid w:val="0035365D"/>
    <w:rsid w:val="00354335"/>
    <w:rsid w:val="00355708"/>
    <w:rsid w:val="00355738"/>
    <w:rsid w:val="00373459"/>
    <w:rsid w:val="00374FBB"/>
    <w:rsid w:val="0038214B"/>
    <w:rsid w:val="003823CA"/>
    <w:rsid w:val="00385AF4"/>
    <w:rsid w:val="0039141E"/>
    <w:rsid w:val="003916CE"/>
    <w:rsid w:val="003A1330"/>
    <w:rsid w:val="003A37E3"/>
    <w:rsid w:val="003A6CBF"/>
    <w:rsid w:val="003B2596"/>
    <w:rsid w:val="003C0064"/>
    <w:rsid w:val="003C15B1"/>
    <w:rsid w:val="003C74C4"/>
    <w:rsid w:val="003D2925"/>
    <w:rsid w:val="003D5B85"/>
    <w:rsid w:val="003E0F60"/>
    <w:rsid w:val="003E3C0D"/>
    <w:rsid w:val="003E44C5"/>
    <w:rsid w:val="003E513C"/>
    <w:rsid w:val="003F16E2"/>
    <w:rsid w:val="003F4F65"/>
    <w:rsid w:val="003F61FD"/>
    <w:rsid w:val="00400721"/>
    <w:rsid w:val="00406EFB"/>
    <w:rsid w:val="00426AD6"/>
    <w:rsid w:val="004342FC"/>
    <w:rsid w:val="0043540B"/>
    <w:rsid w:val="00435DBD"/>
    <w:rsid w:val="00436A3C"/>
    <w:rsid w:val="00436BA4"/>
    <w:rsid w:val="004379CE"/>
    <w:rsid w:val="0044102F"/>
    <w:rsid w:val="00443FC8"/>
    <w:rsid w:val="00444662"/>
    <w:rsid w:val="004453B1"/>
    <w:rsid w:val="00446E9E"/>
    <w:rsid w:val="00451C18"/>
    <w:rsid w:val="00452707"/>
    <w:rsid w:val="00454A1F"/>
    <w:rsid w:val="00457B5C"/>
    <w:rsid w:val="0046391D"/>
    <w:rsid w:val="004648C0"/>
    <w:rsid w:val="00467BD0"/>
    <w:rsid w:val="004734F1"/>
    <w:rsid w:val="004736D4"/>
    <w:rsid w:val="00473EE8"/>
    <w:rsid w:val="00477DD8"/>
    <w:rsid w:val="004815E2"/>
    <w:rsid w:val="004856EB"/>
    <w:rsid w:val="00490CB1"/>
    <w:rsid w:val="00496A86"/>
    <w:rsid w:val="004972FF"/>
    <w:rsid w:val="00497DB1"/>
    <w:rsid w:val="004A4C67"/>
    <w:rsid w:val="004A7F8B"/>
    <w:rsid w:val="004C09A6"/>
    <w:rsid w:val="004D08FC"/>
    <w:rsid w:val="004D3EF6"/>
    <w:rsid w:val="004D44FF"/>
    <w:rsid w:val="004D57BE"/>
    <w:rsid w:val="004E070E"/>
    <w:rsid w:val="004E1B9C"/>
    <w:rsid w:val="004E5A2A"/>
    <w:rsid w:val="004F51FC"/>
    <w:rsid w:val="004F5584"/>
    <w:rsid w:val="004F65BF"/>
    <w:rsid w:val="004F6B37"/>
    <w:rsid w:val="00501B5D"/>
    <w:rsid w:val="00503675"/>
    <w:rsid w:val="00507CF4"/>
    <w:rsid w:val="00510C86"/>
    <w:rsid w:val="00514B3B"/>
    <w:rsid w:val="00514C09"/>
    <w:rsid w:val="005151AB"/>
    <w:rsid w:val="00520257"/>
    <w:rsid w:val="00530ABE"/>
    <w:rsid w:val="0053376B"/>
    <w:rsid w:val="005359A3"/>
    <w:rsid w:val="005361F9"/>
    <w:rsid w:val="005433C3"/>
    <w:rsid w:val="00547260"/>
    <w:rsid w:val="005524DE"/>
    <w:rsid w:val="00567D01"/>
    <w:rsid w:val="005707BD"/>
    <w:rsid w:val="00571F84"/>
    <w:rsid w:val="0058231B"/>
    <w:rsid w:val="00583AB9"/>
    <w:rsid w:val="00584083"/>
    <w:rsid w:val="00584BCB"/>
    <w:rsid w:val="00590FCA"/>
    <w:rsid w:val="00591B0B"/>
    <w:rsid w:val="005958DC"/>
    <w:rsid w:val="00596D6E"/>
    <w:rsid w:val="005A35AA"/>
    <w:rsid w:val="005A4A0F"/>
    <w:rsid w:val="005B22FA"/>
    <w:rsid w:val="005B4F75"/>
    <w:rsid w:val="005B5F07"/>
    <w:rsid w:val="005B6986"/>
    <w:rsid w:val="005C32F2"/>
    <w:rsid w:val="005C3491"/>
    <w:rsid w:val="005C4547"/>
    <w:rsid w:val="005C5262"/>
    <w:rsid w:val="005D2A39"/>
    <w:rsid w:val="005E1900"/>
    <w:rsid w:val="005E3587"/>
    <w:rsid w:val="005E3E6F"/>
    <w:rsid w:val="005E4528"/>
    <w:rsid w:val="005F0609"/>
    <w:rsid w:val="005F0DF3"/>
    <w:rsid w:val="005F4054"/>
    <w:rsid w:val="005F4361"/>
    <w:rsid w:val="005F440C"/>
    <w:rsid w:val="0060449C"/>
    <w:rsid w:val="006047C6"/>
    <w:rsid w:val="00611449"/>
    <w:rsid w:val="006115FB"/>
    <w:rsid w:val="00613419"/>
    <w:rsid w:val="00615773"/>
    <w:rsid w:val="00616CA4"/>
    <w:rsid w:val="006173EE"/>
    <w:rsid w:val="006224E3"/>
    <w:rsid w:val="0062407F"/>
    <w:rsid w:val="00645BB6"/>
    <w:rsid w:val="00661521"/>
    <w:rsid w:val="00663E1C"/>
    <w:rsid w:val="00664CC3"/>
    <w:rsid w:val="00671E75"/>
    <w:rsid w:val="006803CF"/>
    <w:rsid w:val="00681A8F"/>
    <w:rsid w:val="00687614"/>
    <w:rsid w:val="00693255"/>
    <w:rsid w:val="00696AC1"/>
    <w:rsid w:val="00696CB6"/>
    <w:rsid w:val="006A00DA"/>
    <w:rsid w:val="006A2722"/>
    <w:rsid w:val="006A6CB8"/>
    <w:rsid w:val="006B6027"/>
    <w:rsid w:val="006B769E"/>
    <w:rsid w:val="006C1B44"/>
    <w:rsid w:val="006C3F16"/>
    <w:rsid w:val="006C620C"/>
    <w:rsid w:val="006C6FEF"/>
    <w:rsid w:val="006D0B9D"/>
    <w:rsid w:val="006D0F96"/>
    <w:rsid w:val="006D15D3"/>
    <w:rsid w:val="006D52D2"/>
    <w:rsid w:val="006E1B73"/>
    <w:rsid w:val="006E4155"/>
    <w:rsid w:val="006F0914"/>
    <w:rsid w:val="007026D3"/>
    <w:rsid w:val="00710DB0"/>
    <w:rsid w:val="00713E05"/>
    <w:rsid w:val="00717940"/>
    <w:rsid w:val="00721848"/>
    <w:rsid w:val="00726941"/>
    <w:rsid w:val="00730D03"/>
    <w:rsid w:val="00735DCD"/>
    <w:rsid w:val="00736699"/>
    <w:rsid w:val="00736E5C"/>
    <w:rsid w:val="0073748E"/>
    <w:rsid w:val="00740960"/>
    <w:rsid w:val="00742A40"/>
    <w:rsid w:val="00743189"/>
    <w:rsid w:val="00744CE5"/>
    <w:rsid w:val="00745B47"/>
    <w:rsid w:val="00745D0C"/>
    <w:rsid w:val="0074769D"/>
    <w:rsid w:val="007573D7"/>
    <w:rsid w:val="00762E78"/>
    <w:rsid w:val="00764626"/>
    <w:rsid w:val="0076589E"/>
    <w:rsid w:val="00766375"/>
    <w:rsid w:val="00776DBF"/>
    <w:rsid w:val="007969D0"/>
    <w:rsid w:val="007A0243"/>
    <w:rsid w:val="007A3A39"/>
    <w:rsid w:val="007A7597"/>
    <w:rsid w:val="007B1C64"/>
    <w:rsid w:val="007B6813"/>
    <w:rsid w:val="007B6F2E"/>
    <w:rsid w:val="007C09D7"/>
    <w:rsid w:val="007C11F3"/>
    <w:rsid w:val="007C1A0A"/>
    <w:rsid w:val="007C4BA6"/>
    <w:rsid w:val="007C4FDE"/>
    <w:rsid w:val="007D1189"/>
    <w:rsid w:val="007D3A46"/>
    <w:rsid w:val="007D3C35"/>
    <w:rsid w:val="007D4CC4"/>
    <w:rsid w:val="007F1F79"/>
    <w:rsid w:val="007F44AB"/>
    <w:rsid w:val="007F47E3"/>
    <w:rsid w:val="008001F5"/>
    <w:rsid w:val="008016F5"/>
    <w:rsid w:val="0080433C"/>
    <w:rsid w:val="00805C41"/>
    <w:rsid w:val="008217D1"/>
    <w:rsid w:val="00826A1F"/>
    <w:rsid w:val="00832FB0"/>
    <w:rsid w:val="008512CC"/>
    <w:rsid w:val="008515EF"/>
    <w:rsid w:val="00855EC7"/>
    <w:rsid w:val="008622A1"/>
    <w:rsid w:val="008624EF"/>
    <w:rsid w:val="00862FFE"/>
    <w:rsid w:val="00864372"/>
    <w:rsid w:val="00865B75"/>
    <w:rsid w:val="00866AC5"/>
    <w:rsid w:val="00866EC6"/>
    <w:rsid w:val="00872F75"/>
    <w:rsid w:val="008810EB"/>
    <w:rsid w:val="00884CD8"/>
    <w:rsid w:val="00887212"/>
    <w:rsid w:val="00887D0E"/>
    <w:rsid w:val="008911AE"/>
    <w:rsid w:val="00893122"/>
    <w:rsid w:val="008932D4"/>
    <w:rsid w:val="008979A0"/>
    <w:rsid w:val="008A5F28"/>
    <w:rsid w:val="008A6955"/>
    <w:rsid w:val="008A6FEA"/>
    <w:rsid w:val="008B3697"/>
    <w:rsid w:val="008B4EB4"/>
    <w:rsid w:val="008C239A"/>
    <w:rsid w:val="008C26E5"/>
    <w:rsid w:val="008C791E"/>
    <w:rsid w:val="008D05AC"/>
    <w:rsid w:val="008D12F3"/>
    <w:rsid w:val="008E58B6"/>
    <w:rsid w:val="008E5B11"/>
    <w:rsid w:val="008F2072"/>
    <w:rsid w:val="0090634C"/>
    <w:rsid w:val="009110B2"/>
    <w:rsid w:val="0091266F"/>
    <w:rsid w:val="0091312C"/>
    <w:rsid w:val="0092209F"/>
    <w:rsid w:val="00926AE3"/>
    <w:rsid w:val="009271E3"/>
    <w:rsid w:val="00927BDD"/>
    <w:rsid w:val="00932742"/>
    <w:rsid w:val="00932918"/>
    <w:rsid w:val="0093439D"/>
    <w:rsid w:val="00934F62"/>
    <w:rsid w:val="0093622A"/>
    <w:rsid w:val="00943794"/>
    <w:rsid w:val="0095140D"/>
    <w:rsid w:val="00951FF1"/>
    <w:rsid w:val="009550E1"/>
    <w:rsid w:val="00966C77"/>
    <w:rsid w:val="00967D9B"/>
    <w:rsid w:val="0097003A"/>
    <w:rsid w:val="0097306C"/>
    <w:rsid w:val="0097481A"/>
    <w:rsid w:val="0098668E"/>
    <w:rsid w:val="0098712B"/>
    <w:rsid w:val="00992C4B"/>
    <w:rsid w:val="00994FDF"/>
    <w:rsid w:val="009A0D79"/>
    <w:rsid w:val="009A63FC"/>
    <w:rsid w:val="009B0797"/>
    <w:rsid w:val="009B5BC9"/>
    <w:rsid w:val="009C5CA9"/>
    <w:rsid w:val="009C61C8"/>
    <w:rsid w:val="009D2F7C"/>
    <w:rsid w:val="009D3BDC"/>
    <w:rsid w:val="009D3E0B"/>
    <w:rsid w:val="009D4BFD"/>
    <w:rsid w:val="009E213D"/>
    <w:rsid w:val="009E4823"/>
    <w:rsid w:val="009E4C9E"/>
    <w:rsid w:val="009E50B1"/>
    <w:rsid w:val="009E7DC5"/>
    <w:rsid w:val="009F62ED"/>
    <w:rsid w:val="00A01A5C"/>
    <w:rsid w:val="00A0232C"/>
    <w:rsid w:val="00A04602"/>
    <w:rsid w:val="00A050AB"/>
    <w:rsid w:val="00A14B96"/>
    <w:rsid w:val="00A16BF1"/>
    <w:rsid w:val="00A17307"/>
    <w:rsid w:val="00A2403F"/>
    <w:rsid w:val="00A24E94"/>
    <w:rsid w:val="00A252D1"/>
    <w:rsid w:val="00A30DA8"/>
    <w:rsid w:val="00A324B5"/>
    <w:rsid w:val="00A42AC5"/>
    <w:rsid w:val="00A450DF"/>
    <w:rsid w:val="00A50EF4"/>
    <w:rsid w:val="00A55AC7"/>
    <w:rsid w:val="00A57D3D"/>
    <w:rsid w:val="00A62237"/>
    <w:rsid w:val="00A63A01"/>
    <w:rsid w:val="00A70670"/>
    <w:rsid w:val="00A725E1"/>
    <w:rsid w:val="00A74714"/>
    <w:rsid w:val="00A76D92"/>
    <w:rsid w:val="00A83C9C"/>
    <w:rsid w:val="00A83F24"/>
    <w:rsid w:val="00A857C9"/>
    <w:rsid w:val="00A94DE1"/>
    <w:rsid w:val="00A96FCD"/>
    <w:rsid w:val="00AA24E9"/>
    <w:rsid w:val="00AA2A89"/>
    <w:rsid w:val="00AB41DA"/>
    <w:rsid w:val="00AB777F"/>
    <w:rsid w:val="00AC2334"/>
    <w:rsid w:val="00AC5A2C"/>
    <w:rsid w:val="00AC6398"/>
    <w:rsid w:val="00AD00AE"/>
    <w:rsid w:val="00AD449C"/>
    <w:rsid w:val="00AE1C10"/>
    <w:rsid w:val="00AE7D24"/>
    <w:rsid w:val="00B0056C"/>
    <w:rsid w:val="00B03559"/>
    <w:rsid w:val="00B11A10"/>
    <w:rsid w:val="00B12066"/>
    <w:rsid w:val="00B1227F"/>
    <w:rsid w:val="00B24845"/>
    <w:rsid w:val="00B30C50"/>
    <w:rsid w:val="00B33563"/>
    <w:rsid w:val="00B33F2E"/>
    <w:rsid w:val="00B35A15"/>
    <w:rsid w:val="00B36FFE"/>
    <w:rsid w:val="00B44CEC"/>
    <w:rsid w:val="00B461E8"/>
    <w:rsid w:val="00B46CDC"/>
    <w:rsid w:val="00B52D92"/>
    <w:rsid w:val="00B54A0C"/>
    <w:rsid w:val="00B60B19"/>
    <w:rsid w:val="00B631B1"/>
    <w:rsid w:val="00B634E7"/>
    <w:rsid w:val="00B75802"/>
    <w:rsid w:val="00B8692E"/>
    <w:rsid w:val="00B9211A"/>
    <w:rsid w:val="00B9279C"/>
    <w:rsid w:val="00B93478"/>
    <w:rsid w:val="00B938F3"/>
    <w:rsid w:val="00BA06A8"/>
    <w:rsid w:val="00BA7F4D"/>
    <w:rsid w:val="00BB14F6"/>
    <w:rsid w:val="00BB7271"/>
    <w:rsid w:val="00BC7EDF"/>
    <w:rsid w:val="00BD023B"/>
    <w:rsid w:val="00BD457F"/>
    <w:rsid w:val="00BD4D89"/>
    <w:rsid w:val="00BD5D66"/>
    <w:rsid w:val="00BE1D27"/>
    <w:rsid w:val="00BF2A6C"/>
    <w:rsid w:val="00BF4E08"/>
    <w:rsid w:val="00C06223"/>
    <w:rsid w:val="00C06862"/>
    <w:rsid w:val="00C10622"/>
    <w:rsid w:val="00C10852"/>
    <w:rsid w:val="00C11BE7"/>
    <w:rsid w:val="00C13F01"/>
    <w:rsid w:val="00C158F9"/>
    <w:rsid w:val="00C20BD8"/>
    <w:rsid w:val="00C338AE"/>
    <w:rsid w:val="00C35C1F"/>
    <w:rsid w:val="00C36CEE"/>
    <w:rsid w:val="00C372B0"/>
    <w:rsid w:val="00C4690D"/>
    <w:rsid w:val="00C53179"/>
    <w:rsid w:val="00C5423F"/>
    <w:rsid w:val="00C56350"/>
    <w:rsid w:val="00C76394"/>
    <w:rsid w:val="00C77E48"/>
    <w:rsid w:val="00C80D83"/>
    <w:rsid w:val="00C835F5"/>
    <w:rsid w:val="00C9670E"/>
    <w:rsid w:val="00CA25CE"/>
    <w:rsid w:val="00CA7D42"/>
    <w:rsid w:val="00CB30C3"/>
    <w:rsid w:val="00CB3842"/>
    <w:rsid w:val="00CB78A4"/>
    <w:rsid w:val="00CB7CD9"/>
    <w:rsid w:val="00CC2317"/>
    <w:rsid w:val="00CC3D11"/>
    <w:rsid w:val="00CC5491"/>
    <w:rsid w:val="00CC67D1"/>
    <w:rsid w:val="00CC6A30"/>
    <w:rsid w:val="00CC6FE1"/>
    <w:rsid w:val="00CD2033"/>
    <w:rsid w:val="00CD5AAA"/>
    <w:rsid w:val="00CE22AD"/>
    <w:rsid w:val="00CF2A30"/>
    <w:rsid w:val="00CF309E"/>
    <w:rsid w:val="00CF527C"/>
    <w:rsid w:val="00D00EAB"/>
    <w:rsid w:val="00D02B10"/>
    <w:rsid w:val="00D04E08"/>
    <w:rsid w:val="00D114B9"/>
    <w:rsid w:val="00D13699"/>
    <w:rsid w:val="00D13754"/>
    <w:rsid w:val="00D1426A"/>
    <w:rsid w:val="00D20C66"/>
    <w:rsid w:val="00D244D6"/>
    <w:rsid w:val="00D26C06"/>
    <w:rsid w:val="00D31247"/>
    <w:rsid w:val="00D32A15"/>
    <w:rsid w:val="00D34E94"/>
    <w:rsid w:val="00D40303"/>
    <w:rsid w:val="00D462EF"/>
    <w:rsid w:val="00D47A6C"/>
    <w:rsid w:val="00D50C5D"/>
    <w:rsid w:val="00D51113"/>
    <w:rsid w:val="00D54323"/>
    <w:rsid w:val="00D54BAF"/>
    <w:rsid w:val="00D62DC7"/>
    <w:rsid w:val="00D636AF"/>
    <w:rsid w:val="00D64483"/>
    <w:rsid w:val="00D715B5"/>
    <w:rsid w:val="00D81043"/>
    <w:rsid w:val="00D82E50"/>
    <w:rsid w:val="00D835CC"/>
    <w:rsid w:val="00D83D1A"/>
    <w:rsid w:val="00D842D6"/>
    <w:rsid w:val="00D8454A"/>
    <w:rsid w:val="00D877E6"/>
    <w:rsid w:val="00D96C82"/>
    <w:rsid w:val="00DA1BE1"/>
    <w:rsid w:val="00DA1CBF"/>
    <w:rsid w:val="00DA3253"/>
    <w:rsid w:val="00DA4E8D"/>
    <w:rsid w:val="00DB05DC"/>
    <w:rsid w:val="00DB179E"/>
    <w:rsid w:val="00DB2760"/>
    <w:rsid w:val="00DB7E44"/>
    <w:rsid w:val="00DC1077"/>
    <w:rsid w:val="00DC495E"/>
    <w:rsid w:val="00DC535E"/>
    <w:rsid w:val="00DD578C"/>
    <w:rsid w:val="00DD66F7"/>
    <w:rsid w:val="00DE0E02"/>
    <w:rsid w:val="00DE3A4D"/>
    <w:rsid w:val="00DE3AB2"/>
    <w:rsid w:val="00DE6A27"/>
    <w:rsid w:val="00DF1D30"/>
    <w:rsid w:val="00DF2096"/>
    <w:rsid w:val="00DF3DA2"/>
    <w:rsid w:val="00DF3F46"/>
    <w:rsid w:val="00DF5955"/>
    <w:rsid w:val="00DF7ACC"/>
    <w:rsid w:val="00E0209D"/>
    <w:rsid w:val="00E0281D"/>
    <w:rsid w:val="00E10A30"/>
    <w:rsid w:val="00E1508C"/>
    <w:rsid w:val="00E1691B"/>
    <w:rsid w:val="00E1695D"/>
    <w:rsid w:val="00E30927"/>
    <w:rsid w:val="00E36FD2"/>
    <w:rsid w:val="00E4301E"/>
    <w:rsid w:val="00E43044"/>
    <w:rsid w:val="00E430AD"/>
    <w:rsid w:val="00E5180B"/>
    <w:rsid w:val="00E529DE"/>
    <w:rsid w:val="00E57D4B"/>
    <w:rsid w:val="00E60D4E"/>
    <w:rsid w:val="00E60EB5"/>
    <w:rsid w:val="00E716C1"/>
    <w:rsid w:val="00E7271B"/>
    <w:rsid w:val="00E72A2D"/>
    <w:rsid w:val="00E73C9B"/>
    <w:rsid w:val="00E843CF"/>
    <w:rsid w:val="00E85CCB"/>
    <w:rsid w:val="00E8718E"/>
    <w:rsid w:val="00E900D0"/>
    <w:rsid w:val="00E9330B"/>
    <w:rsid w:val="00E96EFD"/>
    <w:rsid w:val="00E972C9"/>
    <w:rsid w:val="00EA23A9"/>
    <w:rsid w:val="00EA424E"/>
    <w:rsid w:val="00EA7E62"/>
    <w:rsid w:val="00EB0483"/>
    <w:rsid w:val="00EC08AA"/>
    <w:rsid w:val="00ED12F8"/>
    <w:rsid w:val="00EE0265"/>
    <w:rsid w:val="00EF6C4E"/>
    <w:rsid w:val="00F02451"/>
    <w:rsid w:val="00F07523"/>
    <w:rsid w:val="00F146A6"/>
    <w:rsid w:val="00F16347"/>
    <w:rsid w:val="00F16983"/>
    <w:rsid w:val="00F17092"/>
    <w:rsid w:val="00F2064C"/>
    <w:rsid w:val="00F21C6A"/>
    <w:rsid w:val="00F221D9"/>
    <w:rsid w:val="00F227CD"/>
    <w:rsid w:val="00F227D9"/>
    <w:rsid w:val="00F24B38"/>
    <w:rsid w:val="00F408BC"/>
    <w:rsid w:val="00F4160A"/>
    <w:rsid w:val="00F435C1"/>
    <w:rsid w:val="00F52015"/>
    <w:rsid w:val="00F5442C"/>
    <w:rsid w:val="00F65DB2"/>
    <w:rsid w:val="00F667D8"/>
    <w:rsid w:val="00F7117B"/>
    <w:rsid w:val="00F73C86"/>
    <w:rsid w:val="00F742F5"/>
    <w:rsid w:val="00F77E2A"/>
    <w:rsid w:val="00F81412"/>
    <w:rsid w:val="00F87184"/>
    <w:rsid w:val="00F8777F"/>
    <w:rsid w:val="00F9000A"/>
    <w:rsid w:val="00F93CA0"/>
    <w:rsid w:val="00F94C14"/>
    <w:rsid w:val="00F96F86"/>
    <w:rsid w:val="00FA298C"/>
    <w:rsid w:val="00FA2C94"/>
    <w:rsid w:val="00FA504F"/>
    <w:rsid w:val="00FB2B90"/>
    <w:rsid w:val="00FB5DC4"/>
    <w:rsid w:val="00FB713E"/>
    <w:rsid w:val="00FC158C"/>
    <w:rsid w:val="00FF156A"/>
    <w:rsid w:val="00FF1FF9"/>
    <w:rsid w:val="00FF3D29"/>
    <w:rsid w:val="00FF5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039C0D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CA0"/>
  </w:style>
  <w:style w:type="paragraph" w:styleId="Heading1">
    <w:name w:val="heading 1"/>
    <w:basedOn w:val="Normal"/>
    <w:next w:val="Normal"/>
    <w:link w:val="Heading1Char"/>
    <w:uiPriority w:val="9"/>
    <w:qFormat/>
    <w:rsid w:val="008615E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5E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nhideWhenUsed/>
    <w:rsid w:val="00ED4B63"/>
    <w:pPr>
      <w:tabs>
        <w:tab w:val="center" w:pos="4513"/>
        <w:tab w:val="right" w:pos="9026"/>
      </w:tabs>
    </w:pPr>
  </w:style>
  <w:style w:type="character" w:customStyle="1" w:styleId="HeaderChar">
    <w:name w:val="Header Char"/>
    <w:basedOn w:val="DefaultParagraphFont"/>
    <w:link w:val="Header"/>
    <w:uiPriority w:val="99"/>
    <w:rsid w:val="00ED4B63"/>
  </w:style>
  <w:style w:type="paragraph" w:styleId="Footer">
    <w:name w:val="footer"/>
    <w:basedOn w:val="Normal"/>
    <w:link w:val="FooterChar"/>
    <w:uiPriority w:val="99"/>
    <w:unhideWhenUsed/>
    <w:rsid w:val="00ED4B63"/>
    <w:pPr>
      <w:tabs>
        <w:tab w:val="center" w:pos="4513"/>
        <w:tab w:val="right" w:pos="9026"/>
      </w:tabs>
    </w:pPr>
  </w:style>
  <w:style w:type="character" w:customStyle="1" w:styleId="FooterChar">
    <w:name w:val="Footer Char"/>
    <w:basedOn w:val="DefaultParagraphFont"/>
    <w:link w:val="Footer"/>
    <w:uiPriority w:val="99"/>
    <w:rsid w:val="00ED4B63"/>
  </w:style>
  <w:style w:type="paragraph" w:styleId="TOCHeading">
    <w:name w:val="TOC Heading"/>
    <w:basedOn w:val="Heading1"/>
    <w:next w:val="Normal"/>
    <w:uiPriority w:val="39"/>
    <w:unhideWhenUsed/>
    <w:qFormat/>
    <w:rsid w:val="008615E5"/>
    <w:pPr>
      <w:spacing w:line="259" w:lineRule="auto"/>
      <w:outlineLvl w:val="9"/>
    </w:pPr>
    <w:rPr>
      <w:rFonts w:ascii="Arial" w:hAnsi="Arial"/>
      <w:b/>
      <w:color w:val="800080"/>
      <w:sz w:val="22"/>
    </w:rPr>
  </w:style>
  <w:style w:type="paragraph" w:customStyle="1" w:styleId="T1TableStyle">
    <w:name w:val="T1TableStyle"/>
    <w:uiPriority w:val="99"/>
    <w:rPr>
      <w:rFonts w:ascii="Times New Roman" w:eastAsia="Times New Roman" w:hAnsi="Times New Roman"/>
      <w:sz w:val="20"/>
      <w:szCs w:val="20"/>
    </w:rPr>
  </w:style>
  <w:style w:type="paragraph" w:customStyle="1" w:styleId="Normal0">
    <w:name w:val="Normal_0"/>
    <w:qFormat/>
    <w:rsid w:val="003B1431"/>
    <w:pPr>
      <w:spacing w:line="256" w:lineRule="auto"/>
    </w:pPr>
    <w:rPr>
      <w:sz w:val="20"/>
      <w:szCs w:val="20"/>
    </w:rPr>
  </w:style>
  <w:style w:type="paragraph" w:styleId="TOC1">
    <w:name w:val="toc 1"/>
    <w:basedOn w:val="Normal"/>
    <w:next w:val="Normal"/>
    <w:autoRedefine/>
    <w:uiPriority w:val="39"/>
    <w:rsid w:val="00805BCE"/>
  </w:style>
  <w:style w:type="character" w:styleId="Hyperlink">
    <w:name w:val="Hyperlink"/>
    <w:basedOn w:val="DefaultParagraphFont"/>
    <w:uiPriority w:val="99"/>
    <w:rsid w:val="00EF7B96"/>
    <w:rPr>
      <w:color w:val="0000FF"/>
      <w:u w:val="single"/>
    </w:rPr>
  </w:style>
  <w:style w:type="paragraph" w:customStyle="1" w:styleId="Style2">
    <w:name w:val="Style2"/>
    <w:basedOn w:val="Normal0"/>
    <w:link w:val="Style2Char"/>
    <w:qFormat/>
    <w:rsid w:val="00582E12"/>
    <w:pPr>
      <w:spacing w:line="240" w:lineRule="auto"/>
    </w:pPr>
    <w:rPr>
      <w:rFonts w:ascii="Arial" w:eastAsia="Times New Roman" w:hAnsi="Arial" w:cs="Arial"/>
      <w:b/>
    </w:rPr>
  </w:style>
  <w:style w:type="character" w:customStyle="1" w:styleId="Style2Char">
    <w:name w:val="Style2 Char"/>
    <w:basedOn w:val="DefaultParagraphFont"/>
    <w:link w:val="Style2"/>
    <w:rsid w:val="00582E12"/>
    <w:rPr>
      <w:rFonts w:ascii="Times New Roman" w:eastAsia="Times New Roman" w:hAnsi="Times New Roman" w:cs="Arial"/>
      <w:b/>
      <w:sz w:val="20"/>
      <w:szCs w:val="20"/>
    </w:rPr>
  </w:style>
  <w:style w:type="paragraph" w:customStyle="1" w:styleId="Style1">
    <w:name w:val="Style1"/>
    <w:basedOn w:val="ListParagraph"/>
    <w:link w:val="Style1Char"/>
    <w:qFormat/>
    <w:rsid w:val="00763C50"/>
    <w:pPr>
      <w:numPr>
        <w:numId w:val="1"/>
      </w:numPr>
      <w:jc w:val="both"/>
    </w:pPr>
    <w:rPr>
      <w:rFonts w:cs="Arial"/>
      <w:b/>
    </w:rPr>
  </w:style>
  <w:style w:type="paragraph" w:styleId="ListParagraph">
    <w:name w:val="List Paragraph"/>
    <w:basedOn w:val="Normal0"/>
    <w:link w:val="ListParagraphChar"/>
    <w:uiPriority w:val="34"/>
    <w:qFormat/>
    <w:rsid w:val="00B81A65"/>
    <w:pPr>
      <w:spacing w:line="240" w:lineRule="auto"/>
      <w:ind w:left="720"/>
      <w:contextualSpacing/>
    </w:pPr>
    <w:rPr>
      <w:rFonts w:ascii="Arial" w:eastAsia="Times New Roman" w:hAnsi="Arial"/>
    </w:rPr>
  </w:style>
  <w:style w:type="character" w:customStyle="1" w:styleId="ListParagraphChar">
    <w:name w:val="List Paragraph Char"/>
    <w:basedOn w:val="DefaultParagraphFont"/>
    <w:link w:val="ListParagraph"/>
    <w:uiPriority w:val="34"/>
    <w:rsid w:val="00763C50"/>
    <w:rPr>
      <w:rFonts w:ascii="Times New Roman" w:eastAsia="Times New Roman" w:hAnsi="Times New Roman"/>
      <w:sz w:val="20"/>
      <w:szCs w:val="20"/>
    </w:rPr>
  </w:style>
  <w:style w:type="character" w:customStyle="1" w:styleId="Style1Char">
    <w:name w:val="Style1 Char"/>
    <w:basedOn w:val="ListParagraphChar"/>
    <w:link w:val="Style1"/>
    <w:rsid w:val="00763C50"/>
    <w:rPr>
      <w:rFonts w:ascii="Arial" w:eastAsia="Times New Roman" w:hAnsi="Arial" w:cs="Arial"/>
      <w:b/>
      <w:sz w:val="20"/>
      <w:szCs w:val="20"/>
    </w:rPr>
  </w:style>
  <w:style w:type="paragraph" w:customStyle="1" w:styleId="Normal00">
    <w:name w:val="Normal_0_0"/>
    <w:qFormat/>
    <w:rsid w:val="00385C1D"/>
  </w:style>
  <w:style w:type="character" w:styleId="Strong">
    <w:name w:val="Strong"/>
    <w:uiPriority w:val="22"/>
    <w:qFormat/>
    <w:rsid w:val="00961C9C"/>
    <w:rPr>
      <w:rFonts w:ascii="Arial" w:hAnsi="Arial"/>
      <w:b/>
      <w:bCs/>
    </w:rPr>
  </w:style>
  <w:style w:type="character" w:customStyle="1" w:styleId="WW8Num1z0">
    <w:name w:val="WW8Num1z0"/>
    <w:rsid w:val="00D835CC"/>
    <w:rPr>
      <w:rFonts w:hint="default"/>
    </w:rPr>
  </w:style>
  <w:style w:type="character" w:customStyle="1" w:styleId="WW8Num1z1">
    <w:name w:val="WW8Num1z1"/>
    <w:rsid w:val="00D835CC"/>
    <w:rPr>
      <w:rFonts w:ascii="Verdana" w:hAnsi="Verdana" w:cs="Verdana" w:hint="default"/>
      <w:b w:val="0"/>
      <w:i w:val="0"/>
      <w:color w:val="auto"/>
      <w:sz w:val="22"/>
      <w:szCs w:val="22"/>
    </w:rPr>
  </w:style>
  <w:style w:type="character" w:customStyle="1" w:styleId="WW8Num2z0">
    <w:name w:val="WW8Num2z0"/>
    <w:rsid w:val="00D835CC"/>
    <w:rPr>
      <w:rFonts w:cs="Arial" w:hint="default"/>
    </w:rPr>
  </w:style>
  <w:style w:type="character" w:customStyle="1" w:styleId="WW8Num2z1">
    <w:name w:val="WW8Num2z1"/>
    <w:rsid w:val="00D835CC"/>
  </w:style>
  <w:style w:type="character" w:customStyle="1" w:styleId="WW8Num2z2">
    <w:name w:val="WW8Num2z2"/>
    <w:rsid w:val="00D835CC"/>
    <w:rPr>
      <w:rFonts w:ascii="Symbol" w:hAnsi="Symbol" w:cs="Symbol" w:hint="default"/>
    </w:rPr>
  </w:style>
  <w:style w:type="character" w:customStyle="1" w:styleId="WW8Num3z0">
    <w:name w:val="WW8Num3z0"/>
    <w:rsid w:val="00D835CC"/>
    <w:rPr>
      <w:rFonts w:cs="Arial" w:hint="default"/>
    </w:rPr>
  </w:style>
  <w:style w:type="character" w:customStyle="1" w:styleId="WW8Num4z0">
    <w:name w:val="WW8Num4z0"/>
    <w:rsid w:val="00D835CC"/>
    <w:rPr>
      <w:rFonts w:cs="Arial" w:hint="default"/>
    </w:rPr>
  </w:style>
  <w:style w:type="character" w:customStyle="1" w:styleId="WW8Num5z0">
    <w:name w:val="WW8Num5z0"/>
    <w:rsid w:val="00D835CC"/>
    <w:rPr>
      <w:rFonts w:ascii="Symbol" w:hAnsi="Symbol" w:cs="Symbol" w:hint="default"/>
      <w:sz w:val="22"/>
      <w:szCs w:val="22"/>
    </w:rPr>
  </w:style>
  <w:style w:type="character" w:customStyle="1" w:styleId="WW8Num6z0">
    <w:name w:val="WW8Num6z0"/>
    <w:rsid w:val="00D835CC"/>
    <w:rPr>
      <w:rFonts w:ascii="Symbol" w:hAnsi="Symbol" w:cs="Symbol" w:hint="default"/>
      <w:sz w:val="22"/>
      <w:szCs w:val="22"/>
    </w:rPr>
  </w:style>
  <w:style w:type="character" w:customStyle="1" w:styleId="WW8Num7z0">
    <w:name w:val="WW8Num7z0"/>
    <w:rsid w:val="00D835CC"/>
    <w:rPr>
      <w:rFonts w:cs="Verdana" w:hint="default"/>
    </w:rPr>
  </w:style>
  <w:style w:type="character" w:customStyle="1" w:styleId="WW8Num8z0">
    <w:name w:val="WW8Num8z0"/>
    <w:rsid w:val="00D835CC"/>
    <w:rPr>
      <w:rFonts w:ascii="Symbol" w:hAnsi="Symbol" w:cs="Symbol" w:hint="default"/>
      <w:sz w:val="22"/>
      <w:szCs w:val="22"/>
    </w:rPr>
  </w:style>
  <w:style w:type="character" w:customStyle="1" w:styleId="WW8Num8z3">
    <w:name w:val="WW8Num8z3"/>
    <w:rsid w:val="00D835CC"/>
  </w:style>
  <w:style w:type="character" w:customStyle="1" w:styleId="WW8Num8z4">
    <w:name w:val="WW8Num8z4"/>
    <w:rsid w:val="00D835CC"/>
  </w:style>
  <w:style w:type="character" w:customStyle="1" w:styleId="WW8Num8z5">
    <w:name w:val="WW8Num8z5"/>
    <w:rsid w:val="00D835CC"/>
  </w:style>
  <w:style w:type="character" w:customStyle="1" w:styleId="WW8Num8z6">
    <w:name w:val="WW8Num8z6"/>
    <w:rsid w:val="00D835CC"/>
  </w:style>
  <w:style w:type="character" w:customStyle="1" w:styleId="WW8Num8z7">
    <w:name w:val="WW8Num8z7"/>
    <w:rsid w:val="00D835CC"/>
  </w:style>
  <w:style w:type="character" w:customStyle="1" w:styleId="WW8Num8z8">
    <w:name w:val="WW8Num8z8"/>
    <w:rsid w:val="00D835CC"/>
  </w:style>
  <w:style w:type="character" w:customStyle="1" w:styleId="WW8Num9z0">
    <w:name w:val="WW8Num9z0"/>
    <w:rsid w:val="00D835CC"/>
    <w:rPr>
      <w:rFonts w:cs="Times New Roman" w:hint="default"/>
    </w:rPr>
  </w:style>
  <w:style w:type="character" w:customStyle="1" w:styleId="WW8Num10z0">
    <w:name w:val="WW8Num10z0"/>
    <w:rsid w:val="00D835CC"/>
    <w:rPr>
      <w:rFonts w:cs="Arial" w:hint="default"/>
    </w:rPr>
  </w:style>
  <w:style w:type="character" w:customStyle="1" w:styleId="WW8Num11z0">
    <w:name w:val="WW8Num11z0"/>
    <w:rsid w:val="00D835CC"/>
    <w:rPr>
      <w:rFonts w:cs="Arial" w:hint="default"/>
    </w:rPr>
  </w:style>
  <w:style w:type="character" w:customStyle="1" w:styleId="WW8Num12z0">
    <w:name w:val="WW8Num12z0"/>
    <w:rsid w:val="00D835CC"/>
    <w:rPr>
      <w:rFonts w:cs="Arial" w:hint="default"/>
    </w:rPr>
  </w:style>
  <w:style w:type="character" w:customStyle="1" w:styleId="WW8Num12z1">
    <w:name w:val="WW8Num12z1"/>
    <w:rsid w:val="00D835CC"/>
    <w:rPr>
      <w:rFonts w:hint="default"/>
      <w:b w:val="0"/>
      <w:i w:val="0"/>
    </w:rPr>
  </w:style>
  <w:style w:type="character" w:customStyle="1" w:styleId="WW8Num12z2">
    <w:name w:val="WW8Num12z2"/>
    <w:rsid w:val="00D835CC"/>
    <w:rPr>
      <w:rFonts w:ascii="Symbol" w:hAnsi="Symbol" w:cs="Symbol" w:hint="default"/>
    </w:rPr>
  </w:style>
  <w:style w:type="character" w:customStyle="1" w:styleId="WW8Num12z3">
    <w:name w:val="WW8Num12z3"/>
    <w:rsid w:val="00D835CC"/>
    <w:rPr>
      <w:rFonts w:hint="default"/>
    </w:rPr>
  </w:style>
  <w:style w:type="character" w:customStyle="1" w:styleId="WW8Num12z4">
    <w:name w:val="WW8Num12z4"/>
    <w:rsid w:val="00D835CC"/>
  </w:style>
  <w:style w:type="character" w:customStyle="1" w:styleId="WW8Num12z5">
    <w:name w:val="WW8Num12z5"/>
    <w:rsid w:val="00D835CC"/>
  </w:style>
  <w:style w:type="character" w:customStyle="1" w:styleId="WW8Num12z6">
    <w:name w:val="WW8Num12z6"/>
    <w:rsid w:val="00D835CC"/>
  </w:style>
  <w:style w:type="character" w:customStyle="1" w:styleId="WW8Num12z7">
    <w:name w:val="WW8Num12z7"/>
    <w:rsid w:val="00D835CC"/>
  </w:style>
  <w:style w:type="character" w:customStyle="1" w:styleId="WW8Num12z8">
    <w:name w:val="WW8Num12z8"/>
    <w:rsid w:val="00D835CC"/>
  </w:style>
  <w:style w:type="character" w:customStyle="1" w:styleId="WW8Num13z0">
    <w:name w:val="WW8Num13z0"/>
    <w:rsid w:val="00D835CC"/>
    <w:rPr>
      <w:rFonts w:hint="default"/>
    </w:rPr>
  </w:style>
  <w:style w:type="character" w:customStyle="1" w:styleId="WW8Num13z1">
    <w:name w:val="WW8Num13z1"/>
    <w:rsid w:val="00D835CC"/>
    <w:rPr>
      <w:rFonts w:hint="default"/>
      <w:b w:val="0"/>
      <w:i w:val="0"/>
      <w:color w:val="auto"/>
    </w:rPr>
  </w:style>
  <w:style w:type="character" w:customStyle="1" w:styleId="WW8Num13z2">
    <w:name w:val="WW8Num13z2"/>
    <w:rsid w:val="00D835CC"/>
  </w:style>
  <w:style w:type="character" w:customStyle="1" w:styleId="WW8Num13z3">
    <w:name w:val="WW8Num13z3"/>
    <w:rsid w:val="00D835CC"/>
  </w:style>
  <w:style w:type="character" w:customStyle="1" w:styleId="WW8Num13z4">
    <w:name w:val="WW8Num13z4"/>
    <w:rsid w:val="00D835CC"/>
  </w:style>
  <w:style w:type="character" w:customStyle="1" w:styleId="WW8Num13z5">
    <w:name w:val="WW8Num13z5"/>
    <w:rsid w:val="00D835CC"/>
  </w:style>
  <w:style w:type="character" w:customStyle="1" w:styleId="WW8Num13z6">
    <w:name w:val="WW8Num13z6"/>
    <w:rsid w:val="00D835CC"/>
  </w:style>
  <w:style w:type="character" w:customStyle="1" w:styleId="WW8Num13z7">
    <w:name w:val="WW8Num13z7"/>
    <w:rsid w:val="00D835CC"/>
  </w:style>
  <w:style w:type="character" w:customStyle="1" w:styleId="WW8Num13z8">
    <w:name w:val="WW8Num13z8"/>
    <w:rsid w:val="00D835CC"/>
  </w:style>
  <w:style w:type="character" w:customStyle="1" w:styleId="WW8Num2z3">
    <w:name w:val="WW8Num2z3"/>
    <w:rsid w:val="00D835CC"/>
  </w:style>
  <w:style w:type="character" w:customStyle="1" w:styleId="WW8Num2z4">
    <w:name w:val="WW8Num2z4"/>
    <w:rsid w:val="00D835CC"/>
  </w:style>
  <w:style w:type="character" w:customStyle="1" w:styleId="WW8Num2z5">
    <w:name w:val="WW8Num2z5"/>
    <w:rsid w:val="00D835CC"/>
  </w:style>
  <w:style w:type="character" w:customStyle="1" w:styleId="WW8Num2z6">
    <w:name w:val="WW8Num2z6"/>
    <w:rsid w:val="00D835CC"/>
  </w:style>
  <w:style w:type="character" w:customStyle="1" w:styleId="WW8Num2z7">
    <w:name w:val="WW8Num2z7"/>
    <w:rsid w:val="00D835CC"/>
  </w:style>
  <w:style w:type="character" w:customStyle="1" w:styleId="WW8Num2z8">
    <w:name w:val="WW8Num2z8"/>
    <w:rsid w:val="00D835CC"/>
  </w:style>
  <w:style w:type="character" w:customStyle="1" w:styleId="WW8Num4z1">
    <w:name w:val="WW8Num4z1"/>
    <w:rsid w:val="00D835CC"/>
  </w:style>
  <w:style w:type="character" w:customStyle="1" w:styleId="WW8Num4z2">
    <w:name w:val="WW8Num4z2"/>
    <w:rsid w:val="00D835CC"/>
  </w:style>
  <w:style w:type="character" w:customStyle="1" w:styleId="WW8Num4z3">
    <w:name w:val="WW8Num4z3"/>
    <w:rsid w:val="00D835CC"/>
  </w:style>
  <w:style w:type="character" w:customStyle="1" w:styleId="WW8Num4z4">
    <w:name w:val="WW8Num4z4"/>
    <w:rsid w:val="00D835CC"/>
  </w:style>
  <w:style w:type="character" w:customStyle="1" w:styleId="WW8Num4z5">
    <w:name w:val="WW8Num4z5"/>
    <w:rsid w:val="00D835CC"/>
  </w:style>
  <w:style w:type="character" w:customStyle="1" w:styleId="WW8Num4z6">
    <w:name w:val="WW8Num4z6"/>
    <w:rsid w:val="00D835CC"/>
  </w:style>
  <w:style w:type="character" w:customStyle="1" w:styleId="WW8Num4z7">
    <w:name w:val="WW8Num4z7"/>
    <w:rsid w:val="00D835CC"/>
  </w:style>
  <w:style w:type="character" w:customStyle="1" w:styleId="WW8Num4z8">
    <w:name w:val="WW8Num4z8"/>
    <w:rsid w:val="00D835CC"/>
  </w:style>
  <w:style w:type="character" w:customStyle="1" w:styleId="WW8Num5z1">
    <w:name w:val="WW8Num5z1"/>
    <w:rsid w:val="00D835CC"/>
    <w:rPr>
      <w:rFonts w:hint="default"/>
      <w:b w:val="0"/>
      <w:i w:val="0"/>
    </w:rPr>
  </w:style>
  <w:style w:type="character" w:customStyle="1" w:styleId="WW8Num5z2">
    <w:name w:val="WW8Num5z2"/>
    <w:rsid w:val="00D835CC"/>
    <w:rPr>
      <w:rFonts w:hint="default"/>
    </w:rPr>
  </w:style>
  <w:style w:type="character" w:customStyle="1" w:styleId="WW8Num6z1">
    <w:name w:val="WW8Num6z1"/>
    <w:rsid w:val="00D835CC"/>
    <w:rPr>
      <w:rFonts w:ascii="Courier New" w:hAnsi="Courier New" w:cs="Courier New" w:hint="default"/>
    </w:rPr>
  </w:style>
  <w:style w:type="character" w:customStyle="1" w:styleId="WW8Num6z2">
    <w:name w:val="WW8Num6z2"/>
    <w:rsid w:val="00D835CC"/>
    <w:rPr>
      <w:rFonts w:ascii="Wingdings" w:hAnsi="Wingdings" w:cs="Wingdings" w:hint="default"/>
    </w:rPr>
  </w:style>
  <w:style w:type="character" w:customStyle="1" w:styleId="WW8Num7z1">
    <w:name w:val="WW8Num7z1"/>
    <w:rsid w:val="00D835CC"/>
  </w:style>
  <w:style w:type="character" w:customStyle="1" w:styleId="WW8Num7z2">
    <w:name w:val="WW8Num7z2"/>
    <w:rsid w:val="00D835CC"/>
    <w:rPr>
      <w:rFonts w:ascii="Symbol" w:hAnsi="Symbol" w:cs="Symbol" w:hint="default"/>
    </w:rPr>
  </w:style>
  <w:style w:type="character" w:customStyle="1" w:styleId="WW8Num7z3">
    <w:name w:val="WW8Num7z3"/>
    <w:rsid w:val="00D835CC"/>
  </w:style>
  <w:style w:type="character" w:customStyle="1" w:styleId="WW8Num7z4">
    <w:name w:val="WW8Num7z4"/>
    <w:rsid w:val="00D835CC"/>
  </w:style>
  <w:style w:type="character" w:customStyle="1" w:styleId="WW8Num7z5">
    <w:name w:val="WW8Num7z5"/>
    <w:rsid w:val="00D835CC"/>
  </w:style>
  <w:style w:type="character" w:customStyle="1" w:styleId="WW8Num7z6">
    <w:name w:val="WW8Num7z6"/>
    <w:rsid w:val="00D835CC"/>
  </w:style>
  <w:style w:type="character" w:customStyle="1" w:styleId="WW8Num7z7">
    <w:name w:val="WW8Num7z7"/>
    <w:rsid w:val="00D835CC"/>
  </w:style>
  <w:style w:type="character" w:customStyle="1" w:styleId="WW8Num7z8">
    <w:name w:val="WW8Num7z8"/>
    <w:rsid w:val="00D835CC"/>
  </w:style>
  <w:style w:type="character" w:customStyle="1" w:styleId="WW8Num8z1">
    <w:name w:val="WW8Num8z1"/>
    <w:rsid w:val="00D835CC"/>
    <w:rPr>
      <w:rFonts w:ascii="Courier New" w:hAnsi="Courier New" w:cs="Courier New" w:hint="default"/>
    </w:rPr>
  </w:style>
  <w:style w:type="character" w:customStyle="1" w:styleId="WW8Num8z2">
    <w:name w:val="WW8Num8z2"/>
    <w:rsid w:val="00D835CC"/>
    <w:rPr>
      <w:rFonts w:ascii="Wingdings" w:hAnsi="Wingdings" w:cs="Wingdings" w:hint="default"/>
    </w:rPr>
  </w:style>
  <w:style w:type="character" w:customStyle="1" w:styleId="WW8Num10z1">
    <w:name w:val="WW8Num10z1"/>
    <w:rsid w:val="00D835CC"/>
  </w:style>
  <w:style w:type="character" w:customStyle="1" w:styleId="WW8Num10z2">
    <w:name w:val="WW8Num10z2"/>
    <w:rsid w:val="00D835CC"/>
  </w:style>
  <w:style w:type="character" w:customStyle="1" w:styleId="WW8Num10z3">
    <w:name w:val="WW8Num10z3"/>
    <w:rsid w:val="00D835CC"/>
  </w:style>
  <w:style w:type="character" w:customStyle="1" w:styleId="WW8Num10z4">
    <w:name w:val="WW8Num10z4"/>
    <w:rsid w:val="00D835CC"/>
  </w:style>
  <w:style w:type="character" w:customStyle="1" w:styleId="WW8Num10z5">
    <w:name w:val="WW8Num10z5"/>
    <w:rsid w:val="00D835CC"/>
  </w:style>
  <w:style w:type="character" w:customStyle="1" w:styleId="WW8Num10z6">
    <w:name w:val="WW8Num10z6"/>
    <w:rsid w:val="00D835CC"/>
  </w:style>
  <w:style w:type="character" w:customStyle="1" w:styleId="WW8Num10z7">
    <w:name w:val="WW8Num10z7"/>
    <w:rsid w:val="00D835CC"/>
  </w:style>
  <w:style w:type="character" w:customStyle="1" w:styleId="WW8Num10z8">
    <w:name w:val="WW8Num10z8"/>
    <w:rsid w:val="00D835CC"/>
  </w:style>
  <w:style w:type="character" w:customStyle="1" w:styleId="WW8Num11z1">
    <w:name w:val="WW8Num11z1"/>
    <w:rsid w:val="00D835CC"/>
    <w:rPr>
      <w:rFonts w:ascii="Symbol" w:hAnsi="Symbol" w:cs="Symbol" w:hint="default"/>
    </w:rPr>
  </w:style>
  <w:style w:type="character" w:customStyle="1" w:styleId="WW8Num11z3">
    <w:name w:val="WW8Num11z3"/>
    <w:rsid w:val="00D835CC"/>
  </w:style>
  <w:style w:type="character" w:customStyle="1" w:styleId="WW8Num11z4">
    <w:name w:val="WW8Num11z4"/>
    <w:rsid w:val="00D835CC"/>
  </w:style>
  <w:style w:type="character" w:customStyle="1" w:styleId="WW8Num11z5">
    <w:name w:val="WW8Num11z5"/>
    <w:rsid w:val="00D835CC"/>
  </w:style>
  <w:style w:type="character" w:customStyle="1" w:styleId="WW8Num11z6">
    <w:name w:val="WW8Num11z6"/>
    <w:rsid w:val="00D835CC"/>
  </w:style>
  <w:style w:type="character" w:customStyle="1" w:styleId="WW8Num11z7">
    <w:name w:val="WW8Num11z7"/>
    <w:rsid w:val="00D835CC"/>
  </w:style>
  <w:style w:type="character" w:customStyle="1" w:styleId="WW8Num11z8">
    <w:name w:val="WW8Num11z8"/>
    <w:rsid w:val="00D835CC"/>
  </w:style>
  <w:style w:type="character" w:customStyle="1" w:styleId="WW8Num14z0">
    <w:name w:val="WW8Num14z0"/>
    <w:rsid w:val="00D835CC"/>
    <w:rPr>
      <w:rFonts w:ascii="Symbol" w:hAnsi="Symbol" w:cs="Symbol" w:hint="default"/>
    </w:rPr>
  </w:style>
  <w:style w:type="character" w:customStyle="1" w:styleId="WW8Num14z3">
    <w:name w:val="WW8Num14z3"/>
    <w:rsid w:val="00D835CC"/>
  </w:style>
  <w:style w:type="character" w:customStyle="1" w:styleId="WW8Num14z4">
    <w:name w:val="WW8Num14z4"/>
    <w:rsid w:val="00D835CC"/>
  </w:style>
  <w:style w:type="character" w:customStyle="1" w:styleId="WW8Num14z5">
    <w:name w:val="WW8Num14z5"/>
    <w:rsid w:val="00D835CC"/>
  </w:style>
  <w:style w:type="character" w:customStyle="1" w:styleId="WW8Num14z6">
    <w:name w:val="WW8Num14z6"/>
    <w:rsid w:val="00D835CC"/>
  </w:style>
  <w:style w:type="character" w:customStyle="1" w:styleId="WW8Num14z7">
    <w:name w:val="WW8Num14z7"/>
    <w:rsid w:val="00D835CC"/>
  </w:style>
  <w:style w:type="character" w:customStyle="1" w:styleId="WW8Num14z8">
    <w:name w:val="WW8Num14z8"/>
    <w:rsid w:val="00D835CC"/>
  </w:style>
  <w:style w:type="character" w:customStyle="1" w:styleId="WW8Num15z0">
    <w:name w:val="WW8Num15z0"/>
    <w:rsid w:val="00D835CC"/>
    <w:rPr>
      <w:rFonts w:ascii="Symbol" w:hAnsi="Symbol" w:cs="Symbol" w:hint="default"/>
    </w:rPr>
  </w:style>
  <w:style w:type="character" w:customStyle="1" w:styleId="WW8Num15z1">
    <w:name w:val="WW8Num15z1"/>
    <w:rsid w:val="00D835CC"/>
    <w:rPr>
      <w:rFonts w:ascii="Courier New" w:hAnsi="Courier New" w:cs="Courier New" w:hint="default"/>
    </w:rPr>
  </w:style>
  <w:style w:type="character" w:customStyle="1" w:styleId="WW8Num15z2">
    <w:name w:val="WW8Num15z2"/>
    <w:rsid w:val="00D835CC"/>
    <w:rPr>
      <w:rFonts w:ascii="Wingdings" w:hAnsi="Wingdings" w:cs="Wingdings" w:hint="default"/>
    </w:rPr>
  </w:style>
  <w:style w:type="character" w:customStyle="1" w:styleId="WW8Num16z0">
    <w:name w:val="WW8Num16z0"/>
    <w:rsid w:val="00D835CC"/>
    <w:rPr>
      <w:rFonts w:ascii="Symbol" w:hAnsi="Symbol" w:cs="Symbol" w:hint="default"/>
      <w:color w:val="000000"/>
    </w:rPr>
  </w:style>
  <w:style w:type="character" w:customStyle="1" w:styleId="WW8Num16z1">
    <w:name w:val="WW8Num16z1"/>
    <w:rsid w:val="00D835CC"/>
    <w:rPr>
      <w:rFonts w:ascii="Courier New" w:hAnsi="Courier New" w:cs="Courier New" w:hint="default"/>
    </w:rPr>
  </w:style>
  <w:style w:type="character" w:customStyle="1" w:styleId="WW8Num16z2">
    <w:name w:val="WW8Num16z2"/>
    <w:rsid w:val="00D835CC"/>
    <w:rPr>
      <w:rFonts w:ascii="Wingdings" w:hAnsi="Wingdings" w:cs="Wingdings" w:hint="default"/>
    </w:rPr>
  </w:style>
  <w:style w:type="character" w:customStyle="1" w:styleId="WW8Num16z3">
    <w:name w:val="WW8Num16z3"/>
    <w:rsid w:val="00D835CC"/>
    <w:rPr>
      <w:rFonts w:ascii="Symbol" w:hAnsi="Symbol" w:cs="Symbol" w:hint="default"/>
    </w:rPr>
  </w:style>
  <w:style w:type="character" w:customStyle="1" w:styleId="WW8Num17z0">
    <w:name w:val="WW8Num17z0"/>
    <w:rsid w:val="00D835CC"/>
    <w:rPr>
      <w:rFonts w:ascii="Verdana" w:hAnsi="Verdana" w:cs="Arial" w:hint="default"/>
      <w:sz w:val="22"/>
      <w:szCs w:val="22"/>
    </w:rPr>
  </w:style>
  <w:style w:type="character" w:customStyle="1" w:styleId="WW8Num18z0">
    <w:name w:val="WW8Num18z0"/>
    <w:rsid w:val="00D835CC"/>
    <w:rPr>
      <w:rFonts w:ascii="Symbol" w:hAnsi="Symbol" w:cs="Symbol" w:hint="default"/>
      <w:color w:val="auto"/>
      <w:sz w:val="22"/>
      <w:szCs w:val="22"/>
    </w:rPr>
  </w:style>
  <w:style w:type="character" w:customStyle="1" w:styleId="WW8Num18z1">
    <w:name w:val="WW8Num18z1"/>
    <w:rsid w:val="00D835CC"/>
    <w:rPr>
      <w:rFonts w:ascii="Courier New" w:hAnsi="Courier New" w:cs="Courier New" w:hint="default"/>
    </w:rPr>
  </w:style>
  <w:style w:type="character" w:customStyle="1" w:styleId="WW8Num18z2">
    <w:name w:val="WW8Num18z2"/>
    <w:rsid w:val="00D835CC"/>
    <w:rPr>
      <w:rFonts w:ascii="Wingdings" w:hAnsi="Wingdings" w:cs="Wingdings" w:hint="default"/>
    </w:rPr>
  </w:style>
  <w:style w:type="character" w:customStyle="1" w:styleId="WW8Num18z3">
    <w:name w:val="WW8Num18z3"/>
    <w:rsid w:val="00D835CC"/>
    <w:rPr>
      <w:rFonts w:ascii="Symbol" w:hAnsi="Symbol" w:cs="Symbol" w:hint="default"/>
    </w:rPr>
  </w:style>
  <w:style w:type="character" w:customStyle="1" w:styleId="WW8Num19z0">
    <w:name w:val="WW8Num19z0"/>
    <w:rsid w:val="00D835CC"/>
    <w:rPr>
      <w:rFonts w:ascii="Symbol" w:hAnsi="Symbol" w:cs="Symbol" w:hint="default"/>
      <w:sz w:val="22"/>
      <w:szCs w:val="22"/>
    </w:rPr>
  </w:style>
  <w:style w:type="character" w:customStyle="1" w:styleId="WW8Num19z1">
    <w:name w:val="WW8Num19z1"/>
    <w:rsid w:val="00D835CC"/>
    <w:rPr>
      <w:rFonts w:ascii="Courier New" w:hAnsi="Courier New" w:cs="Courier New" w:hint="default"/>
    </w:rPr>
  </w:style>
  <w:style w:type="character" w:customStyle="1" w:styleId="WW8Num19z2">
    <w:name w:val="WW8Num19z2"/>
    <w:rsid w:val="00D835CC"/>
    <w:rPr>
      <w:rFonts w:ascii="Wingdings" w:hAnsi="Wingdings" w:cs="Wingdings" w:hint="default"/>
    </w:rPr>
  </w:style>
  <w:style w:type="character" w:customStyle="1" w:styleId="WW8Num20z0">
    <w:name w:val="WW8Num20z0"/>
    <w:rsid w:val="00D835CC"/>
    <w:rPr>
      <w:rFonts w:ascii="Symbol" w:hAnsi="Symbol" w:cs="Symbol" w:hint="default"/>
    </w:rPr>
  </w:style>
  <w:style w:type="character" w:customStyle="1" w:styleId="WW8Num20z1">
    <w:name w:val="WW8Num20z1"/>
    <w:rsid w:val="00D835CC"/>
    <w:rPr>
      <w:rFonts w:ascii="Courier New" w:hAnsi="Courier New" w:cs="Courier New" w:hint="default"/>
    </w:rPr>
  </w:style>
  <w:style w:type="character" w:customStyle="1" w:styleId="WW8Num20z2">
    <w:name w:val="WW8Num20z2"/>
    <w:rsid w:val="00D835CC"/>
    <w:rPr>
      <w:rFonts w:ascii="Wingdings" w:hAnsi="Wingdings" w:cs="Wingdings" w:hint="default"/>
    </w:rPr>
  </w:style>
  <w:style w:type="character" w:customStyle="1" w:styleId="WW8Num21z0">
    <w:name w:val="WW8Num21z0"/>
    <w:rsid w:val="00D835CC"/>
    <w:rPr>
      <w:rFonts w:ascii="Symbol" w:hAnsi="Symbol" w:cs="Symbol" w:hint="default"/>
    </w:rPr>
  </w:style>
  <w:style w:type="character" w:customStyle="1" w:styleId="WW8Num21z1">
    <w:name w:val="WW8Num21z1"/>
    <w:rsid w:val="00D835CC"/>
    <w:rPr>
      <w:rFonts w:ascii="Courier New" w:hAnsi="Courier New" w:cs="Courier New" w:hint="default"/>
    </w:rPr>
  </w:style>
  <w:style w:type="character" w:customStyle="1" w:styleId="WW8Num21z2">
    <w:name w:val="WW8Num21z2"/>
    <w:rsid w:val="00D835CC"/>
    <w:rPr>
      <w:rFonts w:ascii="Wingdings" w:hAnsi="Wingdings" w:cs="Wingdings" w:hint="default"/>
    </w:rPr>
  </w:style>
  <w:style w:type="character" w:customStyle="1" w:styleId="WW8Num22z0">
    <w:name w:val="WW8Num22z0"/>
    <w:rsid w:val="00D835CC"/>
    <w:rPr>
      <w:rFonts w:hint="default"/>
    </w:rPr>
  </w:style>
  <w:style w:type="character" w:customStyle="1" w:styleId="WW8Num22z1">
    <w:name w:val="WW8Num22z1"/>
    <w:rsid w:val="00D835CC"/>
    <w:rPr>
      <w:rFonts w:ascii="Symbol" w:hAnsi="Symbol" w:cs="Symbol" w:hint="default"/>
    </w:rPr>
  </w:style>
  <w:style w:type="character" w:customStyle="1" w:styleId="WW8Num22z2">
    <w:name w:val="WW8Num22z2"/>
    <w:rsid w:val="00D835CC"/>
  </w:style>
  <w:style w:type="character" w:customStyle="1" w:styleId="WW8Num22z3">
    <w:name w:val="WW8Num22z3"/>
    <w:rsid w:val="00D835CC"/>
  </w:style>
  <w:style w:type="character" w:customStyle="1" w:styleId="WW8Num22z4">
    <w:name w:val="WW8Num22z4"/>
    <w:rsid w:val="00D835CC"/>
  </w:style>
  <w:style w:type="character" w:customStyle="1" w:styleId="WW8Num22z5">
    <w:name w:val="WW8Num22z5"/>
    <w:rsid w:val="00D835CC"/>
  </w:style>
  <w:style w:type="character" w:customStyle="1" w:styleId="WW8Num22z6">
    <w:name w:val="WW8Num22z6"/>
    <w:rsid w:val="00D835CC"/>
  </w:style>
  <w:style w:type="character" w:customStyle="1" w:styleId="WW8Num22z7">
    <w:name w:val="WW8Num22z7"/>
    <w:rsid w:val="00D835CC"/>
  </w:style>
  <w:style w:type="character" w:customStyle="1" w:styleId="WW8Num22z8">
    <w:name w:val="WW8Num22z8"/>
    <w:rsid w:val="00D835CC"/>
  </w:style>
  <w:style w:type="character" w:customStyle="1" w:styleId="WW8Num23z0">
    <w:name w:val="WW8Num23z0"/>
    <w:rsid w:val="00D835CC"/>
    <w:rPr>
      <w:rFonts w:ascii="Symbol" w:hAnsi="Symbol" w:cs="Symbol" w:hint="default"/>
      <w:color w:val="auto"/>
      <w:sz w:val="22"/>
      <w:szCs w:val="22"/>
    </w:rPr>
  </w:style>
  <w:style w:type="character" w:customStyle="1" w:styleId="WW8Num23z1">
    <w:name w:val="WW8Num23z1"/>
    <w:rsid w:val="00D835CC"/>
  </w:style>
  <w:style w:type="character" w:customStyle="1" w:styleId="WW8Num23z2">
    <w:name w:val="WW8Num23z2"/>
    <w:rsid w:val="00D835CC"/>
    <w:rPr>
      <w:rFonts w:ascii="Symbol" w:hAnsi="Symbol" w:cs="Symbol" w:hint="default"/>
    </w:rPr>
  </w:style>
  <w:style w:type="character" w:customStyle="1" w:styleId="WW8Num23z3">
    <w:name w:val="WW8Num23z3"/>
    <w:rsid w:val="00D835CC"/>
    <w:rPr>
      <w:rFonts w:hint="default"/>
    </w:rPr>
  </w:style>
  <w:style w:type="character" w:customStyle="1" w:styleId="WW8Num23z4">
    <w:name w:val="WW8Num23z4"/>
    <w:rsid w:val="00D835CC"/>
  </w:style>
  <w:style w:type="character" w:customStyle="1" w:styleId="WW8Num23z5">
    <w:name w:val="WW8Num23z5"/>
    <w:rsid w:val="00D835CC"/>
  </w:style>
  <w:style w:type="character" w:customStyle="1" w:styleId="WW8Num23z6">
    <w:name w:val="WW8Num23z6"/>
    <w:rsid w:val="00D835CC"/>
  </w:style>
  <w:style w:type="character" w:customStyle="1" w:styleId="WW8Num23z7">
    <w:name w:val="WW8Num23z7"/>
    <w:rsid w:val="00D835CC"/>
  </w:style>
  <w:style w:type="character" w:customStyle="1" w:styleId="WW8Num23z8">
    <w:name w:val="WW8Num23z8"/>
    <w:rsid w:val="00D835CC"/>
  </w:style>
  <w:style w:type="character" w:customStyle="1" w:styleId="FootnoteCharacters">
    <w:name w:val="Footnote Characters"/>
    <w:rsid w:val="00D835CC"/>
    <w:rPr>
      <w:vertAlign w:val="superscript"/>
    </w:rPr>
  </w:style>
  <w:style w:type="character" w:styleId="FollowedHyperlink">
    <w:name w:val="FollowedHyperlink"/>
    <w:uiPriority w:val="99"/>
    <w:rsid w:val="00D835CC"/>
    <w:rPr>
      <w:color w:val="800080"/>
      <w:u w:val="single"/>
    </w:rPr>
  </w:style>
  <w:style w:type="character" w:styleId="FootnoteReference">
    <w:name w:val="footnote reference"/>
    <w:rsid w:val="00D835CC"/>
    <w:rPr>
      <w:vertAlign w:val="superscript"/>
    </w:rPr>
  </w:style>
  <w:style w:type="character" w:customStyle="1" w:styleId="EndnoteCharacters">
    <w:name w:val="Endnote Characters"/>
    <w:rsid w:val="00D835CC"/>
    <w:rPr>
      <w:vertAlign w:val="superscript"/>
    </w:rPr>
  </w:style>
  <w:style w:type="character" w:customStyle="1" w:styleId="WW-EndnoteCharacters">
    <w:name w:val="WW-Endnote Characters"/>
    <w:rsid w:val="00D835CC"/>
  </w:style>
  <w:style w:type="character" w:styleId="EndnoteReference">
    <w:name w:val="endnote reference"/>
    <w:rsid w:val="00D835CC"/>
    <w:rPr>
      <w:vertAlign w:val="superscript"/>
    </w:rPr>
  </w:style>
  <w:style w:type="paragraph" w:customStyle="1" w:styleId="Heading">
    <w:name w:val="Heading"/>
    <w:basedOn w:val="Normal"/>
    <w:next w:val="BodyText"/>
    <w:rsid w:val="00D835CC"/>
    <w:pPr>
      <w:keepNext/>
      <w:suppressAutoHyphens/>
      <w:spacing w:before="240" w:after="120"/>
    </w:pPr>
    <w:rPr>
      <w:rFonts w:ascii="Arial" w:eastAsia="Microsoft YaHei" w:hAnsi="Arial" w:cs="Mangal"/>
      <w:sz w:val="28"/>
      <w:szCs w:val="28"/>
      <w:lang w:val="en-GB" w:eastAsia="ar-SA"/>
    </w:rPr>
  </w:style>
  <w:style w:type="paragraph" w:styleId="BodyText">
    <w:name w:val="Body Text"/>
    <w:basedOn w:val="Normal"/>
    <w:link w:val="BodyTextChar"/>
    <w:rsid w:val="00D835CC"/>
    <w:pPr>
      <w:suppressAutoHyphens/>
      <w:spacing w:after="120"/>
    </w:pPr>
    <w:rPr>
      <w:rFonts w:ascii="Arial" w:eastAsia="Times New Roman" w:hAnsi="Arial" w:cs="Arial"/>
      <w:sz w:val="20"/>
      <w:szCs w:val="20"/>
      <w:lang w:val="en-GB" w:eastAsia="ar-SA"/>
    </w:rPr>
  </w:style>
  <w:style w:type="character" w:customStyle="1" w:styleId="BodyTextChar">
    <w:name w:val="Body Text Char"/>
    <w:basedOn w:val="DefaultParagraphFont"/>
    <w:link w:val="BodyText"/>
    <w:rsid w:val="00D835CC"/>
    <w:rPr>
      <w:rFonts w:ascii="Arial" w:eastAsia="Times New Roman" w:hAnsi="Arial" w:cs="Arial"/>
      <w:sz w:val="20"/>
      <w:szCs w:val="20"/>
      <w:lang w:val="en-GB" w:eastAsia="ar-SA"/>
    </w:rPr>
  </w:style>
  <w:style w:type="paragraph" w:styleId="List">
    <w:name w:val="List"/>
    <w:basedOn w:val="BodyText"/>
    <w:rsid w:val="00D835CC"/>
    <w:rPr>
      <w:rFonts w:cs="Mangal"/>
    </w:rPr>
  </w:style>
  <w:style w:type="paragraph" w:styleId="Caption">
    <w:name w:val="caption"/>
    <w:basedOn w:val="Normal"/>
    <w:qFormat/>
    <w:rsid w:val="00D835CC"/>
    <w:pPr>
      <w:suppressLineNumbers/>
      <w:suppressAutoHyphens/>
      <w:spacing w:before="120" w:after="120"/>
    </w:pPr>
    <w:rPr>
      <w:rFonts w:ascii="Arial" w:eastAsia="Times New Roman" w:hAnsi="Arial" w:cs="Mangal"/>
      <w:i/>
      <w:iCs/>
      <w:lang w:val="en-GB" w:eastAsia="ar-SA"/>
    </w:rPr>
  </w:style>
  <w:style w:type="paragraph" w:customStyle="1" w:styleId="Index">
    <w:name w:val="Index"/>
    <w:basedOn w:val="Normal"/>
    <w:rsid w:val="00D835CC"/>
    <w:pPr>
      <w:suppressLineNumbers/>
      <w:suppressAutoHyphens/>
    </w:pPr>
    <w:rPr>
      <w:rFonts w:ascii="Arial" w:eastAsia="Times New Roman" w:hAnsi="Arial" w:cs="Mangal"/>
      <w:sz w:val="20"/>
      <w:szCs w:val="20"/>
      <w:lang w:val="en-GB" w:eastAsia="ar-SA"/>
    </w:rPr>
  </w:style>
  <w:style w:type="paragraph" w:customStyle="1" w:styleId="CharCharChar">
    <w:name w:val="Char Char Char"/>
    <w:basedOn w:val="Normal"/>
    <w:rsid w:val="00D835CC"/>
    <w:pPr>
      <w:suppressAutoHyphens/>
      <w:spacing w:after="120" w:line="240" w:lineRule="exact"/>
    </w:pPr>
    <w:rPr>
      <w:rFonts w:ascii="Verdana" w:eastAsia="Times New Roman" w:hAnsi="Verdana" w:cs="Verdana"/>
      <w:sz w:val="20"/>
      <w:szCs w:val="20"/>
      <w:lang w:eastAsia="ar-SA"/>
    </w:rPr>
  </w:style>
  <w:style w:type="paragraph" w:customStyle="1" w:styleId="NormalWeb1">
    <w:name w:val="Normal (Web)1"/>
    <w:basedOn w:val="Normal"/>
    <w:rsid w:val="00D835CC"/>
    <w:pPr>
      <w:suppressAutoHyphens/>
    </w:pPr>
    <w:rPr>
      <w:rFonts w:ascii="Times New Roman" w:eastAsia="Times New Roman" w:hAnsi="Times New Roman" w:cs="Times New Roman"/>
      <w:lang w:val="en-GB" w:eastAsia="ar-SA"/>
    </w:rPr>
  </w:style>
  <w:style w:type="paragraph" w:styleId="FootnoteText">
    <w:name w:val="footnote text"/>
    <w:basedOn w:val="Normal"/>
    <w:link w:val="FootnoteTextChar"/>
    <w:rsid w:val="00D835CC"/>
    <w:pPr>
      <w:suppressAutoHyphens/>
    </w:pPr>
    <w:rPr>
      <w:rFonts w:ascii="Arial" w:eastAsia="Times New Roman" w:hAnsi="Arial" w:cs="Arial"/>
      <w:sz w:val="20"/>
      <w:szCs w:val="20"/>
      <w:lang w:val="en-GB" w:eastAsia="ar-SA"/>
    </w:rPr>
  </w:style>
  <w:style w:type="character" w:customStyle="1" w:styleId="FootnoteTextChar">
    <w:name w:val="Footnote Text Char"/>
    <w:basedOn w:val="DefaultParagraphFont"/>
    <w:link w:val="FootnoteText"/>
    <w:rsid w:val="00D835CC"/>
    <w:rPr>
      <w:rFonts w:ascii="Arial" w:eastAsia="Times New Roman" w:hAnsi="Arial" w:cs="Arial"/>
      <w:sz w:val="20"/>
      <w:szCs w:val="20"/>
      <w:lang w:val="en-GB" w:eastAsia="ar-SA"/>
    </w:rPr>
  </w:style>
  <w:style w:type="paragraph" w:styleId="BalloonText">
    <w:name w:val="Balloon Text"/>
    <w:basedOn w:val="Normal"/>
    <w:link w:val="BalloonTextChar"/>
    <w:rsid w:val="00D835CC"/>
    <w:pPr>
      <w:suppressAutoHyphens/>
    </w:pPr>
    <w:rPr>
      <w:rFonts w:ascii="Tahoma" w:eastAsia="Times New Roman" w:hAnsi="Tahoma" w:cs="Tahoma"/>
      <w:sz w:val="16"/>
      <w:szCs w:val="16"/>
      <w:lang w:val="en-GB" w:eastAsia="ar-SA"/>
    </w:rPr>
  </w:style>
  <w:style w:type="character" w:customStyle="1" w:styleId="BalloonTextChar">
    <w:name w:val="Balloon Text Char"/>
    <w:basedOn w:val="DefaultParagraphFont"/>
    <w:link w:val="BalloonText"/>
    <w:uiPriority w:val="99"/>
    <w:rsid w:val="00D835CC"/>
    <w:rPr>
      <w:rFonts w:ascii="Tahoma" w:eastAsia="Times New Roman" w:hAnsi="Tahoma" w:cs="Tahoma"/>
      <w:sz w:val="16"/>
      <w:szCs w:val="16"/>
      <w:lang w:val="en-GB" w:eastAsia="ar-SA"/>
    </w:rPr>
  </w:style>
  <w:style w:type="character" w:customStyle="1" w:styleId="CommentTextChar">
    <w:name w:val="Comment Text Char"/>
    <w:basedOn w:val="DefaultParagraphFont"/>
    <w:link w:val="CommentText"/>
    <w:semiHidden/>
    <w:rsid w:val="00D835CC"/>
    <w:rPr>
      <w:rFonts w:ascii="Arial" w:eastAsia="Times New Roman" w:hAnsi="Arial" w:cs="Arial"/>
      <w:sz w:val="20"/>
      <w:szCs w:val="20"/>
      <w:lang w:val="en-GB" w:eastAsia="ar-SA"/>
    </w:rPr>
  </w:style>
  <w:style w:type="paragraph" w:styleId="CommentText">
    <w:name w:val="annotation text"/>
    <w:basedOn w:val="Normal"/>
    <w:link w:val="CommentTextChar"/>
    <w:semiHidden/>
    <w:rsid w:val="00D835CC"/>
    <w:pPr>
      <w:suppressAutoHyphens/>
    </w:pPr>
    <w:rPr>
      <w:rFonts w:ascii="Arial" w:eastAsia="Times New Roman" w:hAnsi="Arial" w:cs="Arial"/>
      <w:sz w:val="20"/>
      <w:szCs w:val="20"/>
      <w:lang w:val="en-GB" w:eastAsia="ar-SA"/>
    </w:rPr>
  </w:style>
  <w:style w:type="character" w:customStyle="1" w:styleId="CommentSubjectChar">
    <w:name w:val="Comment Subject Char"/>
    <w:basedOn w:val="CommentTextChar"/>
    <w:link w:val="CommentSubject"/>
    <w:semiHidden/>
    <w:rsid w:val="00D835CC"/>
    <w:rPr>
      <w:rFonts w:ascii="Arial" w:eastAsia="Times New Roman" w:hAnsi="Arial" w:cs="Arial"/>
      <w:b/>
      <w:bCs/>
      <w:sz w:val="20"/>
      <w:szCs w:val="20"/>
      <w:lang w:val="en-GB" w:eastAsia="ar-SA"/>
    </w:rPr>
  </w:style>
  <w:style w:type="paragraph" w:styleId="CommentSubject">
    <w:name w:val="annotation subject"/>
    <w:basedOn w:val="CommentText"/>
    <w:next w:val="CommentText"/>
    <w:link w:val="CommentSubjectChar"/>
    <w:semiHidden/>
    <w:rsid w:val="00D835CC"/>
    <w:rPr>
      <w:b/>
      <w:bCs/>
    </w:rPr>
  </w:style>
  <w:style w:type="character" w:styleId="PageNumber">
    <w:name w:val="page number"/>
    <w:basedOn w:val="DefaultParagraphFont"/>
    <w:rsid w:val="00D835CC"/>
  </w:style>
  <w:style w:type="character" w:customStyle="1" w:styleId="DocumentMapChar">
    <w:name w:val="Document Map Char"/>
    <w:basedOn w:val="DefaultParagraphFont"/>
    <w:link w:val="DocumentMap"/>
    <w:semiHidden/>
    <w:rsid w:val="00D835CC"/>
    <w:rPr>
      <w:rFonts w:ascii="Tahoma" w:eastAsia="Times New Roman" w:hAnsi="Tahoma" w:cs="Tahoma"/>
      <w:sz w:val="20"/>
      <w:szCs w:val="20"/>
      <w:shd w:val="clear" w:color="auto" w:fill="000080"/>
      <w:lang w:val="en-GB" w:eastAsia="ar-SA"/>
    </w:rPr>
  </w:style>
  <w:style w:type="paragraph" w:styleId="DocumentMap">
    <w:name w:val="Document Map"/>
    <w:basedOn w:val="Normal"/>
    <w:link w:val="DocumentMapChar"/>
    <w:semiHidden/>
    <w:rsid w:val="00D835CC"/>
    <w:pPr>
      <w:shd w:val="clear" w:color="auto" w:fill="000080"/>
      <w:suppressAutoHyphens/>
    </w:pPr>
    <w:rPr>
      <w:rFonts w:ascii="Tahoma" w:eastAsia="Times New Roman" w:hAnsi="Tahoma" w:cs="Tahoma"/>
      <w:sz w:val="20"/>
      <w:szCs w:val="20"/>
      <w:lang w:val="en-GB" w:eastAsia="ar-SA"/>
    </w:rPr>
  </w:style>
  <w:style w:type="paragraph" w:styleId="NormalWeb">
    <w:name w:val="Normal (Web)"/>
    <w:basedOn w:val="Normal"/>
    <w:rsid w:val="00D835CC"/>
    <w:pPr>
      <w:spacing w:before="100" w:beforeAutospacing="1" w:after="100" w:afterAutospacing="1"/>
    </w:pPr>
    <w:rPr>
      <w:rFonts w:ascii="Times New Roman" w:eastAsia="Times New Roman" w:hAnsi="Times New Roman" w:cs="Times New Roman"/>
      <w:lang w:val="en-GB" w:eastAsia="en-GB"/>
    </w:rPr>
  </w:style>
  <w:style w:type="paragraph" w:styleId="EndnoteText">
    <w:name w:val="endnote text"/>
    <w:basedOn w:val="Normal"/>
    <w:link w:val="EndnoteTextChar"/>
    <w:rsid w:val="00D835CC"/>
    <w:pPr>
      <w:suppressAutoHyphens/>
    </w:pPr>
    <w:rPr>
      <w:rFonts w:ascii="Arial" w:eastAsia="Times New Roman" w:hAnsi="Arial" w:cs="Arial"/>
      <w:sz w:val="20"/>
      <w:szCs w:val="20"/>
      <w:lang w:val="en-GB" w:eastAsia="ar-SA"/>
    </w:rPr>
  </w:style>
  <w:style w:type="character" w:customStyle="1" w:styleId="EndnoteTextChar">
    <w:name w:val="Endnote Text Char"/>
    <w:basedOn w:val="DefaultParagraphFont"/>
    <w:link w:val="EndnoteText"/>
    <w:rsid w:val="00D835CC"/>
    <w:rPr>
      <w:rFonts w:ascii="Arial" w:eastAsia="Times New Roman" w:hAnsi="Arial" w:cs="Arial"/>
      <w:sz w:val="20"/>
      <w:szCs w:val="20"/>
      <w:lang w:val="en-GB" w:eastAsia="ar-SA"/>
    </w:rPr>
  </w:style>
  <w:style w:type="character" w:styleId="Emphasis">
    <w:name w:val="Emphasis"/>
    <w:uiPriority w:val="20"/>
    <w:qFormat/>
    <w:rsid w:val="00D835CC"/>
    <w:rPr>
      <w:b/>
      <w:bCs/>
      <w:i w:val="0"/>
      <w:iCs w:val="0"/>
    </w:rPr>
  </w:style>
  <w:style w:type="character" w:customStyle="1" w:styleId="st1">
    <w:name w:val="st1"/>
    <w:rsid w:val="00D835CC"/>
  </w:style>
  <w:style w:type="paragraph" w:customStyle="1" w:styleId="Default">
    <w:name w:val="Default"/>
    <w:rsid w:val="00D835CC"/>
    <w:pPr>
      <w:autoSpaceDE w:val="0"/>
      <w:autoSpaceDN w:val="0"/>
      <w:adjustRightInd w:val="0"/>
    </w:pPr>
    <w:rPr>
      <w:rFonts w:ascii="Arial" w:eastAsia="Times New Roman" w:hAnsi="Arial" w:cs="Arial"/>
      <w:color w:val="000000"/>
      <w:lang w:val="en-GB" w:eastAsia="en-GB"/>
    </w:rPr>
  </w:style>
  <w:style w:type="character" w:customStyle="1" w:styleId="style4b1">
    <w:name w:val="style4b1"/>
    <w:rsid w:val="00D835CC"/>
    <w:rPr>
      <w:b/>
      <w:bCs/>
      <w:color w:val="003366"/>
      <w:sz w:val="24"/>
      <w:szCs w:val="24"/>
    </w:rPr>
  </w:style>
  <w:style w:type="paragraph" w:styleId="NoSpacing">
    <w:name w:val="No Spacing"/>
    <w:basedOn w:val="Normal0"/>
    <w:next w:val="Normal0"/>
    <w:uiPriority w:val="1"/>
    <w:qFormat/>
    <w:rsid w:val="00C20BD8"/>
    <w:pPr>
      <w:spacing w:line="240" w:lineRule="auto"/>
    </w:pPr>
    <w:rPr>
      <w:rFonts w:ascii="Verdana" w:eastAsia="Calibri" w:hAnsi="Verdana"/>
      <w:sz w:val="16"/>
      <w:szCs w:val="22"/>
    </w:rPr>
  </w:style>
  <w:style w:type="paragraph" w:customStyle="1" w:styleId="Normal000">
    <w:name w:val="Normal_0_0_0"/>
    <w:basedOn w:val="Normal00"/>
    <w:next w:val="Normal00"/>
    <w:qFormat/>
    <w:rsid w:val="003F4F65"/>
    <w:pPr>
      <w:jc w:val="both"/>
    </w:pPr>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61668">
      <w:bodyDiv w:val="1"/>
      <w:marLeft w:val="0"/>
      <w:marRight w:val="0"/>
      <w:marTop w:val="0"/>
      <w:marBottom w:val="0"/>
      <w:divBdr>
        <w:top w:val="none" w:sz="0" w:space="0" w:color="auto"/>
        <w:left w:val="none" w:sz="0" w:space="0" w:color="auto"/>
        <w:bottom w:val="none" w:sz="0" w:space="0" w:color="auto"/>
        <w:right w:val="none" w:sz="0" w:space="0" w:color="auto"/>
      </w:divBdr>
    </w:div>
    <w:div w:id="111752611">
      <w:bodyDiv w:val="1"/>
      <w:marLeft w:val="0"/>
      <w:marRight w:val="0"/>
      <w:marTop w:val="0"/>
      <w:marBottom w:val="0"/>
      <w:divBdr>
        <w:top w:val="none" w:sz="0" w:space="0" w:color="auto"/>
        <w:left w:val="none" w:sz="0" w:space="0" w:color="auto"/>
        <w:bottom w:val="none" w:sz="0" w:space="0" w:color="auto"/>
        <w:right w:val="none" w:sz="0" w:space="0" w:color="auto"/>
      </w:divBdr>
    </w:div>
    <w:div w:id="163859958">
      <w:bodyDiv w:val="1"/>
      <w:marLeft w:val="0"/>
      <w:marRight w:val="0"/>
      <w:marTop w:val="0"/>
      <w:marBottom w:val="0"/>
      <w:divBdr>
        <w:top w:val="none" w:sz="0" w:space="0" w:color="auto"/>
        <w:left w:val="none" w:sz="0" w:space="0" w:color="auto"/>
        <w:bottom w:val="none" w:sz="0" w:space="0" w:color="auto"/>
        <w:right w:val="none" w:sz="0" w:space="0" w:color="auto"/>
      </w:divBdr>
    </w:div>
    <w:div w:id="176968061">
      <w:bodyDiv w:val="1"/>
      <w:marLeft w:val="0"/>
      <w:marRight w:val="0"/>
      <w:marTop w:val="0"/>
      <w:marBottom w:val="0"/>
      <w:divBdr>
        <w:top w:val="none" w:sz="0" w:space="0" w:color="auto"/>
        <w:left w:val="none" w:sz="0" w:space="0" w:color="auto"/>
        <w:bottom w:val="none" w:sz="0" w:space="0" w:color="auto"/>
        <w:right w:val="none" w:sz="0" w:space="0" w:color="auto"/>
      </w:divBdr>
    </w:div>
    <w:div w:id="200870785">
      <w:bodyDiv w:val="1"/>
      <w:marLeft w:val="0"/>
      <w:marRight w:val="0"/>
      <w:marTop w:val="0"/>
      <w:marBottom w:val="0"/>
      <w:divBdr>
        <w:top w:val="none" w:sz="0" w:space="0" w:color="auto"/>
        <w:left w:val="none" w:sz="0" w:space="0" w:color="auto"/>
        <w:bottom w:val="none" w:sz="0" w:space="0" w:color="auto"/>
        <w:right w:val="none" w:sz="0" w:space="0" w:color="auto"/>
      </w:divBdr>
    </w:div>
    <w:div w:id="237372885">
      <w:bodyDiv w:val="1"/>
      <w:marLeft w:val="0"/>
      <w:marRight w:val="0"/>
      <w:marTop w:val="0"/>
      <w:marBottom w:val="0"/>
      <w:divBdr>
        <w:top w:val="none" w:sz="0" w:space="0" w:color="auto"/>
        <w:left w:val="none" w:sz="0" w:space="0" w:color="auto"/>
        <w:bottom w:val="none" w:sz="0" w:space="0" w:color="auto"/>
        <w:right w:val="none" w:sz="0" w:space="0" w:color="auto"/>
      </w:divBdr>
    </w:div>
    <w:div w:id="255480868">
      <w:bodyDiv w:val="1"/>
      <w:marLeft w:val="0"/>
      <w:marRight w:val="0"/>
      <w:marTop w:val="0"/>
      <w:marBottom w:val="0"/>
      <w:divBdr>
        <w:top w:val="none" w:sz="0" w:space="0" w:color="auto"/>
        <w:left w:val="none" w:sz="0" w:space="0" w:color="auto"/>
        <w:bottom w:val="none" w:sz="0" w:space="0" w:color="auto"/>
        <w:right w:val="none" w:sz="0" w:space="0" w:color="auto"/>
      </w:divBdr>
    </w:div>
    <w:div w:id="288903507">
      <w:bodyDiv w:val="1"/>
      <w:marLeft w:val="0"/>
      <w:marRight w:val="0"/>
      <w:marTop w:val="0"/>
      <w:marBottom w:val="0"/>
      <w:divBdr>
        <w:top w:val="none" w:sz="0" w:space="0" w:color="auto"/>
        <w:left w:val="none" w:sz="0" w:space="0" w:color="auto"/>
        <w:bottom w:val="none" w:sz="0" w:space="0" w:color="auto"/>
        <w:right w:val="none" w:sz="0" w:space="0" w:color="auto"/>
      </w:divBdr>
    </w:div>
    <w:div w:id="306787486">
      <w:bodyDiv w:val="1"/>
      <w:marLeft w:val="0"/>
      <w:marRight w:val="0"/>
      <w:marTop w:val="0"/>
      <w:marBottom w:val="0"/>
      <w:divBdr>
        <w:top w:val="none" w:sz="0" w:space="0" w:color="auto"/>
        <w:left w:val="none" w:sz="0" w:space="0" w:color="auto"/>
        <w:bottom w:val="none" w:sz="0" w:space="0" w:color="auto"/>
        <w:right w:val="none" w:sz="0" w:space="0" w:color="auto"/>
      </w:divBdr>
    </w:div>
    <w:div w:id="320432785">
      <w:bodyDiv w:val="1"/>
      <w:marLeft w:val="0"/>
      <w:marRight w:val="0"/>
      <w:marTop w:val="0"/>
      <w:marBottom w:val="0"/>
      <w:divBdr>
        <w:top w:val="none" w:sz="0" w:space="0" w:color="auto"/>
        <w:left w:val="none" w:sz="0" w:space="0" w:color="auto"/>
        <w:bottom w:val="none" w:sz="0" w:space="0" w:color="auto"/>
        <w:right w:val="none" w:sz="0" w:space="0" w:color="auto"/>
      </w:divBdr>
    </w:div>
    <w:div w:id="442193809">
      <w:bodyDiv w:val="1"/>
      <w:marLeft w:val="0"/>
      <w:marRight w:val="0"/>
      <w:marTop w:val="0"/>
      <w:marBottom w:val="0"/>
      <w:divBdr>
        <w:top w:val="none" w:sz="0" w:space="0" w:color="auto"/>
        <w:left w:val="none" w:sz="0" w:space="0" w:color="auto"/>
        <w:bottom w:val="none" w:sz="0" w:space="0" w:color="auto"/>
        <w:right w:val="none" w:sz="0" w:space="0" w:color="auto"/>
      </w:divBdr>
    </w:div>
    <w:div w:id="457336677">
      <w:bodyDiv w:val="1"/>
      <w:marLeft w:val="0"/>
      <w:marRight w:val="0"/>
      <w:marTop w:val="0"/>
      <w:marBottom w:val="0"/>
      <w:divBdr>
        <w:top w:val="none" w:sz="0" w:space="0" w:color="auto"/>
        <w:left w:val="none" w:sz="0" w:space="0" w:color="auto"/>
        <w:bottom w:val="none" w:sz="0" w:space="0" w:color="auto"/>
        <w:right w:val="none" w:sz="0" w:space="0" w:color="auto"/>
      </w:divBdr>
    </w:div>
    <w:div w:id="461774439">
      <w:bodyDiv w:val="1"/>
      <w:marLeft w:val="0"/>
      <w:marRight w:val="0"/>
      <w:marTop w:val="0"/>
      <w:marBottom w:val="0"/>
      <w:divBdr>
        <w:top w:val="none" w:sz="0" w:space="0" w:color="auto"/>
        <w:left w:val="none" w:sz="0" w:space="0" w:color="auto"/>
        <w:bottom w:val="none" w:sz="0" w:space="0" w:color="auto"/>
        <w:right w:val="none" w:sz="0" w:space="0" w:color="auto"/>
      </w:divBdr>
    </w:div>
    <w:div w:id="465246644">
      <w:bodyDiv w:val="1"/>
      <w:marLeft w:val="0"/>
      <w:marRight w:val="0"/>
      <w:marTop w:val="0"/>
      <w:marBottom w:val="0"/>
      <w:divBdr>
        <w:top w:val="none" w:sz="0" w:space="0" w:color="auto"/>
        <w:left w:val="none" w:sz="0" w:space="0" w:color="auto"/>
        <w:bottom w:val="none" w:sz="0" w:space="0" w:color="auto"/>
        <w:right w:val="none" w:sz="0" w:space="0" w:color="auto"/>
      </w:divBdr>
    </w:div>
    <w:div w:id="495389539">
      <w:bodyDiv w:val="1"/>
      <w:marLeft w:val="0"/>
      <w:marRight w:val="0"/>
      <w:marTop w:val="0"/>
      <w:marBottom w:val="0"/>
      <w:divBdr>
        <w:top w:val="none" w:sz="0" w:space="0" w:color="auto"/>
        <w:left w:val="none" w:sz="0" w:space="0" w:color="auto"/>
        <w:bottom w:val="none" w:sz="0" w:space="0" w:color="auto"/>
        <w:right w:val="none" w:sz="0" w:space="0" w:color="auto"/>
      </w:divBdr>
    </w:div>
    <w:div w:id="515851291">
      <w:bodyDiv w:val="1"/>
      <w:marLeft w:val="0"/>
      <w:marRight w:val="0"/>
      <w:marTop w:val="0"/>
      <w:marBottom w:val="0"/>
      <w:divBdr>
        <w:top w:val="none" w:sz="0" w:space="0" w:color="auto"/>
        <w:left w:val="none" w:sz="0" w:space="0" w:color="auto"/>
        <w:bottom w:val="none" w:sz="0" w:space="0" w:color="auto"/>
        <w:right w:val="none" w:sz="0" w:space="0" w:color="auto"/>
      </w:divBdr>
    </w:div>
    <w:div w:id="533546100">
      <w:bodyDiv w:val="1"/>
      <w:marLeft w:val="0"/>
      <w:marRight w:val="0"/>
      <w:marTop w:val="0"/>
      <w:marBottom w:val="0"/>
      <w:divBdr>
        <w:top w:val="none" w:sz="0" w:space="0" w:color="auto"/>
        <w:left w:val="none" w:sz="0" w:space="0" w:color="auto"/>
        <w:bottom w:val="none" w:sz="0" w:space="0" w:color="auto"/>
        <w:right w:val="none" w:sz="0" w:space="0" w:color="auto"/>
      </w:divBdr>
    </w:div>
    <w:div w:id="643776462">
      <w:bodyDiv w:val="1"/>
      <w:marLeft w:val="0"/>
      <w:marRight w:val="0"/>
      <w:marTop w:val="0"/>
      <w:marBottom w:val="0"/>
      <w:divBdr>
        <w:top w:val="none" w:sz="0" w:space="0" w:color="auto"/>
        <w:left w:val="none" w:sz="0" w:space="0" w:color="auto"/>
        <w:bottom w:val="none" w:sz="0" w:space="0" w:color="auto"/>
        <w:right w:val="none" w:sz="0" w:space="0" w:color="auto"/>
      </w:divBdr>
    </w:div>
    <w:div w:id="733626526">
      <w:bodyDiv w:val="1"/>
      <w:marLeft w:val="0"/>
      <w:marRight w:val="0"/>
      <w:marTop w:val="0"/>
      <w:marBottom w:val="0"/>
      <w:divBdr>
        <w:top w:val="none" w:sz="0" w:space="0" w:color="auto"/>
        <w:left w:val="none" w:sz="0" w:space="0" w:color="auto"/>
        <w:bottom w:val="none" w:sz="0" w:space="0" w:color="auto"/>
        <w:right w:val="none" w:sz="0" w:space="0" w:color="auto"/>
      </w:divBdr>
    </w:div>
    <w:div w:id="739789403">
      <w:bodyDiv w:val="1"/>
      <w:marLeft w:val="0"/>
      <w:marRight w:val="0"/>
      <w:marTop w:val="0"/>
      <w:marBottom w:val="0"/>
      <w:divBdr>
        <w:top w:val="none" w:sz="0" w:space="0" w:color="auto"/>
        <w:left w:val="none" w:sz="0" w:space="0" w:color="auto"/>
        <w:bottom w:val="none" w:sz="0" w:space="0" w:color="auto"/>
        <w:right w:val="none" w:sz="0" w:space="0" w:color="auto"/>
      </w:divBdr>
    </w:div>
    <w:div w:id="745344488">
      <w:bodyDiv w:val="1"/>
      <w:marLeft w:val="0"/>
      <w:marRight w:val="0"/>
      <w:marTop w:val="0"/>
      <w:marBottom w:val="0"/>
      <w:divBdr>
        <w:top w:val="none" w:sz="0" w:space="0" w:color="auto"/>
        <w:left w:val="none" w:sz="0" w:space="0" w:color="auto"/>
        <w:bottom w:val="none" w:sz="0" w:space="0" w:color="auto"/>
        <w:right w:val="none" w:sz="0" w:space="0" w:color="auto"/>
      </w:divBdr>
    </w:div>
    <w:div w:id="758328792">
      <w:bodyDiv w:val="1"/>
      <w:marLeft w:val="0"/>
      <w:marRight w:val="0"/>
      <w:marTop w:val="0"/>
      <w:marBottom w:val="0"/>
      <w:divBdr>
        <w:top w:val="none" w:sz="0" w:space="0" w:color="auto"/>
        <w:left w:val="none" w:sz="0" w:space="0" w:color="auto"/>
        <w:bottom w:val="none" w:sz="0" w:space="0" w:color="auto"/>
        <w:right w:val="none" w:sz="0" w:space="0" w:color="auto"/>
      </w:divBdr>
    </w:div>
    <w:div w:id="764688021">
      <w:bodyDiv w:val="1"/>
      <w:marLeft w:val="0"/>
      <w:marRight w:val="0"/>
      <w:marTop w:val="0"/>
      <w:marBottom w:val="0"/>
      <w:divBdr>
        <w:top w:val="none" w:sz="0" w:space="0" w:color="auto"/>
        <w:left w:val="none" w:sz="0" w:space="0" w:color="auto"/>
        <w:bottom w:val="none" w:sz="0" w:space="0" w:color="auto"/>
        <w:right w:val="none" w:sz="0" w:space="0" w:color="auto"/>
      </w:divBdr>
    </w:div>
    <w:div w:id="789974204">
      <w:bodyDiv w:val="1"/>
      <w:marLeft w:val="0"/>
      <w:marRight w:val="0"/>
      <w:marTop w:val="0"/>
      <w:marBottom w:val="0"/>
      <w:divBdr>
        <w:top w:val="none" w:sz="0" w:space="0" w:color="auto"/>
        <w:left w:val="none" w:sz="0" w:space="0" w:color="auto"/>
        <w:bottom w:val="none" w:sz="0" w:space="0" w:color="auto"/>
        <w:right w:val="none" w:sz="0" w:space="0" w:color="auto"/>
      </w:divBdr>
    </w:div>
    <w:div w:id="813571680">
      <w:bodyDiv w:val="1"/>
      <w:marLeft w:val="0"/>
      <w:marRight w:val="0"/>
      <w:marTop w:val="0"/>
      <w:marBottom w:val="0"/>
      <w:divBdr>
        <w:top w:val="none" w:sz="0" w:space="0" w:color="auto"/>
        <w:left w:val="none" w:sz="0" w:space="0" w:color="auto"/>
        <w:bottom w:val="none" w:sz="0" w:space="0" w:color="auto"/>
        <w:right w:val="none" w:sz="0" w:space="0" w:color="auto"/>
      </w:divBdr>
    </w:div>
    <w:div w:id="819420224">
      <w:bodyDiv w:val="1"/>
      <w:marLeft w:val="0"/>
      <w:marRight w:val="0"/>
      <w:marTop w:val="0"/>
      <w:marBottom w:val="0"/>
      <w:divBdr>
        <w:top w:val="none" w:sz="0" w:space="0" w:color="auto"/>
        <w:left w:val="none" w:sz="0" w:space="0" w:color="auto"/>
        <w:bottom w:val="none" w:sz="0" w:space="0" w:color="auto"/>
        <w:right w:val="none" w:sz="0" w:space="0" w:color="auto"/>
      </w:divBdr>
    </w:div>
    <w:div w:id="826673518">
      <w:bodyDiv w:val="1"/>
      <w:marLeft w:val="0"/>
      <w:marRight w:val="0"/>
      <w:marTop w:val="0"/>
      <w:marBottom w:val="0"/>
      <w:divBdr>
        <w:top w:val="none" w:sz="0" w:space="0" w:color="auto"/>
        <w:left w:val="none" w:sz="0" w:space="0" w:color="auto"/>
        <w:bottom w:val="none" w:sz="0" w:space="0" w:color="auto"/>
        <w:right w:val="none" w:sz="0" w:space="0" w:color="auto"/>
      </w:divBdr>
    </w:div>
    <w:div w:id="839194417">
      <w:bodyDiv w:val="1"/>
      <w:marLeft w:val="0"/>
      <w:marRight w:val="0"/>
      <w:marTop w:val="0"/>
      <w:marBottom w:val="0"/>
      <w:divBdr>
        <w:top w:val="none" w:sz="0" w:space="0" w:color="auto"/>
        <w:left w:val="none" w:sz="0" w:space="0" w:color="auto"/>
        <w:bottom w:val="none" w:sz="0" w:space="0" w:color="auto"/>
        <w:right w:val="none" w:sz="0" w:space="0" w:color="auto"/>
      </w:divBdr>
    </w:div>
    <w:div w:id="857237479">
      <w:bodyDiv w:val="1"/>
      <w:marLeft w:val="0"/>
      <w:marRight w:val="0"/>
      <w:marTop w:val="0"/>
      <w:marBottom w:val="0"/>
      <w:divBdr>
        <w:top w:val="none" w:sz="0" w:space="0" w:color="auto"/>
        <w:left w:val="none" w:sz="0" w:space="0" w:color="auto"/>
        <w:bottom w:val="none" w:sz="0" w:space="0" w:color="auto"/>
        <w:right w:val="none" w:sz="0" w:space="0" w:color="auto"/>
      </w:divBdr>
    </w:div>
    <w:div w:id="904872553">
      <w:bodyDiv w:val="1"/>
      <w:marLeft w:val="0"/>
      <w:marRight w:val="0"/>
      <w:marTop w:val="0"/>
      <w:marBottom w:val="0"/>
      <w:divBdr>
        <w:top w:val="none" w:sz="0" w:space="0" w:color="auto"/>
        <w:left w:val="none" w:sz="0" w:space="0" w:color="auto"/>
        <w:bottom w:val="none" w:sz="0" w:space="0" w:color="auto"/>
        <w:right w:val="none" w:sz="0" w:space="0" w:color="auto"/>
      </w:divBdr>
    </w:div>
    <w:div w:id="938876625">
      <w:bodyDiv w:val="1"/>
      <w:marLeft w:val="0"/>
      <w:marRight w:val="0"/>
      <w:marTop w:val="0"/>
      <w:marBottom w:val="0"/>
      <w:divBdr>
        <w:top w:val="none" w:sz="0" w:space="0" w:color="auto"/>
        <w:left w:val="none" w:sz="0" w:space="0" w:color="auto"/>
        <w:bottom w:val="none" w:sz="0" w:space="0" w:color="auto"/>
        <w:right w:val="none" w:sz="0" w:space="0" w:color="auto"/>
      </w:divBdr>
    </w:div>
    <w:div w:id="945234905">
      <w:bodyDiv w:val="1"/>
      <w:marLeft w:val="0"/>
      <w:marRight w:val="0"/>
      <w:marTop w:val="0"/>
      <w:marBottom w:val="0"/>
      <w:divBdr>
        <w:top w:val="none" w:sz="0" w:space="0" w:color="auto"/>
        <w:left w:val="none" w:sz="0" w:space="0" w:color="auto"/>
        <w:bottom w:val="none" w:sz="0" w:space="0" w:color="auto"/>
        <w:right w:val="none" w:sz="0" w:space="0" w:color="auto"/>
      </w:divBdr>
    </w:div>
    <w:div w:id="975068284">
      <w:bodyDiv w:val="1"/>
      <w:marLeft w:val="0"/>
      <w:marRight w:val="0"/>
      <w:marTop w:val="0"/>
      <w:marBottom w:val="0"/>
      <w:divBdr>
        <w:top w:val="none" w:sz="0" w:space="0" w:color="auto"/>
        <w:left w:val="none" w:sz="0" w:space="0" w:color="auto"/>
        <w:bottom w:val="none" w:sz="0" w:space="0" w:color="auto"/>
        <w:right w:val="none" w:sz="0" w:space="0" w:color="auto"/>
      </w:divBdr>
    </w:div>
    <w:div w:id="985816966">
      <w:bodyDiv w:val="1"/>
      <w:marLeft w:val="0"/>
      <w:marRight w:val="0"/>
      <w:marTop w:val="0"/>
      <w:marBottom w:val="0"/>
      <w:divBdr>
        <w:top w:val="none" w:sz="0" w:space="0" w:color="auto"/>
        <w:left w:val="none" w:sz="0" w:space="0" w:color="auto"/>
        <w:bottom w:val="none" w:sz="0" w:space="0" w:color="auto"/>
        <w:right w:val="none" w:sz="0" w:space="0" w:color="auto"/>
      </w:divBdr>
    </w:div>
    <w:div w:id="1024794989">
      <w:bodyDiv w:val="1"/>
      <w:marLeft w:val="0"/>
      <w:marRight w:val="0"/>
      <w:marTop w:val="0"/>
      <w:marBottom w:val="0"/>
      <w:divBdr>
        <w:top w:val="none" w:sz="0" w:space="0" w:color="auto"/>
        <w:left w:val="none" w:sz="0" w:space="0" w:color="auto"/>
        <w:bottom w:val="none" w:sz="0" w:space="0" w:color="auto"/>
        <w:right w:val="none" w:sz="0" w:space="0" w:color="auto"/>
      </w:divBdr>
    </w:div>
    <w:div w:id="1105349470">
      <w:bodyDiv w:val="1"/>
      <w:marLeft w:val="0"/>
      <w:marRight w:val="0"/>
      <w:marTop w:val="0"/>
      <w:marBottom w:val="0"/>
      <w:divBdr>
        <w:top w:val="none" w:sz="0" w:space="0" w:color="auto"/>
        <w:left w:val="none" w:sz="0" w:space="0" w:color="auto"/>
        <w:bottom w:val="none" w:sz="0" w:space="0" w:color="auto"/>
        <w:right w:val="none" w:sz="0" w:space="0" w:color="auto"/>
      </w:divBdr>
    </w:div>
    <w:div w:id="1107769270">
      <w:bodyDiv w:val="1"/>
      <w:marLeft w:val="0"/>
      <w:marRight w:val="0"/>
      <w:marTop w:val="0"/>
      <w:marBottom w:val="0"/>
      <w:divBdr>
        <w:top w:val="none" w:sz="0" w:space="0" w:color="auto"/>
        <w:left w:val="none" w:sz="0" w:space="0" w:color="auto"/>
        <w:bottom w:val="none" w:sz="0" w:space="0" w:color="auto"/>
        <w:right w:val="none" w:sz="0" w:space="0" w:color="auto"/>
      </w:divBdr>
    </w:div>
    <w:div w:id="1153793364">
      <w:bodyDiv w:val="1"/>
      <w:marLeft w:val="0"/>
      <w:marRight w:val="0"/>
      <w:marTop w:val="0"/>
      <w:marBottom w:val="0"/>
      <w:divBdr>
        <w:top w:val="none" w:sz="0" w:space="0" w:color="auto"/>
        <w:left w:val="none" w:sz="0" w:space="0" w:color="auto"/>
        <w:bottom w:val="none" w:sz="0" w:space="0" w:color="auto"/>
        <w:right w:val="none" w:sz="0" w:space="0" w:color="auto"/>
      </w:divBdr>
    </w:div>
    <w:div w:id="1164319034">
      <w:bodyDiv w:val="1"/>
      <w:marLeft w:val="0"/>
      <w:marRight w:val="0"/>
      <w:marTop w:val="0"/>
      <w:marBottom w:val="0"/>
      <w:divBdr>
        <w:top w:val="none" w:sz="0" w:space="0" w:color="auto"/>
        <w:left w:val="none" w:sz="0" w:space="0" w:color="auto"/>
        <w:bottom w:val="none" w:sz="0" w:space="0" w:color="auto"/>
        <w:right w:val="none" w:sz="0" w:space="0" w:color="auto"/>
      </w:divBdr>
    </w:div>
    <w:div w:id="1196043079">
      <w:bodyDiv w:val="1"/>
      <w:marLeft w:val="0"/>
      <w:marRight w:val="0"/>
      <w:marTop w:val="0"/>
      <w:marBottom w:val="0"/>
      <w:divBdr>
        <w:top w:val="none" w:sz="0" w:space="0" w:color="auto"/>
        <w:left w:val="none" w:sz="0" w:space="0" w:color="auto"/>
        <w:bottom w:val="none" w:sz="0" w:space="0" w:color="auto"/>
        <w:right w:val="none" w:sz="0" w:space="0" w:color="auto"/>
      </w:divBdr>
    </w:div>
    <w:div w:id="1234586236">
      <w:bodyDiv w:val="1"/>
      <w:marLeft w:val="0"/>
      <w:marRight w:val="0"/>
      <w:marTop w:val="0"/>
      <w:marBottom w:val="0"/>
      <w:divBdr>
        <w:top w:val="none" w:sz="0" w:space="0" w:color="auto"/>
        <w:left w:val="none" w:sz="0" w:space="0" w:color="auto"/>
        <w:bottom w:val="none" w:sz="0" w:space="0" w:color="auto"/>
        <w:right w:val="none" w:sz="0" w:space="0" w:color="auto"/>
      </w:divBdr>
    </w:div>
    <w:div w:id="1259799580">
      <w:bodyDiv w:val="1"/>
      <w:marLeft w:val="0"/>
      <w:marRight w:val="0"/>
      <w:marTop w:val="0"/>
      <w:marBottom w:val="0"/>
      <w:divBdr>
        <w:top w:val="none" w:sz="0" w:space="0" w:color="auto"/>
        <w:left w:val="none" w:sz="0" w:space="0" w:color="auto"/>
        <w:bottom w:val="none" w:sz="0" w:space="0" w:color="auto"/>
        <w:right w:val="none" w:sz="0" w:space="0" w:color="auto"/>
      </w:divBdr>
    </w:div>
    <w:div w:id="1287353155">
      <w:bodyDiv w:val="1"/>
      <w:marLeft w:val="0"/>
      <w:marRight w:val="0"/>
      <w:marTop w:val="0"/>
      <w:marBottom w:val="0"/>
      <w:divBdr>
        <w:top w:val="none" w:sz="0" w:space="0" w:color="auto"/>
        <w:left w:val="none" w:sz="0" w:space="0" w:color="auto"/>
        <w:bottom w:val="none" w:sz="0" w:space="0" w:color="auto"/>
        <w:right w:val="none" w:sz="0" w:space="0" w:color="auto"/>
      </w:divBdr>
    </w:div>
    <w:div w:id="1295597007">
      <w:bodyDiv w:val="1"/>
      <w:marLeft w:val="0"/>
      <w:marRight w:val="0"/>
      <w:marTop w:val="0"/>
      <w:marBottom w:val="0"/>
      <w:divBdr>
        <w:top w:val="none" w:sz="0" w:space="0" w:color="auto"/>
        <w:left w:val="none" w:sz="0" w:space="0" w:color="auto"/>
        <w:bottom w:val="none" w:sz="0" w:space="0" w:color="auto"/>
        <w:right w:val="none" w:sz="0" w:space="0" w:color="auto"/>
      </w:divBdr>
    </w:div>
    <w:div w:id="1327896762">
      <w:bodyDiv w:val="1"/>
      <w:marLeft w:val="0"/>
      <w:marRight w:val="0"/>
      <w:marTop w:val="0"/>
      <w:marBottom w:val="0"/>
      <w:divBdr>
        <w:top w:val="none" w:sz="0" w:space="0" w:color="auto"/>
        <w:left w:val="none" w:sz="0" w:space="0" w:color="auto"/>
        <w:bottom w:val="none" w:sz="0" w:space="0" w:color="auto"/>
        <w:right w:val="none" w:sz="0" w:space="0" w:color="auto"/>
      </w:divBdr>
    </w:div>
    <w:div w:id="1351568838">
      <w:bodyDiv w:val="1"/>
      <w:marLeft w:val="0"/>
      <w:marRight w:val="0"/>
      <w:marTop w:val="0"/>
      <w:marBottom w:val="0"/>
      <w:divBdr>
        <w:top w:val="none" w:sz="0" w:space="0" w:color="auto"/>
        <w:left w:val="none" w:sz="0" w:space="0" w:color="auto"/>
        <w:bottom w:val="none" w:sz="0" w:space="0" w:color="auto"/>
        <w:right w:val="none" w:sz="0" w:space="0" w:color="auto"/>
      </w:divBdr>
    </w:div>
    <w:div w:id="1374043073">
      <w:bodyDiv w:val="1"/>
      <w:marLeft w:val="0"/>
      <w:marRight w:val="0"/>
      <w:marTop w:val="0"/>
      <w:marBottom w:val="0"/>
      <w:divBdr>
        <w:top w:val="none" w:sz="0" w:space="0" w:color="auto"/>
        <w:left w:val="none" w:sz="0" w:space="0" w:color="auto"/>
        <w:bottom w:val="none" w:sz="0" w:space="0" w:color="auto"/>
        <w:right w:val="none" w:sz="0" w:space="0" w:color="auto"/>
      </w:divBdr>
    </w:div>
    <w:div w:id="1388718901">
      <w:bodyDiv w:val="1"/>
      <w:marLeft w:val="0"/>
      <w:marRight w:val="0"/>
      <w:marTop w:val="0"/>
      <w:marBottom w:val="0"/>
      <w:divBdr>
        <w:top w:val="none" w:sz="0" w:space="0" w:color="auto"/>
        <w:left w:val="none" w:sz="0" w:space="0" w:color="auto"/>
        <w:bottom w:val="none" w:sz="0" w:space="0" w:color="auto"/>
        <w:right w:val="none" w:sz="0" w:space="0" w:color="auto"/>
      </w:divBdr>
    </w:div>
    <w:div w:id="1397320766">
      <w:bodyDiv w:val="1"/>
      <w:marLeft w:val="0"/>
      <w:marRight w:val="0"/>
      <w:marTop w:val="0"/>
      <w:marBottom w:val="0"/>
      <w:divBdr>
        <w:top w:val="none" w:sz="0" w:space="0" w:color="auto"/>
        <w:left w:val="none" w:sz="0" w:space="0" w:color="auto"/>
        <w:bottom w:val="none" w:sz="0" w:space="0" w:color="auto"/>
        <w:right w:val="none" w:sz="0" w:space="0" w:color="auto"/>
      </w:divBdr>
    </w:div>
    <w:div w:id="1424178847">
      <w:bodyDiv w:val="1"/>
      <w:marLeft w:val="0"/>
      <w:marRight w:val="0"/>
      <w:marTop w:val="0"/>
      <w:marBottom w:val="0"/>
      <w:divBdr>
        <w:top w:val="none" w:sz="0" w:space="0" w:color="auto"/>
        <w:left w:val="none" w:sz="0" w:space="0" w:color="auto"/>
        <w:bottom w:val="none" w:sz="0" w:space="0" w:color="auto"/>
        <w:right w:val="none" w:sz="0" w:space="0" w:color="auto"/>
      </w:divBdr>
    </w:div>
    <w:div w:id="1432435507">
      <w:bodyDiv w:val="1"/>
      <w:marLeft w:val="0"/>
      <w:marRight w:val="0"/>
      <w:marTop w:val="0"/>
      <w:marBottom w:val="0"/>
      <w:divBdr>
        <w:top w:val="none" w:sz="0" w:space="0" w:color="auto"/>
        <w:left w:val="none" w:sz="0" w:space="0" w:color="auto"/>
        <w:bottom w:val="none" w:sz="0" w:space="0" w:color="auto"/>
        <w:right w:val="none" w:sz="0" w:space="0" w:color="auto"/>
      </w:divBdr>
    </w:div>
    <w:div w:id="1466199705">
      <w:bodyDiv w:val="1"/>
      <w:marLeft w:val="0"/>
      <w:marRight w:val="0"/>
      <w:marTop w:val="0"/>
      <w:marBottom w:val="0"/>
      <w:divBdr>
        <w:top w:val="none" w:sz="0" w:space="0" w:color="auto"/>
        <w:left w:val="none" w:sz="0" w:space="0" w:color="auto"/>
        <w:bottom w:val="none" w:sz="0" w:space="0" w:color="auto"/>
        <w:right w:val="none" w:sz="0" w:space="0" w:color="auto"/>
      </w:divBdr>
    </w:div>
    <w:div w:id="1501311990">
      <w:bodyDiv w:val="1"/>
      <w:marLeft w:val="0"/>
      <w:marRight w:val="0"/>
      <w:marTop w:val="0"/>
      <w:marBottom w:val="0"/>
      <w:divBdr>
        <w:top w:val="none" w:sz="0" w:space="0" w:color="auto"/>
        <w:left w:val="none" w:sz="0" w:space="0" w:color="auto"/>
        <w:bottom w:val="none" w:sz="0" w:space="0" w:color="auto"/>
        <w:right w:val="none" w:sz="0" w:space="0" w:color="auto"/>
      </w:divBdr>
    </w:div>
    <w:div w:id="1508252554">
      <w:bodyDiv w:val="1"/>
      <w:marLeft w:val="0"/>
      <w:marRight w:val="0"/>
      <w:marTop w:val="0"/>
      <w:marBottom w:val="0"/>
      <w:divBdr>
        <w:top w:val="none" w:sz="0" w:space="0" w:color="auto"/>
        <w:left w:val="none" w:sz="0" w:space="0" w:color="auto"/>
        <w:bottom w:val="none" w:sz="0" w:space="0" w:color="auto"/>
        <w:right w:val="none" w:sz="0" w:space="0" w:color="auto"/>
      </w:divBdr>
    </w:div>
    <w:div w:id="1578392755">
      <w:bodyDiv w:val="1"/>
      <w:marLeft w:val="0"/>
      <w:marRight w:val="0"/>
      <w:marTop w:val="0"/>
      <w:marBottom w:val="0"/>
      <w:divBdr>
        <w:top w:val="none" w:sz="0" w:space="0" w:color="auto"/>
        <w:left w:val="none" w:sz="0" w:space="0" w:color="auto"/>
        <w:bottom w:val="none" w:sz="0" w:space="0" w:color="auto"/>
        <w:right w:val="none" w:sz="0" w:space="0" w:color="auto"/>
      </w:divBdr>
    </w:div>
    <w:div w:id="1582907882">
      <w:bodyDiv w:val="1"/>
      <w:marLeft w:val="0"/>
      <w:marRight w:val="0"/>
      <w:marTop w:val="0"/>
      <w:marBottom w:val="0"/>
      <w:divBdr>
        <w:top w:val="none" w:sz="0" w:space="0" w:color="auto"/>
        <w:left w:val="none" w:sz="0" w:space="0" w:color="auto"/>
        <w:bottom w:val="none" w:sz="0" w:space="0" w:color="auto"/>
        <w:right w:val="none" w:sz="0" w:space="0" w:color="auto"/>
      </w:divBdr>
    </w:div>
    <w:div w:id="1596088516">
      <w:bodyDiv w:val="1"/>
      <w:marLeft w:val="0"/>
      <w:marRight w:val="0"/>
      <w:marTop w:val="0"/>
      <w:marBottom w:val="0"/>
      <w:divBdr>
        <w:top w:val="none" w:sz="0" w:space="0" w:color="auto"/>
        <w:left w:val="none" w:sz="0" w:space="0" w:color="auto"/>
        <w:bottom w:val="none" w:sz="0" w:space="0" w:color="auto"/>
        <w:right w:val="none" w:sz="0" w:space="0" w:color="auto"/>
      </w:divBdr>
    </w:div>
    <w:div w:id="1687901641">
      <w:bodyDiv w:val="1"/>
      <w:marLeft w:val="0"/>
      <w:marRight w:val="0"/>
      <w:marTop w:val="0"/>
      <w:marBottom w:val="0"/>
      <w:divBdr>
        <w:top w:val="none" w:sz="0" w:space="0" w:color="auto"/>
        <w:left w:val="none" w:sz="0" w:space="0" w:color="auto"/>
        <w:bottom w:val="none" w:sz="0" w:space="0" w:color="auto"/>
        <w:right w:val="none" w:sz="0" w:space="0" w:color="auto"/>
      </w:divBdr>
    </w:div>
    <w:div w:id="1746611059">
      <w:bodyDiv w:val="1"/>
      <w:marLeft w:val="0"/>
      <w:marRight w:val="0"/>
      <w:marTop w:val="0"/>
      <w:marBottom w:val="0"/>
      <w:divBdr>
        <w:top w:val="none" w:sz="0" w:space="0" w:color="auto"/>
        <w:left w:val="none" w:sz="0" w:space="0" w:color="auto"/>
        <w:bottom w:val="none" w:sz="0" w:space="0" w:color="auto"/>
        <w:right w:val="none" w:sz="0" w:space="0" w:color="auto"/>
      </w:divBdr>
    </w:div>
    <w:div w:id="1828858455">
      <w:bodyDiv w:val="1"/>
      <w:marLeft w:val="0"/>
      <w:marRight w:val="0"/>
      <w:marTop w:val="0"/>
      <w:marBottom w:val="0"/>
      <w:divBdr>
        <w:top w:val="none" w:sz="0" w:space="0" w:color="auto"/>
        <w:left w:val="none" w:sz="0" w:space="0" w:color="auto"/>
        <w:bottom w:val="none" w:sz="0" w:space="0" w:color="auto"/>
        <w:right w:val="none" w:sz="0" w:space="0" w:color="auto"/>
      </w:divBdr>
    </w:div>
    <w:div w:id="1831486169">
      <w:bodyDiv w:val="1"/>
      <w:marLeft w:val="0"/>
      <w:marRight w:val="0"/>
      <w:marTop w:val="0"/>
      <w:marBottom w:val="0"/>
      <w:divBdr>
        <w:top w:val="none" w:sz="0" w:space="0" w:color="auto"/>
        <w:left w:val="none" w:sz="0" w:space="0" w:color="auto"/>
        <w:bottom w:val="none" w:sz="0" w:space="0" w:color="auto"/>
        <w:right w:val="none" w:sz="0" w:space="0" w:color="auto"/>
      </w:divBdr>
    </w:div>
    <w:div w:id="1886793895">
      <w:bodyDiv w:val="1"/>
      <w:marLeft w:val="0"/>
      <w:marRight w:val="0"/>
      <w:marTop w:val="0"/>
      <w:marBottom w:val="0"/>
      <w:divBdr>
        <w:top w:val="none" w:sz="0" w:space="0" w:color="auto"/>
        <w:left w:val="none" w:sz="0" w:space="0" w:color="auto"/>
        <w:bottom w:val="none" w:sz="0" w:space="0" w:color="auto"/>
        <w:right w:val="none" w:sz="0" w:space="0" w:color="auto"/>
      </w:divBdr>
    </w:div>
    <w:div w:id="1958953159">
      <w:bodyDiv w:val="1"/>
      <w:marLeft w:val="0"/>
      <w:marRight w:val="0"/>
      <w:marTop w:val="0"/>
      <w:marBottom w:val="0"/>
      <w:divBdr>
        <w:top w:val="none" w:sz="0" w:space="0" w:color="auto"/>
        <w:left w:val="none" w:sz="0" w:space="0" w:color="auto"/>
        <w:bottom w:val="none" w:sz="0" w:space="0" w:color="auto"/>
        <w:right w:val="none" w:sz="0" w:space="0" w:color="auto"/>
      </w:divBdr>
    </w:div>
    <w:div w:id="1972784501">
      <w:bodyDiv w:val="1"/>
      <w:marLeft w:val="0"/>
      <w:marRight w:val="0"/>
      <w:marTop w:val="0"/>
      <w:marBottom w:val="0"/>
      <w:divBdr>
        <w:top w:val="none" w:sz="0" w:space="0" w:color="auto"/>
        <w:left w:val="none" w:sz="0" w:space="0" w:color="auto"/>
        <w:bottom w:val="none" w:sz="0" w:space="0" w:color="auto"/>
        <w:right w:val="none" w:sz="0" w:space="0" w:color="auto"/>
      </w:divBdr>
    </w:div>
    <w:div w:id="1996758863">
      <w:bodyDiv w:val="1"/>
      <w:marLeft w:val="0"/>
      <w:marRight w:val="0"/>
      <w:marTop w:val="0"/>
      <w:marBottom w:val="0"/>
      <w:divBdr>
        <w:top w:val="none" w:sz="0" w:space="0" w:color="auto"/>
        <w:left w:val="none" w:sz="0" w:space="0" w:color="auto"/>
        <w:bottom w:val="none" w:sz="0" w:space="0" w:color="auto"/>
        <w:right w:val="none" w:sz="0" w:space="0" w:color="auto"/>
      </w:divBdr>
    </w:div>
    <w:div w:id="2094668927">
      <w:bodyDiv w:val="1"/>
      <w:marLeft w:val="0"/>
      <w:marRight w:val="0"/>
      <w:marTop w:val="0"/>
      <w:marBottom w:val="0"/>
      <w:divBdr>
        <w:top w:val="none" w:sz="0" w:space="0" w:color="auto"/>
        <w:left w:val="none" w:sz="0" w:space="0" w:color="auto"/>
        <w:bottom w:val="none" w:sz="0" w:space="0" w:color="auto"/>
        <w:right w:val="none" w:sz="0" w:space="0" w:color="auto"/>
      </w:divBdr>
    </w:div>
    <w:div w:id="2097482327">
      <w:bodyDiv w:val="1"/>
      <w:marLeft w:val="0"/>
      <w:marRight w:val="0"/>
      <w:marTop w:val="0"/>
      <w:marBottom w:val="0"/>
      <w:divBdr>
        <w:top w:val="none" w:sz="0" w:space="0" w:color="auto"/>
        <w:left w:val="none" w:sz="0" w:space="0" w:color="auto"/>
        <w:bottom w:val="none" w:sz="0" w:space="0" w:color="auto"/>
        <w:right w:val="none" w:sz="0" w:space="0" w:color="auto"/>
      </w:divBdr>
    </w:div>
    <w:div w:id="2112699024">
      <w:bodyDiv w:val="1"/>
      <w:marLeft w:val="0"/>
      <w:marRight w:val="0"/>
      <w:marTop w:val="0"/>
      <w:marBottom w:val="0"/>
      <w:divBdr>
        <w:top w:val="none" w:sz="0" w:space="0" w:color="auto"/>
        <w:left w:val="none" w:sz="0" w:space="0" w:color="auto"/>
        <w:bottom w:val="none" w:sz="0" w:space="0" w:color="auto"/>
        <w:right w:val="none" w:sz="0" w:space="0" w:color="auto"/>
      </w:divBdr>
    </w:div>
    <w:div w:id="2136756859">
      <w:bodyDiv w:val="1"/>
      <w:marLeft w:val="0"/>
      <w:marRight w:val="0"/>
      <w:marTop w:val="0"/>
      <w:marBottom w:val="0"/>
      <w:divBdr>
        <w:top w:val="none" w:sz="0" w:space="0" w:color="auto"/>
        <w:left w:val="none" w:sz="0" w:space="0" w:color="auto"/>
        <w:bottom w:val="none" w:sz="0" w:space="0" w:color="auto"/>
        <w:right w:val="none" w:sz="0" w:space="0" w:color="auto"/>
      </w:divBdr>
    </w:div>
    <w:div w:id="2136871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rporateFinance@Surrey.pnn.police.uk" TargetMode="External"/><Relationship Id="rId18" Type="http://schemas.openxmlformats.org/officeDocument/2006/relationships/hyperlink" Target="mailto:Peter.Gillett@Surrey.pnn.police.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file://\\int\finance\Financedata\SHARED\Local%20Settings\Temporary%20Internet%20Files\KADWE_M\KADWE_M\Local%20Settings\Temporary%20Internet%20Files\Application%20Data\majer_s\Application%20Data\Microsoft\rowe_ms\Application%20Data\Microsoft\Year%20end%202011%2012\Year%20end%202011%2012\(Q)%20Statement%20of%20Accounts\Year%20end%202009%2010\Accounts%2009-10\(P)%20Statement%20of%20Accounts\www.cipfa.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hyperlink" Target="file://\\int\finance\Financedata\SHARED\Local%20Settings\Temporary%20Internet%20Files\KADWE_M\KADWE_M\Local%20Settings\Temporary%20Internet%20Files\Application%20Data\majer_s\Application%20Data\Microsoft\rowe_ms\Application%20Data\Microsoft\Year%20end%202011%2012\Year%20end%202011%2012\(Q)%20Statement%20of%20Accounts\Year%20end%202009%2010\Accounts%2009-10\(P)%20Statement%20of%20Accounts\www.cipfa.org.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strategic-policing-requirement" TargetMode="External"/><Relationship Id="rId13" Type="http://schemas.openxmlformats.org/officeDocument/2006/relationships/hyperlink" Target="https://www.justiceinspectorates.gov.uk/hmicfrs/peel-assessments/peel-2018/surrey/" TargetMode="External"/><Relationship Id="rId18" Type="http://schemas.openxmlformats.org/officeDocument/2006/relationships/hyperlink" Target="https://www.justiceinspectorates.gov.uk/hmicfrs/our-work/article/value-for-money-inspections/value-for-money-profiles/value-for-money-dashboards/" TargetMode="External"/><Relationship Id="rId3" Type="http://schemas.openxmlformats.org/officeDocument/2006/relationships/hyperlink" Target="http://www.cipfa.org/policy-and-guidance/publications/d/delivering-good-governance-in-local-government-framework-2016-edition" TargetMode="External"/><Relationship Id="rId21" Type="http://schemas.openxmlformats.org/officeDocument/2006/relationships/hyperlink" Target="https://www.surrey.police.uk/search?q=misconduct+meetings" TargetMode="External"/><Relationship Id="rId7" Type="http://schemas.openxmlformats.org/officeDocument/2006/relationships/hyperlink" Target="https://www.gov.uk/government/publications/strategic-policing-requirement" TargetMode="External"/><Relationship Id="rId12" Type="http://schemas.openxmlformats.org/officeDocument/2006/relationships/hyperlink" Target="https://www.policeconduct.gov.uk/sites/default/files/Documents/research-learning/IPCC_Use_Of_Force_Report.pdf" TargetMode="External"/><Relationship Id="rId17" Type="http://schemas.openxmlformats.org/officeDocument/2006/relationships/hyperlink" Target="https://www.gov.uk/government/uploads/system/uploads/attachment_data/file/466058/Review_Targets_2015.pdf" TargetMode="External"/><Relationship Id="rId2" Type="http://schemas.openxmlformats.org/officeDocument/2006/relationships/hyperlink" Target="https://www.sussex-pcc.gov.uk/media/4781/code-of-corporate-governance-v9-2020.pdf" TargetMode="External"/><Relationship Id="rId16" Type="http://schemas.openxmlformats.org/officeDocument/2006/relationships/hyperlink" Target="https://www.surrey.police.uk/SysSiteAssets/media/downloads/surrey/about-us/sp_forcemanagementstatement.pdf" TargetMode="External"/><Relationship Id="rId20" Type="http://schemas.openxmlformats.org/officeDocument/2006/relationships/hyperlink" Target="https://www.surrey.police.uk/foi-ai/af/accessing-information/" TargetMode="External"/><Relationship Id="rId1" Type="http://schemas.openxmlformats.org/officeDocument/2006/relationships/hyperlink" Target="https://www.sussex-pcc.gov.uk/media/2995/code-of-governance-v5.pdf" TargetMode="External"/><Relationship Id="rId6" Type="http://schemas.openxmlformats.org/officeDocument/2006/relationships/hyperlink" Target="http://www.surrey-pcc.gov.uk/plan/" TargetMode="External"/><Relationship Id="rId11" Type="http://schemas.openxmlformats.org/officeDocument/2006/relationships/hyperlink" Target="https://www.surrey.police.uk/SysSiteAssets/foi-media/surrey/policies/anti-fraud-corruption-and-bribery-policy.pdf" TargetMode="External"/><Relationship Id="rId5" Type="http://schemas.openxmlformats.org/officeDocument/2006/relationships/hyperlink" Target="http://www.cipfa.org/policy-and-guidance/reports/cipfa-statement-on-the-role-of-the-chief-financial-officer-of-the-police-and-crime-commissioner-and-the-chief-finance-officer-of-the-chief-constable" TargetMode="External"/><Relationship Id="rId15" Type="http://schemas.openxmlformats.org/officeDocument/2006/relationships/hyperlink" Target="https://www.sussex.police.uk/SysSiteAssets/foi-media/sussex/other_information/sussex-police-force-management-statement-2019.pdf" TargetMode="External"/><Relationship Id="rId10" Type="http://schemas.openxmlformats.org/officeDocument/2006/relationships/hyperlink" Target="https://www.justiceinspectorates.gov.uk/hmicfrs/publications/surrey-crime-data-integrity-inspection-2018/" TargetMode="External"/><Relationship Id="rId19" Type="http://schemas.openxmlformats.org/officeDocument/2006/relationships/hyperlink" Target="https://www.surrey-pcc.gov.uk/transparency/meetings-agendas/" TargetMode="External"/><Relationship Id="rId4" Type="http://schemas.openxmlformats.org/officeDocument/2006/relationships/hyperlink" Target="http://www.cipfa.org/policy-and-guidance/publications/d/delivering-good-governance-guidance-notes-for-policing-bodies-in-england-and-wales-2016-edition" TargetMode="External"/><Relationship Id="rId9" Type="http://schemas.openxmlformats.org/officeDocument/2006/relationships/hyperlink" Target="https://www.surrey-pcc.gov.uk/transparency/key-responsibilities/" TargetMode="External"/><Relationship Id="rId14" Type="http://schemas.openxmlformats.org/officeDocument/2006/relationships/hyperlink" Target="https://www.surrey.police.uk/SysSiteAssets/media/downloads/surrey/about-us/business-plan-2017.pdf" TargetMode="External"/><Relationship Id="rId22" Type="http://schemas.openxmlformats.org/officeDocument/2006/relationships/hyperlink" Target="https://surrey-pcc.gov.uk/wp-content/uploads/2020/07/10a.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KADWE_M\AppData\Local\Microsoft\Windows\Temporary%20Internet%20Files\Content.Outlook\SYKH8T31\Budget%20Chart%20for%20Chief%20Narrativ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ub1mntbrowne\Public\Finance&amp;Admin\ACCOUNT\Final%20Accounts%20All%20Years\Final%20Accounts%202020-2021\(Q)%20Statement%20of%20Accounts\CC\Outturn%20Split%20for%20Narrative%20Report%2021062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2020-21 Revenue Budget by Cost Category</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DD75-4380-876B-DD6525F007A1}"/>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DD75-4380-876B-DD6525F007A1}"/>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DD75-4380-876B-DD6525F007A1}"/>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DD75-4380-876B-DD6525F007A1}"/>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DD75-4380-876B-DD6525F007A1}"/>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DD75-4380-876B-DD6525F007A1}"/>
              </c:ext>
            </c:extLst>
          </c:dPt>
          <c:dPt>
            <c:idx val="6"/>
            <c:bubble3D val="0"/>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DD75-4380-876B-DD6525F007A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'[Budget Chart for Chief Narrative.xlsx]Sheet1'!$D$5:$D$11</c:f>
              <c:strCache>
                <c:ptCount val="7"/>
                <c:pt idx="0">
                  <c:v>Pay &amp; Employee Costs</c:v>
                </c:pt>
                <c:pt idx="1">
                  <c:v>Premises</c:v>
                </c:pt>
                <c:pt idx="2">
                  <c:v>Transport</c:v>
                </c:pt>
                <c:pt idx="3">
                  <c:v>Supplies &amp; Services</c:v>
                </c:pt>
                <c:pt idx="4">
                  <c:v>Third Party Payments</c:v>
                </c:pt>
                <c:pt idx="5">
                  <c:v>Other</c:v>
                </c:pt>
                <c:pt idx="6">
                  <c:v>Income</c:v>
                </c:pt>
              </c:strCache>
            </c:strRef>
          </c:cat>
          <c:val>
            <c:numRef>
              <c:f>'[Budget Chart for Chief Narrative.xlsx]Sheet1'!$E$5:$E$11</c:f>
              <c:numCache>
                <c:formatCode>0%</c:formatCode>
                <c:ptCount val="7"/>
                <c:pt idx="0">
                  <c:v>0.83267233529130769</c:v>
                </c:pt>
                <c:pt idx="1">
                  <c:v>4.1746903087001137E-2</c:v>
                </c:pt>
                <c:pt idx="2">
                  <c:v>2.1305994738412094E-2</c:v>
                </c:pt>
                <c:pt idx="3">
                  <c:v>0.12253446189043841</c:v>
                </c:pt>
                <c:pt idx="4">
                  <c:v>1.4194054165914009E-2</c:v>
                </c:pt>
                <c:pt idx="5">
                  <c:v>2.4617417395037401E-2</c:v>
                </c:pt>
                <c:pt idx="6">
                  <c:v>-5.7071166568110704E-2</c:v>
                </c:pt>
              </c:numCache>
            </c:numRef>
          </c:val>
          <c:extLst xmlns:c16r2="http://schemas.microsoft.com/office/drawing/2015/06/chart">
            <c:ext xmlns:c16="http://schemas.microsoft.com/office/drawing/2014/chart" uri="{C3380CC4-5D6E-409C-BE32-E72D297353CC}">
              <c16:uniqueId val="{0000000E-DD75-4380-876B-DD6525F007A1}"/>
            </c:ext>
          </c:extLst>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GB"/>
              <a:t>2020/21</a:t>
            </a:r>
            <a:r>
              <a:rPr lang="en-GB" baseline="0"/>
              <a:t> Chief Constable Outturn</a:t>
            </a:r>
            <a:endParaRPr lang="en-GB"/>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'Split Outturn Report CC'!$B$58:$B$63</c:f>
              <c:strCache>
                <c:ptCount val="6"/>
                <c:pt idx="0">
                  <c:v>Police Payroll</c:v>
                </c:pt>
                <c:pt idx="1">
                  <c:v>Staff Payroll</c:v>
                </c:pt>
                <c:pt idx="2">
                  <c:v>Other Employee Costs</c:v>
                </c:pt>
                <c:pt idx="3">
                  <c:v>Premises </c:v>
                </c:pt>
                <c:pt idx="4">
                  <c:v>Transport</c:v>
                </c:pt>
                <c:pt idx="5">
                  <c:v>Supplies &amp; Services</c:v>
                </c:pt>
              </c:strCache>
            </c:strRef>
          </c:cat>
          <c:val>
            <c:numRef>
              <c:f>'Split Outturn Report CC'!$C$58:$C$63</c:f>
            </c:numRef>
          </c:val>
          <c:extLst xmlns:c16r2="http://schemas.microsoft.com/office/drawing/2015/06/chart">
            <c:ext xmlns:c16="http://schemas.microsoft.com/office/drawing/2014/chart" uri="{C3380CC4-5D6E-409C-BE32-E72D297353CC}">
              <c16:uniqueId val="{00000000-5B1E-4444-BD15-2F5E78391964}"/>
            </c:ext>
          </c:extLst>
        </c:ser>
        <c:ser>
          <c:idx val="1"/>
          <c:order val="1"/>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'Split Outturn Report CC'!$B$58:$B$63</c:f>
              <c:strCache>
                <c:ptCount val="6"/>
                <c:pt idx="0">
                  <c:v>Police Payroll</c:v>
                </c:pt>
                <c:pt idx="1">
                  <c:v>Staff Payroll</c:v>
                </c:pt>
                <c:pt idx="2">
                  <c:v>Other Employee Costs</c:v>
                </c:pt>
                <c:pt idx="3">
                  <c:v>Premises </c:v>
                </c:pt>
                <c:pt idx="4">
                  <c:v>Transport</c:v>
                </c:pt>
                <c:pt idx="5">
                  <c:v>Supplies &amp; Services</c:v>
                </c:pt>
              </c:strCache>
            </c:strRef>
          </c:cat>
          <c:val>
            <c:numRef>
              <c:f>'Split Outturn Report CC'!$D$58:$D$63</c:f>
            </c:numRef>
          </c:val>
          <c:extLst xmlns:c16r2="http://schemas.microsoft.com/office/drawing/2015/06/chart">
            <c:ext xmlns:c16="http://schemas.microsoft.com/office/drawing/2014/chart" uri="{C3380CC4-5D6E-409C-BE32-E72D297353CC}">
              <c16:uniqueId val="{00000001-5B1E-4444-BD15-2F5E78391964}"/>
            </c:ext>
          </c:extLst>
        </c:ser>
        <c:ser>
          <c:idx val="2"/>
          <c:order val="2"/>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3-5B1E-4444-BD15-2F5E78391964}"/>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5-5B1E-4444-BD15-2F5E78391964}"/>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7-5B1E-4444-BD15-2F5E78391964}"/>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9-5B1E-4444-BD15-2F5E78391964}"/>
              </c:ext>
            </c:extLst>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B-5B1E-4444-BD15-2F5E78391964}"/>
              </c:ext>
            </c:extLst>
          </c:dPt>
          <c:dPt>
            <c:idx val="5"/>
            <c:bubble3D val="0"/>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D-5B1E-4444-BD15-2F5E7839196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'Split Outturn Report CC'!$B$58:$B$63</c:f>
              <c:strCache>
                <c:ptCount val="6"/>
                <c:pt idx="0">
                  <c:v>Police Payroll</c:v>
                </c:pt>
                <c:pt idx="1">
                  <c:v>Staff Payroll</c:v>
                </c:pt>
                <c:pt idx="2">
                  <c:v>Other Employee Costs</c:v>
                </c:pt>
                <c:pt idx="3">
                  <c:v>Premises </c:v>
                </c:pt>
                <c:pt idx="4">
                  <c:v>Transport</c:v>
                </c:pt>
                <c:pt idx="5">
                  <c:v>Supplies &amp; Services</c:v>
                </c:pt>
              </c:strCache>
            </c:strRef>
          </c:cat>
          <c:val>
            <c:numRef>
              <c:f>'Split Outturn Report CC'!$E$58:$E$63</c:f>
              <c:numCache>
                <c:formatCode>#,##0;\(#,##0\)</c:formatCode>
                <c:ptCount val="6"/>
                <c:pt idx="0">
                  <c:v>125.511771</c:v>
                </c:pt>
                <c:pt idx="1">
                  <c:v>75.446230830000005</c:v>
                </c:pt>
                <c:pt idx="2">
                  <c:v>7.3950110999999996</c:v>
                </c:pt>
                <c:pt idx="3">
                  <c:v>9.8555420100000006</c:v>
                </c:pt>
                <c:pt idx="4">
                  <c:v>5.0098633299999999</c:v>
                </c:pt>
                <c:pt idx="5">
                  <c:v>30.504678310000003</c:v>
                </c:pt>
              </c:numCache>
            </c:numRef>
          </c:val>
          <c:extLst xmlns:c16r2="http://schemas.microsoft.com/office/drawing/2015/06/chart">
            <c:ext xmlns:c16="http://schemas.microsoft.com/office/drawing/2014/chart" uri="{C3380CC4-5D6E-409C-BE32-E72D297353CC}">
              <c16:uniqueId val="{0000000E-5B1E-4444-BD15-2F5E78391964}"/>
            </c:ext>
          </c:extLst>
        </c:ser>
        <c:dLbls>
          <c:dLblPos val="inEnd"/>
          <c:showLegendKey val="0"/>
          <c:showVal val="0"/>
          <c:showCatName val="0"/>
          <c:showSerName val="0"/>
          <c:showPercent val="1"/>
          <c:showBubbleSize val="0"/>
          <c:showLeaderLines val="1"/>
        </c:dLbls>
      </c:pie3DChart>
      <c:spPr>
        <a:noFill/>
        <a:ln>
          <a:noFill/>
        </a:ln>
        <a:effectLst/>
      </c:spPr>
    </c:plotArea>
    <c:legend>
      <c:legendPos val="b"/>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17F44-E796-4C93-BB9C-4DBE48DD4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91</Pages>
  <Words>28660</Words>
  <Characters>163365</Characters>
  <Application>Microsoft Office Word</Application>
  <DocSecurity>0</DocSecurity>
  <Lines>1361</Lines>
  <Paragraphs>383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Thompson</dc:creator>
  <cp:lastModifiedBy>Kadwell Miranda 29434</cp:lastModifiedBy>
  <cp:revision>17</cp:revision>
  <dcterms:created xsi:type="dcterms:W3CDTF">2021-07-06T19:50:00Z</dcterms:created>
  <dcterms:modified xsi:type="dcterms:W3CDTF">2021-07-14T15:35:00Z</dcterms:modified>
</cp:coreProperties>
</file>