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040F9" w14:textId="77777777" w:rsidR="009F63B0" w:rsidRPr="00BB5DCA" w:rsidRDefault="009F63B0" w:rsidP="009F63B0">
      <w:pPr>
        <w:tabs>
          <w:tab w:val="right" w:pos="8306"/>
        </w:tabs>
        <w:jc w:val="center"/>
        <w:rPr>
          <w:rFonts w:cs="Arial"/>
          <w:b/>
          <w:sz w:val="24"/>
          <w:szCs w:val="24"/>
        </w:rPr>
      </w:pPr>
      <w:r w:rsidRPr="00BB5DCA">
        <w:rPr>
          <w:rFonts w:cs="Arial"/>
          <w:noProof/>
          <w:lang w:eastAsia="en-GB"/>
        </w:rPr>
        <w:drawing>
          <wp:inline distT="0" distB="0" distL="0" distR="0" wp14:anchorId="41E0414A" wp14:editId="41E0414B">
            <wp:extent cx="1045968" cy="1092270"/>
            <wp:effectExtent l="0" t="0" r="1905" b="0"/>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Crest_Colour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3347" cy="1099976"/>
                    </a:xfrm>
                    <a:prstGeom prst="rect">
                      <a:avLst/>
                    </a:prstGeom>
                    <a:noFill/>
                    <a:ln>
                      <a:noFill/>
                    </a:ln>
                  </pic:spPr>
                </pic:pic>
              </a:graphicData>
            </a:graphic>
          </wp:inline>
        </w:drawing>
      </w:r>
    </w:p>
    <w:p w14:paraId="41E040FA" w14:textId="32579C84" w:rsidR="009F63B0" w:rsidRPr="00BB5DCA" w:rsidRDefault="009F63B0" w:rsidP="009F63B0">
      <w:pPr>
        <w:jc w:val="center"/>
        <w:rPr>
          <w:rFonts w:cs="Arial"/>
          <w:b/>
        </w:rPr>
      </w:pPr>
      <w:r w:rsidRPr="00BB5DCA">
        <w:rPr>
          <w:rFonts w:eastAsia="Times New Roman" w:cs="Arial"/>
          <w:b/>
          <w:sz w:val="24"/>
          <w:szCs w:val="24"/>
        </w:rPr>
        <w:t>Annual Governance Statement and Financial Statements 20</w:t>
      </w:r>
      <w:r w:rsidR="00BB5DCA" w:rsidRPr="00BB5DCA">
        <w:rPr>
          <w:rFonts w:eastAsia="Times New Roman" w:cs="Arial"/>
          <w:b/>
          <w:sz w:val="24"/>
          <w:szCs w:val="24"/>
        </w:rPr>
        <w:t>20</w:t>
      </w:r>
      <w:r w:rsidRPr="00BB5DCA">
        <w:rPr>
          <w:rFonts w:eastAsia="Times New Roman" w:cs="Arial"/>
          <w:b/>
          <w:sz w:val="24"/>
          <w:szCs w:val="24"/>
        </w:rPr>
        <w:t>/</w:t>
      </w:r>
      <w:r w:rsidR="00AD5D62" w:rsidRPr="00BB5DCA">
        <w:rPr>
          <w:rFonts w:eastAsia="Times New Roman" w:cs="Arial"/>
          <w:b/>
          <w:sz w:val="24"/>
          <w:szCs w:val="24"/>
        </w:rPr>
        <w:t>2</w:t>
      </w:r>
      <w:r w:rsidR="00BB5DCA" w:rsidRPr="00BB5DCA">
        <w:rPr>
          <w:rFonts w:eastAsia="Times New Roman" w:cs="Arial"/>
          <w:b/>
          <w:sz w:val="24"/>
          <w:szCs w:val="24"/>
        </w:rPr>
        <w:t>1</w:t>
      </w: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652"/>
        <w:gridCol w:w="5996"/>
      </w:tblGrid>
      <w:tr w:rsidR="009F63B0" w:rsidRPr="00BB5DCA" w14:paraId="41E040FD" w14:textId="77777777" w:rsidTr="00A2552F">
        <w:trPr>
          <w:jc w:val="center"/>
        </w:trPr>
        <w:tc>
          <w:tcPr>
            <w:tcW w:w="3652" w:type="dxa"/>
            <w:tcBorders>
              <w:bottom w:val="single" w:sz="12" w:space="0" w:color="003C7D"/>
            </w:tcBorders>
            <w:shd w:val="clear" w:color="auto" w:fill="auto"/>
            <w:vAlign w:val="center"/>
          </w:tcPr>
          <w:p w14:paraId="41E040FB" w14:textId="77777777" w:rsidR="009F63B0" w:rsidRPr="00BB5DCA" w:rsidRDefault="009F63B0" w:rsidP="00A2552F">
            <w:pPr>
              <w:spacing w:before="60" w:after="60"/>
              <w:rPr>
                <w:rFonts w:cs="Arial"/>
                <w:b/>
              </w:rPr>
            </w:pPr>
            <w:r w:rsidRPr="00BB5DCA">
              <w:rPr>
                <w:rFonts w:cs="Arial"/>
                <w:b/>
              </w:rPr>
              <w:t>Required for:</w:t>
            </w:r>
          </w:p>
        </w:tc>
        <w:tc>
          <w:tcPr>
            <w:tcW w:w="5996" w:type="dxa"/>
            <w:tcBorders>
              <w:bottom w:val="single" w:sz="12" w:space="0" w:color="003C7D"/>
            </w:tcBorders>
            <w:shd w:val="clear" w:color="auto" w:fill="auto"/>
            <w:vAlign w:val="center"/>
          </w:tcPr>
          <w:p w14:paraId="41E040FC" w14:textId="77777777" w:rsidR="009F63B0" w:rsidRPr="00BB5DCA" w:rsidRDefault="009F63B0" w:rsidP="00A2552F">
            <w:pPr>
              <w:spacing w:before="60" w:after="60"/>
              <w:rPr>
                <w:rFonts w:cs="Arial"/>
              </w:rPr>
            </w:pPr>
            <w:r w:rsidRPr="00BB5DCA">
              <w:rPr>
                <w:rFonts w:cs="Arial"/>
              </w:rPr>
              <w:t>Joint Audit Committee (JAC) meeting</w:t>
            </w:r>
          </w:p>
        </w:tc>
      </w:tr>
      <w:tr w:rsidR="009F63B0" w:rsidRPr="00BB5DCA" w14:paraId="41E04100" w14:textId="77777777" w:rsidTr="00A2552F">
        <w:trPr>
          <w:trHeight w:val="261"/>
          <w:jc w:val="center"/>
        </w:trPr>
        <w:tc>
          <w:tcPr>
            <w:tcW w:w="3652"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1E040FE" w14:textId="77777777" w:rsidR="009F63B0" w:rsidRPr="00BB5DCA" w:rsidRDefault="009F63B0" w:rsidP="00A2552F">
            <w:pPr>
              <w:spacing w:before="60" w:after="60"/>
              <w:rPr>
                <w:rFonts w:cs="Arial"/>
                <w:b/>
              </w:rPr>
            </w:pPr>
            <w:r w:rsidRPr="00BB5DCA">
              <w:rPr>
                <w:rFonts w:cs="Arial"/>
                <w:b/>
              </w:rPr>
              <w:t>Security Classification:</w:t>
            </w:r>
          </w:p>
        </w:tc>
        <w:tc>
          <w:tcPr>
            <w:tcW w:w="5996"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1E040FF" w14:textId="77777777" w:rsidR="009F63B0" w:rsidRPr="00BB5DCA" w:rsidRDefault="009F63B0" w:rsidP="00A2552F">
            <w:pPr>
              <w:spacing w:before="60" w:after="60"/>
              <w:rPr>
                <w:rFonts w:cs="Arial"/>
                <w:b/>
              </w:rPr>
            </w:pPr>
            <w:r w:rsidRPr="00BB5DCA">
              <w:rPr>
                <w:rFonts w:cs="Arial"/>
                <w:b/>
              </w:rPr>
              <w:t>Official</w:t>
            </w:r>
          </w:p>
        </w:tc>
      </w:tr>
      <w:tr w:rsidR="009F63B0" w:rsidRPr="00BB5DCA" w14:paraId="41E04103" w14:textId="77777777" w:rsidTr="00A2552F">
        <w:trPr>
          <w:jc w:val="center"/>
        </w:trPr>
        <w:tc>
          <w:tcPr>
            <w:tcW w:w="3652" w:type="dxa"/>
            <w:tcBorders>
              <w:top w:val="single" w:sz="2" w:space="0" w:color="003C7D"/>
              <w:bottom w:val="single" w:sz="4" w:space="0" w:color="auto"/>
            </w:tcBorders>
            <w:shd w:val="clear" w:color="auto" w:fill="D9D9D9"/>
            <w:vAlign w:val="center"/>
          </w:tcPr>
          <w:p w14:paraId="41E04101" w14:textId="77777777" w:rsidR="009F63B0" w:rsidRPr="00BB5DCA" w:rsidRDefault="009F63B0" w:rsidP="00A2552F">
            <w:pPr>
              <w:spacing w:before="60" w:after="60"/>
              <w:rPr>
                <w:rFonts w:cs="Arial"/>
                <w:b/>
              </w:rPr>
            </w:pPr>
            <w:r w:rsidRPr="00BB5DCA">
              <w:rPr>
                <w:rFonts w:cs="Arial"/>
                <w:b/>
              </w:rPr>
              <w:t>Handling information if required:</w:t>
            </w:r>
          </w:p>
        </w:tc>
        <w:tc>
          <w:tcPr>
            <w:tcW w:w="5996" w:type="dxa"/>
            <w:tcBorders>
              <w:top w:val="single" w:sz="2" w:space="0" w:color="003C7D"/>
              <w:bottom w:val="single" w:sz="4" w:space="0" w:color="auto"/>
            </w:tcBorders>
            <w:shd w:val="clear" w:color="auto" w:fill="D9D9D9"/>
            <w:vAlign w:val="center"/>
          </w:tcPr>
          <w:p w14:paraId="41E04102" w14:textId="77777777" w:rsidR="009F63B0" w:rsidRPr="00BB5DCA" w:rsidRDefault="009F63B0" w:rsidP="00A2552F">
            <w:pPr>
              <w:spacing w:before="60" w:after="60"/>
              <w:rPr>
                <w:rFonts w:cs="Arial"/>
              </w:rPr>
            </w:pPr>
            <w:r w:rsidRPr="00BB5DCA">
              <w:rPr>
                <w:rFonts w:cs="Arial"/>
              </w:rPr>
              <w:t>n/a</w:t>
            </w:r>
          </w:p>
        </w:tc>
      </w:tr>
      <w:tr w:rsidR="009F63B0" w:rsidRPr="00BB5DCA" w14:paraId="41E04106" w14:textId="77777777" w:rsidTr="00A2552F">
        <w:trPr>
          <w:jc w:val="center"/>
        </w:trPr>
        <w:tc>
          <w:tcPr>
            <w:tcW w:w="3652" w:type="dxa"/>
            <w:tcBorders>
              <w:top w:val="single" w:sz="4" w:space="0" w:color="auto"/>
              <w:bottom w:val="single" w:sz="12" w:space="0" w:color="003C7D"/>
            </w:tcBorders>
            <w:shd w:val="clear" w:color="auto" w:fill="D9D9D9"/>
            <w:vAlign w:val="center"/>
          </w:tcPr>
          <w:p w14:paraId="41E04104" w14:textId="77777777" w:rsidR="009F63B0" w:rsidRPr="00BB5DCA" w:rsidRDefault="009F63B0" w:rsidP="00A2552F">
            <w:pPr>
              <w:spacing w:before="60" w:after="60"/>
              <w:rPr>
                <w:rFonts w:cs="Arial"/>
                <w:b/>
              </w:rPr>
            </w:pPr>
            <w:r w:rsidRPr="00BB5DCA">
              <w:rPr>
                <w:rFonts w:cs="Arial"/>
                <w:b/>
              </w:rPr>
              <w:t>Suitable for publication:</w:t>
            </w:r>
          </w:p>
        </w:tc>
        <w:tc>
          <w:tcPr>
            <w:tcW w:w="5996" w:type="dxa"/>
            <w:tcBorders>
              <w:top w:val="single" w:sz="4" w:space="0" w:color="auto"/>
              <w:bottom w:val="single" w:sz="12" w:space="0" w:color="003C7D"/>
            </w:tcBorders>
            <w:shd w:val="clear" w:color="auto" w:fill="D9D9D9"/>
            <w:vAlign w:val="center"/>
          </w:tcPr>
          <w:p w14:paraId="41E04105" w14:textId="77777777" w:rsidR="009F63B0" w:rsidRPr="00BB5DCA" w:rsidRDefault="009F63B0" w:rsidP="00A2552F">
            <w:pPr>
              <w:spacing w:before="60" w:after="60"/>
              <w:rPr>
                <w:rFonts w:cs="Arial"/>
              </w:rPr>
            </w:pPr>
            <w:r w:rsidRPr="00BB5DCA">
              <w:rPr>
                <w:rFonts w:cs="Arial"/>
              </w:rPr>
              <w:t>No</w:t>
            </w:r>
          </w:p>
        </w:tc>
      </w:tr>
      <w:tr w:rsidR="009F63B0" w:rsidRPr="00BB5DCA" w14:paraId="41E04109" w14:textId="77777777" w:rsidTr="00A2552F">
        <w:trPr>
          <w:jc w:val="center"/>
        </w:trPr>
        <w:tc>
          <w:tcPr>
            <w:tcW w:w="3652" w:type="dxa"/>
            <w:tcBorders>
              <w:top w:val="single" w:sz="12" w:space="0" w:color="003C7D"/>
              <w:bottom w:val="single" w:sz="4" w:space="0" w:color="003C7D"/>
            </w:tcBorders>
            <w:shd w:val="clear" w:color="auto" w:fill="auto"/>
            <w:vAlign w:val="center"/>
          </w:tcPr>
          <w:p w14:paraId="41E04107" w14:textId="77777777" w:rsidR="009F63B0" w:rsidRPr="00BB5DCA" w:rsidRDefault="009F63B0" w:rsidP="00A2552F">
            <w:pPr>
              <w:spacing w:before="60" w:after="60"/>
              <w:rPr>
                <w:rFonts w:cs="Arial"/>
                <w:b/>
              </w:rPr>
            </w:pPr>
            <w:r w:rsidRPr="00BB5DCA">
              <w:rPr>
                <w:rFonts w:cs="Arial"/>
                <w:b/>
              </w:rPr>
              <w:t>Title:</w:t>
            </w:r>
          </w:p>
        </w:tc>
        <w:tc>
          <w:tcPr>
            <w:tcW w:w="5996" w:type="dxa"/>
            <w:tcBorders>
              <w:top w:val="single" w:sz="12" w:space="0" w:color="003C7D"/>
              <w:bottom w:val="single" w:sz="4" w:space="0" w:color="003C7D"/>
            </w:tcBorders>
            <w:shd w:val="clear" w:color="auto" w:fill="auto"/>
            <w:vAlign w:val="center"/>
          </w:tcPr>
          <w:p w14:paraId="41E04108" w14:textId="455414BD" w:rsidR="009F63B0" w:rsidRPr="00BB5DCA" w:rsidRDefault="00DE7E57" w:rsidP="00BB5DCA">
            <w:pPr>
              <w:spacing w:before="60" w:after="60"/>
              <w:rPr>
                <w:rFonts w:cs="Arial"/>
              </w:rPr>
            </w:pPr>
            <w:r w:rsidRPr="00BB5DCA">
              <w:rPr>
                <w:rFonts w:cs="Arial"/>
              </w:rPr>
              <w:t>Annual Governance Statement &amp; Financial Statements 20</w:t>
            </w:r>
            <w:r w:rsidR="00BB5DCA" w:rsidRPr="00BB5DCA">
              <w:rPr>
                <w:rFonts w:cs="Arial"/>
              </w:rPr>
              <w:t>20</w:t>
            </w:r>
            <w:r w:rsidRPr="00BB5DCA">
              <w:rPr>
                <w:rFonts w:cs="Arial"/>
              </w:rPr>
              <w:t>/</w:t>
            </w:r>
            <w:r w:rsidR="00AD5D62" w:rsidRPr="00BB5DCA">
              <w:rPr>
                <w:rFonts w:cs="Arial"/>
              </w:rPr>
              <w:t>2</w:t>
            </w:r>
            <w:r w:rsidR="00BB5DCA" w:rsidRPr="00BB5DCA">
              <w:rPr>
                <w:rFonts w:cs="Arial"/>
              </w:rPr>
              <w:t>1</w:t>
            </w:r>
          </w:p>
        </w:tc>
      </w:tr>
      <w:tr w:rsidR="009F63B0" w:rsidRPr="00BB5DCA" w14:paraId="41E0410C" w14:textId="77777777" w:rsidTr="00A2552F">
        <w:trPr>
          <w:trHeight w:val="465"/>
          <w:jc w:val="center"/>
        </w:trPr>
        <w:tc>
          <w:tcPr>
            <w:tcW w:w="3652" w:type="dxa"/>
            <w:tcBorders>
              <w:top w:val="single" w:sz="4" w:space="0" w:color="003C7D"/>
            </w:tcBorders>
            <w:shd w:val="clear" w:color="auto" w:fill="auto"/>
            <w:vAlign w:val="center"/>
          </w:tcPr>
          <w:p w14:paraId="41E0410A" w14:textId="77777777" w:rsidR="009F63B0" w:rsidRPr="00BB5DCA" w:rsidRDefault="009F63B0" w:rsidP="00A2552F">
            <w:pPr>
              <w:spacing w:before="60" w:after="60"/>
              <w:rPr>
                <w:rFonts w:cs="Arial"/>
                <w:b/>
              </w:rPr>
            </w:pPr>
            <w:r w:rsidRPr="00BB5DCA">
              <w:rPr>
                <w:rFonts w:cs="Arial"/>
                <w:b/>
              </w:rPr>
              <w:t>Version:</w:t>
            </w:r>
          </w:p>
        </w:tc>
        <w:tc>
          <w:tcPr>
            <w:tcW w:w="5996" w:type="dxa"/>
            <w:tcBorders>
              <w:top w:val="single" w:sz="4" w:space="0" w:color="003C7D"/>
            </w:tcBorders>
            <w:shd w:val="clear" w:color="auto" w:fill="auto"/>
            <w:vAlign w:val="center"/>
          </w:tcPr>
          <w:p w14:paraId="41E0410B" w14:textId="77777777" w:rsidR="009F63B0" w:rsidRPr="00BB5DCA" w:rsidRDefault="009F63B0" w:rsidP="00A2552F">
            <w:pPr>
              <w:spacing w:before="60" w:after="60"/>
              <w:rPr>
                <w:rFonts w:cs="Arial"/>
              </w:rPr>
            </w:pPr>
            <w:r w:rsidRPr="00BB5DCA">
              <w:rPr>
                <w:rFonts w:cs="Arial"/>
              </w:rPr>
              <w:t>1</w:t>
            </w:r>
          </w:p>
        </w:tc>
      </w:tr>
      <w:tr w:rsidR="009F63B0" w:rsidRPr="00BB5DCA" w14:paraId="41E0410F" w14:textId="77777777" w:rsidTr="00A2552F">
        <w:trPr>
          <w:jc w:val="center"/>
        </w:trPr>
        <w:tc>
          <w:tcPr>
            <w:tcW w:w="3652" w:type="dxa"/>
            <w:shd w:val="clear" w:color="auto" w:fill="auto"/>
            <w:vAlign w:val="center"/>
          </w:tcPr>
          <w:p w14:paraId="41E0410D" w14:textId="77777777" w:rsidR="009F63B0" w:rsidRPr="00BB5DCA" w:rsidRDefault="009F63B0" w:rsidP="00A2552F">
            <w:pPr>
              <w:spacing w:before="60" w:after="60"/>
              <w:rPr>
                <w:rFonts w:cs="Arial"/>
                <w:b/>
              </w:rPr>
            </w:pPr>
            <w:r w:rsidRPr="00BB5DCA">
              <w:rPr>
                <w:rFonts w:cs="Arial"/>
                <w:b/>
              </w:rPr>
              <w:t>Purpose:</w:t>
            </w:r>
          </w:p>
        </w:tc>
        <w:tc>
          <w:tcPr>
            <w:tcW w:w="5996" w:type="dxa"/>
            <w:shd w:val="clear" w:color="auto" w:fill="auto"/>
            <w:vAlign w:val="center"/>
          </w:tcPr>
          <w:p w14:paraId="41E0410E" w14:textId="5B24B369" w:rsidR="009F63B0" w:rsidRPr="00BB5DCA" w:rsidRDefault="00F70539" w:rsidP="00BB5DCA">
            <w:pPr>
              <w:spacing w:before="60" w:after="60"/>
              <w:rPr>
                <w:rFonts w:cs="Arial"/>
              </w:rPr>
            </w:pPr>
            <w:r w:rsidRPr="00BB5DCA">
              <w:rPr>
                <w:rFonts w:cs="Arial"/>
              </w:rPr>
              <w:t>To present</w:t>
            </w:r>
            <w:r w:rsidR="00DE7E57" w:rsidRPr="00BB5DCA">
              <w:rPr>
                <w:rFonts w:cs="Arial"/>
              </w:rPr>
              <w:t xml:space="preserve"> the </w:t>
            </w:r>
            <w:r w:rsidR="00AD5D62" w:rsidRPr="00BB5DCA">
              <w:rPr>
                <w:rFonts w:cs="Arial"/>
              </w:rPr>
              <w:t xml:space="preserve">Draft </w:t>
            </w:r>
            <w:r w:rsidR="00DE7E57" w:rsidRPr="00BB5DCA">
              <w:rPr>
                <w:rFonts w:cs="Arial"/>
              </w:rPr>
              <w:t>Annual Statement of Accounts and Annual Governance Statement for 20</w:t>
            </w:r>
            <w:r w:rsidR="00BB5DCA" w:rsidRPr="00BB5DCA">
              <w:rPr>
                <w:rFonts w:cs="Arial"/>
              </w:rPr>
              <w:t>20</w:t>
            </w:r>
            <w:r w:rsidR="00DE7E57" w:rsidRPr="00BB5DCA">
              <w:rPr>
                <w:rFonts w:cs="Arial"/>
              </w:rPr>
              <w:t>/</w:t>
            </w:r>
            <w:r w:rsidR="00AD5D62" w:rsidRPr="00BB5DCA">
              <w:rPr>
                <w:rFonts w:cs="Arial"/>
              </w:rPr>
              <w:t>2</w:t>
            </w:r>
            <w:r w:rsidR="00BB5DCA" w:rsidRPr="00BB5DCA">
              <w:rPr>
                <w:rFonts w:cs="Arial"/>
              </w:rPr>
              <w:t>1</w:t>
            </w:r>
            <w:r w:rsidR="00AD5D62" w:rsidRPr="00BB5DCA">
              <w:rPr>
                <w:rFonts w:cs="Arial"/>
              </w:rPr>
              <w:t xml:space="preserve"> currently being audited</w:t>
            </w:r>
            <w:r w:rsidR="00DE7E57" w:rsidRPr="00BB5DCA">
              <w:rPr>
                <w:rFonts w:cs="Arial"/>
              </w:rPr>
              <w:t xml:space="preserve"> for both the Police and Crime Commissioner (PCC) and the Chief Constable (CC) for review by the Audit Committee.</w:t>
            </w:r>
          </w:p>
        </w:tc>
      </w:tr>
      <w:tr w:rsidR="009F63B0" w:rsidRPr="00BB5DCA" w14:paraId="41E04112" w14:textId="77777777" w:rsidTr="00A2552F">
        <w:trPr>
          <w:jc w:val="center"/>
        </w:trPr>
        <w:tc>
          <w:tcPr>
            <w:tcW w:w="3652" w:type="dxa"/>
            <w:shd w:val="clear" w:color="auto" w:fill="auto"/>
            <w:vAlign w:val="center"/>
          </w:tcPr>
          <w:p w14:paraId="41E04110" w14:textId="77777777" w:rsidR="009F63B0" w:rsidRPr="00BB5DCA" w:rsidRDefault="009F63B0" w:rsidP="00A2552F">
            <w:pPr>
              <w:spacing w:before="60" w:after="60"/>
              <w:rPr>
                <w:rFonts w:cs="Arial"/>
                <w:b/>
              </w:rPr>
            </w:pPr>
            <w:r w:rsidRPr="00BB5DCA">
              <w:rPr>
                <w:rFonts w:cs="Arial"/>
                <w:b/>
              </w:rPr>
              <w:t>ACPO / Strategic Lead:</w:t>
            </w:r>
          </w:p>
        </w:tc>
        <w:tc>
          <w:tcPr>
            <w:tcW w:w="5996" w:type="dxa"/>
            <w:shd w:val="clear" w:color="auto" w:fill="auto"/>
            <w:vAlign w:val="center"/>
          </w:tcPr>
          <w:p w14:paraId="41E04111" w14:textId="43D28263" w:rsidR="009F63B0" w:rsidRPr="00BB5DCA" w:rsidRDefault="00AD5D62" w:rsidP="00A2552F">
            <w:pPr>
              <w:spacing w:before="60" w:after="60"/>
              <w:rPr>
                <w:rFonts w:cs="Arial"/>
              </w:rPr>
            </w:pPr>
            <w:r w:rsidRPr="00BB5DCA">
              <w:rPr>
                <w:rFonts w:cs="Arial"/>
              </w:rPr>
              <w:t>Kelvin Menon</w:t>
            </w:r>
            <w:r w:rsidR="00DE7E57" w:rsidRPr="00BB5DCA">
              <w:rPr>
                <w:rFonts w:cs="Arial"/>
              </w:rPr>
              <w:t>, Treasurer</w:t>
            </w:r>
          </w:p>
        </w:tc>
      </w:tr>
      <w:tr w:rsidR="009F63B0" w:rsidRPr="00BB5DCA" w14:paraId="41E04115" w14:textId="77777777" w:rsidTr="00A2552F">
        <w:trPr>
          <w:jc w:val="center"/>
        </w:trPr>
        <w:tc>
          <w:tcPr>
            <w:tcW w:w="3652" w:type="dxa"/>
            <w:shd w:val="clear" w:color="auto" w:fill="auto"/>
            <w:vAlign w:val="center"/>
          </w:tcPr>
          <w:p w14:paraId="41E04113" w14:textId="77777777" w:rsidR="009F63B0" w:rsidRPr="00BB5DCA" w:rsidRDefault="009F63B0" w:rsidP="00A2552F">
            <w:pPr>
              <w:spacing w:before="60" w:after="60"/>
              <w:rPr>
                <w:rFonts w:cs="Arial"/>
                <w:b/>
              </w:rPr>
            </w:pPr>
            <w:r w:rsidRPr="00BB5DCA">
              <w:rPr>
                <w:rFonts w:cs="Arial"/>
                <w:b/>
              </w:rPr>
              <w:t>National Decision Model compliance:</w:t>
            </w:r>
          </w:p>
        </w:tc>
        <w:tc>
          <w:tcPr>
            <w:tcW w:w="5996" w:type="dxa"/>
            <w:shd w:val="clear" w:color="auto" w:fill="auto"/>
            <w:vAlign w:val="center"/>
          </w:tcPr>
          <w:p w14:paraId="41E04114" w14:textId="77777777" w:rsidR="009F63B0" w:rsidRPr="00BB5DCA" w:rsidRDefault="009F63B0" w:rsidP="00A2552F">
            <w:pPr>
              <w:spacing w:before="60" w:after="60"/>
              <w:rPr>
                <w:rFonts w:cs="Arial"/>
              </w:rPr>
            </w:pPr>
            <w:r w:rsidRPr="00BB5DCA">
              <w:rPr>
                <w:rFonts w:cs="Arial"/>
              </w:rPr>
              <w:t xml:space="preserve">Yes </w:t>
            </w:r>
          </w:p>
        </w:tc>
      </w:tr>
      <w:tr w:rsidR="009F63B0" w:rsidRPr="00BB5DCA" w14:paraId="41E04118" w14:textId="77777777" w:rsidTr="00A2552F">
        <w:trPr>
          <w:trHeight w:val="221"/>
          <w:jc w:val="center"/>
        </w:trPr>
        <w:tc>
          <w:tcPr>
            <w:tcW w:w="3652" w:type="dxa"/>
            <w:shd w:val="clear" w:color="auto" w:fill="auto"/>
            <w:vAlign w:val="center"/>
          </w:tcPr>
          <w:p w14:paraId="41E04116" w14:textId="77777777" w:rsidR="009F63B0" w:rsidRPr="00BB5DCA" w:rsidRDefault="009F63B0" w:rsidP="00A2552F">
            <w:pPr>
              <w:spacing w:before="60" w:after="60"/>
              <w:rPr>
                <w:rFonts w:cs="Arial"/>
                <w:b/>
              </w:rPr>
            </w:pPr>
            <w:r w:rsidRPr="00BB5DCA">
              <w:rPr>
                <w:rFonts w:cs="Arial"/>
                <w:b/>
              </w:rPr>
              <w:t>Date created:</w:t>
            </w:r>
          </w:p>
        </w:tc>
        <w:tc>
          <w:tcPr>
            <w:tcW w:w="5996" w:type="dxa"/>
            <w:shd w:val="clear" w:color="auto" w:fill="auto"/>
            <w:vAlign w:val="center"/>
          </w:tcPr>
          <w:p w14:paraId="41E04117" w14:textId="6D16E7B5" w:rsidR="009F63B0" w:rsidRPr="00BB5DCA" w:rsidRDefault="00BB5DCA" w:rsidP="00DE7E57">
            <w:pPr>
              <w:spacing w:before="60" w:after="60"/>
              <w:rPr>
                <w:rFonts w:cs="Arial"/>
              </w:rPr>
            </w:pPr>
            <w:r w:rsidRPr="00BB5DCA">
              <w:rPr>
                <w:rFonts w:cs="Arial"/>
              </w:rPr>
              <w:t>13 July 2021</w:t>
            </w:r>
          </w:p>
        </w:tc>
      </w:tr>
      <w:tr w:rsidR="009F63B0" w:rsidRPr="00BB5DCA" w14:paraId="41E0411B" w14:textId="77777777" w:rsidTr="00A2552F">
        <w:trPr>
          <w:trHeight w:val="369"/>
          <w:jc w:val="center"/>
        </w:trPr>
        <w:tc>
          <w:tcPr>
            <w:tcW w:w="3652" w:type="dxa"/>
            <w:shd w:val="clear" w:color="auto" w:fill="auto"/>
            <w:vAlign w:val="center"/>
          </w:tcPr>
          <w:p w14:paraId="41E04119" w14:textId="77777777" w:rsidR="009F63B0" w:rsidRPr="00BB5DCA" w:rsidRDefault="009F63B0" w:rsidP="00A2552F">
            <w:pPr>
              <w:spacing w:before="60" w:after="60"/>
              <w:rPr>
                <w:rFonts w:cs="Arial"/>
                <w:b/>
              </w:rPr>
            </w:pPr>
            <w:r w:rsidRPr="00BB5DCA">
              <w:rPr>
                <w:rFonts w:cs="Arial"/>
                <w:b/>
              </w:rPr>
              <w:t>Date to be reviewed:</w:t>
            </w:r>
          </w:p>
        </w:tc>
        <w:tc>
          <w:tcPr>
            <w:tcW w:w="5996" w:type="dxa"/>
            <w:shd w:val="clear" w:color="auto" w:fill="auto"/>
            <w:vAlign w:val="center"/>
          </w:tcPr>
          <w:p w14:paraId="41E0411A" w14:textId="77777777" w:rsidR="009F63B0" w:rsidRPr="00BB5DCA" w:rsidRDefault="009F63B0" w:rsidP="00A2552F">
            <w:pPr>
              <w:spacing w:before="60" w:after="60"/>
              <w:rPr>
                <w:rFonts w:cs="Arial"/>
              </w:rPr>
            </w:pPr>
          </w:p>
        </w:tc>
      </w:tr>
    </w:tbl>
    <w:p w14:paraId="41E0411C" w14:textId="77777777" w:rsidR="009F63B0" w:rsidRPr="00BB5DCA" w:rsidRDefault="009F63B0" w:rsidP="009F63B0">
      <w:pPr>
        <w:tabs>
          <w:tab w:val="right" w:pos="8306"/>
        </w:tabs>
        <w:rPr>
          <w:rFonts w:cs="Arial"/>
          <w:b/>
        </w:rPr>
      </w:pP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510"/>
        <w:gridCol w:w="6138"/>
      </w:tblGrid>
      <w:tr w:rsidR="009F63B0" w:rsidRPr="00BB5DCA" w14:paraId="41E0411F" w14:textId="77777777" w:rsidTr="00A2552F">
        <w:trPr>
          <w:jc w:val="center"/>
        </w:trPr>
        <w:tc>
          <w:tcPr>
            <w:tcW w:w="3510" w:type="dxa"/>
            <w:shd w:val="clear" w:color="auto" w:fill="auto"/>
            <w:vAlign w:val="center"/>
          </w:tcPr>
          <w:p w14:paraId="41E0411D" w14:textId="77777777" w:rsidR="009F63B0" w:rsidRPr="00BB5DCA" w:rsidRDefault="009F63B0" w:rsidP="00A2552F">
            <w:pPr>
              <w:spacing w:before="60" w:after="60"/>
              <w:rPr>
                <w:rFonts w:cs="Arial"/>
                <w:b/>
              </w:rPr>
            </w:pPr>
            <w:r w:rsidRPr="00BB5DCA">
              <w:rPr>
                <w:rFonts w:cs="Arial"/>
                <w:b/>
              </w:rPr>
              <w:t>AUTHOR:</w:t>
            </w:r>
          </w:p>
        </w:tc>
        <w:tc>
          <w:tcPr>
            <w:tcW w:w="6138" w:type="dxa"/>
            <w:shd w:val="clear" w:color="auto" w:fill="auto"/>
            <w:vAlign w:val="center"/>
          </w:tcPr>
          <w:p w14:paraId="41E0411E" w14:textId="77777777" w:rsidR="009F63B0" w:rsidRPr="00BB5DCA" w:rsidRDefault="009F63B0" w:rsidP="00A2552F">
            <w:pPr>
              <w:spacing w:before="60" w:after="60"/>
              <w:rPr>
                <w:rFonts w:cs="Arial"/>
              </w:rPr>
            </w:pPr>
          </w:p>
        </w:tc>
      </w:tr>
      <w:tr w:rsidR="009F63B0" w:rsidRPr="00BB5DCA" w14:paraId="41E04122" w14:textId="77777777" w:rsidTr="00A2552F">
        <w:trPr>
          <w:jc w:val="center"/>
        </w:trPr>
        <w:tc>
          <w:tcPr>
            <w:tcW w:w="3510" w:type="dxa"/>
            <w:shd w:val="clear" w:color="auto" w:fill="auto"/>
            <w:vAlign w:val="center"/>
          </w:tcPr>
          <w:p w14:paraId="41E04120" w14:textId="77777777" w:rsidR="009F63B0" w:rsidRPr="00BB5DCA" w:rsidRDefault="009F63B0" w:rsidP="00A2552F">
            <w:pPr>
              <w:spacing w:before="60" w:after="60"/>
              <w:rPr>
                <w:rFonts w:cs="Arial"/>
                <w:b/>
              </w:rPr>
            </w:pPr>
            <w:r w:rsidRPr="00BB5DCA">
              <w:rPr>
                <w:rFonts w:cs="Arial"/>
                <w:b/>
              </w:rPr>
              <w:t>Name:</w:t>
            </w:r>
          </w:p>
        </w:tc>
        <w:tc>
          <w:tcPr>
            <w:tcW w:w="6138" w:type="dxa"/>
            <w:shd w:val="clear" w:color="auto" w:fill="auto"/>
            <w:vAlign w:val="center"/>
          </w:tcPr>
          <w:p w14:paraId="41E04121" w14:textId="77777777" w:rsidR="009F63B0" w:rsidRPr="00BB5DCA" w:rsidRDefault="00B35827" w:rsidP="00A2552F">
            <w:pPr>
              <w:spacing w:before="60" w:after="60"/>
              <w:rPr>
                <w:rFonts w:cs="Arial"/>
              </w:rPr>
            </w:pPr>
            <w:r w:rsidRPr="00BB5DCA">
              <w:rPr>
                <w:rFonts w:cs="Arial"/>
              </w:rPr>
              <w:t>Miranda Kadwell</w:t>
            </w:r>
          </w:p>
        </w:tc>
      </w:tr>
      <w:tr w:rsidR="009F63B0" w:rsidRPr="00BB5DCA" w14:paraId="41E04125" w14:textId="77777777" w:rsidTr="00A2552F">
        <w:trPr>
          <w:jc w:val="center"/>
        </w:trPr>
        <w:tc>
          <w:tcPr>
            <w:tcW w:w="3510" w:type="dxa"/>
            <w:shd w:val="clear" w:color="auto" w:fill="auto"/>
            <w:vAlign w:val="center"/>
          </w:tcPr>
          <w:p w14:paraId="41E04123" w14:textId="77777777" w:rsidR="009F63B0" w:rsidRPr="00BB5DCA" w:rsidRDefault="009F63B0" w:rsidP="00A2552F">
            <w:pPr>
              <w:spacing w:before="60" w:after="60"/>
              <w:rPr>
                <w:rFonts w:cs="Arial"/>
                <w:b/>
              </w:rPr>
            </w:pPr>
            <w:r w:rsidRPr="00BB5DCA">
              <w:rPr>
                <w:rFonts w:cs="Arial"/>
                <w:b/>
              </w:rPr>
              <w:t>Job Title:</w:t>
            </w:r>
          </w:p>
        </w:tc>
        <w:tc>
          <w:tcPr>
            <w:tcW w:w="6138" w:type="dxa"/>
            <w:shd w:val="clear" w:color="auto" w:fill="auto"/>
            <w:vAlign w:val="center"/>
          </w:tcPr>
          <w:p w14:paraId="41E04124" w14:textId="77777777" w:rsidR="009F63B0" w:rsidRPr="00BB5DCA" w:rsidRDefault="00DE7E57" w:rsidP="00A2552F">
            <w:pPr>
              <w:spacing w:before="60" w:after="60"/>
              <w:rPr>
                <w:rFonts w:cs="Arial"/>
              </w:rPr>
            </w:pPr>
            <w:r w:rsidRPr="00BB5DCA">
              <w:rPr>
                <w:rFonts w:cs="Arial"/>
              </w:rPr>
              <w:t>Corporate Finance Manager</w:t>
            </w:r>
          </w:p>
        </w:tc>
      </w:tr>
      <w:tr w:rsidR="009F63B0" w:rsidRPr="00BB5DCA" w14:paraId="41E04128" w14:textId="77777777" w:rsidTr="00A2552F">
        <w:trPr>
          <w:jc w:val="center"/>
        </w:trPr>
        <w:tc>
          <w:tcPr>
            <w:tcW w:w="3510" w:type="dxa"/>
            <w:shd w:val="clear" w:color="auto" w:fill="auto"/>
            <w:vAlign w:val="center"/>
          </w:tcPr>
          <w:p w14:paraId="41E04126" w14:textId="77777777" w:rsidR="009F63B0" w:rsidRPr="00BB5DCA" w:rsidRDefault="009F63B0" w:rsidP="00A2552F">
            <w:pPr>
              <w:spacing w:before="60" w:after="60"/>
              <w:rPr>
                <w:rFonts w:cs="Arial"/>
                <w:b/>
              </w:rPr>
            </w:pPr>
            <w:r w:rsidRPr="00BB5DCA">
              <w:rPr>
                <w:rFonts w:cs="Arial"/>
                <w:b/>
              </w:rPr>
              <w:t>Telephone number:</w:t>
            </w:r>
          </w:p>
        </w:tc>
        <w:tc>
          <w:tcPr>
            <w:tcW w:w="6138" w:type="dxa"/>
            <w:shd w:val="clear" w:color="auto" w:fill="auto"/>
            <w:vAlign w:val="center"/>
          </w:tcPr>
          <w:p w14:paraId="41E04127" w14:textId="77777777" w:rsidR="009F63B0" w:rsidRPr="00BB5DCA" w:rsidRDefault="00B35827" w:rsidP="00DE7E57">
            <w:pPr>
              <w:spacing w:before="60" w:after="60"/>
              <w:rPr>
                <w:rFonts w:cs="Arial"/>
              </w:rPr>
            </w:pPr>
            <w:r w:rsidRPr="00BB5DCA">
              <w:rPr>
                <w:rFonts w:cs="Arial"/>
              </w:rPr>
              <w:t>07817 116 030</w:t>
            </w:r>
          </w:p>
        </w:tc>
      </w:tr>
      <w:tr w:rsidR="009F63B0" w:rsidRPr="00BB5DCA" w14:paraId="41E0412B" w14:textId="77777777" w:rsidTr="00A2552F">
        <w:trPr>
          <w:jc w:val="center"/>
        </w:trPr>
        <w:tc>
          <w:tcPr>
            <w:tcW w:w="3510" w:type="dxa"/>
            <w:shd w:val="clear" w:color="auto" w:fill="auto"/>
            <w:vAlign w:val="center"/>
          </w:tcPr>
          <w:p w14:paraId="41E04129" w14:textId="77777777" w:rsidR="009F63B0" w:rsidRPr="00BB5DCA" w:rsidRDefault="009F63B0" w:rsidP="00A2552F">
            <w:pPr>
              <w:spacing w:before="60" w:after="60"/>
              <w:rPr>
                <w:rFonts w:cs="Arial"/>
                <w:b/>
              </w:rPr>
            </w:pPr>
            <w:r w:rsidRPr="00BB5DCA">
              <w:rPr>
                <w:rFonts w:cs="Arial"/>
                <w:b/>
              </w:rPr>
              <w:t>Email address:</w:t>
            </w:r>
          </w:p>
        </w:tc>
        <w:tc>
          <w:tcPr>
            <w:tcW w:w="6138" w:type="dxa"/>
            <w:shd w:val="clear" w:color="auto" w:fill="auto"/>
            <w:vAlign w:val="center"/>
          </w:tcPr>
          <w:p w14:paraId="41E0412A" w14:textId="565B055F" w:rsidR="009F63B0" w:rsidRPr="00BB5DCA" w:rsidRDefault="00BB5DCA" w:rsidP="00DE7E57">
            <w:pPr>
              <w:spacing w:before="60" w:after="60"/>
              <w:rPr>
                <w:rFonts w:cs="Arial"/>
              </w:rPr>
            </w:pPr>
            <w:r w:rsidRPr="00BB5DCA">
              <w:rPr>
                <w:rFonts w:cs="Arial"/>
              </w:rPr>
              <w:t>Miranda.Kadwell@surrey</w:t>
            </w:r>
            <w:r w:rsidR="00DE7E57" w:rsidRPr="00BB5DCA">
              <w:rPr>
                <w:rFonts w:cs="Arial"/>
              </w:rPr>
              <w:t>.pnn.police.uk</w:t>
            </w:r>
          </w:p>
        </w:tc>
      </w:tr>
    </w:tbl>
    <w:p w14:paraId="41E0412C" w14:textId="30AEA3E4" w:rsidR="009F63B0" w:rsidRPr="00BB5DCA" w:rsidRDefault="009F63B0" w:rsidP="009F63B0">
      <w:pPr>
        <w:tabs>
          <w:tab w:val="right" w:pos="8306"/>
        </w:tabs>
        <w:jc w:val="center"/>
        <w:rPr>
          <w:rFonts w:cs="Arial"/>
          <w:lang w:eastAsia="en-GB"/>
        </w:rPr>
      </w:pP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Pr="00BB5DCA">
        <w:rPr>
          <w:rFonts w:cs="Arial"/>
          <w:lang w:eastAsia="en-GB"/>
        </w:rPr>
        <w:fldChar w:fldCharType="begin"/>
      </w:r>
      <w:r w:rsidRPr="00BB5DCA">
        <w:rPr>
          <w:rFonts w:cs="Arial"/>
          <w:lang w:eastAsia="en-GB"/>
        </w:rPr>
        <w:instrText xml:space="preserve"> INCLUDEPICTURE  "cid:image001.png@01D312A9.8E469640" \* MERGEFORMATINET </w:instrText>
      </w:r>
      <w:r w:rsidRPr="00BB5DCA">
        <w:rPr>
          <w:rFonts w:cs="Arial"/>
          <w:lang w:eastAsia="en-GB"/>
        </w:rPr>
        <w:fldChar w:fldCharType="separate"/>
      </w:r>
      <w:r w:rsidR="00A2552F" w:rsidRPr="00BB5DCA">
        <w:rPr>
          <w:rFonts w:cs="Arial"/>
          <w:lang w:eastAsia="en-GB"/>
        </w:rPr>
        <w:fldChar w:fldCharType="begin"/>
      </w:r>
      <w:r w:rsidR="00A2552F" w:rsidRPr="00BB5DCA">
        <w:rPr>
          <w:rFonts w:cs="Arial"/>
          <w:lang w:eastAsia="en-GB"/>
        </w:rPr>
        <w:instrText xml:space="preserve"> INCLUDEPICTURE  "cid:image001.png@01D312A9.8E469640" \* MERGEFORMATINET </w:instrText>
      </w:r>
      <w:r w:rsidR="00A2552F" w:rsidRPr="00BB5DCA">
        <w:rPr>
          <w:rFonts w:cs="Arial"/>
          <w:lang w:eastAsia="en-GB"/>
        </w:rPr>
        <w:fldChar w:fldCharType="separate"/>
      </w:r>
      <w:r w:rsidR="00435874" w:rsidRPr="00BB5DCA">
        <w:rPr>
          <w:rFonts w:cs="Arial"/>
          <w:lang w:eastAsia="en-GB"/>
        </w:rPr>
        <w:fldChar w:fldCharType="begin"/>
      </w:r>
      <w:r w:rsidR="00435874" w:rsidRPr="00BB5DCA">
        <w:rPr>
          <w:rFonts w:cs="Arial"/>
          <w:lang w:eastAsia="en-GB"/>
        </w:rPr>
        <w:instrText xml:space="preserve"> INCLUDEPICTURE  "cid:image001.png@01D312A9.8E469640" \* MERGEFORMATINET </w:instrText>
      </w:r>
      <w:r w:rsidR="00435874" w:rsidRPr="00BB5DCA">
        <w:rPr>
          <w:rFonts w:cs="Arial"/>
          <w:lang w:eastAsia="en-GB"/>
        </w:rPr>
        <w:fldChar w:fldCharType="separate"/>
      </w:r>
      <w:r w:rsidR="00346816" w:rsidRPr="00BB5DCA">
        <w:rPr>
          <w:rFonts w:cs="Arial"/>
          <w:lang w:eastAsia="en-GB"/>
        </w:rPr>
        <w:fldChar w:fldCharType="begin"/>
      </w:r>
      <w:r w:rsidR="00346816" w:rsidRPr="00BB5DCA">
        <w:rPr>
          <w:rFonts w:cs="Arial"/>
          <w:lang w:eastAsia="en-GB"/>
        </w:rPr>
        <w:instrText xml:space="preserve"> INCLUDEPICTURE  "cid:image001.png@01D312A9.8E469640" \* MERGEFORMATINET </w:instrText>
      </w:r>
      <w:r w:rsidR="00346816" w:rsidRPr="00BB5DCA">
        <w:rPr>
          <w:rFonts w:cs="Arial"/>
          <w:lang w:eastAsia="en-GB"/>
        </w:rPr>
        <w:fldChar w:fldCharType="separate"/>
      </w:r>
      <w:r w:rsidR="00D3610C" w:rsidRPr="00BB5DCA">
        <w:rPr>
          <w:rFonts w:cs="Arial"/>
          <w:lang w:eastAsia="en-GB"/>
        </w:rPr>
        <w:fldChar w:fldCharType="begin"/>
      </w:r>
      <w:r w:rsidR="00D3610C" w:rsidRPr="00BB5DCA">
        <w:rPr>
          <w:rFonts w:cs="Arial"/>
          <w:lang w:eastAsia="en-GB"/>
        </w:rPr>
        <w:instrText xml:space="preserve"> INCLUDEPICTURE  "cid:image001.png@01D312A9.8E469640" \* MERGEFORMATINET </w:instrText>
      </w:r>
      <w:r w:rsidR="00D3610C" w:rsidRPr="00BB5DCA">
        <w:rPr>
          <w:rFonts w:cs="Arial"/>
          <w:lang w:eastAsia="en-GB"/>
        </w:rPr>
        <w:fldChar w:fldCharType="separate"/>
      </w:r>
      <w:r w:rsidR="00A42199" w:rsidRPr="00BB5DCA">
        <w:rPr>
          <w:rFonts w:cs="Arial"/>
          <w:lang w:eastAsia="en-GB"/>
        </w:rPr>
        <w:fldChar w:fldCharType="begin"/>
      </w:r>
      <w:r w:rsidR="00A42199" w:rsidRPr="00BB5DCA">
        <w:rPr>
          <w:rFonts w:cs="Arial"/>
          <w:lang w:eastAsia="en-GB"/>
        </w:rPr>
        <w:instrText xml:space="preserve"> INCLUDEPICTURE  "cid:image001.png@01D312A9.8E469640" \* MERGEFORMATINET </w:instrText>
      </w:r>
      <w:r w:rsidR="00A42199" w:rsidRPr="00BB5DCA">
        <w:rPr>
          <w:rFonts w:cs="Arial"/>
          <w:lang w:eastAsia="en-GB"/>
        </w:rPr>
        <w:fldChar w:fldCharType="separate"/>
      </w:r>
      <w:r w:rsidR="005B2AA8" w:rsidRPr="00BB5DCA">
        <w:rPr>
          <w:rFonts w:cs="Arial"/>
          <w:lang w:eastAsia="en-GB"/>
        </w:rPr>
        <w:fldChar w:fldCharType="begin"/>
      </w:r>
      <w:r w:rsidR="005B2AA8" w:rsidRPr="00BB5DCA">
        <w:rPr>
          <w:rFonts w:cs="Arial"/>
          <w:lang w:eastAsia="en-GB"/>
        </w:rPr>
        <w:instrText xml:space="preserve"> INCLUDEPICTURE  "cid:image001.png@01D312A9.8E469640" \* MERGEFORMATINET </w:instrText>
      </w:r>
      <w:r w:rsidR="005B2AA8" w:rsidRPr="00BB5DCA">
        <w:rPr>
          <w:rFonts w:cs="Arial"/>
          <w:lang w:eastAsia="en-GB"/>
        </w:rPr>
        <w:fldChar w:fldCharType="separate"/>
      </w:r>
      <w:r w:rsidR="00A65D68" w:rsidRPr="00BB5DCA">
        <w:rPr>
          <w:rFonts w:cs="Arial"/>
          <w:lang w:eastAsia="en-GB"/>
        </w:rPr>
        <w:fldChar w:fldCharType="begin"/>
      </w:r>
      <w:r w:rsidR="00A65D68" w:rsidRPr="00BB5DCA">
        <w:rPr>
          <w:rFonts w:cs="Arial"/>
          <w:lang w:eastAsia="en-GB"/>
        </w:rPr>
        <w:instrText xml:space="preserve"> INCLUDEPICTURE  "cid:image001.png@01D312A9.8E469640" \* MERGEFORMATINET </w:instrText>
      </w:r>
      <w:r w:rsidR="00A65D68" w:rsidRPr="00BB5DCA">
        <w:rPr>
          <w:rFonts w:cs="Arial"/>
          <w:lang w:eastAsia="en-GB"/>
        </w:rPr>
        <w:fldChar w:fldCharType="separate"/>
      </w:r>
      <w:r w:rsidR="0096250A" w:rsidRPr="00BB5DCA">
        <w:rPr>
          <w:rFonts w:cs="Arial"/>
          <w:lang w:eastAsia="en-GB"/>
        </w:rPr>
        <w:fldChar w:fldCharType="begin"/>
      </w:r>
      <w:r w:rsidR="0096250A" w:rsidRPr="00BB5DCA">
        <w:rPr>
          <w:rFonts w:cs="Arial"/>
          <w:lang w:eastAsia="en-GB"/>
        </w:rPr>
        <w:instrText xml:space="preserve"> INCLUDEPICTURE  "cid:image001.png@01D312A9.8E469640" \* MERGEFORMATINET </w:instrText>
      </w:r>
      <w:r w:rsidR="0096250A" w:rsidRPr="00BB5DCA">
        <w:rPr>
          <w:rFonts w:cs="Arial"/>
          <w:lang w:eastAsia="en-GB"/>
        </w:rPr>
        <w:fldChar w:fldCharType="separate"/>
      </w:r>
      <w:r w:rsidR="009635F8" w:rsidRPr="00BB5DCA">
        <w:rPr>
          <w:rFonts w:cs="Arial"/>
          <w:lang w:eastAsia="en-GB"/>
        </w:rPr>
        <w:fldChar w:fldCharType="begin"/>
      </w:r>
      <w:r w:rsidR="009635F8" w:rsidRPr="00BB5DCA">
        <w:rPr>
          <w:rFonts w:cs="Arial"/>
          <w:lang w:eastAsia="en-GB"/>
        </w:rPr>
        <w:instrText xml:space="preserve"> INCLUDEPICTURE  "cid:image001.png@01D312A9.8E469640" \* MERGEFORMATINET </w:instrText>
      </w:r>
      <w:r w:rsidR="009635F8" w:rsidRPr="00BB5DCA">
        <w:rPr>
          <w:rFonts w:cs="Arial"/>
          <w:lang w:eastAsia="en-GB"/>
        </w:rPr>
        <w:fldChar w:fldCharType="separate"/>
      </w:r>
      <w:r w:rsidR="00EC51F0" w:rsidRPr="00BB5DCA">
        <w:rPr>
          <w:rFonts w:cs="Arial"/>
          <w:lang w:eastAsia="en-GB"/>
        </w:rPr>
        <w:fldChar w:fldCharType="begin"/>
      </w:r>
      <w:r w:rsidR="00EC51F0" w:rsidRPr="00BB5DCA">
        <w:rPr>
          <w:rFonts w:cs="Arial"/>
          <w:lang w:eastAsia="en-GB"/>
        </w:rPr>
        <w:instrText xml:space="preserve"> INCLUDEPICTURE  "cid:image001.png@01D312A9.8E469640" \* MERGEFORMATINET </w:instrText>
      </w:r>
      <w:r w:rsidR="00EC51F0" w:rsidRPr="00BB5DCA">
        <w:rPr>
          <w:rFonts w:cs="Arial"/>
          <w:lang w:eastAsia="en-GB"/>
        </w:rPr>
        <w:fldChar w:fldCharType="separate"/>
      </w:r>
      <w:r w:rsidR="00BB5DCA" w:rsidRPr="00BB5DCA">
        <w:rPr>
          <w:rFonts w:cs="Arial"/>
          <w:lang w:eastAsia="en-GB"/>
        </w:rPr>
        <w:fldChar w:fldCharType="begin"/>
      </w:r>
      <w:r w:rsidR="00BB5DCA" w:rsidRPr="00BB5DCA">
        <w:rPr>
          <w:rFonts w:cs="Arial"/>
          <w:lang w:eastAsia="en-GB"/>
        </w:rPr>
        <w:instrText xml:space="preserve"> INCLUDEPICTURE  "cid:image001.png@01D312A9.8E469640" \* MERGEFORMATINET </w:instrText>
      </w:r>
      <w:r w:rsidR="00BB5DCA" w:rsidRPr="00BB5DCA">
        <w:rPr>
          <w:rFonts w:cs="Arial"/>
          <w:lang w:eastAsia="en-GB"/>
        </w:rPr>
        <w:fldChar w:fldCharType="separate"/>
      </w:r>
      <w:r w:rsidR="00E4758F">
        <w:rPr>
          <w:rFonts w:cs="Arial"/>
          <w:lang w:eastAsia="en-GB"/>
        </w:rPr>
        <w:fldChar w:fldCharType="begin"/>
      </w:r>
      <w:r w:rsidR="00E4758F">
        <w:rPr>
          <w:rFonts w:cs="Arial"/>
          <w:lang w:eastAsia="en-GB"/>
        </w:rPr>
        <w:instrText xml:space="preserve"> INCLUDEPICTURE  "cid:image001.png@01D312A9.8E469640" \* MERGEFORMATINET </w:instrText>
      </w:r>
      <w:r w:rsidR="00E4758F">
        <w:rPr>
          <w:rFonts w:cs="Arial"/>
          <w:lang w:eastAsia="en-GB"/>
        </w:rPr>
        <w:fldChar w:fldCharType="separate"/>
      </w:r>
      <w:r w:rsidR="00C2631A">
        <w:rPr>
          <w:rFonts w:cs="Arial"/>
          <w:lang w:eastAsia="en-GB"/>
        </w:rPr>
        <w:fldChar w:fldCharType="begin"/>
      </w:r>
      <w:r w:rsidR="00C2631A">
        <w:rPr>
          <w:rFonts w:cs="Arial"/>
          <w:lang w:eastAsia="en-GB"/>
        </w:rPr>
        <w:instrText xml:space="preserve"> INCLUDEPICTURE  "cid:image001.png@01D312A9.8E469640" \* MERGEFORMATINET </w:instrText>
      </w:r>
      <w:r w:rsidR="00C2631A">
        <w:rPr>
          <w:rFonts w:cs="Arial"/>
          <w:lang w:eastAsia="en-GB"/>
        </w:rPr>
        <w:fldChar w:fldCharType="separate"/>
      </w:r>
      <w:r w:rsidR="00C04DF8">
        <w:rPr>
          <w:rFonts w:cs="Arial"/>
          <w:lang w:eastAsia="en-GB"/>
        </w:rPr>
        <w:fldChar w:fldCharType="begin"/>
      </w:r>
      <w:r w:rsidR="00C04DF8">
        <w:rPr>
          <w:rFonts w:cs="Arial"/>
          <w:lang w:eastAsia="en-GB"/>
        </w:rPr>
        <w:instrText xml:space="preserve"> </w:instrText>
      </w:r>
      <w:r w:rsidR="00C04DF8">
        <w:rPr>
          <w:rFonts w:cs="Arial"/>
          <w:lang w:eastAsia="en-GB"/>
        </w:rPr>
        <w:instrText>INCLUDEPICTURE  "cid:image001.png@01D312A9.8E469640" \* MERGEFORMATINET</w:instrText>
      </w:r>
      <w:r w:rsidR="00C04DF8">
        <w:rPr>
          <w:rFonts w:cs="Arial"/>
          <w:lang w:eastAsia="en-GB"/>
        </w:rPr>
        <w:instrText xml:space="preserve"> </w:instrText>
      </w:r>
      <w:r w:rsidR="00C04DF8">
        <w:rPr>
          <w:rFonts w:cs="Arial"/>
          <w:lang w:eastAsia="en-GB"/>
        </w:rPr>
        <w:fldChar w:fldCharType="separate"/>
      </w:r>
      <w:r w:rsidR="00C04DF8">
        <w:rPr>
          <w:rFonts w:cs="Arial"/>
          <w:lang w:eastAsia="en-GB"/>
        </w:rPr>
        <w:pict w14:anchorId="41E0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48pt">
            <v:imagedata r:id="rId12" r:href="rId13"/>
          </v:shape>
        </w:pict>
      </w:r>
      <w:r w:rsidR="00C04DF8">
        <w:rPr>
          <w:rFonts w:cs="Arial"/>
          <w:lang w:eastAsia="en-GB"/>
        </w:rPr>
        <w:fldChar w:fldCharType="end"/>
      </w:r>
      <w:r w:rsidR="00C2631A">
        <w:rPr>
          <w:rFonts w:cs="Arial"/>
          <w:lang w:eastAsia="en-GB"/>
        </w:rPr>
        <w:fldChar w:fldCharType="end"/>
      </w:r>
      <w:r w:rsidR="00E4758F">
        <w:rPr>
          <w:rFonts w:cs="Arial"/>
          <w:lang w:eastAsia="en-GB"/>
        </w:rPr>
        <w:fldChar w:fldCharType="end"/>
      </w:r>
      <w:r w:rsidR="00BB5DCA" w:rsidRPr="00BB5DCA">
        <w:rPr>
          <w:rFonts w:cs="Arial"/>
          <w:lang w:eastAsia="en-GB"/>
        </w:rPr>
        <w:fldChar w:fldCharType="end"/>
      </w:r>
      <w:r w:rsidR="00EC51F0" w:rsidRPr="00BB5DCA">
        <w:rPr>
          <w:rFonts w:cs="Arial"/>
          <w:lang w:eastAsia="en-GB"/>
        </w:rPr>
        <w:fldChar w:fldCharType="end"/>
      </w:r>
      <w:r w:rsidR="009635F8" w:rsidRPr="00BB5DCA">
        <w:rPr>
          <w:rFonts w:cs="Arial"/>
          <w:lang w:eastAsia="en-GB"/>
        </w:rPr>
        <w:fldChar w:fldCharType="end"/>
      </w:r>
      <w:r w:rsidR="0096250A" w:rsidRPr="00BB5DCA">
        <w:rPr>
          <w:rFonts w:cs="Arial"/>
          <w:lang w:eastAsia="en-GB"/>
        </w:rPr>
        <w:fldChar w:fldCharType="end"/>
      </w:r>
      <w:r w:rsidR="00A65D68" w:rsidRPr="00BB5DCA">
        <w:rPr>
          <w:rFonts w:cs="Arial"/>
          <w:lang w:eastAsia="en-GB"/>
        </w:rPr>
        <w:fldChar w:fldCharType="end"/>
      </w:r>
      <w:r w:rsidR="005B2AA8" w:rsidRPr="00BB5DCA">
        <w:rPr>
          <w:rFonts w:cs="Arial"/>
          <w:lang w:eastAsia="en-GB"/>
        </w:rPr>
        <w:fldChar w:fldCharType="end"/>
      </w:r>
      <w:r w:rsidR="00A42199" w:rsidRPr="00BB5DCA">
        <w:rPr>
          <w:rFonts w:cs="Arial"/>
          <w:lang w:eastAsia="en-GB"/>
        </w:rPr>
        <w:fldChar w:fldCharType="end"/>
      </w:r>
      <w:r w:rsidR="00D3610C" w:rsidRPr="00BB5DCA">
        <w:rPr>
          <w:rFonts w:cs="Arial"/>
          <w:lang w:eastAsia="en-GB"/>
        </w:rPr>
        <w:fldChar w:fldCharType="end"/>
      </w:r>
      <w:r w:rsidR="00346816" w:rsidRPr="00BB5DCA">
        <w:rPr>
          <w:rFonts w:cs="Arial"/>
          <w:lang w:eastAsia="en-GB"/>
        </w:rPr>
        <w:fldChar w:fldCharType="end"/>
      </w:r>
      <w:r w:rsidR="00435874" w:rsidRPr="00BB5DCA">
        <w:rPr>
          <w:rFonts w:cs="Arial"/>
          <w:lang w:eastAsia="en-GB"/>
        </w:rPr>
        <w:fldChar w:fldCharType="end"/>
      </w:r>
      <w:r w:rsidR="00A2552F"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r w:rsidRPr="00BB5DCA">
        <w:rPr>
          <w:rFonts w:cs="Arial"/>
          <w:lang w:eastAsia="en-GB"/>
        </w:rPr>
        <w:fldChar w:fldCharType="end"/>
      </w:r>
    </w:p>
    <w:p w14:paraId="41E0412D" w14:textId="3208FEF0" w:rsidR="000C6BC6" w:rsidRPr="00BB5DCA" w:rsidRDefault="00CF0040" w:rsidP="002055D4">
      <w:pPr>
        <w:pStyle w:val="Heading2"/>
        <w:numPr>
          <w:ilvl w:val="0"/>
          <w:numId w:val="29"/>
        </w:numPr>
        <w:rPr>
          <w:rFonts w:asciiTheme="minorHAnsi" w:eastAsia="Times New Roman" w:hAnsiTheme="minorHAnsi"/>
        </w:rPr>
      </w:pPr>
      <w:r w:rsidRPr="00BB5DCA">
        <w:rPr>
          <w:rFonts w:asciiTheme="minorHAnsi" w:eastAsia="Times New Roman" w:hAnsiTheme="minorHAnsi"/>
        </w:rPr>
        <w:lastRenderedPageBreak/>
        <w:t>Introduction</w:t>
      </w:r>
    </w:p>
    <w:p w14:paraId="7DB44407" w14:textId="77777777" w:rsidR="002055D4" w:rsidRPr="00BB5DCA" w:rsidRDefault="002055D4" w:rsidP="00953A11">
      <w:pPr>
        <w:spacing w:after="0" w:line="240" w:lineRule="auto"/>
        <w:ind w:left="2880" w:hanging="2880"/>
        <w:rPr>
          <w:rFonts w:eastAsia="Times New Roman" w:cs="Arial"/>
          <w:b/>
          <w:sz w:val="20"/>
          <w:szCs w:val="20"/>
        </w:rPr>
      </w:pPr>
    </w:p>
    <w:p w14:paraId="4A7180FA" w14:textId="6BC15A64" w:rsidR="0064138A" w:rsidRPr="00BB5DCA" w:rsidRDefault="002055D4" w:rsidP="0064138A">
      <w:pPr>
        <w:numPr>
          <w:ilvl w:val="1"/>
          <w:numId w:val="31"/>
        </w:numPr>
        <w:spacing w:after="0" w:line="240" w:lineRule="auto"/>
        <w:jc w:val="both"/>
        <w:rPr>
          <w:rFonts w:cs="Arial"/>
          <w:sz w:val="20"/>
          <w:szCs w:val="20"/>
        </w:rPr>
      </w:pPr>
      <w:r w:rsidRPr="00BB5DCA">
        <w:rPr>
          <w:rFonts w:eastAsia="Times New Roman" w:cs="Arial"/>
          <w:sz w:val="20"/>
          <w:szCs w:val="20"/>
        </w:rPr>
        <w:t>This report provides the Joint Audit Committee with an update on regulatory changes, production timetable and progress with the Annual Statements of Accounts and Annual Governance Statements for 20</w:t>
      </w:r>
      <w:r w:rsidR="00BB5DCA" w:rsidRPr="00BB5DCA">
        <w:rPr>
          <w:rFonts w:eastAsia="Times New Roman" w:cs="Arial"/>
          <w:sz w:val="20"/>
          <w:szCs w:val="20"/>
        </w:rPr>
        <w:t>20</w:t>
      </w:r>
      <w:r w:rsidRPr="00BB5DCA">
        <w:rPr>
          <w:rFonts w:eastAsia="Times New Roman" w:cs="Arial"/>
          <w:sz w:val="20"/>
          <w:szCs w:val="20"/>
        </w:rPr>
        <w:t>/2</w:t>
      </w:r>
      <w:r w:rsidR="00BB5DCA" w:rsidRPr="00BB5DCA">
        <w:rPr>
          <w:rFonts w:eastAsia="Times New Roman" w:cs="Arial"/>
          <w:sz w:val="20"/>
          <w:szCs w:val="20"/>
        </w:rPr>
        <w:t>1</w:t>
      </w:r>
      <w:r w:rsidRPr="00BB5DCA">
        <w:rPr>
          <w:rFonts w:eastAsia="Times New Roman" w:cs="Arial"/>
          <w:sz w:val="20"/>
          <w:szCs w:val="20"/>
        </w:rPr>
        <w:t xml:space="preserve"> for review by the Audit Committee.</w:t>
      </w:r>
    </w:p>
    <w:p w14:paraId="321BBE61" w14:textId="77777777" w:rsidR="0064138A" w:rsidRPr="00BB5DCA" w:rsidRDefault="0064138A" w:rsidP="0064138A">
      <w:pPr>
        <w:spacing w:after="0" w:line="240" w:lineRule="auto"/>
        <w:ind w:left="720"/>
        <w:jc w:val="both"/>
        <w:rPr>
          <w:rFonts w:cs="Arial"/>
          <w:sz w:val="20"/>
          <w:szCs w:val="20"/>
        </w:rPr>
      </w:pPr>
    </w:p>
    <w:p w14:paraId="65352450" w14:textId="77777777" w:rsidR="0064138A" w:rsidRPr="00BB5DCA" w:rsidRDefault="0064138A" w:rsidP="0064138A">
      <w:pPr>
        <w:numPr>
          <w:ilvl w:val="1"/>
          <w:numId w:val="31"/>
        </w:numPr>
        <w:spacing w:after="0" w:line="240" w:lineRule="auto"/>
        <w:jc w:val="both"/>
        <w:rPr>
          <w:rFonts w:cs="Arial"/>
          <w:sz w:val="20"/>
          <w:szCs w:val="20"/>
        </w:rPr>
      </w:pPr>
      <w:r w:rsidRPr="00BB5DCA">
        <w:rPr>
          <w:rFonts w:eastAsia="Times New Roman" w:cs="Arial"/>
          <w:sz w:val="20"/>
          <w:szCs w:val="20"/>
        </w:rPr>
        <w:t xml:space="preserve">The PCC and CC as separate corporation sole entities are required to prepare individual Statement of Accounts, the consolidated position for the PCC Group is included within the PCC’s Statement of Accounts. </w:t>
      </w:r>
    </w:p>
    <w:p w14:paraId="5ED40ABB" w14:textId="77777777" w:rsidR="0064138A" w:rsidRPr="00BB5DCA" w:rsidRDefault="0064138A" w:rsidP="0064138A">
      <w:pPr>
        <w:spacing w:after="0" w:line="240" w:lineRule="auto"/>
        <w:ind w:left="720"/>
        <w:jc w:val="both"/>
        <w:rPr>
          <w:rFonts w:cs="Arial"/>
          <w:sz w:val="20"/>
          <w:szCs w:val="20"/>
        </w:rPr>
      </w:pPr>
    </w:p>
    <w:p w14:paraId="4F0636D5" w14:textId="0818986A" w:rsidR="0064138A" w:rsidRPr="00BB5DCA" w:rsidRDefault="0064138A" w:rsidP="0064138A">
      <w:pPr>
        <w:numPr>
          <w:ilvl w:val="1"/>
          <w:numId w:val="31"/>
        </w:numPr>
        <w:spacing w:after="0" w:line="240" w:lineRule="auto"/>
        <w:jc w:val="both"/>
        <w:rPr>
          <w:rFonts w:cs="Arial"/>
          <w:sz w:val="20"/>
          <w:szCs w:val="20"/>
        </w:rPr>
      </w:pPr>
      <w:r w:rsidRPr="00BB5DCA">
        <w:rPr>
          <w:rFonts w:eastAsia="Times New Roman" w:cs="Arial"/>
          <w:sz w:val="20"/>
          <w:szCs w:val="20"/>
        </w:rPr>
        <w:t xml:space="preserve">The Annual Statement of Accounts and Annual Governance Statement for both the PCC and the CC are prepared as soon as possible after the end of the financial year. </w:t>
      </w:r>
    </w:p>
    <w:p w14:paraId="536F2488" w14:textId="77777777" w:rsidR="0064138A" w:rsidRPr="00BB5DCA" w:rsidRDefault="0064138A" w:rsidP="0064138A">
      <w:pPr>
        <w:spacing w:after="0" w:line="240" w:lineRule="auto"/>
        <w:jc w:val="both"/>
        <w:rPr>
          <w:rFonts w:cs="Arial"/>
          <w:sz w:val="20"/>
          <w:szCs w:val="20"/>
        </w:rPr>
      </w:pPr>
    </w:p>
    <w:p w14:paraId="2DE77E30" w14:textId="05E62DCF" w:rsidR="0064138A" w:rsidRPr="00BB5DCA" w:rsidRDefault="0064138A" w:rsidP="0064138A">
      <w:pPr>
        <w:numPr>
          <w:ilvl w:val="1"/>
          <w:numId w:val="31"/>
        </w:numPr>
        <w:spacing w:after="0" w:line="240" w:lineRule="auto"/>
        <w:jc w:val="both"/>
        <w:rPr>
          <w:rFonts w:cs="Arial"/>
          <w:sz w:val="20"/>
          <w:szCs w:val="20"/>
        </w:rPr>
      </w:pPr>
      <w:r w:rsidRPr="00BB5DCA">
        <w:rPr>
          <w:rFonts w:eastAsia="Times New Roman" w:cs="Arial"/>
          <w:sz w:val="20"/>
          <w:szCs w:val="20"/>
        </w:rPr>
        <w:t>The 20</w:t>
      </w:r>
      <w:r w:rsidR="00BB5DCA" w:rsidRPr="00BB5DCA">
        <w:rPr>
          <w:rFonts w:eastAsia="Times New Roman" w:cs="Arial"/>
          <w:sz w:val="20"/>
          <w:szCs w:val="20"/>
        </w:rPr>
        <w:t>20</w:t>
      </w:r>
      <w:r w:rsidRPr="00BB5DCA">
        <w:rPr>
          <w:rFonts w:eastAsia="Times New Roman" w:cs="Arial"/>
          <w:sz w:val="20"/>
          <w:szCs w:val="20"/>
        </w:rPr>
        <w:t>/2</w:t>
      </w:r>
      <w:r w:rsidR="00BB5DCA" w:rsidRPr="00BB5DCA">
        <w:rPr>
          <w:rFonts w:eastAsia="Times New Roman" w:cs="Arial"/>
          <w:sz w:val="20"/>
          <w:szCs w:val="20"/>
        </w:rPr>
        <w:t>1</w:t>
      </w:r>
      <w:r w:rsidRPr="00BB5DCA">
        <w:rPr>
          <w:rFonts w:eastAsia="Times New Roman" w:cs="Arial"/>
          <w:sz w:val="20"/>
          <w:szCs w:val="20"/>
        </w:rPr>
        <w:t xml:space="preserve"> PCC and CC Statement of Accounts have been prepared in accordance with the Code of Practice on Local Authority Accounting in the United Kingdom 20</w:t>
      </w:r>
      <w:r w:rsidR="00BB5DCA" w:rsidRPr="00BB5DCA">
        <w:rPr>
          <w:rFonts w:eastAsia="Times New Roman" w:cs="Arial"/>
          <w:sz w:val="20"/>
          <w:szCs w:val="20"/>
        </w:rPr>
        <w:t>20</w:t>
      </w:r>
      <w:r w:rsidRPr="00BB5DCA">
        <w:rPr>
          <w:rFonts w:eastAsia="Times New Roman" w:cs="Arial"/>
          <w:sz w:val="20"/>
          <w:szCs w:val="20"/>
        </w:rPr>
        <w:t>/2</w:t>
      </w:r>
      <w:r w:rsidR="00BB5DCA" w:rsidRPr="00BB5DCA">
        <w:rPr>
          <w:rFonts w:eastAsia="Times New Roman" w:cs="Arial"/>
          <w:sz w:val="20"/>
          <w:szCs w:val="20"/>
        </w:rPr>
        <w:t>1</w:t>
      </w:r>
      <w:r w:rsidRPr="00BB5DCA">
        <w:rPr>
          <w:rFonts w:eastAsia="Times New Roman" w:cs="Arial"/>
          <w:sz w:val="20"/>
          <w:szCs w:val="20"/>
        </w:rPr>
        <w:t xml:space="preserve">, based on International Financial Reporting Standards, issued by the Chartered Institute of Public Finance &amp; Accountancy. </w:t>
      </w:r>
    </w:p>
    <w:p w14:paraId="484406AC" w14:textId="77777777" w:rsidR="0064138A" w:rsidRPr="00BB5DCA" w:rsidRDefault="0064138A" w:rsidP="0064138A">
      <w:pPr>
        <w:spacing w:after="0" w:line="240" w:lineRule="auto"/>
        <w:jc w:val="both"/>
        <w:rPr>
          <w:rFonts w:cs="Arial"/>
          <w:sz w:val="20"/>
          <w:szCs w:val="20"/>
        </w:rPr>
      </w:pPr>
    </w:p>
    <w:p w14:paraId="5D4818E8" w14:textId="303B6CDF" w:rsidR="0064138A" w:rsidRPr="00BB5DCA" w:rsidRDefault="000F5D7D" w:rsidP="0064138A">
      <w:pPr>
        <w:numPr>
          <w:ilvl w:val="1"/>
          <w:numId w:val="31"/>
        </w:numPr>
        <w:spacing w:after="0" w:line="240" w:lineRule="auto"/>
        <w:jc w:val="both"/>
        <w:rPr>
          <w:rFonts w:cs="Arial"/>
          <w:sz w:val="20"/>
          <w:szCs w:val="20"/>
        </w:rPr>
      </w:pPr>
      <w:r w:rsidRPr="00BB5DCA">
        <w:rPr>
          <w:rFonts w:eastAsia="Times New Roman" w:cs="Arial"/>
          <w:sz w:val="20"/>
          <w:szCs w:val="20"/>
        </w:rPr>
        <w:t>T</w:t>
      </w:r>
      <w:r w:rsidR="0064138A" w:rsidRPr="00BB5DCA">
        <w:rPr>
          <w:rFonts w:eastAsia="Times New Roman" w:cs="Arial"/>
          <w:sz w:val="20"/>
          <w:szCs w:val="20"/>
        </w:rPr>
        <w:t>he Annual Governance Statement</w:t>
      </w:r>
      <w:r w:rsidRPr="00BB5DCA">
        <w:rPr>
          <w:rFonts w:eastAsia="Times New Roman" w:cs="Arial"/>
          <w:sz w:val="20"/>
          <w:szCs w:val="20"/>
        </w:rPr>
        <w:t>s (AGS) are contained within each of the Statement of Accounts</w:t>
      </w:r>
      <w:r w:rsidR="0064138A" w:rsidRPr="00BB5DCA">
        <w:rPr>
          <w:rFonts w:eastAsia="Times New Roman" w:cs="Arial"/>
          <w:sz w:val="20"/>
          <w:szCs w:val="20"/>
        </w:rPr>
        <w:t>. The</w:t>
      </w:r>
      <w:r w:rsidRPr="00BB5DCA">
        <w:rPr>
          <w:rFonts w:eastAsia="Times New Roman" w:cs="Arial"/>
          <w:sz w:val="20"/>
          <w:szCs w:val="20"/>
        </w:rPr>
        <w:t xml:space="preserve"> AGS documents</w:t>
      </w:r>
      <w:r w:rsidR="0064138A" w:rsidRPr="00BB5DCA">
        <w:rPr>
          <w:rFonts w:eastAsia="Times New Roman" w:cs="Arial"/>
          <w:sz w:val="20"/>
          <w:szCs w:val="20"/>
        </w:rPr>
        <w:t xml:space="preserve"> provide</w:t>
      </w:r>
      <w:r w:rsidRPr="00BB5DCA">
        <w:rPr>
          <w:rFonts w:eastAsia="Times New Roman" w:cs="Arial"/>
          <w:sz w:val="20"/>
          <w:szCs w:val="20"/>
        </w:rPr>
        <w:t>s</w:t>
      </w:r>
      <w:r w:rsidR="0064138A" w:rsidRPr="00BB5DCA">
        <w:rPr>
          <w:rFonts w:eastAsia="Times New Roman" w:cs="Arial"/>
          <w:sz w:val="20"/>
          <w:szCs w:val="20"/>
        </w:rPr>
        <w:t xml:space="preserve"> assurance that both corporation soles have in place governance frameworks that cover the systems, processes, culture and values through which each organisation manages its activities.  The preparation of the Annual Governance Statement is a requirement of the Accounts and Audit (England) Regulation 2015 which is also reflected in the Code of Practice on Local Authority Accounting in the United Kingdom 20</w:t>
      </w:r>
      <w:r w:rsidR="00BB5DCA" w:rsidRPr="00BB5DCA">
        <w:rPr>
          <w:rFonts w:eastAsia="Times New Roman" w:cs="Arial"/>
          <w:sz w:val="20"/>
          <w:szCs w:val="20"/>
        </w:rPr>
        <w:t>20</w:t>
      </w:r>
      <w:r w:rsidR="0064138A" w:rsidRPr="00BB5DCA">
        <w:rPr>
          <w:rFonts w:eastAsia="Times New Roman" w:cs="Arial"/>
          <w:sz w:val="20"/>
          <w:szCs w:val="20"/>
        </w:rPr>
        <w:t>/</w:t>
      </w:r>
      <w:r w:rsidRPr="00BB5DCA">
        <w:rPr>
          <w:rFonts w:eastAsia="Times New Roman" w:cs="Arial"/>
          <w:sz w:val="20"/>
          <w:szCs w:val="20"/>
        </w:rPr>
        <w:t>2</w:t>
      </w:r>
      <w:r w:rsidR="00BB5DCA" w:rsidRPr="00BB5DCA">
        <w:rPr>
          <w:rFonts w:eastAsia="Times New Roman" w:cs="Arial"/>
          <w:sz w:val="20"/>
          <w:szCs w:val="20"/>
        </w:rPr>
        <w:t>1</w:t>
      </w:r>
      <w:r w:rsidR="0064138A" w:rsidRPr="00BB5DCA">
        <w:rPr>
          <w:rFonts w:eastAsia="Times New Roman" w:cs="Arial"/>
          <w:sz w:val="20"/>
          <w:szCs w:val="20"/>
        </w:rPr>
        <w:t>.</w:t>
      </w:r>
    </w:p>
    <w:p w14:paraId="1956130B" w14:textId="77777777" w:rsidR="0064138A" w:rsidRPr="00BB5DCA" w:rsidRDefault="0064138A" w:rsidP="0064138A">
      <w:pPr>
        <w:spacing w:after="0" w:line="240" w:lineRule="auto"/>
        <w:jc w:val="both"/>
        <w:rPr>
          <w:rFonts w:cs="Arial"/>
          <w:sz w:val="20"/>
          <w:szCs w:val="20"/>
        </w:rPr>
      </w:pPr>
    </w:p>
    <w:p w14:paraId="3E5244A6" w14:textId="3B9B883A" w:rsidR="0064138A" w:rsidRPr="00BB5DCA" w:rsidRDefault="0064138A" w:rsidP="0064138A">
      <w:pPr>
        <w:numPr>
          <w:ilvl w:val="1"/>
          <w:numId w:val="31"/>
        </w:numPr>
        <w:spacing w:after="0" w:line="240" w:lineRule="auto"/>
        <w:jc w:val="both"/>
        <w:rPr>
          <w:rFonts w:cs="Arial"/>
          <w:sz w:val="20"/>
          <w:szCs w:val="20"/>
        </w:rPr>
      </w:pPr>
      <w:r w:rsidRPr="00BB5DCA">
        <w:rPr>
          <w:rFonts w:eastAsia="Times New Roman" w:cs="Arial"/>
          <w:sz w:val="20"/>
          <w:szCs w:val="20"/>
        </w:rPr>
        <w:t xml:space="preserve">Following the external audit of both the PCC &amp; CC financial statements amendments </w:t>
      </w:r>
      <w:r w:rsidR="00BB5DCA" w:rsidRPr="00BB5DCA">
        <w:rPr>
          <w:rFonts w:eastAsia="Times New Roman" w:cs="Arial"/>
          <w:sz w:val="20"/>
          <w:szCs w:val="20"/>
        </w:rPr>
        <w:t>may be</w:t>
      </w:r>
      <w:r w:rsidRPr="00BB5DCA">
        <w:rPr>
          <w:rFonts w:eastAsia="Times New Roman" w:cs="Arial"/>
          <w:sz w:val="20"/>
          <w:szCs w:val="20"/>
        </w:rPr>
        <w:t xml:space="preserve"> made to the accounts as detailed in the Audit Findings Report. </w:t>
      </w:r>
    </w:p>
    <w:p w14:paraId="6D22691A" w14:textId="77777777" w:rsidR="0064138A" w:rsidRPr="00BB5DCA" w:rsidRDefault="0064138A" w:rsidP="00713E39">
      <w:pPr>
        <w:spacing w:after="0" w:line="240" w:lineRule="auto"/>
        <w:jc w:val="both"/>
        <w:rPr>
          <w:rFonts w:eastAsia="Times New Roman" w:cs="Arial"/>
          <w:sz w:val="20"/>
          <w:szCs w:val="20"/>
        </w:rPr>
      </w:pPr>
    </w:p>
    <w:p w14:paraId="6711314A" w14:textId="25264E6E" w:rsidR="00AD5D62" w:rsidRPr="00BB5DCA" w:rsidRDefault="00AD5D62" w:rsidP="002055D4">
      <w:pPr>
        <w:pStyle w:val="Heading2"/>
        <w:numPr>
          <w:ilvl w:val="0"/>
          <w:numId w:val="29"/>
        </w:numPr>
        <w:rPr>
          <w:rFonts w:asciiTheme="minorHAnsi" w:eastAsia="Times New Roman" w:hAnsiTheme="minorHAnsi"/>
        </w:rPr>
      </w:pPr>
      <w:r w:rsidRPr="00BB5DCA">
        <w:rPr>
          <w:rFonts w:asciiTheme="minorHAnsi" w:eastAsia="Times New Roman" w:hAnsiTheme="minorHAnsi"/>
        </w:rPr>
        <w:t>Executive Summary</w:t>
      </w:r>
    </w:p>
    <w:p w14:paraId="79C567A6" w14:textId="77777777" w:rsidR="00AD5D62" w:rsidRPr="00BB5DCA" w:rsidRDefault="00AD5D62" w:rsidP="00713E39">
      <w:pPr>
        <w:spacing w:after="0" w:line="240" w:lineRule="auto"/>
        <w:ind w:left="1276" w:hanging="1276"/>
        <w:jc w:val="both"/>
        <w:rPr>
          <w:rFonts w:eastAsia="Times New Roman" w:cs="Arial"/>
          <w:sz w:val="20"/>
          <w:szCs w:val="20"/>
        </w:rPr>
      </w:pPr>
    </w:p>
    <w:p w14:paraId="04C56D1F" w14:textId="77777777" w:rsidR="002055D4" w:rsidRPr="00BB5DCA" w:rsidRDefault="002055D4" w:rsidP="002055D4">
      <w:pPr>
        <w:pStyle w:val="ListParagraph"/>
        <w:numPr>
          <w:ilvl w:val="0"/>
          <w:numId w:val="31"/>
        </w:numPr>
        <w:spacing w:after="0" w:line="240" w:lineRule="auto"/>
        <w:contextualSpacing w:val="0"/>
        <w:jc w:val="both"/>
        <w:rPr>
          <w:rFonts w:eastAsia="Times New Roman" w:cs="Arial"/>
          <w:vanish/>
          <w:sz w:val="20"/>
          <w:szCs w:val="20"/>
        </w:rPr>
      </w:pPr>
    </w:p>
    <w:p w14:paraId="23C00099" w14:textId="55974500" w:rsidR="002055D4" w:rsidRPr="00EA78C0" w:rsidRDefault="002055D4" w:rsidP="002055D4">
      <w:pPr>
        <w:numPr>
          <w:ilvl w:val="1"/>
          <w:numId w:val="31"/>
        </w:numPr>
        <w:spacing w:after="0" w:line="240" w:lineRule="auto"/>
        <w:jc w:val="both"/>
        <w:rPr>
          <w:rFonts w:cs="Arial"/>
          <w:sz w:val="20"/>
          <w:szCs w:val="20"/>
        </w:rPr>
      </w:pPr>
      <w:r w:rsidRPr="00BB5DCA">
        <w:rPr>
          <w:rFonts w:eastAsia="Times New Roman" w:cs="Arial"/>
          <w:sz w:val="20"/>
          <w:szCs w:val="20"/>
        </w:rPr>
        <w:t xml:space="preserve">This report provides the Joint Audit Committee with an update on regulatory changes, production timetable and progress with the Annual Statements of Accounts and Annual Governance Statements </w:t>
      </w:r>
      <w:r w:rsidRPr="00EA78C0">
        <w:rPr>
          <w:rFonts w:eastAsia="Times New Roman" w:cs="Arial"/>
          <w:sz w:val="20"/>
          <w:szCs w:val="20"/>
        </w:rPr>
        <w:t>for 20</w:t>
      </w:r>
      <w:r w:rsidR="00BB5DCA" w:rsidRPr="00EA78C0">
        <w:rPr>
          <w:rFonts w:eastAsia="Times New Roman" w:cs="Arial"/>
          <w:sz w:val="20"/>
          <w:szCs w:val="20"/>
        </w:rPr>
        <w:t>20</w:t>
      </w:r>
      <w:r w:rsidRPr="00EA78C0">
        <w:rPr>
          <w:rFonts w:eastAsia="Times New Roman" w:cs="Arial"/>
          <w:sz w:val="20"/>
          <w:szCs w:val="20"/>
        </w:rPr>
        <w:t>/2</w:t>
      </w:r>
      <w:r w:rsidR="00BB5DCA" w:rsidRPr="00EA78C0">
        <w:rPr>
          <w:rFonts w:eastAsia="Times New Roman" w:cs="Arial"/>
          <w:sz w:val="20"/>
          <w:szCs w:val="20"/>
        </w:rPr>
        <w:t>1</w:t>
      </w:r>
      <w:r w:rsidRPr="00EA78C0">
        <w:rPr>
          <w:rFonts w:eastAsia="Times New Roman" w:cs="Arial"/>
          <w:sz w:val="20"/>
          <w:szCs w:val="20"/>
        </w:rPr>
        <w:t xml:space="preserve"> for review by the Audit Committee.</w:t>
      </w:r>
    </w:p>
    <w:p w14:paraId="24F7EA79" w14:textId="5C321A34" w:rsidR="002055D4" w:rsidRPr="00EA78C0" w:rsidRDefault="002055D4" w:rsidP="002055D4">
      <w:pPr>
        <w:spacing w:after="0" w:line="240" w:lineRule="auto"/>
        <w:ind w:left="720"/>
        <w:jc w:val="both"/>
        <w:rPr>
          <w:rFonts w:cs="Arial"/>
          <w:sz w:val="20"/>
          <w:szCs w:val="20"/>
        </w:rPr>
      </w:pPr>
    </w:p>
    <w:p w14:paraId="5E8208BE" w14:textId="11175BC1" w:rsidR="00792011" w:rsidRPr="00792011" w:rsidRDefault="00792011" w:rsidP="00792011">
      <w:pPr>
        <w:numPr>
          <w:ilvl w:val="1"/>
          <w:numId w:val="31"/>
        </w:numPr>
        <w:spacing w:after="0" w:line="240" w:lineRule="auto"/>
        <w:jc w:val="both"/>
        <w:rPr>
          <w:rFonts w:eastAsia="Times New Roman" w:cs="Arial"/>
          <w:sz w:val="20"/>
          <w:szCs w:val="20"/>
        </w:rPr>
      </w:pPr>
      <w:r>
        <w:rPr>
          <w:rFonts w:eastAsia="Times New Roman" w:cs="Arial"/>
          <w:sz w:val="20"/>
          <w:szCs w:val="20"/>
        </w:rPr>
        <w:t>There were very few changes to the 2020/21 Code and none of those had any significant impact on Surrey Police.</w:t>
      </w:r>
    </w:p>
    <w:p w14:paraId="7DB687BB" w14:textId="77777777" w:rsidR="00792011" w:rsidRPr="00792011" w:rsidRDefault="00792011" w:rsidP="00792011">
      <w:pPr>
        <w:spacing w:after="0" w:line="240" w:lineRule="auto"/>
        <w:ind w:left="720"/>
        <w:jc w:val="both"/>
        <w:rPr>
          <w:rFonts w:eastAsia="Times New Roman" w:cs="Arial"/>
          <w:sz w:val="20"/>
          <w:szCs w:val="20"/>
        </w:rPr>
      </w:pPr>
    </w:p>
    <w:p w14:paraId="25633A22" w14:textId="0FD1C131" w:rsidR="00EA78C0" w:rsidRDefault="008E6620" w:rsidP="004C1D05">
      <w:pPr>
        <w:numPr>
          <w:ilvl w:val="1"/>
          <w:numId w:val="31"/>
        </w:numPr>
        <w:spacing w:after="0" w:line="240" w:lineRule="auto"/>
        <w:jc w:val="both"/>
        <w:rPr>
          <w:rFonts w:eastAsia="Times New Roman" w:cs="Arial"/>
          <w:sz w:val="20"/>
          <w:szCs w:val="20"/>
        </w:rPr>
      </w:pPr>
      <w:r>
        <w:rPr>
          <w:rFonts w:eastAsia="Times New Roman" w:cs="Arial"/>
          <w:sz w:val="20"/>
          <w:szCs w:val="20"/>
        </w:rPr>
        <w:t>Local authorities started to see the impacts of the current pandemic back in March 2020. At that time issues were raised for financial reporting and events occurring post balance sheet for 2019/20.</w:t>
      </w:r>
    </w:p>
    <w:p w14:paraId="4073AAD5" w14:textId="77777777" w:rsidR="00E4758F" w:rsidRPr="00E4758F" w:rsidRDefault="00E4758F" w:rsidP="00E4758F">
      <w:pPr>
        <w:spacing w:after="0" w:line="240" w:lineRule="auto"/>
        <w:ind w:left="720"/>
        <w:jc w:val="both"/>
        <w:rPr>
          <w:rFonts w:cs="Arial"/>
          <w:sz w:val="20"/>
          <w:szCs w:val="20"/>
        </w:rPr>
      </w:pPr>
    </w:p>
    <w:p w14:paraId="67C2A273" w14:textId="1CD6F001" w:rsidR="00E4758F" w:rsidRPr="00E4758F" w:rsidRDefault="00E4758F" w:rsidP="00C06CDF">
      <w:pPr>
        <w:numPr>
          <w:ilvl w:val="1"/>
          <w:numId w:val="31"/>
        </w:numPr>
        <w:spacing w:after="0" w:line="240" w:lineRule="auto"/>
        <w:jc w:val="both"/>
        <w:rPr>
          <w:rFonts w:eastAsia="Times New Roman" w:cs="Arial"/>
          <w:sz w:val="20"/>
          <w:szCs w:val="20"/>
        </w:rPr>
      </w:pPr>
      <w:r w:rsidRPr="00E4758F">
        <w:rPr>
          <w:rFonts w:eastAsia="Times New Roman" w:cs="Arial"/>
          <w:sz w:val="20"/>
          <w:szCs w:val="20"/>
        </w:rPr>
        <w:t xml:space="preserve">A number of new issues continue to impact on Financial Accounts Reporting in connection with the pandemic. </w:t>
      </w:r>
      <w:r w:rsidRPr="00E4758F">
        <w:rPr>
          <w:rFonts w:eastAsia="Times New Roman" w:cs="Arial"/>
          <w:b/>
          <w:sz w:val="20"/>
          <w:szCs w:val="20"/>
        </w:rPr>
        <w:t>Necessity to work remotely</w:t>
      </w:r>
      <w:r w:rsidRPr="00E4758F">
        <w:rPr>
          <w:rFonts w:eastAsia="Times New Roman" w:cs="Arial"/>
          <w:sz w:val="20"/>
          <w:szCs w:val="20"/>
        </w:rPr>
        <w:t xml:space="preserve"> </w:t>
      </w:r>
      <w:r>
        <w:rPr>
          <w:rFonts w:eastAsia="Times New Roman" w:cs="Arial"/>
          <w:sz w:val="20"/>
          <w:szCs w:val="20"/>
        </w:rPr>
        <w:t xml:space="preserve">continue to </w:t>
      </w:r>
      <w:r w:rsidRPr="00E4758F">
        <w:rPr>
          <w:rFonts w:eastAsia="Times New Roman" w:cs="Arial"/>
          <w:sz w:val="20"/>
          <w:szCs w:val="20"/>
        </w:rPr>
        <w:t>impact both internal teams and external partners to find effective ways of communicating and coordinating adequate equipment and access to be able to work from home effectively. For example:</w:t>
      </w:r>
    </w:p>
    <w:p w14:paraId="51324F77" w14:textId="77777777" w:rsidR="008E6620" w:rsidRDefault="008E6620" w:rsidP="008E6620">
      <w:pPr>
        <w:spacing w:after="0" w:line="240" w:lineRule="auto"/>
        <w:ind w:left="720"/>
        <w:jc w:val="both"/>
        <w:rPr>
          <w:rFonts w:eastAsia="Times New Roman" w:cs="Arial"/>
          <w:sz w:val="20"/>
          <w:szCs w:val="20"/>
        </w:rPr>
      </w:pPr>
    </w:p>
    <w:p w14:paraId="7A4DA577" w14:textId="6FA60F4E" w:rsidR="008E6620" w:rsidRDefault="008E6620" w:rsidP="004C1D05">
      <w:pPr>
        <w:numPr>
          <w:ilvl w:val="1"/>
          <w:numId w:val="31"/>
        </w:numPr>
        <w:spacing w:after="0" w:line="240" w:lineRule="auto"/>
        <w:jc w:val="both"/>
        <w:rPr>
          <w:rFonts w:eastAsia="Times New Roman" w:cs="Arial"/>
          <w:sz w:val="20"/>
          <w:szCs w:val="20"/>
        </w:rPr>
      </w:pPr>
      <w:r>
        <w:rPr>
          <w:rFonts w:eastAsia="Times New Roman" w:cs="Arial"/>
          <w:sz w:val="20"/>
          <w:szCs w:val="20"/>
        </w:rPr>
        <w:t>The 2020/21 year has been dealing with the issues generated by the ongoing pandemic including impacts on PPE measurements, Fair Value measurements of investment property, reporting judgements and estimation uncertainty, potential volatility in measurement of pension fund assets and liabilities.</w:t>
      </w:r>
    </w:p>
    <w:p w14:paraId="6F763935" w14:textId="207D76BD" w:rsidR="00C15A4A" w:rsidRDefault="00C15A4A" w:rsidP="00C15A4A">
      <w:pPr>
        <w:spacing w:after="0" w:line="240" w:lineRule="auto"/>
        <w:ind w:left="720"/>
        <w:jc w:val="both"/>
        <w:rPr>
          <w:rFonts w:eastAsia="Times New Roman" w:cs="Arial"/>
          <w:sz w:val="20"/>
          <w:szCs w:val="20"/>
        </w:rPr>
      </w:pPr>
    </w:p>
    <w:p w14:paraId="705F5BD1" w14:textId="30AB7AA9" w:rsidR="00CA3693" w:rsidRPr="00CA3693" w:rsidRDefault="00C15A4A" w:rsidP="00CA3693">
      <w:pPr>
        <w:numPr>
          <w:ilvl w:val="1"/>
          <w:numId w:val="31"/>
        </w:numPr>
        <w:spacing w:after="0" w:line="240" w:lineRule="auto"/>
        <w:jc w:val="both"/>
        <w:rPr>
          <w:rFonts w:eastAsia="Times New Roman" w:cs="Arial"/>
          <w:sz w:val="20"/>
          <w:szCs w:val="20"/>
        </w:rPr>
      </w:pPr>
      <w:r>
        <w:rPr>
          <w:rFonts w:eastAsia="Times New Roman" w:cs="Arial"/>
          <w:sz w:val="20"/>
          <w:szCs w:val="20"/>
        </w:rPr>
        <w:t>As part of the Covid-19 response, the government announced a range of grant schemes to support businesses. Grants received needed to be assessed as to whether the recipient was acting as principal or agent, for example where an authority is acting as a distribution point for grant monies to other bodies and has no control over the amount of grant allocated to a recipient, then the authority is likely to be acting as agent – e.g. PPE grants.</w:t>
      </w:r>
    </w:p>
    <w:p w14:paraId="7025ACB4" w14:textId="77777777" w:rsidR="00CA3693" w:rsidRPr="00CA3693" w:rsidRDefault="00CA3693" w:rsidP="00CA3693">
      <w:pPr>
        <w:spacing w:after="0" w:line="240" w:lineRule="auto"/>
        <w:ind w:left="720"/>
        <w:jc w:val="both"/>
        <w:rPr>
          <w:rFonts w:eastAsia="Times New Roman" w:cs="Arial"/>
          <w:sz w:val="20"/>
          <w:szCs w:val="20"/>
        </w:rPr>
      </w:pPr>
    </w:p>
    <w:p w14:paraId="55AD2D0C" w14:textId="3918E220" w:rsidR="008E6620" w:rsidRDefault="00CA3693" w:rsidP="004C1D05">
      <w:pPr>
        <w:numPr>
          <w:ilvl w:val="1"/>
          <w:numId w:val="31"/>
        </w:numPr>
        <w:spacing w:after="0" w:line="240" w:lineRule="auto"/>
        <w:jc w:val="both"/>
        <w:rPr>
          <w:rFonts w:eastAsia="Times New Roman" w:cs="Arial"/>
          <w:sz w:val="20"/>
          <w:szCs w:val="20"/>
        </w:rPr>
      </w:pPr>
      <w:r>
        <w:rPr>
          <w:rFonts w:eastAsia="Times New Roman" w:cs="Arial"/>
          <w:sz w:val="20"/>
          <w:szCs w:val="20"/>
        </w:rPr>
        <w:lastRenderedPageBreak/>
        <w:t>Where an authority is able to conclude that it has control over the distribution or amounts of the grant it would be deemed to be acting as principal, which the case for most grants received by Surrey Police.</w:t>
      </w:r>
    </w:p>
    <w:p w14:paraId="2A04B8E9" w14:textId="6FF119E0" w:rsidR="00C71D78" w:rsidRDefault="00C71D78" w:rsidP="00C71D78">
      <w:pPr>
        <w:spacing w:after="0" w:line="240" w:lineRule="auto"/>
        <w:ind w:left="720"/>
        <w:jc w:val="both"/>
        <w:rPr>
          <w:rFonts w:eastAsia="Times New Roman" w:cs="Arial"/>
          <w:sz w:val="20"/>
          <w:szCs w:val="20"/>
        </w:rPr>
      </w:pPr>
    </w:p>
    <w:p w14:paraId="4ED70F80" w14:textId="734FED8F" w:rsidR="00C71D78" w:rsidRDefault="005A44C7" w:rsidP="004C1D05">
      <w:pPr>
        <w:numPr>
          <w:ilvl w:val="1"/>
          <w:numId w:val="31"/>
        </w:numPr>
        <w:spacing w:after="0" w:line="240" w:lineRule="auto"/>
        <w:jc w:val="both"/>
        <w:rPr>
          <w:rFonts w:eastAsia="Times New Roman" w:cs="Arial"/>
          <w:sz w:val="20"/>
          <w:szCs w:val="20"/>
        </w:rPr>
      </w:pPr>
      <w:r>
        <w:rPr>
          <w:rFonts w:eastAsia="Times New Roman" w:cs="Arial"/>
          <w:sz w:val="20"/>
          <w:szCs w:val="20"/>
        </w:rPr>
        <w:t>MHCLG issued details on the 75% of 2020/21 irrecoverable losses for council tax and business rates scheme with the provisional settlement documents to be paid to authorities in 2021/22.</w:t>
      </w:r>
    </w:p>
    <w:p w14:paraId="7DEDCDB7" w14:textId="0F7A877C" w:rsidR="00C71D78" w:rsidRDefault="00C71D78" w:rsidP="00C71D78">
      <w:pPr>
        <w:spacing w:after="0" w:line="240" w:lineRule="auto"/>
        <w:ind w:left="720"/>
        <w:jc w:val="both"/>
        <w:rPr>
          <w:rFonts w:eastAsia="Times New Roman" w:cs="Arial"/>
          <w:sz w:val="20"/>
          <w:szCs w:val="20"/>
        </w:rPr>
      </w:pPr>
    </w:p>
    <w:p w14:paraId="1D7D7877" w14:textId="7399D991" w:rsidR="00C71D78" w:rsidRDefault="005A44C7" w:rsidP="004C1D05">
      <w:pPr>
        <w:numPr>
          <w:ilvl w:val="1"/>
          <w:numId w:val="31"/>
        </w:numPr>
        <w:spacing w:after="0" w:line="240" w:lineRule="auto"/>
        <w:jc w:val="both"/>
        <w:rPr>
          <w:rFonts w:eastAsia="Times New Roman" w:cs="Arial"/>
          <w:sz w:val="20"/>
          <w:szCs w:val="20"/>
        </w:rPr>
      </w:pPr>
      <w:r>
        <w:rPr>
          <w:rFonts w:eastAsia="Times New Roman" w:cs="Arial"/>
          <w:sz w:val="20"/>
          <w:szCs w:val="20"/>
        </w:rPr>
        <w:t xml:space="preserve">Council Tax Collection Fund surplus/deficits for 2020/21 apportionment arrangements were changed for those authorities that calculated a negative exceptional balance allowing that deficit to be spread over the three years to 2023/24. </w:t>
      </w:r>
    </w:p>
    <w:p w14:paraId="1560F147" w14:textId="6AAC631B" w:rsidR="00C71D78" w:rsidRDefault="00C71D78" w:rsidP="00C71D78">
      <w:pPr>
        <w:spacing w:after="0" w:line="240" w:lineRule="auto"/>
        <w:ind w:left="720"/>
        <w:jc w:val="both"/>
        <w:rPr>
          <w:rFonts w:eastAsia="Times New Roman" w:cs="Arial"/>
          <w:sz w:val="20"/>
          <w:szCs w:val="20"/>
        </w:rPr>
      </w:pPr>
    </w:p>
    <w:p w14:paraId="334BEE9E" w14:textId="77777777" w:rsidR="0009668C" w:rsidRDefault="0009668C" w:rsidP="004C1D05">
      <w:pPr>
        <w:numPr>
          <w:ilvl w:val="1"/>
          <w:numId w:val="31"/>
        </w:numPr>
        <w:spacing w:after="0" w:line="240" w:lineRule="auto"/>
        <w:jc w:val="both"/>
        <w:rPr>
          <w:rFonts w:eastAsia="Times New Roman" w:cs="Arial"/>
          <w:sz w:val="20"/>
          <w:szCs w:val="20"/>
        </w:rPr>
      </w:pPr>
      <w:r>
        <w:rPr>
          <w:rFonts w:eastAsia="Times New Roman" w:cs="Arial"/>
          <w:sz w:val="20"/>
          <w:szCs w:val="20"/>
        </w:rPr>
        <w:t>In August 2020 the Government announced, for local authorities (including Policing Bodies) in England, details of a compensation scheme to compensate for irrecoverable and unavoidable losses from sales, fees and charges income generated in the delivery of services. This was available during the financial year 2020/21 ending 31 March 2021.</w:t>
      </w:r>
    </w:p>
    <w:p w14:paraId="5E28AB7C" w14:textId="77777777" w:rsidR="0009668C" w:rsidRDefault="0009668C" w:rsidP="0009668C">
      <w:pPr>
        <w:spacing w:after="0" w:line="240" w:lineRule="auto"/>
        <w:ind w:left="720"/>
        <w:jc w:val="both"/>
        <w:rPr>
          <w:rFonts w:eastAsia="Times New Roman" w:cs="Arial"/>
          <w:sz w:val="20"/>
          <w:szCs w:val="20"/>
        </w:rPr>
      </w:pPr>
    </w:p>
    <w:p w14:paraId="667A507E" w14:textId="684CBE27" w:rsidR="0009668C" w:rsidRDefault="0074614C" w:rsidP="004C1D05">
      <w:pPr>
        <w:numPr>
          <w:ilvl w:val="1"/>
          <w:numId w:val="31"/>
        </w:numPr>
        <w:spacing w:after="0" w:line="240" w:lineRule="auto"/>
        <w:jc w:val="both"/>
        <w:rPr>
          <w:rFonts w:eastAsia="Times New Roman" w:cs="Arial"/>
          <w:sz w:val="20"/>
          <w:szCs w:val="20"/>
        </w:rPr>
      </w:pPr>
      <w:r>
        <w:rPr>
          <w:rFonts w:eastAsia="Times New Roman" w:cs="Arial"/>
          <w:sz w:val="20"/>
          <w:szCs w:val="20"/>
        </w:rPr>
        <w:t>Personal Protective Equipment (PPE) stock for police bodies. The national police distribution hub has been supplying PPE free of charge to all Forces. The national PPE cost to Surrey Police during 2020/21 was £2.3m.</w:t>
      </w:r>
    </w:p>
    <w:p w14:paraId="6327CD23" w14:textId="58969208" w:rsidR="0074614C" w:rsidRDefault="0074614C" w:rsidP="0074614C">
      <w:pPr>
        <w:spacing w:after="0" w:line="240" w:lineRule="auto"/>
        <w:ind w:left="720"/>
        <w:jc w:val="both"/>
        <w:rPr>
          <w:rFonts w:eastAsia="Times New Roman" w:cs="Arial"/>
          <w:sz w:val="20"/>
          <w:szCs w:val="20"/>
        </w:rPr>
      </w:pPr>
    </w:p>
    <w:p w14:paraId="316BBCD2" w14:textId="489ACA4F" w:rsidR="0074614C" w:rsidRDefault="00792011" w:rsidP="004C1D05">
      <w:pPr>
        <w:numPr>
          <w:ilvl w:val="1"/>
          <w:numId w:val="31"/>
        </w:numPr>
        <w:spacing w:after="0" w:line="240" w:lineRule="auto"/>
        <w:jc w:val="both"/>
        <w:rPr>
          <w:rFonts w:eastAsia="Times New Roman" w:cs="Arial"/>
          <w:sz w:val="20"/>
          <w:szCs w:val="20"/>
        </w:rPr>
      </w:pPr>
      <w:r>
        <w:rPr>
          <w:rFonts w:eastAsia="Times New Roman" w:cs="Arial"/>
          <w:sz w:val="20"/>
          <w:szCs w:val="20"/>
        </w:rPr>
        <w:t>The MHCLG put in revised regulations that came into force on 31 March 2021 to extend the statutory audit deadlines for 2020/21 and 2021/22. The publication date for audited accounts moved from 31 July to 30 September 2021 for all local authority bodies.</w:t>
      </w:r>
    </w:p>
    <w:p w14:paraId="403F5FE3" w14:textId="2E6FA822" w:rsidR="0074614C" w:rsidRDefault="0074614C" w:rsidP="0074614C">
      <w:pPr>
        <w:spacing w:after="0" w:line="240" w:lineRule="auto"/>
        <w:ind w:left="720"/>
        <w:jc w:val="both"/>
        <w:rPr>
          <w:rFonts w:eastAsia="Times New Roman" w:cs="Arial"/>
          <w:sz w:val="20"/>
          <w:szCs w:val="20"/>
        </w:rPr>
      </w:pPr>
    </w:p>
    <w:p w14:paraId="54D6851C" w14:textId="0B9489B9" w:rsidR="0074614C" w:rsidRDefault="00E4758F" w:rsidP="004C1D05">
      <w:pPr>
        <w:numPr>
          <w:ilvl w:val="1"/>
          <w:numId w:val="31"/>
        </w:numPr>
        <w:spacing w:after="0" w:line="240" w:lineRule="auto"/>
        <w:jc w:val="both"/>
        <w:rPr>
          <w:rFonts w:eastAsia="Times New Roman" w:cs="Arial"/>
          <w:sz w:val="20"/>
          <w:szCs w:val="20"/>
        </w:rPr>
      </w:pPr>
      <w:r>
        <w:rPr>
          <w:rFonts w:eastAsia="Times New Roman" w:cs="Arial"/>
          <w:sz w:val="20"/>
          <w:szCs w:val="20"/>
        </w:rPr>
        <w:t xml:space="preserve">To give local authorities more flexibility, the requirement for the public inspection period to include the first 10 working days was removed and instead, the public inspection period must commence on or before 1 August 2021. This means that draft accounts must be authorised and published by 31 July 2021. </w:t>
      </w:r>
    </w:p>
    <w:p w14:paraId="28031885" w14:textId="77777777" w:rsidR="002055D4" w:rsidRPr="00AF16BD" w:rsidRDefault="002055D4" w:rsidP="002055D4">
      <w:pPr>
        <w:spacing w:after="0" w:line="240" w:lineRule="auto"/>
        <w:jc w:val="both"/>
        <w:rPr>
          <w:rFonts w:eastAsia="Times New Roman" w:cs="Arial"/>
          <w:sz w:val="20"/>
          <w:szCs w:val="20"/>
        </w:rPr>
      </w:pPr>
    </w:p>
    <w:p w14:paraId="3BDDCB36" w14:textId="04BF577F" w:rsidR="005D0219" w:rsidRPr="00AF16BD" w:rsidRDefault="005D0219" w:rsidP="005D0219">
      <w:pPr>
        <w:numPr>
          <w:ilvl w:val="1"/>
          <w:numId w:val="31"/>
        </w:numPr>
        <w:spacing w:after="0" w:line="240" w:lineRule="auto"/>
        <w:jc w:val="both"/>
        <w:rPr>
          <w:rFonts w:eastAsia="Times New Roman" w:cs="Arial"/>
          <w:sz w:val="20"/>
          <w:szCs w:val="20"/>
        </w:rPr>
      </w:pPr>
      <w:r w:rsidRPr="00AF16BD">
        <w:rPr>
          <w:rFonts w:eastAsia="Times New Roman" w:cs="Arial"/>
          <w:sz w:val="20"/>
          <w:szCs w:val="20"/>
        </w:rPr>
        <w:t xml:space="preserve">The following table </w:t>
      </w:r>
      <w:r w:rsidR="00AF16BD" w:rsidRPr="00AF16BD">
        <w:rPr>
          <w:rFonts w:eastAsia="Times New Roman" w:cs="Arial"/>
          <w:sz w:val="20"/>
          <w:szCs w:val="20"/>
        </w:rPr>
        <w:t xml:space="preserve">illustrates the reporting timetable in line with </w:t>
      </w:r>
      <w:r w:rsidRPr="00AF16BD">
        <w:rPr>
          <w:rFonts w:eastAsia="Times New Roman" w:cs="Arial"/>
          <w:sz w:val="20"/>
          <w:szCs w:val="20"/>
        </w:rPr>
        <w:t>the new statutory deadlines:</w:t>
      </w:r>
    </w:p>
    <w:p w14:paraId="46C9B374" w14:textId="77777777" w:rsidR="005D0219" w:rsidRPr="00AF16BD" w:rsidRDefault="005D0219" w:rsidP="005D0219">
      <w:pPr>
        <w:spacing w:after="0" w:line="240" w:lineRule="auto"/>
        <w:ind w:left="1276" w:hanging="1276"/>
        <w:jc w:val="both"/>
        <w:rPr>
          <w:rFonts w:eastAsia="Times New Roman" w:cs="Arial"/>
          <w:sz w:val="20"/>
          <w:szCs w:val="20"/>
        </w:rPr>
      </w:pPr>
    </w:p>
    <w:tbl>
      <w:tblPr>
        <w:tblStyle w:val="TableGrid"/>
        <w:tblW w:w="8077" w:type="dxa"/>
        <w:jc w:val="center"/>
        <w:tblLayout w:type="fixed"/>
        <w:tblLook w:val="04A0" w:firstRow="1" w:lastRow="0" w:firstColumn="1" w:lastColumn="0" w:noHBand="0" w:noVBand="1"/>
      </w:tblPr>
      <w:tblGrid>
        <w:gridCol w:w="6234"/>
        <w:gridCol w:w="1843"/>
      </w:tblGrid>
      <w:tr w:rsidR="00AF16BD" w:rsidRPr="00AF16BD" w14:paraId="18EB59DA" w14:textId="77777777" w:rsidTr="00AF16BD">
        <w:trPr>
          <w:cantSplit/>
          <w:trHeight w:val="517"/>
          <w:jc w:val="center"/>
        </w:trPr>
        <w:tc>
          <w:tcPr>
            <w:tcW w:w="6234" w:type="dxa"/>
            <w:vAlign w:val="center"/>
          </w:tcPr>
          <w:p w14:paraId="42F64501" w14:textId="77777777" w:rsidR="00AF16BD" w:rsidRPr="00AF16BD" w:rsidRDefault="00AF16BD" w:rsidP="005D0219">
            <w:pPr>
              <w:ind w:left="1276" w:hanging="1276"/>
              <w:jc w:val="both"/>
              <w:rPr>
                <w:rFonts w:eastAsia="Times New Roman" w:cs="Arial"/>
                <w:b/>
                <w:sz w:val="20"/>
                <w:szCs w:val="20"/>
              </w:rPr>
            </w:pPr>
            <w:r w:rsidRPr="00AF16BD">
              <w:rPr>
                <w:rFonts w:eastAsia="Times New Roman" w:cs="Arial"/>
                <w:b/>
                <w:sz w:val="20"/>
                <w:szCs w:val="20"/>
              </w:rPr>
              <w:t>Annual Accounts</w:t>
            </w:r>
          </w:p>
        </w:tc>
        <w:tc>
          <w:tcPr>
            <w:tcW w:w="1843" w:type="dxa"/>
            <w:vAlign w:val="center"/>
          </w:tcPr>
          <w:p w14:paraId="7CC2055C" w14:textId="4F36248D" w:rsidR="00AF16BD" w:rsidRPr="00AF16BD" w:rsidRDefault="00AF16BD" w:rsidP="005D0219">
            <w:pPr>
              <w:ind w:left="1276" w:hanging="1276"/>
              <w:jc w:val="center"/>
              <w:rPr>
                <w:rFonts w:eastAsia="Times New Roman" w:cs="Arial"/>
                <w:b/>
                <w:sz w:val="20"/>
                <w:szCs w:val="20"/>
              </w:rPr>
            </w:pPr>
            <w:r w:rsidRPr="00AF16BD">
              <w:rPr>
                <w:rFonts w:eastAsia="Times New Roman" w:cs="Arial"/>
                <w:b/>
                <w:sz w:val="20"/>
                <w:szCs w:val="20"/>
              </w:rPr>
              <w:t>Deadline</w:t>
            </w:r>
          </w:p>
          <w:p w14:paraId="3A549DFF" w14:textId="648C45B9" w:rsidR="00AF16BD" w:rsidRPr="00AF16BD" w:rsidRDefault="00AF16BD" w:rsidP="005D0219">
            <w:pPr>
              <w:ind w:left="1276" w:hanging="1276"/>
              <w:jc w:val="center"/>
              <w:rPr>
                <w:rFonts w:eastAsia="Times New Roman" w:cs="Arial"/>
                <w:b/>
                <w:sz w:val="20"/>
                <w:szCs w:val="20"/>
              </w:rPr>
            </w:pPr>
            <w:r w:rsidRPr="00AF16BD">
              <w:rPr>
                <w:rFonts w:eastAsia="Times New Roman" w:cs="Arial"/>
                <w:b/>
                <w:sz w:val="20"/>
                <w:szCs w:val="20"/>
              </w:rPr>
              <w:t>2021</w:t>
            </w:r>
          </w:p>
        </w:tc>
      </w:tr>
      <w:tr w:rsidR="00AF16BD" w:rsidRPr="00AF16BD" w14:paraId="63A5F259" w14:textId="77777777" w:rsidTr="00AF16BD">
        <w:trPr>
          <w:trHeight w:val="238"/>
          <w:jc w:val="center"/>
        </w:trPr>
        <w:tc>
          <w:tcPr>
            <w:tcW w:w="6234" w:type="dxa"/>
            <w:vAlign w:val="center"/>
          </w:tcPr>
          <w:p w14:paraId="17E2C701" w14:textId="10B2633C" w:rsidR="00AF16BD" w:rsidRPr="00AF16BD" w:rsidRDefault="00AF16BD" w:rsidP="00AF16BD">
            <w:pPr>
              <w:ind w:left="1276" w:hanging="1276"/>
              <w:jc w:val="both"/>
              <w:rPr>
                <w:rFonts w:eastAsia="Times New Roman" w:cs="Arial"/>
                <w:sz w:val="20"/>
                <w:szCs w:val="20"/>
              </w:rPr>
            </w:pPr>
            <w:r w:rsidRPr="00AF16BD">
              <w:rPr>
                <w:rFonts w:eastAsia="Times New Roman" w:cs="Arial"/>
                <w:sz w:val="20"/>
                <w:szCs w:val="20"/>
              </w:rPr>
              <w:t xml:space="preserve">Published Draft Statements of Accounts signed by CFO </w:t>
            </w:r>
          </w:p>
        </w:tc>
        <w:tc>
          <w:tcPr>
            <w:tcW w:w="1843" w:type="dxa"/>
            <w:vAlign w:val="center"/>
          </w:tcPr>
          <w:p w14:paraId="71F93DCA" w14:textId="63E921F0" w:rsidR="00AF16BD" w:rsidRPr="00AF16BD" w:rsidRDefault="00792011" w:rsidP="00AF16BD">
            <w:pPr>
              <w:ind w:left="1276" w:hanging="1276"/>
              <w:jc w:val="center"/>
              <w:rPr>
                <w:rFonts w:eastAsia="Times New Roman" w:cs="Arial"/>
                <w:sz w:val="20"/>
                <w:szCs w:val="20"/>
              </w:rPr>
            </w:pPr>
            <w:r>
              <w:rPr>
                <w:rFonts w:eastAsia="Times New Roman" w:cs="Arial"/>
                <w:sz w:val="20"/>
                <w:szCs w:val="20"/>
              </w:rPr>
              <w:t>31 July</w:t>
            </w:r>
          </w:p>
        </w:tc>
      </w:tr>
      <w:tr w:rsidR="00AF16BD" w:rsidRPr="00AF16BD" w14:paraId="11D9187B" w14:textId="77777777" w:rsidTr="00AF16BD">
        <w:trPr>
          <w:trHeight w:val="238"/>
          <w:jc w:val="center"/>
        </w:trPr>
        <w:tc>
          <w:tcPr>
            <w:tcW w:w="6234" w:type="dxa"/>
            <w:vAlign w:val="center"/>
          </w:tcPr>
          <w:p w14:paraId="704F1F31" w14:textId="77777777" w:rsidR="00AF16BD" w:rsidRPr="00AF16BD" w:rsidRDefault="00AF16BD" w:rsidP="005D0219">
            <w:pPr>
              <w:ind w:left="1276" w:hanging="1276"/>
              <w:jc w:val="both"/>
              <w:rPr>
                <w:rFonts w:eastAsia="Times New Roman" w:cs="Arial"/>
                <w:sz w:val="20"/>
                <w:szCs w:val="20"/>
              </w:rPr>
            </w:pPr>
            <w:r w:rsidRPr="00AF16BD">
              <w:rPr>
                <w:rFonts w:eastAsia="Times New Roman" w:cs="Arial"/>
                <w:sz w:val="20"/>
                <w:szCs w:val="20"/>
              </w:rPr>
              <w:t>Published Draft Annual Governance Statement</w:t>
            </w:r>
          </w:p>
        </w:tc>
        <w:tc>
          <w:tcPr>
            <w:tcW w:w="1843" w:type="dxa"/>
            <w:vAlign w:val="center"/>
          </w:tcPr>
          <w:p w14:paraId="266C89FF" w14:textId="756C7A85" w:rsidR="00AF16BD" w:rsidRPr="00AF16BD" w:rsidRDefault="00792011" w:rsidP="005D0219">
            <w:pPr>
              <w:ind w:left="1276" w:hanging="1276"/>
              <w:jc w:val="center"/>
              <w:rPr>
                <w:rFonts w:eastAsia="Times New Roman" w:cs="Arial"/>
                <w:sz w:val="20"/>
                <w:szCs w:val="20"/>
              </w:rPr>
            </w:pPr>
            <w:r>
              <w:rPr>
                <w:rFonts w:eastAsia="Times New Roman" w:cs="Arial"/>
                <w:sz w:val="20"/>
                <w:szCs w:val="20"/>
              </w:rPr>
              <w:t>31 July</w:t>
            </w:r>
          </w:p>
        </w:tc>
      </w:tr>
      <w:tr w:rsidR="00AF16BD" w:rsidRPr="00AF16BD" w14:paraId="5A7D9848" w14:textId="77777777" w:rsidTr="00AF16BD">
        <w:trPr>
          <w:trHeight w:val="238"/>
          <w:jc w:val="center"/>
        </w:trPr>
        <w:tc>
          <w:tcPr>
            <w:tcW w:w="6234" w:type="dxa"/>
            <w:vAlign w:val="center"/>
          </w:tcPr>
          <w:p w14:paraId="508CEC97" w14:textId="77777777" w:rsidR="00AF16BD" w:rsidRPr="00AF16BD" w:rsidRDefault="00AF16BD" w:rsidP="005D0219">
            <w:pPr>
              <w:ind w:left="1276" w:hanging="1276"/>
              <w:jc w:val="both"/>
              <w:rPr>
                <w:rFonts w:eastAsia="Times New Roman" w:cs="Arial"/>
                <w:sz w:val="20"/>
                <w:szCs w:val="20"/>
              </w:rPr>
            </w:pPr>
            <w:r w:rsidRPr="00AF16BD">
              <w:rPr>
                <w:rFonts w:eastAsia="Times New Roman" w:cs="Arial"/>
                <w:sz w:val="20"/>
                <w:szCs w:val="20"/>
              </w:rPr>
              <w:t>Advertise Public Inspection of Accounts on website</w:t>
            </w:r>
          </w:p>
        </w:tc>
        <w:tc>
          <w:tcPr>
            <w:tcW w:w="1843" w:type="dxa"/>
            <w:vAlign w:val="center"/>
          </w:tcPr>
          <w:p w14:paraId="495D48C1" w14:textId="0669626F" w:rsidR="00AF16BD" w:rsidRPr="00AF16BD" w:rsidRDefault="00AF16BD" w:rsidP="00AF16BD">
            <w:pPr>
              <w:ind w:left="1276" w:hanging="1276"/>
              <w:jc w:val="center"/>
              <w:rPr>
                <w:rFonts w:eastAsia="Times New Roman" w:cs="Arial"/>
                <w:sz w:val="20"/>
                <w:szCs w:val="20"/>
              </w:rPr>
            </w:pPr>
            <w:r w:rsidRPr="00AF16BD">
              <w:rPr>
                <w:rFonts w:eastAsia="Times New Roman" w:cs="Arial"/>
                <w:sz w:val="20"/>
                <w:szCs w:val="20"/>
              </w:rPr>
              <w:t>20 July</w:t>
            </w:r>
          </w:p>
        </w:tc>
      </w:tr>
      <w:tr w:rsidR="00AF16BD" w:rsidRPr="00BB5DCA" w14:paraId="3360E4DB" w14:textId="77777777" w:rsidTr="00AF16BD">
        <w:trPr>
          <w:trHeight w:val="238"/>
          <w:jc w:val="center"/>
        </w:trPr>
        <w:tc>
          <w:tcPr>
            <w:tcW w:w="6234" w:type="dxa"/>
            <w:vAlign w:val="center"/>
          </w:tcPr>
          <w:p w14:paraId="1F47DDF2" w14:textId="77777777"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Accounts Open for Public Inspection for 30 working days</w:t>
            </w:r>
          </w:p>
        </w:tc>
        <w:tc>
          <w:tcPr>
            <w:tcW w:w="1843" w:type="dxa"/>
            <w:vAlign w:val="center"/>
          </w:tcPr>
          <w:p w14:paraId="231A53F3" w14:textId="53B5C80F" w:rsidR="00AF16BD" w:rsidRPr="00300155" w:rsidRDefault="00AF16BD" w:rsidP="00AF16BD">
            <w:pPr>
              <w:ind w:left="1276" w:hanging="1276"/>
              <w:jc w:val="center"/>
              <w:rPr>
                <w:rFonts w:eastAsia="Times New Roman" w:cs="Arial"/>
                <w:sz w:val="20"/>
                <w:szCs w:val="20"/>
              </w:rPr>
            </w:pPr>
            <w:r w:rsidRPr="00300155">
              <w:rPr>
                <w:rFonts w:eastAsia="Times New Roman" w:cs="Arial"/>
                <w:sz w:val="20"/>
                <w:szCs w:val="20"/>
              </w:rPr>
              <w:t>1 August</w:t>
            </w:r>
          </w:p>
        </w:tc>
      </w:tr>
      <w:tr w:rsidR="00AF16BD" w:rsidRPr="00BB5DCA" w14:paraId="0DD07A54" w14:textId="77777777" w:rsidTr="00AF16BD">
        <w:trPr>
          <w:trHeight w:val="238"/>
          <w:jc w:val="center"/>
        </w:trPr>
        <w:tc>
          <w:tcPr>
            <w:tcW w:w="6234" w:type="dxa"/>
            <w:vAlign w:val="center"/>
          </w:tcPr>
          <w:p w14:paraId="2738627A" w14:textId="77777777"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External Audit on and off site</w:t>
            </w:r>
          </w:p>
        </w:tc>
        <w:tc>
          <w:tcPr>
            <w:tcW w:w="1843" w:type="dxa"/>
            <w:vAlign w:val="center"/>
          </w:tcPr>
          <w:p w14:paraId="3926AFA6" w14:textId="77777777" w:rsidR="00AF16BD" w:rsidRPr="00300155" w:rsidRDefault="00AF16BD" w:rsidP="005D0219">
            <w:pPr>
              <w:ind w:left="1276" w:hanging="1276"/>
              <w:jc w:val="center"/>
              <w:rPr>
                <w:rFonts w:eastAsia="Times New Roman" w:cs="Arial"/>
                <w:sz w:val="20"/>
                <w:szCs w:val="20"/>
              </w:rPr>
            </w:pPr>
            <w:r w:rsidRPr="00300155">
              <w:rPr>
                <w:rFonts w:eastAsia="Times New Roman" w:cs="Arial"/>
                <w:sz w:val="20"/>
                <w:szCs w:val="20"/>
              </w:rPr>
              <w:t>June-July</w:t>
            </w:r>
          </w:p>
        </w:tc>
      </w:tr>
      <w:tr w:rsidR="00AF16BD" w:rsidRPr="00BB5DCA" w14:paraId="5C405E87" w14:textId="77777777" w:rsidTr="00AF16BD">
        <w:trPr>
          <w:trHeight w:val="238"/>
          <w:jc w:val="center"/>
        </w:trPr>
        <w:tc>
          <w:tcPr>
            <w:tcW w:w="6234" w:type="dxa"/>
            <w:vAlign w:val="center"/>
          </w:tcPr>
          <w:p w14:paraId="11F19E8B" w14:textId="5596E44B"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WGA Cycle 1 – Draft submission (WGA software not yet available)</w:t>
            </w:r>
          </w:p>
        </w:tc>
        <w:tc>
          <w:tcPr>
            <w:tcW w:w="1843" w:type="dxa"/>
            <w:vAlign w:val="center"/>
          </w:tcPr>
          <w:p w14:paraId="7D5BEC8B" w14:textId="2293FB63" w:rsidR="00AF16BD" w:rsidRPr="00300155" w:rsidRDefault="00AF16BD" w:rsidP="005D0219">
            <w:pPr>
              <w:ind w:left="1276" w:hanging="1276"/>
              <w:jc w:val="center"/>
              <w:rPr>
                <w:rFonts w:eastAsia="Times New Roman" w:cs="Arial"/>
                <w:sz w:val="20"/>
                <w:szCs w:val="20"/>
              </w:rPr>
            </w:pPr>
            <w:r w:rsidRPr="00300155">
              <w:rPr>
                <w:rFonts w:eastAsia="Times New Roman" w:cs="Arial"/>
                <w:sz w:val="20"/>
                <w:szCs w:val="20"/>
              </w:rPr>
              <w:t>TBC</w:t>
            </w:r>
          </w:p>
        </w:tc>
      </w:tr>
      <w:tr w:rsidR="00AF16BD" w:rsidRPr="00BB5DCA" w14:paraId="0D9B2A00" w14:textId="77777777" w:rsidTr="00AF16BD">
        <w:trPr>
          <w:trHeight w:val="238"/>
          <w:jc w:val="center"/>
        </w:trPr>
        <w:tc>
          <w:tcPr>
            <w:tcW w:w="6234" w:type="dxa"/>
            <w:vAlign w:val="center"/>
          </w:tcPr>
          <w:p w14:paraId="2C77557C" w14:textId="77777777"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Accounts Closed to Public Inspection</w:t>
            </w:r>
          </w:p>
        </w:tc>
        <w:tc>
          <w:tcPr>
            <w:tcW w:w="1843" w:type="dxa"/>
            <w:vAlign w:val="center"/>
          </w:tcPr>
          <w:p w14:paraId="791733DC" w14:textId="7DB3226C" w:rsidR="00AF16BD" w:rsidRPr="00300155" w:rsidRDefault="00300155" w:rsidP="00300155">
            <w:pPr>
              <w:ind w:left="1276" w:hanging="1276"/>
              <w:jc w:val="center"/>
              <w:rPr>
                <w:rFonts w:eastAsia="Times New Roman" w:cs="Arial"/>
                <w:sz w:val="20"/>
                <w:szCs w:val="20"/>
              </w:rPr>
            </w:pPr>
            <w:r w:rsidRPr="00300155">
              <w:rPr>
                <w:rFonts w:eastAsia="Times New Roman" w:cs="Arial"/>
                <w:sz w:val="20"/>
                <w:szCs w:val="20"/>
              </w:rPr>
              <w:t>13</w:t>
            </w:r>
            <w:r w:rsidR="00AF16BD" w:rsidRPr="00300155">
              <w:rPr>
                <w:rFonts w:eastAsia="Times New Roman" w:cs="Arial"/>
                <w:sz w:val="20"/>
                <w:szCs w:val="20"/>
              </w:rPr>
              <w:t xml:space="preserve"> </w:t>
            </w:r>
            <w:r w:rsidRPr="00300155">
              <w:rPr>
                <w:rFonts w:eastAsia="Times New Roman" w:cs="Arial"/>
                <w:sz w:val="20"/>
                <w:szCs w:val="20"/>
              </w:rPr>
              <w:t>September</w:t>
            </w:r>
          </w:p>
        </w:tc>
      </w:tr>
      <w:tr w:rsidR="00AF16BD" w:rsidRPr="00BB5DCA" w14:paraId="04A08BA7" w14:textId="77777777" w:rsidTr="00AF16BD">
        <w:trPr>
          <w:trHeight w:val="238"/>
          <w:jc w:val="center"/>
        </w:trPr>
        <w:tc>
          <w:tcPr>
            <w:tcW w:w="6234" w:type="dxa"/>
            <w:vAlign w:val="center"/>
          </w:tcPr>
          <w:p w14:paraId="14A6F734" w14:textId="5ECD2020" w:rsidR="00AF16BD" w:rsidRPr="00300155" w:rsidRDefault="00AF16BD" w:rsidP="00300155">
            <w:pPr>
              <w:ind w:left="1276" w:hanging="1276"/>
              <w:jc w:val="both"/>
              <w:rPr>
                <w:rFonts w:eastAsia="Times New Roman" w:cs="Arial"/>
                <w:sz w:val="20"/>
                <w:szCs w:val="20"/>
              </w:rPr>
            </w:pPr>
            <w:r w:rsidRPr="00300155">
              <w:rPr>
                <w:rFonts w:eastAsia="Times New Roman" w:cs="Arial"/>
                <w:sz w:val="20"/>
                <w:szCs w:val="20"/>
              </w:rPr>
              <w:t>Publication of Final Statements of Accounts for 20</w:t>
            </w:r>
            <w:r w:rsidR="00300155" w:rsidRPr="00300155">
              <w:rPr>
                <w:rFonts w:eastAsia="Times New Roman" w:cs="Arial"/>
                <w:sz w:val="20"/>
                <w:szCs w:val="20"/>
              </w:rPr>
              <w:t>20</w:t>
            </w:r>
            <w:r w:rsidRPr="00300155">
              <w:rPr>
                <w:rFonts w:eastAsia="Times New Roman" w:cs="Arial"/>
                <w:sz w:val="20"/>
                <w:szCs w:val="20"/>
              </w:rPr>
              <w:t>/2</w:t>
            </w:r>
            <w:r w:rsidR="00300155" w:rsidRPr="00300155">
              <w:rPr>
                <w:rFonts w:eastAsia="Times New Roman" w:cs="Arial"/>
                <w:sz w:val="20"/>
                <w:szCs w:val="20"/>
              </w:rPr>
              <w:t>1</w:t>
            </w:r>
          </w:p>
        </w:tc>
        <w:tc>
          <w:tcPr>
            <w:tcW w:w="1843" w:type="dxa"/>
            <w:vAlign w:val="center"/>
          </w:tcPr>
          <w:p w14:paraId="64663804" w14:textId="214E38FF" w:rsidR="00AF16BD" w:rsidRPr="00300155" w:rsidRDefault="00300155" w:rsidP="00300155">
            <w:pPr>
              <w:ind w:left="1276" w:hanging="1276"/>
              <w:jc w:val="center"/>
              <w:rPr>
                <w:rFonts w:eastAsia="Times New Roman" w:cs="Arial"/>
                <w:sz w:val="20"/>
                <w:szCs w:val="20"/>
              </w:rPr>
            </w:pPr>
            <w:r w:rsidRPr="00300155">
              <w:rPr>
                <w:rFonts w:eastAsia="Times New Roman" w:cs="Arial"/>
                <w:sz w:val="20"/>
                <w:szCs w:val="20"/>
              </w:rPr>
              <w:t>30 September</w:t>
            </w:r>
          </w:p>
        </w:tc>
      </w:tr>
      <w:tr w:rsidR="00AF16BD" w:rsidRPr="00BB5DCA" w14:paraId="16CB7FA6" w14:textId="77777777" w:rsidTr="00AF16BD">
        <w:trPr>
          <w:trHeight w:val="238"/>
          <w:jc w:val="center"/>
        </w:trPr>
        <w:tc>
          <w:tcPr>
            <w:tcW w:w="6234" w:type="dxa"/>
            <w:vAlign w:val="center"/>
          </w:tcPr>
          <w:p w14:paraId="1E1A26CA" w14:textId="77777777"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Publication of Final Annual Governance Statement</w:t>
            </w:r>
          </w:p>
        </w:tc>
        <w:tc>
          <w:tcPr>
            <w:tcW w:w="1843" w:type="dxa"/>
            <w:vAlign w:val="center"/>
          </w:tcPr>
          <w:p w14:paraId="6C4ED1CC" w14:textId="0D533C2E" w:rsidR="00AF16BD" w:rsidRPr="00300155" w:rsidRDefault="00300155" w:rsidP="005D0219">
            <w:pPr>
              <w:ind w:left="1276" w:hanging="1276"/>
              <w:jc w:val="center"/>
              <w:rPr>
                <w:rFonts w:eastAsia="Times New Roman" w:cs="Arial"/>
                <w:sz w:val="20"/>
                <w:szCs w:val="20"/>
              </w:rPr>
            </w:pPr>
            <w:r w:rsidRPr="00300155">
              <w:rPr>
                <w:rFonts w:eastAsia="Times New Roman" w:cs="Arial"/>
                <w:sz w:val="20"/>
                <w:szCs w:val="20"/>
              </w:rPr>
              <w:t>30 September</w:t>
            </w:r>
          </w:p>
        </w:tc>
      </w:tr>
      <w:tr w:rsidR="00AF16BD" w:rsidRPr="00BB5DCA" w14:paraId="1338CA49" w14:textId="77777777" w:rsidTr="00AF16BD">
        <w:trPr>
          <w:trHeight w:val="238"/>
          <w:jc w:val="center"/>
        </w:trPr>
        <w:tc>
          <w:tcPr>
            <w:tcW w:w="6234" w:type="dxa"/>
            <w:vAlign w:val="center"/>
          </w:tcPr>
          <w:p w14:paraId="17ECBB81" w14:textId="4F89890E"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WGA Cycle 2 – Final submission</w:t>
            </w:r>
            <w:r w:rsidR="00300155" w:rsidRPr="00300155">
              <w:rPr>
                <w:rFonts w:eastAsia="Times New Roman" w:cs="Arial"/>
                <w:sz w:val="20"/>
                <w:szCs w:val="20"/>
              </w:rPr>
              <w:t xml:space="preserve"> (WGA software not yet available)</w:t>
            </w:r>
          </w:p>
        </w:tc>
        <w:tc>
          <w:tcPr>
            <w:tcW w:w="1843" w:type="dxa"/>
            <w:vAlign w:val="center"/>
          </w:tcPr>
          <w:p w14:paraId="6FE2002E" w14:textId="50DB8E23" w:rsidR="00AF16BD" w:rsidRPr="00300155" w:rsidRDefault="00300155" w:rsidP="005D0219">
            <w:pPr>
              <w:ind w:left="1276" w:hanging="1276"/>
              <w:jc w:val="center"/>
              <w:rPr>
                <w:rFonts w:eastAsia="Times New Roman" w:cs="Arial"/>
                <w:sz w:val="20"/>
                <w:szCs w:val="20"/>
              </w:rPr>
            </w:pPr>
            <w:r w:rsidRPr="00300155">
              <w:rPr>
                <w:rFonts w:eastAsia="Times New Roman" w:cs="Arial"/>
                <w:sz w:val="20"/>
                <w:szCs w:val="20"/>
              </w:rPr>
              <w:t>TBC</w:t>
            </w:r>
          </w:p>
        </w:tc>
      </w:tr>
      <w:tr w:rsidR="00AF16BD" w:rsidRPr="00BB5DCA" w14:paraId="419E71F8" w14:textId="77777777" w:rsidTr="00AF16BD">
        <w:trPr>
          <w:trHeight w:val="237"/>
          <w:jc w:val="center"/>
        </w:trPr>
        <w:tc>
          <w:tcPr>
            <w:tcW w:w="6234" w:type="dxa"/>
            <w:vAlign w:val="center"/>
          </w:tcPr>
          <w:p w14:paraId="04B5003B" w14:textId="77777777" w:rsidR="00AF16BD" w:rsidRPr="00300155" w:rsidRDefault="00AF16BD" w:rsidP="005D0219">
            <w:pPr>
              <w:ind w:left="1276" w:hanging="1276"/>
              <w:jc w:val="both"/>
              <w:rPr>
                <w:rFonts w:eastAsia="Times New Roman" w:cs="Arial"/>
                <w:sz w:val="20"/>
                <w:szCs w:val="20"/>
              </w:rPr>
            </w:pPr>
            <w:r w:rsidRPr="00300155">
              <w:rPr>
                <w:rFonts w:eastAsia="Times New Roman" w:cs="Arial"/>
                <w:sz w:val="20"/>
                <w:szCs w:val="20"/>
              </w:rPr>
              <w:t>IFRS 16 Lease Accounting Implementation</w:t>
            </w:r>
          </w:p>
        </w:tc>
        <w:tc>
          <w:tcPr>
            <w:tcW w:w="1843" w:type="dxa"/>
            <w:vAlign w:val="center"/>
          </w:tcPr>
          <w:p w14:paraId="2ED68345" w14:textId="5D387EEC" w:rsidR="00AF16BD" w:rsidRPr="00300155" w:rsidRDefault="00AF16BD" w:rsidP="00300155">
            <w:pPr>
              <w:ind w:left="1276" w:hanging="1276"/>
              <w:jc w:val="center"/>
              <w:rPr>
                <w:rFonts w:eastAsia="Times New Roman" w:cs="Arial"/>
                <w:sz w:val="20"/>
                <w:szCs w:val="20"/>
              </w:rPr>
            </w:pPr>
            <w:r w:rsidRPr="00300155">
              <w:rPr>
                <w:rFonts w:eastAsia="Times New Roman" w:cs="Arial"/>
                <w:sz w:val="20"/>
                <w:szCs w:val="20"/>
              </w:rPr>
              <w:t>01 April 202</w:t>
            </w:r>
            <w:r w:rsidR="00300155" w:rsidRPr="00300155">
              <w:rPr>
                <w:rFonts w:eastAsia="Times New Roman" w:cs="Arial"/>
                <w:sz w:val="20"/>
                <w:szCs w:val="20"/>
              </w:rPr>
              <w:t>1</w:t>
            </w:r>
          </w:p>
        </w:tc>
      </w:tr>
    </w:tbl>
    <w:p w14:paraId="767D0A34" w14:textId="77777777" w:rsidR="004C1D05" w:rsidRPr="00AF16BD" w:rsidRDefault="004C1D05" w:rsidP="004C1D05">
      <w:pPr>
        <w:spacing w:after="0" w:line="240" w:lineRule="auto"/>
        <w:jc w:val="both"/>
        <w:rPr>
          <w:rFonts w:eastAsia="Times New Roman" w:cs="Arial"/>
          <w:sz w:val="20"/>
          <w:szCs w:val="20"/>
        </w:rPr>
      </w:pPr>
    </w:p>
    <w:p w14:paraId="35A06657" w14:textId="77777777" w:rsidR="004C1D05" w:rsidRPr="005A44C7" w:rsidRDefault="004C1D05" w:rsidP="004C1D05">
      <w:pPr>
        <w:spacing w:after="0" w:line="240" w:lineRule="auto"/>
        <w:jc w:val="both"/>
        <w:rPr>
          <w:rFonts w:eastAsia="Times New Roman" w:cs="Arial"/>
          <w:sz w:val="20"/>
          <w:szCs w:val="20"/>
        </w:rPr>
      </w:pPr>
    </w:p>
    <w:p w14:paraId="6582F2DE" w14:textId="6F90677D" w:rsidR="004C1D05" w:rsidRPr="005A44C7" w:rsidRDefault="0096250A" w:rsidP="004C1D05">
      <w:pPr>
        <w:pStyle w:val="Heading2"/>
        <w:numPr>
          <w:ilvl w:val="0"/>
          <w:numId w:val="29"/>
        </w:numPr>
        <w:rPr>
          <w:rFonts w:asciiTheme="minorHAnsi" w:eastAsia="Times New Roman" w:hAnsiTheme="minorHAnsi"/>
        </w:rPr>
      </w:pPr>
      <w:r w:rsidRPr="005A44C7">
        <w:rPr>
          <w:rFonts w:asciiTheme="minorHAnsi" w:eastAsia="Times New Roman" w:hAnsiTheme="minorHAnsi"/>
        </w:rPr>
        <w:t>Key Risks</w:t>
      </w:r>
    </w:p>
    <w:p w14:paraId="6BAC11A0" w14:textId="77777777" w:rsidR="004C1D05" w:rsidRPr="005A44C7" w:rsidRDefault="004C1D05" w:rsidP="004C1D05">
      <w:pPr>
        <w:spacing w:after="0" w:line="240" w:lineRule="auto"/>
        <w:ind w:left="1276" w:hanging="1276"/>
        <w:jc w:val="both"/>
        <w:rPr>
          <w:rFonts w:eastAsia="Times New Roman" w:cs="Arial"/>
          <w:sz w:val="20"/>
          <w:szCs w:val="20"/>
        </w:rPr>
      </w:pPr>
    </w:p>
    <w:p w14:paraId="432D254E" w14:textId="77777777" w:rsidR="004C1D05" w:rsidRPr="005A44C7" w:rsidRDefault="004C1D05" w:rsidP="004C1D05">
      <w:pPr>
        <w:pStyle w:val="ListParagraph"/>
        <w:numPr>
          <w:ilvl w:val="0"/>
          <w:numId w:val="31"/>
        </w:numPr>
        <w:spacing w:after="0" w:line="240" w:lineRule="auto"/>
        <w:contextualSpacing w:val="0"/>
        <w:jc w:val="both"/>
        <w:rPr>
          <w:rFonts w:eastAsia="Times New Roman" w:cs="Arial"/>
          <w:vanish/>
          <w:sz w:val="20"/>
          <w:szCs w:val="20"/>
        </w:rPr>
      </w:pPr>
    </w:p>
    <w:p w14:paraId="35FCF6AE" w14:textId="406EB878" w:rsidR="004C1D05" w:rsidRPr="005A44C7" w:rsidRDefault="0096250A" w:rsidP="004C1D05">
      <w:pPr>
        <w:numPr>
          <w:ilvl w:val="1"/>
          <w:numId w:val="31"/>
        </w:numPr>
        <w:spacing w:after="0" w:line="240" w:lineRule="auto"/>
        <w:jc w:val="both"/>
        <w:rPr>
          <w:rFonts w:cs="Arial"/>
          <w:b/>
          <w:sz w:val="20"/>
          <w:szCs w:val="20"/>
        </w:rPr>
      </w:pPr>
      <w:r w:rsidRPr="005A44C7">
        <w:rPr>
          <w:rFonts w:eastAsia="Times New Roman" w:cs="Arial"/>
          <w:b/>
          <w:sz w:val="20"/>
          <w:szCs w:val="20"/>
        </w:rPr>
        <w:t>Risk of not meeting statutory deadlines for 20</w:t>
      </w:r>
      <w:r w:rsidR="005A44C7" w:rsidRPr="005A44C7">
        <w:rPr>
          <w:rFonts w:eastAsia="Times New Roman" w:cs="Arial"/>
          <w:b/>
          <w:sz w:val="20"/>
          <w:szCs w:val="20"/>
        </w:rPr>
        <w:t>20</w:t>
      </w:r>
      <w:r w:rsidRPr="005A44C7">
        <w:rPr>
          <w:rFonts w:eastAsia="Times New Roman" w:cs="Arial"/>
          <w:b/>
          <w:sz w:val="20"/>
          <w:szCs w:val="20"/>
        </w:rPr>
        <w:t>/2</w:t>
      </w:r>
      <w:r w:rsidR="005A44C7" w:rsidRPr="005A44C7">
        <w:rPr>
          <w:rFonts w:eastAsia="Times New Roman" w:cs="Arial"/>
          <w:b/>
          <w:sz w:val="20"/>
          <w:szCs w:val="20"/>
        </w:rPr>
        <w:t>1</w:t>
      </w:r>
    </w:p>
    <w:p w14:paraId="05ECDCF2" w14:textId="628D0FE7" w:rsidR="0096250A" w:rsidRPr="005A44C7" w:rsidRDefault="0096250A" w:rsidP="0096250A">
      <w:pPr>
        <w:spacing w:after="0" w:line="240" w:lineRule="auto"/>
        <w:ind w:left="720"/>
        <w:jc w:val="both"/>
        <w:rPr>
          <w:rFonts w:cs="Arial"/>
          <w:sz w:val="20"/>
          <w:szCs w:val="20"/>
        </w:rPr>
      </w:pPr>
      <w:r w:rsidRPr="005A44C7">
        <w:rPr>
          <w:rFonts w:eastAsia="Times New Roman" w:cs="Arial"/>
          <w:sz w:val="20"/>
          <w:szCs w:val="20"/>
        </w:rPr>
        <w:t>We consider this risk to be low given the extensions to statutory deadlines.</w:t>
      </w:r>
    </w:p>
    <w:p w14:paraId="449046C7" w14:textId="77777777" w:rsidR="004C1D05" w:rsidRPr="005A44C7" w:rsidRDefault="004C1D05" w:rsidP="004C1D05">
      <w:pPr>
        <w:spacing w:after="0" w:line="240" w:lineRule="auto"/>
        <w:ind w:left="720"/>
        <w:jc w:val="both"/>
        <w:rPr>
          <w:rFonts w:cs="Arial"/>
          <w:sz w:val="20"/>
          <w:szCs w:val="20"/>
        </w:rPr>
      </w:pPr>
    </w:p>
    <w:p w14:paraId="6DF82AC3" w14:textId="185DA038" w:rsidR="004C1D05" w:rsidRPr="005A44C7" w:rsidRDefault="0096250A" w:rsidP="004C1D05">
      <w:pPr>
        <w:numPr>
          <w:ilvl w:val="1"/>
          <w:numId w:val="31"/>
        </w:numPr>
        <w:spacing w:after="0" w:line="240" w:lineRule="auto"/>
        <w:jc w:val="both"/>
        <w:rPr>
          <w:rFonts w:eastAsia="Times New Roman" w:cs="Arial"/>
          <w:b/>
          <w:sz w:val="20"/>
          <w:szCs w:val="20"/>
        </w:rPr>
      </w:pPr>
      <w:r w:rsidRPr="005A44C7">
        <w:rPr>
          <w:rFonts w:eastAsia="Times New Roman" w:cs="Arial"/>
          <w:b/>
          <w:sz w:val="20"/>
          <w:szCs w:val="20"/>
        </w:rPr>
        <w:t>Risk of not complying with new disclosures and audit requirements as a result of Covid-19 impacts on 20</w:t>
      </w:r>
      <w:r w:rsidR="005A44C7" w:rsidRPr="005A44C7">
        <w:rPr>
          <w:rFonts w:eastAsia="Times New Roman" w:cs="Arial"/>
          <w:b/>
          <w:sz w:val="20"/>
          <w:szCs w:val="20"/>
        </w:rPr>
        <w:t>20</w:t>
      </w:r>
      <w:r w:rsidRPr="005A44C7">
        <w:rPr>
          <w:rFonts w:eastAsia="Times New Roman" w:cs="Arial"/>
          <w:b/>
          <w:sz w:val="20"/>
          <w:szCs w:val="20"/>
        </w:rPr>
        <w:t>/2</w:t>
      </w:r>
      <w:r w:rsidR="005A44C7" w:rsidRPr="005A44C7">
        <w:rPr>
          <w:rFonts w:eastAsia="Times New Roman" w:cs="Arial"/>
          <w:b/>
          <w:sz w:val="20"/>
          <w:szCs w:val="20"/>
        </w:rPr>
        <w:t>1</w:t>
      </w:r>
      <w:r w:rsidRPr="005A44C7">
        <w:rPr>
          <w:rFonts w:eastAsia="Times New Roman" w:cs="Arial"/>
          <w:b/>
          <w:sz w:val="20"/>
          <w:szCs w:val="20"/>
        </w:rPr>
        <w:t xml:space="preserve"> accounts</w:t>
      </w:r>
    </w:p>
    <w:p w14:paraId="4259799C" w14:textId="747AADA7" w:rsidR="0096250A" w:rsidRPr="005A44C7" w:rsidRDefault="00C2631A" w:rsidP="0096250A">
      <w:pPr>
        <w:spacing w:after="0" w:line="240" w:lineRule="auto"/>
        <w:ind w:left="720"/>
        <w:jc w:val="both"/>
        <w:rPr>
          <w:rFonts w:eastAsia="Times New Roman" w:cs="Arial"/>
          <w:sz w:val="20"/>
          <w:szCs w:val="20"/>
        </w:rPr>
      </w:pPr>
      <w:r>
        <w:rPr>
          <w:rFonts w:eastAsia="Times New Roman" w:cs="Arial"/>
          <w:sz w:val="20"/>
          <w:szCs w:val="20"/>
        </w:rPr>
        <w:t>Some risks encountered during</w:t>
      </w:r>
      <w:r w:rsidR="005A44C7" w:rsidRPr="005A44C7">
        <w:rPr>
          <w:rFonts w:eastAsia="Times New Roman" w:cs="Arial"/>
          <w:sz w:val="20"/>
          <w:szCs w:val="20"/>
        </w:rPr>
        <w:t xml:space="preserve"> 2019/20 </w:t>
      </w:r>
      <w:r>
        <w:rPr>
          <w:rFonts w:eastAsia="Times New Roman" w:cs="Arial"/>
          <w:sz w:val="20"/>
          <w:szCs w:val="20"/>
        </w:rPr>
        <w:t xml:space="preserve">may be less this year </w:t>
      </w:r>
      <w:r w:rsidR="005A44C7" w:rsidRPr="005A44C7">
        <w:rPr>
          <w:rFonts w:eastAsia="Times New Roman" w:cs="Arial"/>
          <w:sz w:val="20"/>
          <w:szCs w:val="20"/>
        </w:rPr>
        <w:t>because there wa</w:t>
      </w:r>
      <w:r w:rsidR="0096250A" w:rsidRPr="005A44C7">
        <w:rPr>
          <w:rFonts w:eastAsia="Times New Roman" w:cs="Arial"/>
          <w:sz w:val="20"/>
          <w:szCs w:val="20"/>
        </w:rPr>
        <w:t xml:space="preserve">s a lack of national consensus </w:t>
      </w:r>
      <w:r w:rsidR="005A44C7" w:rsidRPr="005A44C7">
        <w:rPr>
          <w:rFonts w:eastAsia="Times New Roman" w:cs="Arial"/>
          <w:sz w:val="20"/>
          <w:szCs w:val="20"/>
        </w:rPr>
        <w:t xml:space="preserve">at that time </w:t>
      </w:r>
      <w:r w:rsidR="0096250A" w:rsidRPr="005A44C7">
        <w:rPr>
          <w:rFonts w:eastAsia="Times New Roman" w:cs="Arial"/>
          <w:sz w:val="20"/>
          <w:szCs w:val="20"/>
        </w:rPr>
        <w:t>on some areas e.g. Property valuations basis for current and fair values</w:t>
      </w:r>
      <w:r>
        <w:rPr>
          <w:rFonts w:eastAsia="Times New Roman" w:cs="Arial"/>
          <w:sz w:val="20"/>
          <w:szCs w:val="20"/>
        </w:rPr>
        <w:t>, however this may be countered by increasingly onerous audit regulations</w:t>
      </w:r>
      <w:r w:rsidR="0096250A" w:rsidRPr="005A44C7">
        <w:rPr>
          <w:rFonts w:eastAsia="Times New Roman" w:cs="Arial"/>
          <w:sz w:val="20"/>
          <w:szCs w:val="20"/>
        </w:rPr>
        <w:t>.</w:t>
      </w:r>
    </w:p>
    <w:p w14:paraId="648D7F50" w14:textId="77777777" w:rsidR="004C1D05" w:rsidRPr="005A44C7" w:rsidRDefault="004C1D05" w:rsidP="004C1D05">
      <w:pPr>
        <w:spacing w:after="0" w:line="240" w:lineRule="auto"/>
        <w:jc w:val="both"/>
        <w:rPr>
          <w:rFonts w:eastAsia="Times New Roman" w:cs="Arial"/>
          <w:sz w:val="20"/>
          <w:szCs w:val="20"/>
        </w:rPr>
      </w:pPr>
    </w:p>
    <w:p w14:paraId="2359FF4C" w14:textId="35EE741C" w:rsidR="004C1D05" w:rsidRPr="005A44C7" w:rsidRDefault="0096250A" w:rsidP="004C1D05">
      <w:pPr>
        <w:numPr>
          <w:ilvl w:val="1"/>
          <w:numId w:val="31"/>
        </w:numPr>
        <w:spacing w:after="0" w:line="240" w:lineRule="auto"/>
        <w:jc w:val="both"/>
        <w:rPr>
          <w:rFonts w:eastAsia="Times New Roman" w:cs="Arial"/>
          <w:b/>
          <w:sz w:val="20"/>
          <w:szCs w:val="20"/>
        </w:rPr>
      </w:pPr>
      <w:r w:rsidRPr="005A44C7">
        <w:rPr>
          <w:rFonts w:eastAsia="Times New Roman" w:cs="Arial"/>
          <w:b/>
          <w:sz w:val="20"/>
          <w:szCs w:val="20"/>
        </w:rPr>
        <w:lastRenderedPageBreak/>
        <w:t>Risk of audit qualification as ‘adverse’ or ‘except for’</w:t>
      </w:r>
    </w:p>
    <w:p w14:paraId="64AA886A" w14:textId="77777777" w:rsidR="00943F97" w:rsidRPr="005A44C7" w:rsidRDefault="00943F97" w:rsidP="00943F97">
      <w:pPr>
        <w:spacing w:after="0" w:line="240" w:lineRule="auto"/>
        <w:ind w:left="720"/>
        <w:jc w:val="both"/>
        <w:rPr>
          <w:rFonts w:eastAsia="Times New Roman" w:cs="Arial"/>
          <w:sz w:val="20"/>
          <w:szCs w:val="20"/>
        </w:rPr>
      </w:pPr>
    </w:p>
    <w:p w14:paraId="70CA79B6" w14:textId="76DF84B8" w:rsidR="005A44C7" w:rsidRPr="005A44C7" w:rsidRDefault="0096250A" w:rsidP="00943F97">
      <w:pPr>
        <w:spacing w:after="0" w:line="240" w:lineRule="auto"/>
        <w:ind w:left="720"/>
        <w:jc w:val="both"/>
        <w:rPr>
          <w:rFonts w:eastAsia="Times New Roman" w:cs="Arial"/>
          <w:bCs/>
          <w:sz w:val="20"/>
          <w:szCs w:val="20"/>
        </w:rPr>
      </w:pPr>
      <w:r w:rsidRPr="005A44C7">
        <w:rPr>
          <w:rFonts w:eastAsia="Times New Roman" w:cs="Arial"/>
          <w:bCs/>
          <w:sz w:val="20"/>
          <w:szCs w:val="20"/>
        </w:rPr>
        <w:t xml:space="preserve">We </w:t>
      </w:r>
      <w:r w:rsidR="00943F97" w:rsidRPr="005A44C7">
        <w:rPr>
          <w:rFonts w:eastAsia="Times New Roman" w:cs="Arial"/>
          <w:bCs/>
          <w:sz w:val="20"/>
          <w:szCs w:val="20"/>
        </w:rPr>
        <w:t xml:space="preserve">aim to avoid </w:t>
      </w:r>
      <w:r w:rsidRPr="005A44C7">
        <w:rPr>
          <w:rFonts w:eastAsia="Times New Roman" w:cs="Arial"/>
          <w:bCs/>
          <w:sz w:val="20"/>
          <w:szCs w:val="20"/>
        </w:rPr>
        <w:t>qualification</w:t>
      </w:r>
      <w:r w:rsidR="00207520">
        <w:rPr>
          <w:rFonts w:eastAsia="Times New Roman" w:cs="Arial"/>
          <w:bCs/>
          <w:sz w:val="20"/>
          <w:szCs w:val="20"/>
        </w:rPr>
        <w:t xml:space="preserve"> and will raise any potential risks with the Chief Finance Officers should they arise</w:t>
      </w:r>
      <w:r w:rsidR="005A44C7" w:rsidRPr="005A44C7">
        <w:rPr>
          <w:rFonts w:eastAsia="Times New Roman" w:cs="Arial"/>
          <w:bCs/>
          <w:sz w:val="20"/>
          <w:szCs w:val="20"/>
        </w:rPr>
        <w:t>.</w:t>
      </w:r>
    </w:p>
    <w:p w14:paraId="561FA9E9" w14:textId="77777777" w:rsidR="008E0DD9" w:rsidRPr="005A44C7" w:rsidRDefault="008E0DD9" w:rsidP="008E0DD9">
      <w:pPr>
        <w:spacing w:after="0" w:line="240" w:lineRule="auto"/>
        <w:jc w:val="both"/>
        <w:rPr>
          <w:rFonts w:eastAsia="Times New Roman" w:cs="Arial"/>
          <w:sz w:val="20"/>
          <w:szCs w:val="20"/>
        </w:rPr>
      </w:pPr>
    </w:p>
    <w:p w14:paraId="17C6413D" w14:textId="5492B853" w:rsidR="008E0DD9" w:rsidRPr="005A44C7" w:rsidRDefault="008E0DD9" w:rsidP="008E0DD9">
      <w:pPr>
        <w:numPr>
          <w:ilvl w:val="1"/>
          <w:numId w:val="31"/>
        </w:numPr>
        <w:spacing w:after="0" w:line="240" w:lineRule="auto"/>
        <w:jc w:val="both"/>
        <w:rPr>
          <w:rFonts w:eastAsia="Times New Roman" w:cs="Arial"/>
          <w:b/>
          <w:sz w:val="20"/>
          <w:szCs w:val="20"/>
        </w:rPr>
      </w:pPr>
      <w:r w:rsidRPr="005A44C7">
        <w:rPr>
          <w:rFonts w:eastAsia="Times New Roman" w:cs="Arial"/>
          <w:b/>
          <w:sz w:val="20"/>
          <w:szCs w:val="20"/>
        </w:rPr>
        <w:t>Risk of delay to finalising the accounts due to auditor sign off</w:t>
      </w:r>
      <w:r w:rsidR="00AF16BD">
        <w:rPr>
          <w:rFonts w:eastAsia="Times New Roman" w:cs="Arial"/>
          <w:b/>
          <w:sz w:val="20"/>
          <w:szCs w:val="20"/>
        </w:rPr>
        <w:t xml:space="preserve"> and/or other issues arising</w:t>
      </w:r>
    </w:p>
    <w:p w14:paraId="5D11CB1C" w14:textId="61C38B69" w:rsidR="00E7052A" w:rsidRDefault="005A44C7" w:rsidP="008E0DD9">
      <w:pPr>
        <w:spacing w:after="0" w:line="240" w:lineRule="auto"/>
        <w:ind w:left="720"/>
        <w:jc w:val="both"/>
        <w:rPr>
          <w:rFonts w:eastAsia="Times New Roman" w:cs="Arial"/>
          <w:bCs/>
          <w:sz w:val="20"/>
          <w:szCs w:val="20"/>
        </w:rPr>
      </w:pPr>
      <w:r w:rsidRPr="00E7052A">
        <w:rPr>
          <w:rFonts w:eastAsia="Times New Roman" w:cs="Arial"/>
          <w:bCs/>
          <w:sz w:val="20"/>
          <w:szCs w:val="20"/>
        </w:rPr>
        <w:t xml:space="preserve">There is a risk </w:t>
      </w:r>
      <w:r w:rsidR="008E0DD9" w:rsidRPr="00E7052A">
        <w:rPr>
          <w:rFonts w:eastAsia="Times New Roman" w:cs="Arial"/>
          <w:bCs/>
          <w:sz w:val="20"/>
          <w:szCs w:val="20"/>
        </w:rPr>
        <w:t xml:space="preserve">that EY sign off </w:t>
      </w:r>
      <w:r w:rsidRPr="00E7052A">
        <w:rPr>
          <w:rFonts w:eastAsia="Times New Roman" w:cs="Arial"/>
          <w:bCs/>
          <w:sz w:val="20"/>
          <w:szCs w:val="20"/>
        </w:rPr>
        <w:t xml:space="preserve">for </w:t>
      </w:r>
      <w:r w:rsidR="008E0DD9" w:rsidRPr="00E7052A">
        <w:rPr>
          <w:rFonts w:eastAsia="Times New Roman" w:cs="Arial"/>
          <w:bCs/>
          <w:sz w:val="20"/>
          <w:szCs w:val="20"/>
        </w:rPr>
        <w:t xml:space="preserve">the </w:t>
      </w:r>
      <w:r w:rsidR="00E7052A">
        <w:rPr>
          <w:rFonts w:eastAsia="Times New Roman" w:cs="Arial"/>
          <w:bCs/>
          <w:sz w:val="20"/>
          <w:szCs w:val="20"/>
        </w:rPr>
        <w:t xml:space="preserve">2020/21 </w:t>
      </w:r>
      <w:r w:rsidR="008E0DD9" w:rsidRPr="00E7052A">
        <w:rPr>
          <w:rFonts w:eastAsia="Times New Roman" w:cs="Arial"/>
          <w:bCs/>
          <w:sz w:val="20"/>
          <w:szCs w:val="20"/>
        </w:rPr>
        <w:t>accounts</w:t>
      </w:r>
      <w:r w:rsidRPr="00E7052A">
        <w:rPr>
          <w:rFonts w:eastAsia="Times New Roman" w:cs="Arial"/>
          <w:bCs/>
          <w:sz w:val="20"/>
          <w:szCs w:val="20"/>
        </w:rPr>
        <w:t xml:space="preserve"> could be complicated by the pressures of </w:t>
      </w:r>
      <w:r w:rsidR="00E7052A">
        <w:rPr>
          <w:rFonts w:eastAsia="Times New Roman" w:cs="Arial"/>
          <w:bCs/>
          <w:sz w:val="20"/>
          <w:szCs w:val="20"/>
        </w:rPr>
        <w:t xml:space="preserve">available </w:t>
      </w:r>
      <w:r w:rsidR="00E7052A" w:rsidRPr="00E7052A">
        <w:rPr>
          <w:rFonts w:eastAsia="Times New Roman" w:cs="Arial"/>
          <w:bCs/>
          <w:sz w:val="20"/>
          <w:szCs w:val="20"/>
        </w:rPr>
        <w:t>resources</w:t>
      </w:r>
      <w:r w:rsidR="00E7052A">
        <w:rPr>
          <w:rFonts w:eastAsia="Times New Roman" w:cs="Arial"/>
          <w:bCs/>
          <w:sz w:val="20"/>
          <w:szCs w:val="20"/>
        </w:rPr>
        <w:t xml:space="preserve"> for audit work and due to</w:t>
      </w:r>
      <w:r w:rsidR="00CD2A5E">
        <w:rPr>
          <w:rFonts w:eastAsia="Times New Roman" w:cs="Arial"/>
          <w:bCs/>
          <w:sz w:val="20"/>
          <w:szCs w:val="20"/>
        </w:rPr>
        <w:t xml:space="preserve"> additional time pressures following</w:t>
      </w:r>
      <w:r w:rsidR="00E7052A">
        <w:rPr>
          <w:rFonts w:eastAsia="Times New Roman" w:cs="Arial"/>
          <w:bCs/>
          <w:sz w:val="20"/>
          <w:szCs w:val="20"/>
        </w:rPr>
        <w:t xml:space="preserve"> the introduction of</w:t>
      </w:r>
      <w:r w:rsidR="00AF16BD">
        <w:rPr>
          <w:rFonts w:eastAsia="Times New Roman" w:cs="Arial"/>
          <w:bCs/>
          <w:sz w:val="20"/>
          <w:szCs w:val="20"/>
        </w:rPr>
        <w:t xml:space="preserve"> a new Code of Audit Practice for 2020/21 by the NAO. Under the new Code the external auditor will still consider whether the PCC/CC has put in place ‘proper arrangements’ to secure economy, efficiency and effectiveness on its use of reserves but they no longer provide a conclusion. Instead they have to seek sufficient assurance to enable them to report to the PCC/CC a commentary on the arrangements in place to secure economic, efficient and effective use of its resources for the relevant period in terms of financial sustainability, governance and performance. We do not yet fully understand how much additional work this will entail and/or what timescales it will be completed.</w:t>
      </w:r>
    </w:p>
    <w:p w14:paraId="25C8307C" w14:textId="77777777" w:rsidR="00AF16BD" w:rsidRPr="00E7052A" w:rsidRDefault="00AF16BD" w:rsidP="008E0DD9">
      <w:pPr>
        <w:spacing w:after="0" w:line="240" w:lineRule="auto"/>
        <w:ind w:left="720"/>
        <w:jc w:val="both"/>
        <w:rPr>
          <w:rFonts w:eastAsia="Times New Roman" w:cs="Arial"/>
          <w:bCs/>
          <w:sz w:val="20"/>
          <w:szCs w:val="20"/>
        </w:rPr>
      </w:pPr>
    </w:p>
    <w:p w14:paraId="7D247490" w14:textId="68899217" w:rsidR="004C1D05" w:rsidRPr="00E7052A" w:rsidRDefault="00B63F09" w:rsidP="004C1D05">
      <w:pPr>
        <w:pStyle w:val="Heading2"/>
        <w:numPr>
          <w:ilvl w:val="0"/>
          <w:numId w:val="29"/>
        </w:numPr>
        <w:rPr>
          <w:rFonts w:asciiTheme="minorHAnsi" w:eastAsia="Times New Roman" w:hAnsiTheme="minorHAnsi"/>
        </w:rPr>
      </w:pPr>
      <w:r w:rsidRPr="00E7052A">
        <w:rPr>
          <w:rFonts w:asciiTheme="minorHAnsi" w:eastAsia="Times New Roman" w:hAnsiTheme="minorHAnsi"/>
        </w:rPr>
        <w:t xml:space="preserve">Action underway and </w:t>
      </w:r>
      <w:r w:rsidR="00A66D5D" w:rsidRPr="00E7052A">
        <w:rPr>
          <w:rFonts w:asciiTheme="minorHAnsi" w:eastAsia="Times New Roman" w:hAnsiTheme="minorHAnsi"/>
        </w:rPr>
        <w:t xml:space="preserve">due </w:t>
      </w:r>
      <w:r w:rsidRPr="00E7052A">
        <w:rPr>
          <w:rFonts w:asciiTheme="minorHAnsi" w:eastAsia="Times New Roman" w:hAnsiTheme="minorHAnsi"/>
        </w:rPr>
        <w:t>for further action</w:t>
      </w:r>
    </w:p>
    <w:p w14:paraId="7A98C4CD" w14:textId="77777777" w:rsidR="004C1D05" w:rsidRPr="00E7052A" w:rsidRDefault="004C1D05" w:rsidP="004C1D05">
      <w:pPr>
        <w:spacing w:after="0" w:line="240" w:lineRule="auto"/>
        <w:ind w:left="1276" w:hanging="1276"/>
        <w:jc w:val="both"/>
        <w:rPr>
          <w:rFonts w:eastAsia="Times New Roman" w:cs="Arial"/>
          <w:sz w:val="20"/>
          <w:szCs w:val="20"/>
        </w:rPr>
      </w:pPr>
    </w:p>
    <w:p w14:paraId="51C2DC7D" w14:textId="77777777" w:rsidR="004C1D05" w:rsidRPr="00E7052A" w:rsidRDefault="004C1D05" w:rsidP="004C1D05">
      <w:pPr>
        <w:pStyle w:val="ListParagraph"/>
        <w:numPr>
          <w:ilvl w:val="0"/>
          <w:numId w:val="31"/>
        </w:numPr>
        <w:spacing w:after="0" w:line="240" w:lineRule="auto"/>
        <w:contextualSpacing w:val="0"/>
        <w:jc w:val="both"/>
        <w:rPr>
          <w:rFonts w:eastAsia="Times New Roman" w:cs="Arial"/>
          <w:vanish/>
          <w:sz w:val="20"/>
          <w:szCs w:val="20"/>
        </w:rPr>
      </w:pPr>
    </w:p>
    <w:p w14:paraId="3B919688" w14:textId="57BE0EF9" w:rsidR="004C1D05" w:rsidRPr="00E7052A" w:rsidRDefault="00B63F09" w:rsidP="004C1D05">
      <w:pPr>
        <w:numPr>
          <w:ilvl w:val="1"/>
          <w:numId w:val="31"/>
        </w:numPr>
        <w:spacing w:after="0" w:line="240" w:lineRule="auto"/>
        <w:jc w:val="both"/>
        <w:rPr>
          <w:rFonts w:cs="Arial"/>
          <w:sz w:val="20"/>
          <w:szCs w:val="20"/>
        </w:rPr>
      </w:pPr>
      <w:r w:rsidRPr="00E7052A">
        <w:rPr>
          <w:rFonts w:eastAsia="Times New Roman" w:cs="Arial"/>
          <w:sz w:val="20"/>
          <w:szCs w:val="20"/>
        </w:rPr>
        <w:t>The finance team are</w:t>
      </w:r>
      <w:r w:rsidR="00E7052A" w:rsidRPr="00E7052A">
        <w:rPr>
          <w:rFonts w:eastAsia="Times New Roman" w:cs="Arial"/>
          <w:sz w:val="20"/>
          <w:szCs w:val="20"/>
        </w:rPr>
        <w:t xml:space="preserve"> currently</w:t>
      </w:r>
      <w:r w:rsidRPr="00E7052A">
        <w:rPr>
          <w:rFonts w:eastAsia="Times New Roman" w:cs="Arial"/>
          <w:sz w:val="20"/>
          <w:szCs w:val="20"/>
        </w:rPr>
        <w:t xml:space="preserve"> working through the</w:t>
      </w:r>
      <w:r w:rsidR="00E7052A" w:rsidRPr="00E7052A">
        <w:rPr>
          <w:rFonts w:eastAsia="Times New Roman" w:cs="Arial"/>
          <w:sz w:val="20"/>
          <w:szCs w:val="20"/>
        </w:rPr>
        <w:t xml:space="preserve"> external audit requests and queries</w:t>
      </w:r>
      <w:r w:rsidRPr="00E7052A">
        <w:rPr>
          <w:rFonts w:eastAsia="Times New Roman" w:cs="Arial"/>
          <w:sz w:val="20"/>
          <w:szCs w:val="20"/>
        </w:rPr>
        <w:t xml:space="preserve"> </w:t>
      </w:r>
      <w:r w:rsidR="00E7052A" w:rsidRPr="00E7052A">
        <w:rPr>
          <w:rFonts w:eastAsia="Times New Roman" w:cs="Arial"/>
          <w:sz w:val="20"/>
          <w:szCs w:val="20"/>
        </w:rPr>
        <w:t>across</w:t>
      </w:r>
      <w:r w:rsidRPr="00E7052A">
        <w:rPr>
          <w:rFonts w:eastAsia="Times New Roman" w:cs="Arial"/>
          <w:sz w:val="20"/>
          <w:szCs w:val="20"/>
        </w:rPr>
        <w:t xml:space="preserve"> all areas of the accounts and working closely with the external audit team regarding disclosures and accounting treatment</w:t>
      </w:r>
      <w:r w:rsidR="004C1D05" w:rsidRPr="00E7052A">
        <w:rPr>
          <w:rFonts w:eastAsia="Times New Roman" w:cs="Arial"/>
          <w:sz w:val="20"/>
          <w:szCs w:val="20"/>
        </w:rPr>
        <w:t>.</w:t>
      </w:r>
    </w:p>
    <w:p w14:paraId="5B48A131" w14:textId="77777777" w:rsidR="004C1D05" w:rsidRPr="00E7052A" w:rsidRDefault="004C1D05" w:rsidP="004C1D05">
      <w:pPr>
        <w:spacing w:after="0" w:line="240" w:lineRule="auto"/>
        <w:ind w:left="720"/>
        <w:jc w:val="both"/>
        <w:rPr>
          <w:rFonts w:cs="Arial"/>
          <w:sz w:val="20"/>
          <w:szCs w:val="20"/>
        </w:rPr>
      </w:pPr>
    </w:p>
    <w:p w14:paraId="48EDD6AF" w14:textId="0EA44714" w:rsidR="004C1D05" w:rsidRPr="00E7052A" w:rsidRDefault="00B63F09" w:rsidP="00A66D5D">
      <w:pPr>
        <w:numPr>
          <w:ilvl w:val="1"/>
          <w:numId w:val="31"/>
        </w:numPr>
        <w:spacing w:after="0" w:line="240" w:lineRule="auto"/>
        <w:jc w:val="both"/>
        <w:rPr>
          <w:rFonts w:eastAsia="Times New Roman" w:cs="Arial"/>
          <w:sz w:val="20"/>
          <w:szCs w:val="20"/>
        </w:rPr>
      </w:pPr>
      <w:r w:rsidRPr="00E7052A">
        <w:rPr>
          <w:rFonts w:eastAsia="Times New Roman" w:cs="Arial"/>
          <w:sz w:val="20"/>
          <w:szCs w:val="20"/>
        </w:rPr>
        <w:t>Chief Finance Officers and Joint Audit Committee members will be kept fully up to date and involved as the accounts and audit progress</w:t>
      </w:r>
      <w:r w:rsidR="004C1D05" w:rsidRPr="00E7052A">
        <w:rPr>
          <w:rFonts w:eastAsia="Times New Roman" w:cs="Arial"/>
          <w:sz w:val="20"/>
          <w:szCs w:val="20"/>
        </w:rPr>
        <w:t>.</w:t>
      </w:r>
    </w:p>
    <w:p w14:paraId="6751D382" w14:textId="77777777" w:rsidR="004C1D05" w:rsidRPr="00CD2A5E" w:rsidRDefault="004C1D05" w:rsidP="004C1D05">
      <w:pPr>
        <w:spacing w:after="0" w:line="240" w:lineRule="auto"/>
        <w:jc w:val="both"/>
        <w:rPr>
          <w:rFonts w:eastAsia="Times New Roman" w:cs="Arial"/>
          <w:sz w:val="20"/>
          <w:szCs w:val="20"/>
        </w:rPr>
      </w:pPr>
    </w:p>
    <w:p w14:paraId="492C1D8F" w14:textId="6A658CD7" w:rsidR="004C1D05" w:rsidRPr="00CD2A5E" w:rsidRDefault="00CD2A5E" w:rsidP="004C1D05">
      <w:pPr>
        <w:pStyle w:val="Heading2"/>
        <w:numPr>
          <w:ilvl w:val="0"/>
          <w:numId w:val="29"/>
        </w:numPr>
        <w:rPr>
          <w:rFonts w:asciiTheme="minorHAnsi" w:eastAsia="Times New Roman" w:hAnsiTheme="minorHAnsi"/>
        </w:rPr>
      </w:pPr>
      <w:r w:rsidRPr="00CD2A5E">
        <w:rPr>
          <w:rFonts w:asciiTheme="minorHAnsi" w:eastAsia="Times New Roman" w:hAnsiTheme="minorHAnsi"/>
        </w:rPr>
        <w:t>Impacts on</w:t>
      </w:r>
      <w:r w:rsidR="00ED7AA8" w:rsidRPr="00CD2A5E">
        <w:rPr>
          <w:rFonts w:asciiTheme="minorHAnsi" w:eastAsia="Times New Roman" w:hAnsiTheme="minorHAnsi"/>
        </w:rPr>
        <w:t xml:space="preserve"> current status of accounts and audit</w:t>
      </w:r>
    </w:p>
    <w:p w14:paraId="3C76D00A" w14:textId="77777777" w:rsidR="004C1D05" w:rsidRPr="00CD2A5E" w:rsidRDefault="004C1D05" w:rsidP="004C1D05">
      <w:pPr>
        <w:spacing w:after="0" w:line="240" w:lineRule="auto"/>
        <w:ind w:left="1276" w:hanging="1276"/>
        <w:jc w:val="both"/>
        <w:rPr>
          <w:rFonts w:eastAsia="Times New Roman" w:cs="Arial"/>
          <w:sz w:val="20"/>
          <w:szCs w:val="20"/>
        </w:rPr>
      </w:pPr>
    </w:p>
    <w:p w14:paraId="3517E859" w14:textId="77777777" w:rsidR="004C1D05" w:rsidRPr="00CD2A5E" w:rsidRDefault="004C1D05" w:rsidP="004C1D05">
      <w:pPr>
        <w:pStyle w:val="ListParagraph"/>
        <w:numPr>
          <w:ilvl w:val="0"/>
          <w:numId w:val="31"/>
        </w:numPr>
        <w:spacing w:after="0" w:line="240" w:lineRule="auto"/>
        <w:contextualSpacing w:val="0"/>
        <w:jc w:val="both"/>
        <w:rPr>
          <w:rFonts w:eastAsia="Times New Roman" w:cs="Arial"/>
          <w:vanish/>
          <w:sz w:val="20"/>
          <w:szCs w:val="20"/>
        </w:rPr>
      </w:pPr>
    </w:p>
    <w:p w14:paraId="71397A91" w14:textId="7F31C30C" w:rsidR="004C1D05" w:rsidRPr="00CD2A5E" w:rsidRDefault="00ED7AA8" w:rsidP="004C1D05">
      <w:pPr>
        <w:numPr>
          <w:ilvl w:val="1"/>
          <w:numId w:val="31"/>
        </w:numPr>
        <w:spacing w:after="0" w:line="240" w:lineRule="auto"/>
        <w:jc w:val="both"/>
        <w:rPr>
          <w:rFonts w:cs="Arial"/>
          <w:sz w:val="20"/>
          <w:szCs w:val="20"/>
        </w:rPr>
      </w:pPr>
      <w:r w:rsidRPr="00CD2A5E">
        <w:rPr>
          <w:rFonts w:eastAsia="Times New Roman" w:cs="Arial"/>
          <w:sz w:val="20"/>
          <w:szCs w:val="20"/>
        </w:rPr>
        <w:t xml:space="preserve">Covid-19 impacts </w:t>
      </w:r>
      <w:r w:rsidR="00CD2A5E" w:rsidRPr="00CD2A5E">
        <w:rPr>
          <w:rFonts w:eastAsia="Times New Roman" w:cs="Arial"/>
          <w:sz w:val="20"/>
          <w:szCs w:val="20"/>
        </w:rPr>
        <w:t>continue to</w:t>
      </w:r>
      <w:r w:rsidRPr="00CD2A5E">
        <w:rPr>
          <w:rFonts w:eastAsia="Times New Roman" w:cs="Arial"/>
          <w:sz w:val="20"/>
          <w:szCs w:val="20"/>
        </w:rPr>
        <w:t xml:space="preserve"> slow progress and introduce complexities to the annua</w:t>
      </w:r>
      <w:r w:rsidR="00CD2A5E" w:rsidRPr="00CD2A5E">
        <w:rPr>
          <w:rFonts w:eastAsia="Times New Roman" w:cs="Arial"/>
          <w:sz w:val="20"/>
          <w:szCs w:val="20"/>
        </w:rPr>
        <w:t>l accounts and audit for 2020/21</w:t>
      </w:r>
      <w:r w:rsidRPr="00CD2A5E">
        <w:rPr>
          <w:rFonts w:eastAsia="Times New Roman" w:cs="Arial"/>
          <w:sz w:val="20"/>
          <w:szCs w:val="20"/>
        </w:rPr>
        <w:t>.</w:t>
      </w:r>
    </w:p>
    <w:p w14:paraId="451FFD85" w14:textId="77777777" w:rsidR="004C1D05" w:rsidRPr="00CD2A5E" w:rsidRDefault="004C1D05" w:rsidP="004C1D05">
      <w:pPr>
        <w:spacing w:after="0" w:line="240" w:lineRule="auto"/>
        <w:ind w:left="720"/>
        <w:jc w:val="both"/>
        <w:rPr>
          <w:rFonts w:cs="Arial"/>
          <w:sz w:val="20"/>
          <w:szCs w:val="20"/>
        </w:rPr>
      </w:pPr>
    </w:p>
    <w:p w14:paraId="496B5694" w14:textId="498035A9" w:rsidR="00A66D5D" w:rsidRPr="00CD2A5E" w:rsidRDefault="00A66D5D" w:rsidP="00A66D5D">
      <w:pPr>
        <w:pStyle w:val="Heading2"/>
        <w:numPr>
          <w:ilvl w:val="0"/>
          <w:numId w:val="29"/>
        </w:numPr>
        <w:rPr>
          <w:rFonts w:asciiTheme="minorHAnsi" w:eastAsia="Times New Roman" w:hAnsiTheme="minorHAnsi"/>
        </w:rPr>
      </w:pPr>
      <w:r w:rsidRPr="00CD2A5E">
        <w:rPr>
          <w:rFonts w:asciiTheme="minorHAnsi" w:eastAsia="Times New Roman" w:hAnsiTheme="minorHAnsi"/>
        </w:rPr>
        <w:t>Recommendation</w:t>
      </w:r>
    </w:p>
    <w:p w14:paraId="35E5441B" w14:textId="77777777" w:rsidR="00A66D5D" w:rsidRPr="00CD2A5E" w:rsidRDefault="00A66D5D" w:rsidP="00A66D5D">
      <w:pPr>
        <w:spacing w:after="0" w:line="240" w:lineRule="auto"/>
        <w:ind w:left="1276" w:hanging="1276"/>
        <w:jc w:val="both"/>
        <w:rPr>
          <w:rFonts w:eastAsia="Times New Roman" w:cs="Arial"/>
          <w:sz w:val="20"/>
          <w:szCs w:val="20"/>
        </w:rPr>
      </w:pPr>
    </w:p>
    <w:p w14:paraId="37729F91" w14:textId="77777777" w:rsidR="00A66D5D" w:rsidRPr="00207520" w:rsidRDefault="00A66D5D" w:rsidP="00A66D5D">
      <w:pPr>
        <w:pStyle w:val="ListParagraph"/>
        <w:numPr>
          <w:ilvl w:val="0"/>
          <w:numId w:val="31"/>
        </w:numPr>
        <w:spacing w:after="0" w:line="240" w:lineRule="auto"/>
        <w:contextualSpacing w:val="0"/>
        <w:jc w:val="both"/>
        <w:rPr>
          <w:rFonts w:eastAsia="Times New Roman" w:cs="Arial"/>
          <w:vanish/>
          <w:sz w:val="20"/>
          <w:szCs w:val="20"/>
        </w:rPr>
      </w:pPr>
    </w:p>
    <w:p w14:paraId="7FFDB2D8" w14:textId="7F0E35C0" w:rsidR="00207520" w:rsidRPr="00207520" w:rsidRDefault="00207520" w:rsidP="00EA437C">
      <w:pPr>
        <w:numPr>
          <w:ilvl w:val="1"/>
          <w:numId w:val="31"/>
        </w:numPr>
        <w:spacing w:after="0" w:line="240" w:lineRule="auto"/>
        <w:jc w:val="both"/>
        <w:rPr>
          <w:rFonts w:cs="Arial"/>
          <w:sz w:val="20"/>
          <w:szCs w:val="20"/>
        </w:rPr>
      </w:pPr>
      <w:r w:rsidRPr="00207520">
        <w:rPr>
          <w:rFonts w:eastAsia="Times New Roman" w:cs="Arial"/>
          <w:sz w:val="20"/>
          <w:szCs w:val="20"/>
        </w:rPr>
        <w:t>Committee members are asked to consider the issues arising and progress to date for the 2020/21 Annual Statement of Accounts.</w:t>
      </w:r>
    </w:p>
    <w:p w14:paraId="5F31048E" w14:textId="77777777" w:rsidR="00207520" w:rsidRPr="00207520" w:rsidRDefault="00207520" w:rsidP="00207520">
      <w:pPr>
        <w:spacing w:after="0" w:line="240" w:lineRule="auto"/>
        <w:ind w:left="720"/>
        <w:jc w:val="both"/>
        <w:rPr>
          <w:rFonts w:cs="Arial"/>
          <w:sz w:val="20"/>
          <w:szCs w:val="20"/>
        </w:rPr>
      </w:pPr>
    </w:p>
    <w:p w14:paraId="166E5547" w14:textId="6DA25ECE" w:rsidR="00207520" w:rsidRPr="00207520" w:rsidRDefault="00207520" w:rsidP="00EA437C">
      <w:pPr>
        <w:numPr>
          <w:ilvl w:val="1"/>
          <w:numId w:val="31"/>
        </w:numPr>
        <w:spacing w:after="0" w:line="240" w:lineRule="auto"/>
        <w:jc w:val="both"/>
        <w:rPr>
          <w:rFonts w:cs="Arial"/>
          <w:sz w:val="20"/>
          <w:szCs w:val="20"/>
        </w:rPr>
      </w:pPr>
      <w:r w:rsidRPr="00207520">
        <w:rPr>
          <w:rFonts w:eastAsia="Times New Roman" w:cs="Arial"/>
          <w:sz w:val="20"/>
          <w:szCs w:val="20"/>
        </w:rPr>
        <w:t xml:space="preserve">In accordance with the JAC terms of reference the committee members are invited to </w:t>
      </w:r>
      <w:r w:rsidRPr="00207520">
        <w:rPr>
          <w:rFonts w:cs="Arial"/>
          <w:sz w:val="20"/>
          <w:szCs w:val="20"/>
        </w:rPr>
        <w:t>review the draft annual statements of accounts in advance of the final versions which members will be asked to recommend for approval to the PCC and CC. Consider whether appropriate accounting policies have been followed and consider whether there are concerns arising from the financial statements or from the audit of the financial statements that need to be brought to the attention of the PCC and/or CC.</w:t>
      </w:r>
      <w:r w:rsidRPr="00207520">
        <w:rPr>
          <w:rFonts w:eastAsia="Times New Roman" w:cs="Arial"/>
          <w:sz w:val="20"/>
          <w:szCs w:val="20"/>
        </w:rPr>
        <w:t xml:space="preserve"> </w:t>
      </w:r>
    </w:p>
    <w:p w14:paraId="2AD06CBF" w14:textId="78C37FE4" w:rsidR="00A66D5D" w:rsidRPr="00207520" w:rsidRDefault="00A66D5D" w:rsidP="00207520">
      <w:pPr>
        <w:spacing w:after="0" w:line="240" w:lineRule="auto"/>
        <w:jc w:val="both"/>
        <w:rPr>
          <w:rFonts w:cs="Arial"/>
          <w:sz w:val="20"/>
          <w:szCs w:val="20"/>
        </w:rPr>
      </w:pPr>
    </w:p>
    <w:p w14:paraId="2F373533" w14:textId="77777777" w:rsidR="00207520" w:rsidRPr="00207520" w:rsidRDefault="00207520" w:rsidP="00207520">
      <w:pPr>
        <w:spacing w:after="0" w:line="240" w:lineRule="auto"/>
        <w:jc w:val="both"/>
        <w:rPr>
          <w:rFonts w:eastAsia="Times New Roman" w:cs="Arial"/>
          <w:sz w:val="20"/>
          <w:szCs w:val="20"/>
        </w:rPr>
      </w:pPr>
    </w:p>
    <w:p w14:paraId="7400A058" w14:textId="77777777" w:rsidR="00207520" w:rsidRPr="00207520" w:rsidRDefault="00207520" w:rsidP="00207520">
      <w:pPr>
        <w:spacing w:after="0" w:line="240" w:lineRule="auto"/>
        <w:jc w:val="both"/>
        <w:rPr>
          <w:rFonts w:eastAsia="Times New Roman" w:cs="Arial"/>
          <w:sz w:val="20"/>
          <w:szCs w:val="20"/>
        </w:rPr>
      </w:pPr>
    </w:p>
    <w:p w14:paraId="2DC26CE6" w14:textId="77777777" w:rsidR="00AD5D62" w:rsidRPr="00BB5DCA" w:rsidRDefault="00AD5D62" w:rsidP="00713E39">
      <w:pPr>
        <w:spacing w:after="0" w:line="240" w:lineRule="auto"/>
        <w:ind w:left="1276" w:hanging="1276"/>
        <w:jc w:val="both"/>
        <w:rPr>
          <w:rFonts w:eastAsia="Times New Roman" w:cs="Arial"/>
          <w:sz w:val="20"/>
          <w:szCs w:val="20"/>
        </w:rPr>
      </w:pPr>
    </w:p>
    <w:p w14:paraId="16D86E3A" w14:textId="77777777" w:rsidR="00AD5D62" w:rsidRPr="00BB5DCA" w:rsidRDefault="00AD5D62" w:rsidP="00713E39">
      <w:pPr>
        <w:spacing w:after="0" w:line="240" w:lineRule="auto"/>
        <w:ind w:left="1276" w:hanging="1276"/>
        <w:jc w:val="both"/>
        <w:rPr>
          <w:rFonts w:eastAsia="Times New Roman" w:cs="Arial"/>
          <w:sz w:val="20"/>
          <w:szCs w:val="20"/>
        </w:rPr>
      </w:pPr>
    </w:p>
    <w:sectPr w:rsidR="00AD5D62" w:rsidRPr="00BB5DCA" w:rsidSect="00F70539">
      <w:headerReference w:type="default" r:id="rId14"/>
      <w:footerReference w:type="default" r:id="rId15"/>
      <w:pgSz w:w="11906" w:h="16838" w:code="9"/>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0414F" w14:textId="77777777" w:rsidR="0096250A" w:rsidRDefault="0096250A" w:rsidP="00953A11">
      <w:pPr>
        <w:spacing w:after="0" w:line="240" w:lineRule="auto"/>
      </w:pPr>
      <w:r>
        <w:separator/>
      </w:r>
    </w:p>
  </w:endnote>
  <w:endnote w:type="continuationSeparator" w:id="0">
    <w:p w14:paraId="41E04150" w14:textId="77777777" w:rsidR="0096250A" w:rsidRDefault="0096250A" w:rsidP="0095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4152" w14:textId="77777777" w:rsidR="0096250A" w:rsidRDefault="0096250A" w:rsidP="00CB4AD3">
    <w:pPr>
      <w:pStyle w:val="Footer"/>
      <w:pBdr>
        <w:top w:val="single" w:sz="4" w:space="1" w:color="D9D9D9"/>
      </w:pBdr>
      <w:jc w:val="right"/>
    </w:pPr>
    <w:r>
      <w:fldChar w:fldCharType="begin"/>
    </w:r>
    <w:r>
      <w:instrText xml:space="preserve"> PAGE   \* MERGEFORMAT </w:instrText>
    </w:r>
    <w:r>
      <w:fldChar w:fldCharType="separate"/>
    </w:r>
    <w:r w:rsidR="00C2631A">
      <w:rPr>
        <w:noProof/>
      </w:rPr>
      <w:t>4</w:t>
    </w:r>
    <w:r>
      <w:rPr>
        <w:noProof/>
      </w:rPr>
      <w:fldChar w:fldCharType="end"/>
    </w:r>
    <w:r>
      <w:t xml:space="preserve"> | </w:t>
    </w:r>
    <w:r w:rsidRPr="00F622BE">
      <w:rPr>
        <w:color w:val="808080"/>
        <w:spacing w:val="60"/>
      </w:rPr>
      <w:t>Page</w:t>
    </w:r>
  </w:p>
  <w:p w14:paraId="41E04153" w14:textId="77777777" w:rsidR="0096250A" w:rsidRDefault="0096250A" w:rsidP="00CB4AD3">
    <w:pPr>
      <w:pStyle w:val="Footer"/>
      <w:jc w:val="center"/>
    </w:pPr>
    <w:r>
      <w:t>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0414D" w14:textId="77777777" w:rsidR="0096250A" w:rsidRDefault="0096250A" w:rsidP="00953A11">
      <w:pPr>
        <w:spacing w:after="0" w:line="240" w:lineRule="auto"/>
      </w:pPr>
      <w:r>
        <w:separator/>
      </w:r>
    </w:p>
  </w:footnote>
  <w:footnote w:type="continuationSeparator" w:id="0">
    <w:p w14:paraId="41E0414E" w14:textId="77777777" w:rsidR="0096250A" w:rsidRDefault="0096250A" w:rsidP="0095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4151" w14:textId="74C5D386" w:rsidR="0096250A" w:rsidRPr="00435874" w:rsidRDefault="0096250A">
    <w:pPr>
      <w:pStyle w:val="Header"/>
      <w:rPr>
        <w:b/>
      </w:rPr>
    </w:pPr>
    <w:r>
      <w:t xml:space="preserve">PART ONE </w:t>
    </w:r>
    <w:r>
      <w:tab/>
      <w:t xml:space="preserve">   </w:t>
    </w:r>
    <w:r>
      <w:tab/>
      <w:t xml:space="preserve">Item </w:t>
    </w:r>
    <w:r w:rsidR="00C04DF8">
      <w:t>09</w:t>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6E8"/>
    <w:multiLevelType w:val="hybridMultilevel"/>
    <w:tmpl w:val="AB0E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79C9"/>
    <w:multiLevelType w:val="hybridMultilevel"/>
    <w:tmpl w:val="F08C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543B"/>
    <w:multiLevelType w:val="multilevel"/>
    <w:tmpl w:val="8654CAAC"/>
    <w:lvl w:ilvl="0">
      <w:start w:val="1"/>
      <w:numFmt w:val="decimal"/>
      <w:lvlText w:val="%1."/>
      <w:lvlJc w:val="left"/>
      <w:pPr>
        <w:ind w:left="360" w:hanging="360"/>
      </w:pPr>
    </w:lvl>
    <w:lvl w:ilvl="1">
      <w:start w:val="1"/>
      <w:numFmt w:val="decimal"/>
      <w:lvlText w:val="%1.%2."/>
      <w:lvlJc w:val="left"/>
      <w:pPr>
        <w:ind w:left="1425" w:hanging="432"/>
      </w:pPr>
      <w:rPr>
        <w:b w:val="0"/>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F13AA"/>
    <w:multiLevelType w:val="hybridMultilevel"/>
    <w:tmpl w:val="6158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1601"/>
    <w:multiLevelType w:val="hybridMultilevel"/>
    <w:tmpl w:val="922E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6380F"/>
    <w:multiLevelType w:val="hybridMultilevel"/>
    <w:tmpl w:val="9A8C5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0D078B"/>
    <w:multiLevelType w:val="hybridMultilevel"/>
    <w:tmpl w:val="CF7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43342"/>
    <w:multiLevelType w:val="hybridMultilevel"/>
    <w:tmpl w:val="5E8A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370BE"/>
    <w:multiLevelType w:val="hybridMultilevel"/>
    <w:tmpl w:val="78A61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87C48"/>
    <w:multiLevelType w:val="multilevel"/>
    <w:tmpl w:val="4ABEE3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DF71D8"/>
    <w:multiLevelType w:val="multilevel"/>
    <w:tmpl w:val="F4DC6618"/>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A804C2"/>
    <w:multiLevelType w:val="hybridMultilevel"/>
    <w:tmpl w:val="8582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111F3"/>
    <w:multiLevelType w:val="hybridMultilevel"/>
    <w:tmpl w:val="9576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664D9"/>
    <w:multiLevelType w:val="hybridMultilevel"/>
    <w:tmpl w:val="2F960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8904A8"/>
    <w:multiLevelType w:val="multilevel"/>
    <w:tmpl w:val="91E0E4D6"/>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5A6D62"/>
    <w:multiLevelType w:val="hybridMultilevel"/>
    <w:tmpl w:val="521EB224"/>
    <w:lvl w:ilvl="0" w:tplc="525E6C4E">
      <w:start w:val="1"/>
      <w:numFmt w:val="bullet"/>
      <w:lvlText w:val=""/>
      <w:lvlJc w:val="left"/>
      <w:pPr>
        <w:tabs>
          <w:tab w:val="num" w:pos="648"/>
        </w:tabs>
        <w:ind w:left="648" w:hanging="360"/>
      </w:pPr>
      <w:rPr>
        <w:rFonts w:ascii="Wingdings" w:hAnsi="Wingdings" w:hint="default"/>
        <w:color w:val="005DA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85F9F"/>
    <w:multiLevelType w:val="hybridMultilevel"/>
    <w:tmpl w:val="1D2C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B3DC2"/>
    <w:multiLevelType w:val="hybridMultilevel"/>
    <w:tmpl w:val="FDB0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A3143"/>
    <w:multiLevelType w:val="hybridMultilevel"/>
    <w:tmpl w:val="082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6573E"/>
    <w:multiLevelType w:val="hybridMultilevel"/>
    <w:tmpl w:val="393E500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85F0499"/>
    <w:multiLevelType w:val="hybridMultilevel"/>
    <w:tmpl w:val="41D6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D0CBE"/>
    <w:multiLevelType w:val="multilevel"/>
    <w:tmpl w:val="B520F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5AE13A1E"/>
    <w:multiLevelType w:val="hybridMultilevel"/>
    <w:tmpl w:val="A054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F7836"/>
    <w:multiLevelType w:val="hybridMultilevel"/>
    <w:tmpl w:val="E7A2BB9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B8C4367"/>
    <w:multiLevelType w:val="multilevel"/>
    <w:tmpl w:val="34922BD6"/>
    <w:lvl w:ilvl="0">
      <w:start w:val="5"/>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ascii="Verdana" w:hAnsi="Verdana" w:cs="Verdana" w:hint="default"/>
        <w:b w:val="0"/>
        <w:bCs/>
        <w:color w:val="auto"/>
        <w:sz w:val="20"/>
        <w:szCs w:val="20"/>
      </w:rPr>
    </w:lvl>
    <w:lvl w:ilvl="2">
      <w:start w:val="1"/>
      <w:numFmt w:val="decimal"/>
      <w:lvlText w:val="%1.%2.%3."/>
      <w:lvlJc w:val="left"/>
      <w:pPr>
        <w:tabs>
          <w:tab w:val="num" w:pos="2880"/>
        </w:tabs>
        <w:ind w:left="2664" w:hanging="504"/>
      </w:pPr>
      <w:rPr>
        <w:rFonts w:hint="default"/>
        <w:color w:val="auto"/>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5" w15:restartNumberingAfterBreak="0">
    <w:nsid w:val="5C8D6060"/>
    <w:multiLevelType w:val="hybridMultilevel"/>
    <w:tmpl w:val="B8E6D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C25386"/>
    <w:multiLevelType w:val="multilevel"/>
    <w:tmpl w:val="36EEB7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53208D6"/>
    <w:multiLevelType w:val="hybridMultilevel"/>
    <w:tmpl w:val="7460E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6106A6"/>
    <w:multiLevelType w:val="multilevel"/>
    <w:tmpl w:val="91E0E4D6"/>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060985"/>
    <w:multiLevelType w:val="hybridMultilevel"/>
    <w:tmpl w:val="EDB4B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47CBD"/>
    <w:multiLevelType w:val="hybridMultilevel"/>
    <w:tmpl w:val="44E4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6"/>
  </w:num>
  <w:num w:numId="4">
    <w:abstractNumId w:val="20"/>
  </w:num>
  <w:num w:numId="5">
    <w:abstractNumId w:val="0"/>
  </w:num>
  <w:num w:numId="6">
    <w:abstractNumId w:val="9"/>
  </w:num>
  <w:num w:numId="7">
    <w:abstractNumId w:val="27"/>
  </w:num>
  <w:num w:numId="8">
    <w:abstractNumId w:val="15"/>
  </w:num>
  <w:num w:numId="9">
    <w:abstractNumId w:val="15"/>
  </w:num>
  <w:num w:numId="10">
    <w:abstractNumId w:val="15"/>
  </w:num>
  <w:num w:numId="11">
    <w:abstractNumId w:val="12"/>
  </w:num>
  <w:num w:numId="12">
    <w:abstractNumId w:val="18"/>
  </w:num>
  <w:num w:numId="13">
    <w:abstractNumId w:val="14"/>
  </w:num>
  <w:num w:numId="14">
    <w:abstractNumId w:val="30"/>
  </w:num>
  <w:num w:numId="15">
    <w:abstractNumId w:val="28"/>
  </w:num>
  <w:num w:numId="16">
    <w:abstractNumId w:val="3"/>
  </w:num>
  <w:num w:numId="17">
    <w:abstractNumId w:val="11"/>
  </w:num>
  <w:num w:numId="18">
    <w:abstractNumId w:val="6"/>
  </w:num>
  <w:num w:numId="19">
    <w:abstractNumId w:val="16"/>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5"/>
  </w:num>
  <w:num w:numId="24">
    <w:abstractNumId w:val="13"/>
  </w:num>
  <w:num w:numId="25">
    <w:abstractNumId w:val="23"/>
  </w:num>
  <w:num w:numId="26">
    <w:abstractNumId w:val="26"/>
  </w:num>
  <w:num w:numId="27">
    <w:abstractNumId w:val="24"/>
  </w:num>
  <w:num w:numId="28">
    <w:abstractNumId w:val="17"/>
  </w:num>
  <w:num w:numId="29">
    <w:abstractNumId w:val="8"/>
  </w:num>
  <w:num w:numId="30">
    <w:abstractNumId w:val="10"/>
  </w:num>
  <w:num w:numId="31">
    <w:abstractNumId w:val="21"/>
  </w:num>
  <w:num w:numId="32">
    <w:abstractNumId w:val="5"/>
  </w:num>
  <w:num w:numId="33">
    <w:abstractNumId w:val="1"/>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11"/>
    <w:rsid w:val="0000051F"/>
    <w:rsid w:val="000052CE"/>
    <w:rsid w:val="000069BB"/>
    <w:rsid w:val="00007C46"/>
    <w:rsid w:val="00012C66"/>
    <w:rsid w:val="00015DA5"/>
    <w:rsid w:val="00021E81"/>
    <w:rsid w:val="00022F9D"/>
    <w:rsid w:val="00023395"/>
    <w:rsid w:val="000303F8"/>
    <w:rsid w:val="000316C7"/>
    <w:rsid w:val="000317D8"/>
    <w:rsid w:val="00032EC6"/>
    <w:rsid w:val="00034509"/>
    <w:rsid w:val="00035B3C"/>
    <w:rsid w:val="00036AA3"/>
    <w:rsid w:val="00037591"/>
    <w:rsid w:val="0004248B"/>
    <w:rsid w:val="0004347A"/>
    <w:rsid w:val="000508CE"/>
    <w:rsid w:val="000522D1"/>
    <w:rsid w:val="00064814"/>
    <w:rsid w:val="00065F77"/>
    <w:rsid w:val="000736CA"/>
    <w:rsid w:val="000743EC"/>
    <w:rsid w:val="00086FEB"/>
    <w:rsid w:val="00087F69"/>
    <w:rsid w:val="000902A1"/>
    <w:rsid w:val="000910A6"/>
    <w:rsid w:val="00095693"/>
    <w:rsid w:val="00095D52"/>
    <w:rsid w:val="0009668C"/>
    <w:rsid w:val="000A0D20"/>
    <w:rsid w:val="000A278B"/>
    <w:rsid w:val="000A74B1"/>
    <w:rsid w:val="000B5B56"/>
    <w:rsid w:val="000C08D2"/>
    <w:rsid w:val="000C5089"/>
    <w:rsid w:val="000C6BC6"/>
    <w:rsid w:val="000C6BCF"/>
    <w:rsid w:val="000D0F14"/>
    <w:rsid w:val="000D115C"/>
    <w:rsid w:val="000D1C93"/>
    <w:rsid w:val="000F029A"/>
    <w:rsid w:val="000F4FDE"/>
    <w:rsid w:val="000F5D7D"/>
    <w:rsid w:val="000F6964"/>
    <w:rsid w:val="001008F2"/>
    <w:rsid w:val="001027FD"/>
    <w:rsid w:val="00106AE4"/>
    <w:rsid w:val="0011000F"/>
    <w:rsid w:val="0011450F"/>
    <w:rsid w:val="0011597B"/>
    <w:rsid w:val="00117180"/>
    <w:rsid w:val="00120724"/>
    <w:rsid w:val="00124405"/>
    <w:rsid w:val="001262D5"/>
    <w:rsid w:val="001367DB"/>
    <w:rsid w:val="0014211B"/>
    <w:rsid w:val="00142AA7"/>
    <w:rsid w:val="00143E58"/>
    <w:rsid w:val="00145486"/>
    <w:rsid w:val="00146D22"/>
    <w:rsid w:val="00157A0C"/>
    <w:rsid w:val="00160205"/>
    <w:rsid w:val="00161C82"/>
    <w:rsid w:val="0016252B"/>
    <w:rsid w:val="001650D2"/>
    <w:rsid w:val="00173217"/>
    <w:rsid w:val="001800E2"/>
    <w:rsid w:val="00180774"/>
    <w:rsid w:val="00182A2F"/>
    <w:rsid w:val="001843AA"/>
    <w:rsid w:val="0019201E"/>
    <w:rsid w:val="00196304"/>
    <w:rsid w:val="001973D2"/>
    <w:rsid w:val="001A3971"/>
    <w:rsid w:val="001A3EE9"/>
    <w:rsid w:val="001A4AC4"/>
    <w:rsid w:val="001A5586"/>
    <w:rsid w:val="001A7B95"/>
    <w:rsid w:val="001B5A1E"/>
    <w:rsid w:val="001B71F0"/>
    <w:rsid w:val="001C0977"/>
    <w:rsid w:val="001C1311"/>
    <w:rsid w:val="001C4DE1"/>
    <w:rsid w:val="001C6895"/>
    <w:rsid w:val="001C7EB8"/>
    <w:rsid w:val="001E0755"/>
    <w:rsid w:val="001E5B12"/>
    <w:rsid w:val="001E5EE7"/>
    <w:rsid w:val="00202479"/>
    <w:rsid w:val="00202736"/>
    <w:rsid w:val="00204C31"/>
    <w:rsid w:val="002055D4"/>
    <w:rsid w:val="00207520"/>
    <w:rsid w:val="002076E6"/>
    <w:rsid w:val="002121F7"/>
    <w:rsid w:val="00212BDF"/>
    <w:rsid w:val="00217ACF"/>
    <w:rsid w:val="00224282"/>
    <w:rsid w:val="0025085D"/>
    <w:rsid w:val="00250EC1"/>
    <w:rsid w:val="002526A5"/>
    <w:rsid w:val="002533A0"/>
    <w:rsid w:val="0025714E"/>
    <w:rsid w:val="00257ADC"/>
    <w:rsid w:val="00260F34"/>
    <w:rsid w:val="00261A69"/>
    <w:rsid w:val="00261CE9"/>
    <w:rsid w:val="00266C48"/>
    <w:rsid w:val="00267DD0"/>
    <w:rsid w:val="0027212C"/>
    <w:rsid w:val="00272644"/>
    <w:rsid w:val="00276327"/>
    <w:rsid w:val="00280DCA"/>
    <w:rsid w:val="002814E4"/>
    <w:rsid w:val="002903E6"/>
    <w:rsid w:val="00292365"/>
    <w:rsid w:val="00292849"/>
    <w:rsid w:val="00295FD3"/>
    <w:rsid w:val="002A0A21"/>
    <w:rsid w:val="002A25AA"/>
    <w:rsid w:val="002B44C9"/>
    <w:rsid w:val="002B4FEA"/>
    <w:rsid w:val="002B60A2"/>
    <w:rsid w:val="002C5322"/>
    <w:rsid w:val="002D3753"/>
    <w:rsid w:val="002D42BE"/>
    <w:rsid w:val="002D6AA0"/>
    <w:rsid w:val="002D7556"/>
    <w:rsid w:val="002D7C76"/>
    <w:rsid w:val="002E1734"/>
    <w:rsid w:val="002E4ECF"/>
    <w:rsid w:val="002F1A7E"/>
    <w:rsid w:val="002F2C43"/>
    <w:rsid w:val="002F4568"/>
    <w:rsid w:val="002F4A36"/>
    <w:rsid w:val="002F7135"/>
    <w:rsid w:val="00300155"/>
    <w:rsid w:val="0030252A"/>
    <w:rsid w:val="0030700E"/>
    <w:rsid w:val="003100C4"/>
    <w:rsid w:val="00310795"/>
    <w:rsid w:val="003151A2"/>
    <w:rsid w:val="003243FB"/>
    <w:rsid w:val="00324F15"/>
    <w:rsid w:val="0032676D"/>
    <w:rsid w:val="0033101B"/>
    <w:rsid w:val="00336458"/>
    <w:rsid w:val="0034080E"/>
    <w:rsid w:val="00342A61"/>
    <w:rsid w:val="003467F4"/>
    <w:rsid w:val="00346816"/>
    <w:rsid w:val="0035491F"/>
    <w:rsid w:val="00355E7D"/>
    <w:rsid w:val="00355F44"/>
    <w:rsid w:val="00357867"/>
    <w:rsid w:val="00357DE2"/>
    <w:rsid w:val="0036225A"/>
    <w:rsid w:val="0036610C"/>
    <w:rsid w:val="0036670B"/>
    <w:rsid w:val="0036710F"/>
    <w:rsid w:val="0038221E"/>
    <w:rsid w:val="00383ADA"/>
    <w:rsid w:val="0038609A"/>
    <w:rsid w:val="00390D95"/>
    <w:rsid w:val="00391195"/>
    <w:rsid w:val="0039381C"/>
    <w:rsid w:val="00397443"/>
    <w:rsid w:val="003B0A8B"/>
    <w:rsid w:val="003B243B"/>
    <w:rsid w:val="003B2EC6"/>
    <w:rsid w:val="003B3B12"/>
    <w:rsid w:val="003C0235"/>
    <w:rsid w:val="003C11B9"/>
    <w:rsid w:val="003D2932"/>
    <w:rsid w:val="003E19CE"/>
    <w:rsid w:val="003E20C7"/>
    <w:rsid w:val="003E3310"/>
    <w:rsid w:val="003E3ACE"/>
    <w:rsid w:val="003F03AF"/>
    <w:rsid w:val="003F2376"/>
    <w:rsid w:val="003F512A"/>
    <w:rsid w:val="003F5BE0"/>
    <w:rsid w:val="003F6B5E"/>
    <w:rsid w:val="003F7235"/>
    <w:rsid w:val="003F7562"/>
    <w:rsid w:val="003F7F7F"/>
    <w:rsid w:val="00401787"/>
    <w:rsid w:val="00401870"/>
    <w:rsid w:val="004018D0"/>
    <w:rsid w:val="0040404B"/>
    <w:rsid w:val="00405441"/>
    <w:rsid w:val="004316AB"/>
    <w:rsid w:val="00435874"/>
    <w:rsid w:val="0044055C"/>
    <w:rsid w:val="00442CE5"/>
    <w:rsid w:val="00443DFD"/>
    <w:rsid w:val="004500CE"/>
    <w:rsid w:val="00455C44"/>
    <w:rsid w:val="00457C34"/>
    <w:rsid w:val="00463601"/>
    <w:rsid w:val="0047174D"/>
    <w:rsid w:val="0047335D"/>
    <w:rsid w:val="0047363C"/>
    <w:rsid w:val="0047652A"/>
    <w:rsid w:val="00477748"/>
    <w:rsid w:val="004809C3"/>
    <w:rsid w:val="00480B31"/>
    <w:rsid w:val="00492533"/>
    <w:rsid w:val="0049582A"/>
    <w:rsid w:val="00495E8D"/>
    <w:rsid w:val="004975A2"/>
    <w:rsid w:val="00497853"/>
    <w:rsid w:val="004A2F5E"/>
    <w:rsid w:val="004A4F9F"/>
    <w:rsid w:val="004A6366"/>
    <w:rsid w:val="004A74F6"/>
    <w:rsid w:val="004B06DA"/>
    <w:rsid w:val="004B4362"/>
    <w:rsid w:val="004B63DA"/>
    <w:rsid w:val="004C0FD7"/>
    <w:rsid w:val="004C1D05"/>
    <w:rsid w:val="004C1EE8"/>
    <w:rsid w:val="004D0228"/>
    <w:rsid w:val="004D238D"/>
    <w:rsid w:val="004D2BF9"/>
    <w:rsid w:val="004D34CC"/>
    <w:rsid w:val="004D562D"/>
    <w:rsid w:val="004E3C83"/>
    <w:rsid w:val="004E5466"/>
    <w:rsid w:val="004E5C28"/>
    <w:rsid w:val="004F003D"/>
    <w:rsid w:val="004F030C"/>
    <w:rsid w:val="004F24FA"/>
    <w:rsid w:val="004F39F9"/>
    <w:rsid w:val="004F5951"/>
    <w:rsid w:val="004F5DB0"/>
    <w:rsid w:val="004F6860"/>
    <w:rsid w:val="00501C67"/>
    <w:rsid w:val="00504481"/>
    <w:rsid w:val="00506275"/>
    <w:rsid w:val="00510296"/>
    <w:rsid w:val="00515C3D"/>
    <w:rsid w:val="005177B5"/>
    <w:rsid w:val="00524500"/>
    <w:rsid w:val="00530AA9"/>
    <w:rsid w:val="00531D72"/>
    <w:rsid w:val="00535C04"/>
    <w:rsid w:val="0053659F"/>
    <w:rsid w:val="00537DB6"/>
    <w:rsid w:val="0054037F"/>
    <w:rsid w:val="00542283"/>
    <w:rsid w:val="00543C7B"/>
    <w:rsid w:val="00546B15"/>
    <w:rsid w:val="00547D63"/>
    <w:rsid w:val="00550F9E"/>
    <w:rsid w:val="00551A81"/>
    <w:rsid w:val="005555DA"/>
    <w:rsid w:val="0056130B"/>
    <w:rsid w:val="00564FC9"/>
    <w:rsid w:val="00565594"/>
    <w:rsid w:val="00565E3F"/>
    <w:rsid w:val="00572735"/>
    <w:rsid w:val="005756C5"/>
    <w:rsid w:val="00583D8E"/>
    <w:rsid w:val="005862BF"/>
    <w:rsid w:val="00592931"/>
    <w:rsid w:val="0059466B"/>
    <w:rsid w:val="0059640D"/>
    <w:rsid w:val="005A02EF"/>
    <w:rsid w:val="005A44C7"/>
    <w:rsid w:val="005B2AA8"/>
    <w:rsid w:val="005C20AE"/>
    <w:rsid w:val="005C287D"/>
    <w:rsid w:val="005C35FE"/>
    <w:rsid w:val="005C4E8A"/>
    <w:rsid w:val="005D0219"/>
    <w:rsid w:val="005D0731"/>
    <w:rsid w:val="005D24C1"/>
    <w:rsid w:val="005D6DC2"/>
    <w:rsid w:val="005E137B"/>
    <w:rsid w:val="0060034F"/>
    <w:rsid w:val="00600951"/>
    <w:rsid w:val="0060148A"/>
    <w:rsid w:val="006032B7"/>
    <w:rsid w:val="00606BC5"/>
    <w:rsid w:val="00610682"/>
    <w:rsid w:val="0061161F"/>
    <w:rsid w:val="00615A61"/>
    <w:rsid w:val="00616345"/>
    <w:rsid w:val="00617FD9"/>
    <w:rsid w:val="006305C3"/>
    <w:rsid w:val="00632586"/>
    <w:rsid w:val="00637654"/>
    <w:rsid w:val="0064138A"/>
    <w:rsid w:val="00641EAF"/>
    <w:rsid w:val="0064251D"/>
    <w:rsid w:val="0064548B"/>
    <w:rsid w:val="00655FE8"/>
    <w:rsid w:val="0065652D"/>
    <w:rsid w:val="00665683"/>
    <w:rsid w:val="0066646A"/>
    <w:rsid w:val="00667553"/>
    <w:rsid w:val="006721C7"/>
    <w:rsid w:val="00682D69"/>
    <w:rsid w:val="00687316"/>
    <w:rsid w:val="006973E1"/>
    <w:rsid w:val="006A0FC2"/>
    <w:rsid w:val="006A1657"/>
    <w:rsid w:val="006A22FB"/>
    <w:rsid w:val="006A2553"/>
    <w:rsid w:val="006A2BDF"/>
    <w:rsid w:val="006A3EEA"/>
    <w:rsid w:val="006B11B5"/>
    <w:rsid w:val="006B3401"/>
    <w:rsid w:val="006B64CA"/>
    <w:rsid w:val="006C32DF"/>
    <w:rsid w:val="006C3994"/>
    <w:rsid w:val="006C691E"/>
    <w:rsid w:val="006C73F8"/>
    <w:rsid w:val="006C793C"/>
    <w:rsid w:val="006C7F62"/>
    <w:rsid w:val="006D778C"/>
    <w:rsid w:val="006E4B5C"/>
    <w:rsid w:val="006F66B7"/>
    <w:rsid w:val="007004FC"/>
    <w:rsid w:val="00700E31"/>
    <w:rsid w:val="00711314"/>
    <w:rsid w:val="00713E39"/>
    <w:rsid w:val="007167EE"/>
    <w:rsid w:val="00717863"/>
    <w:rsid w:val="00723DBF"/>
    <w:rsid w:val="00724458"/>
    <w:rsid w:val="00730B38"/>
    <w:rsid w:val="0073503F"/>
    <w:rsid w:val="007405C2"/>
    <w:rsid w:val="0074614C"/>
    <w:rsid w:val="0074658F"/>
    <w:rsid w:val="00755A5F"/>
    <w:rsid w:val="007608AC"/>
    <w:rsid w:val="0076250A"/>
    <w:rsid w:val="0077217D"/>
    <w:rsid w:val="00773D71"/>
    <w:rsid w:val="007811C4"/>
    <w:rsid w:val="00781CCC"/>
    <w:rsid w:val="007832E8"/>
    <w:rsid w:val="00785889"/>
    <w:rsid w:val="00785C66"/>
    <w:rsid w:val="00792011"/>
    <w:rsid w:val="007932F4"/>
    <w:rsid w:val="007A0D61"/>
    <w:rsid w:val="007A5ABF"/>
    <w:rsid w:val="007A7A45"/>
    <w:rsid w:val="007B1063"/>
    <w:rsid w:val="007D3E21"/>
    <w:rsid w:val="007D430B"/>
    <w:rsid w:val="007D76E6"/>
    <w:rsid w:val="007E0810"/>
    <w:rsid w:val="007E20A8"/>
    <w:rsid w:val="007F0E8C"/>
    <w:rsid w:val="007F7440"/>
    <w:rsid w:val="008005FF"/>
    <w:rsid w:val="00801214"/>
    <w:rsid w:val="00804459"/>
    <w:rsid w:val="00806F69"/>
    <w:rsid w:val="008070F9"/>
    <w:rsid w:val="008130E9"/>
    <w:rsid w:val="008132E4"/>
    <w:rsid w:val="00816ECD"/>
    <w:rsid w:val="00824357"/>
    <w:rsid w:val="00826E6B"/>
    <w:rsid w:val="0083050C"/>
    <w:rsid w:val="00830A03"/>
    <w:rsid w:val="008317CA"/>
    <w:rsid w:val="008332A7"/>
    <w:rsid w:val="00833417"/>
    <w:rsid w:val="00836020"/>
    <w:rsid w:val="008371FA"/>
    <w:rsid w:val="008433AC"/>
    <w:rsid w:val="00854B96"/>
    <w:rsid w:val="00856F33"/>
    <w:rsid w:val="00863545"/>
    <w:rsid w:val="00865112"/>
    <w:rsid w:val="00865C21"/>
    <w:rsid w:val="0087428F"/>
    <w:rsid w:val="00875CCA"/>
    <w:rsid w:val="00886D44"/>
    <w:rsid w:val="00887A39"/>
    <w:rsid w:val="00897F1D"/>
    <w:rsid w:val="008A2224"/>
    <w:rsid w:val="008B19EA"/>
    <w:rsid w:val="008B2056"/>
    <w:rsid w:val="008B7404"/>
    <w:rsid w:val="008C1F92"/>
    <w:rsid w:val="008C3E4C"/>
    <w:rsid w:val="008C4E12"/>
    <w:rsid w:val="008C6312"/>
    <w:rsid w:val="008D37BC"/>
    <w:rsid w:val="008D78FC"/>
    <w:rsid w:val="008E0476"/>
    <w:rsid w:val="008E0DD9"/>
    <w:rsid w:val="008E40CE"/>
    <w:rsid w:val="008E6620"/>
    <w:rsid w:val="008F01D1"/>
    <w:rsid w:val="008F0BD7"/>
    <w:rsid w:val="008F0F9A"/>
    <w:rsid w:val="00900349"/>
    <w:rsid w:val="0090223E"/>
    <w:rsid w:val="00906B35"/>
    <w:rsid w:val="00913001"/>
    <w:rsid w:val="009175EE"/>
    <w:rsid w:val="00920279"/>
    <w:rsid w:val="009204B0"/>
    <w:rsid w:val="00922BC9"/>
    <w:rsid w:val="00924EF9"/>
    <w:rsid w:val="0092795F"/>
    <w:rsid w:val="00934239"/>
    <w:rsid w:val="009409ED"/>
    <w:rsid w:val="0094371C"/>
    <w:rsid w:val="00943F97"/>
    <w:rsid w:val="00951912"/>
    <w:rsid w:val="00953823"/>
    <w:rsid w:val="00953A11"/>
    <w:rsid w:val="009560DA"/>
    <w:rsid w:val="00961021"/>
    <w:rsid w:val="0096250A"/>
    <w:rsid w:val="009635F8"/>
    <w:rsid w:val="009649CD"/>
    <w:rsid w:val="009657EF"/>
    <w:rsid w:val="00971385"/>
    <w:rsid w:val="009735BB"/>
    <w:rsid w:val="00973D43"/>
    <w:rsid w:val="009754FD"/>
    <w:rsid w:val="00975E39"/>
    <w:rsid w:val="009763B4"/>
    <w:rsid w:val="00977FDE"/>
    <w:rsid w:val="00980459"/>
    <w:rsid w:val="00980A89"/>
    <w:rsid w:val="009817E9"/>
    <w:rsid w:val="00982B72"/>
    <w:rsid w:val="00985A35"/>
    <w:rsid w:val="009937C9"/>
    <w:rsid w:val="0099418A"/>
    <w:rsid w:val="00994E93"/>
    <w:rsid w:val="00996C07"/>
    <w:rsid w:val="009A3A81"/>
    <w:rsid w:val="009A6839"/>
    <w:rsid w:val="009B0222"/>
    <w:rsid w:val="009B0A5A"/>
    <w:rsid w:val="009B11A1"/>
    <w:rsid w:val="009B3897"/>
    <w:rsid w:val="009C20B5"/>
    <w:rsid w:val="009C22A9"/>
    <w:rsid w:val="009C28BB"/>
    <w:rsid w:val="009C3F6A"/>
    <w:rsid w:val="009D2D90"/>
    <w:rsid w:val="009D6C9D"/>
    <w:rsid w:val="009E2CF2"/>
    <w:rsid w:val="009E3C06"/>
    <w:rsid w:val="009E3FA7"/>
    <w:rsid w:val="009E4626"/>
    <w:rsid w:val="009E54B3"/>
    <w:rsid w:val="009E5831"/>
    <w:rsid w:val="009F5363"/>
    <w:rsid w:val="009F63B0"/>
    <w:rsid w:val="009F76C9"/>
    <w:rsid w:val="00A01F01"/>
    <w:rsid w:val="00A021EB"/>
    <w:rsid w:val="00A11742"/>
    <w:rsid w:val="00A1258F"/>
    <w:rsid w:val="00A1467A"/>
    <w:rsid w:val="00A2036D"/>
    <w:rsid w:val="00A240DF"/>
    <w:rsid w:val="00A245D8"/>
    <w:rsid w:val="00A2552F"/>
    <w:rsid w:val="00A258BF"/>
    <w:rsid w:val="00A304B2"/>
    <w:rsid w:val="00A3232E"/>
    <w:rsid w:val="00A3382A"/>
    <w:rsid w:val="00A377D4"/>
    <w:rsid w:val="00A42199"/>
    <w:rsid w:val="00A4310A"/>
    <w:rsid w:val="00A440A6"/>
    <w:rsid w:val="00A45590"/>
    <w:rsid w:val="00A51491"/>
    <w:rsid w:val="00A52D13"/>
    <w:rsid w:val="00A544FC"/>
    <w:rsid w:val="00A60709"/>
    <w:rsid w:val="00A65D68"/>
    <w:rsid w:val="00A66D5D"/>
    <w:rsid w:val="00A71BE4"/>
    <w:rsid w:val="00A7419F"/>
    <w:rsid w:val="00A81F6A"/>
    <w:rsid w:val="00A903F1"/>
    <w:rsid w:val="00A90EAB"/>
    <w:rsid w:val="00A950DF"/>
    <w:rsid w:val="00A9790F"/>
    <w:rsid w:val="00AA760D"/>
    <w:rsid w:val="00AB3074"/>
    <w:rsid w:val="00AB3AFE"/>
    <w:rsid w:val="00AB4A0D"/>
    <w:rsid w:val="00AC024B"/>
    <w:rsid w:val="00AC166C"/>
    <w:rsid w:val="00AD1F53"/>
    <w:rsid w:val="00AD5D62"/>
    <w:rsid w:val="00AD657C"/>
    <w:rsid w:val="00AF0AD6"/>
    <w:rsid w:val="00AF16BD"/>
    <w:rsid w:val="00AF7C78"/>
    <w:rsid w:val="00B00CDF"/>
    <w:rsid w:val="00B04E24"/>
    <w:rsid w:val="00B064FD"/>
    <w:rsid w:val="00B11553"/>
    <w:rsid w:val="00B139C9"/>
    <w:rsid w:val="00B1730B"/>
    <w:rsid w:val="00B1795C"/>
    <w:rsid w:val="00B23E38"/>
    <w:rsid w:val="00B30B15"/>
    <w:rsid w:val="00B34F43"/>
    <w:rsid w:val="00B35827"/>
    <w:rsid w:val="00B37D09"/>
    <w:rsid w:val="00B41C73"/>
    <w:rsid w:val="00B41EB1"/>
    <w:rsid w:val="00B4410B"/>
    <w:rsid w:val="00B444B1"/>
    <w:rsid w:val="00B529F4"/>
    <w:rsid w:val="00B562CC"/>
    <w:rsid w:val="00B63F09"/>
    <w:rsid w:val="00B63FB4"/>
    <w:rsid w:val="00B65566"/>
    <w:rsid w:val="00B65840"/>
    <w:rsid w:val="00B67353"/>
    <w:rsid w:val="00B70514"/>
    <w:rsid w:val="00B70A07"/>
    <w:rsid w:val="00B729FB"/>
    <w:rsid w:val="00B75A7D"/>
    <w:rsid w:val="00B764CE"/>
    <w:rsid w:val="00B76E26"/>
    <w:rsid w:val="00B83EB3"/>
    <w:rsid w:val="00B854EA"/>
    <w:rsid w:val="00B86FEC"/>
    <w:rsid w:val="00B9174D"/>
    <w:rsid w:val="00B96848"/>
    <w:rsid w:val="00BA17FD"/>
    <w:rsid w:val="00BA2B86"/>
    <w:rsid w:val="00BA3365"/>
    <w:rsid w:val="00BB5DCA"/>
    <w:rsid w:val="00BC2A4E"/>
    <w:rsid w:val="00BC3BFF"/>
    <w:rsid w:val="00BE4647"/>
    <w:rsid w:val="00BE6D18"/>
    <w:rsid w:val="00BF12DF"/>
    <w:rsid w:val="00BF323D"/>
    <w:rsid w:val="00BF67C8"/>
    <w:rsid w:val="00C04CDA"/>
    <w:rsid w:val="00C04DF8"/>
    <w:rsid w:val="00C0667C"/>
    <w:rsid w:val="00C13789"/>
    <w:rsid w:val="00C13D83"/>
    <w:rsid w:val="00C15A4A"/>
    <w:rsid w:val="00C17CA1"/>
    <w:rsid w:val="00C22921"/>
    <w:rsid w:val="00C2345C"/>
    <w:rsid w:val="00C2631A"/>
    <w:rsid w:val="00C26871"/>
    <w:rsid w:val="00C27655"/>
    <w:rsid w:val="00C31A7A"/>
    <w:rsid w:val="00C34674"/>
    <w:rsid w:val="00C37AA4"/>
    <w:rsid w:val="00C42A49"/>
    <w:rsid w:val="00C43694"/>
    <w:rsid w:val="00C441C9"/>
    <w:rsid w:val="00C45057"/>
    <w:rsid w:val="00C47C17"/>
    <w:rsid w:val="00C51BF0"/>
    <w:rsid w:val="00C53006"/>
    <w:rsid w:val="00C54305"/>
    <w:rsid w:val="00C55CBE"/>
    <w:rsid w:val="00C5663E"/>
    <w:rsid w:val="00C56D0E"/>
    <w:rsid w:val="00C628BB"/>
    <w:rsid w:val="00C71D78"/>
    <w:rsid w:val="00C73485"/>
    <w:rsid w:val="00C83C76"/>
    <w:rsid w:val="00C86023"/>
    <w:rsid w:val="00C956FF"/>
    <w:rsid w:val="00C97C0A"/>
    <w:rsid w:val="00CA1E61"/>
    <w:rsid w:val="00CA34B6"/>
    <w:rsid w:val="00CA3693"/>
    <w:rsid w:val="00CA3AB8"/>
    <w:rsid w:val="00CA407A"/>
    <w:rsid w:val="00CB31A1"/>
    <w:rsid w:val="00CB4AD3"/>
    <w:rsid w:val="00CB725E"/>
    <w:rsid w:val="00CC7407"/>
    <w:rsid w:val="00CD2A5E"/>
    <w:rsid w:val="00CE66AD"/>
    <w:rsid w:val="00CF0040"/>
    <w:rsid w:val="00CF029F"/>
    <w:rsid w:val="00CF0DD5"/>
    <w:rsid w:val="00CF7A7E"/>
    <w:rsid w:val="00D165C4"/>
    <w:rsid w:val="00D2185E"/>
    <w:rsid w:val="00D3199C"/>
    <w:rsid w:val="00D31C6F"/>
    <w:rsid w:val="00D3610C"/>
    <w:rsid w:val="00D409A2"/>
    <w:rsid w:val="00D41895"/>
    <w:rsid w:val="00D435FC"/>
    <w:rsid w:val="00D52C0F"/>
    <w:rsid w:val="00D56A86"/>
    <w:rsid w:val="00D747FC"/>
    <w:rsid w:val="00D77081"/>
    <w:rsid w:val="00D77F0C"/>
    <w:rsid w:val="00D832A1"/>
    <w:rsid w:val="00D914EB"/>
    <w:rsid w:val="00D962AF"/>
    <w:rsid w:val="00D96596"/>
    <w:rsid w:val="00D96C0E"/>
    <w:rsid w:val="00D97C83"/>
    <w:rsid w:val="00DA414D"/>
    <w:rsid w:val="00DA695B"/>
    <w:rsid w:val="00DA7BBF"/>
    <w:rsid w:val="00DC0DBA"/>
    <w:rsid w:val="00DC23DB"/>
    <w:rsid w:val="00DC351C"/>
    <w:rsid w:val="00DC609E"/>
    <w:rsid w:val="00DD05B2"/>
    <w:rsid w:val="00DD0643"/>
    <w:rsid w:val="00DD1F45"/>
    <w:rsid w:val="00DD45A1"/>
    <w:rsid w:val="00DD7574"/>
    <w:rsid w:val="00DE0656"/>
    <w:rsid w:val="00DE4D8F"/>
    <w:rsid w:val="00DE773F"/>
    <w:rsid w:val="00DE7E57"/>
    <w:rsid w:val="00DF02C1"/>
    <w:rsid w:val="00DF3EAF"/>
    <w:rsid w:val="00E02A2D"/>
    <w:rsid w:val="00E07D39"/>
    <w:rsid w:val="00E1427E"/>
    <w:rsid w:val="00E1448F"/>
    <w:rsid w:val="00E21D4A"/>
    <w:rsid w:val="00E23BEC"/>
    <w:rsid w:val="00E3074F"/>
    <w:rsid w:val="00E356CB"/>
    <w:rsid w:val="00E36478"/>
    <w:rsid w:val="00E371EC"/>
    <w:rsid w:val="00E4167C"/>
    <w:rsid w:val="00E423B1"/>
    <w:rsid w:val="00E4758F"/>
    <w:rsid w:val="00E50127"/>
    <w:rsid w:val="00E5056A"/>
    <w:rsid w:val="00E51B5C"/>
    <w:rsid w:val="00E55C05"/>
    <w:rsid w:val="00E61BA6"/>
    <w:rsid w:val="00E632E2"/>
    <w:rsid w:val="00E7052A"/>
    <w:rsid w:val="00E86127"/>
    <w:rsid w:val="00E91F27"/>
    <w:rsid w:val="00E951D1"/>
    <w:rsid w:val="00E97D4E"/>
    <w:rsid w:val="00EA107A"/>
    <w:rsid w:val="00EA3ED7"/>
    <w:rsid w:val="00EA626A"/>
    <w:rsid w:val="00EA78C0"/>
    <w:rsid w:val="00EB444C"/>
    <w:rsid w:val="00EB57AA"/>
    <w:rsid w:val="00EB6305"/>
    <w:rsid w:val="00EB7519"/>
    <w:rsid w:val="00EC0740"/>
    <w:rsid w:val="00EC0DAA"/>
    <w:rsid w:val="00EC51F0"/>
    <w:rsid w:val="00EC7BB9"/>
    <w:rsid w:val="00ED7AA8"/>
    <w:rsid w:val="00EE26E9"/>
    <w:rsid w:val="00EE3F15"/>
    <w:rsid w:val="00EE56EB"/>
    <w:rsid w:val="00EF0216"/>
    <w:rsid w:val="00EF0A1D"/>
    <w:rsid w:val="00EF0A77"/>
    <w:rsid w:val="00EF27BA"/>
    <w:rsid w:val="00EF3438"/>
    <w:rsid w:val="00EF3DA2"/>
    <w:rsid w:val="00EF5C93"/>
    <w:rsid w:val="00EF7346"/>
    <w:rsid w:val="00F019BB"/>
    <w:rsid w:val="00F03A1C"/>
    <w:rsid w:val="00F04505"/>
    <w:rsid w:val="00F0733C"/>
    <w:rsid w:val="00F07C78"/>
    <w:rsid w:val="00F159A0"/>
    <w:rsid w:val="00F227DC"/>
    <w:rsid w:val="00F22F36"/>
    <w:rsid w:val="00F25A6E"/>
    <w:rsid w:val="00F262DC"/>
    <w:rsid w:val="00F26845"/>
    <w:rsid w:val="00F27417"/>
    <w:rsid w:val="00F30849"/>
    <w:rsid w:val="00F32C5F"/>
    <w:rsid w:val="00F347E4"/>
    <w:rsid w:val="00F40C83"/>
    <w:rsid w:val="00F41853"/>
    <w:rsid w:val="00F42A55"/>
    <w:rsid w:val="00F467FA"/>
    <w:rsid w:val="00F51009"/>
    <w:rsid w:val="00F524D1"/>
    <w:rsid w:val="00F544E8"/>
    <w:rsid w:val="00F55701"/>
    <w:rsid w:val="00F60DBC"/>
    <w:rsid w:val="00F61003"/>
    <w:rsid w:val="00F6367A"/>
    <w:rsid w:val="00F67A83"/>
    <w:rsid w:val="00F70539"/>
    <w:rsid w:val="00F72AF6"/>
    <w:rsid w:val="00F82B25"/>
    <w:rsid w:val="00F879F8"/>
    <w:rsid w:val="00F9747D"/>
    <w:rsid w:val="00FA1B99"/>
    <w:rsid w:val="00FB210E"/>
    <w:rsid w:val="00FB6CA8"/>
    <w:rsid w:val="00FC502E"/>
    <w:rsid w:val="00FC6F57"/>
    <w:rsid w:val="00FD128B"/>
    <w:rsid w:val="00FD6B21"/>
    <w:rsid w:val="00FE407C"/>
    <w:rsid w:val="00FF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40F9"/>
  <w15:docId w15:val="{8DAD5F52-FCC7-4415-A539-FE030E2A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C8"/>
  </w:style>
  <w:style w:type="paragraph" w:styleId="Heading2">
    <w:name w:val="heading 2"/>
    <w:basedOn w:val="Normal"/>
    <w:next w:val="Normal"/>
    <w:link w:val="Heading2Char"/>
    <w:uiPriority w:val="9"/>
    <w:unhideWhenUsed/>
    <w:qFormat/>
    <w:rsid w:val="00EE56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3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11"/>
  </w:style>
  <w:style w:type="paragraph" w:styleId="NormalWeb">
    <w:name w:val="Normal (Web)"/>
    <w:basedOn w:val="Normal"/>
    <w:uiPriority w:val="99"/>
    <w:semiHidden/>
    <w:unhideWhenUsed/>
    <w:rsid w:val="00953A1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53A1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53A11"/>
    <w:rPr>
      <w:rFonts w:ascii="Arial" w:eastAsia="Times New Roman" w:hAnsi="Arial" w:cs="Times New Roman"/>
      <w:sz w:val="20"/>
      <w:szCs w:val="20"/>
    </w:rPr>
  </w:style>
  <w:style w:type="character" w:styleId="FootnoteReference">
    <w:name w:val="footnote reference"/>
    <w:uiPriority w:val="99"/>
    <w:semiHidden/>
    <w:unhideWhenUsed/>
    <w:rsid w:val="00953A11"/>
    <w:rPr>
      <w:vertAlign w:val="superscript"/>
    </w:rPr>
  </w:style>
  <w:style w:type="table" w:styleId="TableGrid">
    <w:name w:val="Table Grid"/>
    <w:basedOn w:val="TableNormal"/>
    <w:uiPriority w:val="59"/>
    <w:rsid w:val="00B5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1730B"/>
    <w:pPr>
      <w:ind w:left="720"/>
      <w:contextualSpacing/>
    </w:pPr>
  </w:style>
  <w:style w:type="paragraph" w:styleId="BalloonText">
    <w:name w:val="Balloon Text"/>
    <w:basedOn w:val="Normal"/>
    <w:link w:val="BalloonTextChar"/>
    <w:uiPriority w:val="99"/>
    <w:semiHidden/>
    <w:unhideWhenUsed/>
    <w:rsid w:val="007D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E6"/>
    <w:rPr>
      <w:rFonts w:ascii="Tahoma" w:hAnsi="Tahoma" w:cs="Tahoma"/>
      <w:sz w:val="16"/>
      <w:szCs w:val="16"/>
    </w:rPr>
  </w:style>
  <w:style w:type="character" w:customStyle="1" w:styleId="Heading2Char">
    <w:name w:val="Heading 2 Char"/>
    <w:basedOn w:val="DefaultParagraphFont"/>
    <w:link w:val="Heading2"/>
    <w:uiPriority w:val="9"/>
    <w:rsid w:val="00EE56E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67A83"/>
    <w:pPr>
      <w:spacing w:after="0" w:line="240" w:lineRule="auto"/>
    </w:pPr>
  </w:style>
  <w:style w:type="character" w:styleId="Hyperlink">
    <w:name w:val="Hyperlink"/>
    <w:basedOn w:val="DefaultParagraphFont"/>
    <w:uiPriority w:val="99"/>
    <w:unhideWhenUsed/>
    <w:rsid w:val="002F7135"/>
    <w:rPr>
      <w:color w:val="0000FF" w:themeColor="hyperlink"/>
      <w:u w:val="single"/>
    </w:rPr>
  </w:style>
  <w:style w:type="paragraph" w:styleId="Header">
    <w:name w:val="header"/>
    <w:basedOn w:val="Normal"/>
    <w:link w:val="HeaderChar"/>
    <w:uiPriority w:val="99"/>
    <w:unhideWhenUsed/>
    <w:rsid w:val="00435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5396">
      <w:bodyDiv w:val="1"/>
      <w:marLeft w:val="0"/>
      <w:marRight w:val="0"/>
      <w:marTop w:val="0"/>
      <w:marBottom w:val="0"/>
      <w:divBdr>
        <w:top w:val="none" w:sz="0" w:space="0" w:color="auto"/>
        <w:left w:val="none" w:sz="0" w:space="0" w:color="auto"/>
        <w:bottom w:val="none" w:sz="0" w:space="0" w:color="auto"/>
        <w:right w:val="none" w:sz="0" w:space="0" w:color="auto"/>
      </w:divBdr>
    </w:div>
    <w:div w:id="63459701">
      <w:bodyDiv w:val="1"/>
      <w:marLeft w:val="0"/>
      <w:marRight w:val="0"/>
      <w:marTop w:val="0"/>
      <w:marBottom w:val="0"/>
      <w:divBdr>
        <w:top w:val="none" w:sz="0" w:space="0" w:color="auto"/>
        <w:left w:val="none" w:sz="0" w:space="0" w:color="auto"/>
        <w:bottom w:val="none" w:sz="0" w:space="0" w:color="auto"/>
        <w:right w:val="none" w:sz="0" w:space="0" w:color="auto"/>
      </w:divBdr>
    </w:div>
    <w:div w:id="77559091">
      <w:bodyDiv w:val="1"/>
      <w:marLeft w:val="0"/>
      <w:marRight w:val="0"/>
      <w:marTop w:val="0"/>
      <w:marBottom w:val="0"/>
      <w:divBdr>
        <w:top w:val="none" w:sz="0" w:space="0" w:color="auto"/>
        <w:left w:val="none" w:sz="0" w:space="0" w:color="auto"/>
        <w:bottom w:val="none" w:sz="0" w:space="0" w:color="auto"/>
        <w:right w:val="none" w:sz="0" w:space="0" w:color="auto"/>
      </w:divBdr>
    </w:div>
    <w:div w:id="112289147">
      <w:bodyDiv w:val="1"/>
      <w:marLeft w:val="0"/>
      <w:marRight w:val="0"/>
      <w:marTop w:val="0"/>
      <w:marBottom w:val="0"/>
      <w:divBdr>
        <w:top w:val="none" w:sz="0" w:space="0" w:color="auto"/>
        <w:left w:val="none" w:sz="0" w:space="0" w:color="auto"/>
        <w:bottom w:val="none" w:sz="0" w:space="0" w:color="auto"/>
        <w:right w:val="none" w:sz="0" w:space="0" w:color="auto"/>
      </w:divBdr>
    </w:div>
    <w:div w:id="143007263">
      <w:bodyDiv w:val="1"/>
      <w:marLeft w:val="0"/>
      <w:marRight w:val="0"/>
      <w:marTop w:val="0"/>
      <w:marBottom w:val="0"/>
      <w:divBdr>
        <w:top w:val="none" w:sz="0" w:space="0" w:color="auto"/>
        <w:left w:val="none" w:sz="0" w:space="0" w:color="auto"/>
        <w:bottom w:val="none" w:sz="0" w:space="0" w:color="auto"/>
        <w:right w:val="none" w:sz="0" w:space="0" w:color="auto"/>
      </w:divBdr>
    </w:div>
    <w:div w:id="171575383">
      <w:bodyDiv w:val="1"/>
      <w:marLeft w:val="0"/>
      <w:marRight w:val="0"/>
      <w:marTop w:val="0"/>
      <w:marBottom w:val="0"/>
      <w:divBdr>
        <w:top w:val="none" w:sz="0" w:space="0" w:color="auto"/>
        <w:left w:val="none" w:sz="0" w:space="0" w:color="auto"/>
        <w:bottom w:val="none" w:sz="0" w:space="0" w:color="auto"/>
        <w:right w:val="none" w:sz="0" w:space="0" w:color="auto"/>
      </w:divBdr>
    </w:div>
    <w:div w:id="271322935">
      <w:bodyDiv w:val="1"/>
      <w:marLeft w:val="0"/>
      <w:marRight w:val="0"/>
      <w:marTop w:val="0"/>
      <w:marBottom w:val="0"/>
      <w:divBdr>
        <w:top w:val="none" w:sz="0" w:space="0" w:color="auto"/>
        <w:left w:val="none" w:sz="0" w:space="0" w:color="auto"/>
        <w:bottom w:val="none" w:sz="0" w:space="0" w:color="auto"/>
        <w:right w:val="none" w:sz="0" w:space="0" w:color="auto"/>
      </w:divBdr>
    </w:div>
    <w:div w:id="291601188">
      <w:bodyDiv w:val="1"/>
      <w:marLeft w:val="0"/>
      <w:marRight w:val="0"/>
      <w:marTop w:val="0"/>
      <w:marBottom w:val="0"/>
      <w:divBdr>
        <w:top w:val="none" w:sz="0" w:space="0" w:color="auto"/>
        <w:left w:val="none" w:sz="0" w:space="0" w:color="auto"/>
        <w:bottom w:val="none" w:sz="0" w:space="0" w:color="auto"/>
        <w:right w:val="none" w:sz="0" w:space="0" w:color="auto"/>
      </w:divBdr>
    </w:div>
    <w:div w:id="434176474">
      <w:bodyDiv w:val="1"/>
      <w:marLeft w:val="0"/>
      <w:marRight w:val="0"/>
      <w:marTop w:val="0"/>
      <w:marBottom w:val="0"/>
      <w:divBdr>
        <w:top w:val="none" w:sz="0" w:space="0" w:color="auto"/>
        <w:left w:val="none" w:sz="0" w:space="0" w:color="auto"/>
        <w:bottom w:val="none" w:sz="0" w:space="0" w:color="auto"/>
        <w:right w:val="none" w:sz="0" w:space="0" w:color="auto"/>
      </w:divBdr>
    </w:div>
    <w:div w:id="454955248">
      <w:bodyDiv w:val="1"/>
      <w:marLeft w:val="0"/>
      <w:marRight w:val="0"/>
      <w:marTop w:val="0"/>
      <w:marBottom w:val="0"/>
      <w:divBdr>
        <w:top w:val="none" w:sz="0" w:space="0" w:color="auto"/>
        <w:left w:val="none" w:sz="0" w:space="0" w:color="auto"/>
        <w:bottom w:val="none" w:sz="0" w:space="0" w:color="auto"/>
        <w:right w:val="none" w:sz="0" w:space="0" w:color="auto"/>
      </w:divBdr>
    </w:div>
    <w:div w:id="469638859">
      <w:bodyDiv w:val="1"/>
      <w:marLeft w:val="0"/>
      <w:marRight w:val="0"/>
      <w:marTop w:val="0"/>
      <w:marBottom w:val="0"/>
      <w:divBdr>
        <w:top w:val="none" w:sz="0" w:space="0" w:color="auto"/>
        <w:left w:val="none" w:sz="0" w:space="0" w:color="auto"/>
        <w:bottom w:val="none" w:sz="0" w:space="0" w:color="auto"/>
        <w:right w:val="none" w:sz="0" w:space="0" w:color="auto"/>
      </w:divBdr>
    </w:div>
    <w:div w:id="560408160">
      <w:bodyDiv w:val="1"/>
      <w:marLeft w:val="0"/>
      <w:marRight w:val="0"/>
      <w:marTop w:val="0"/>
      <w:marBottom w:val="0"/>
      <w:divBdr>
        <w:top w:val="none" w:sz="0" w:space="0" w:color="auto"/>
        <w:left w:val="none" w:sz="0" w:space="0" w:color="auto"/>
        <w:bottom w:val="none" w:sz="0" w:space="0" w:color="auto"/>
        <w:right w:val="none" w:sz="0" w:space="0" w:color="auto"/>
      </w:divBdr>
    </w:div>
    <w:div w:id="600070226">
      <w:bodyDiv w:val="1"/>
      <w:marLeft w:val="0"/>
      <w:marRight w:val="0"/>
      <w:marTop w:val="0"/>
      <w:marBottom w:val="0"/>
      <w:divBdr>
        <w:top w:val="none" w:sz="0" w:space="0" w:color="auto"/>
        <w:left w:val="none" w:sz="0" w:space="0" w:color="auto"/>
        <w:bottom w:val="none" w:sz="0" w:space="0" w:color="auto"/>
        <w:right w:val="none" w:sz="0" w:space="0" w:color="auto"/>
      </w:divBdr>
    </w:div>
    <w:div w:id="639456105">
      <w:bodyDiv w:val="1"/>
      <w:marLeft w:val="0"/>
      <w:marRight w:val="0"/>
      <w:marTop w:val="0"/>
      <w:marBottom w:val="0"/>
      <w:divBdr>
        <w:top w:val="none" w:sz="0" w:space="0" w:color="auto"/>
        <w:left w:val="none" w:sz="0" w:space="0" w:color="auto"/>
        <w:bottom w:val="none" w:sz="0" w:space="0" w:color="auto"/>
        <w:right w:val="none" w:sz="0" w:space="0" w:color="auto"/>
      </w:divBdr>
    </w:div>
    <w:div w:id="685788927">
      <w:bodyDiv w:val="1"/>
      <w:marLeft w:val="0"/>
      <w:marRight w:val="0"/>
      <w:marTop w:val="0"/>
      <w:marBottom w:val="0"/>
      <w:divBdr>
        <w:top w:val="none" w:sz="0" w:space="0" w:color="auto"/>
        <w:left w:val="none" w:sz="0" w:space="0" w:color="auto"/>
        <w:bottom w:val="none" w:sz="0" w:space="0" w:color="auto"/>
        <w:right w:val="none" w:sz="0" w:space="0" w:color="auto"/>
      </w:divBdr>
    </w:div>
    <w:div w:id="745420768">
      <w:bodyDiv w:val="1"/>
      <w:marLeft w:val="0"/>
      <w:marRight w:val="0"/>
      <w:marTop w:val="0"/>
      <w:marBottom w:val="0"/>
      <w:divBdr>
        <w:top w:val="none" w:sz="0" w:space="0" w:color="auto"/>
        <w:left w:val="none" w:sz="0" w:space="0" w:color="auto"/>
        <w:bottom w:val="none" w:sz="0" w:space="0" w:color="auto"/>
        <w:right w:val="none" w:sz="0" w:space="0" w:color="auto"/>
      </w:divBdr>
    </w:div>
    <w:div w:id="782918514">
      <w:bodyDiv w:val="1"/>
      <w:marLeft w:val="0"/>
      <w:marRight w:val="0"/>
      <w:marTop w:val="0"/>
      <w:marBottom w:val="0"/>
      <w:divBdr>
        <w:top w:val="none" w:sz="0" w:space="0" w:color="auto"/>
        <w:left w:val="none" w:sz="0" w:space="0" w:color="auto"/>
        <w:bottom w:val="none" w:sz="0" w:space="0" w:color="auto"/>
        <w:right w:val="none" w:sz="0" w:space="0" w:color="auto"/>
      </w:divBdr>
    </w:div>
    <w:div w:id="876239304">
      <w:bodyDiv w:val="1"/>
      <w:marLeft w:val="0"/>
      <w:marRight w:val="0"/>
      <w:marTop w:val="0"/>
      <w:marBottom w:val="0"/>
      <w:divBdr>
        <w:top w:val="none" w:sz="0" w:space="0" w:color="auto"/>
        <w:left w:val="none" w:sz="0" w:space="0" w:color="auto"/>
        <w:bottom w:val="none" w:sz="0" w:space="0" w:color="auto"/>
        <w:right w:val="none" w:sz="0" w:space="0" w:color="auto"/>
      </w:divBdr>
    </w:div>
    <w:div w:id="929385127">
      <w:bodyDiv w:val="1"/>
      <w:marLeft w:val="0"/>
      <w:marRight w:val="0"/>
      <w:marTop w:val="0"/>
      <w:marBottom w:val="0"/>
      <w:divBdr>
        <w:top w:val="none" w:sz="0" w:space="0" w:color="auto"/>
        <w:left w:val="none" w:sz="0" w:space="0" w:color="auto"/>
        <w:bottom w:val="none" w:sz="0" w:space="0" w:color="auto"/>
        <w:right w:val="none" w:sz="0" w:space="0" w:color="auto"/>
      </w:divBdr>
    </w:div>
    <w:div w:id="943805702">
      <w:bodyDiv w:val="1"/>
      <w:marLeft w:val="0"/>
      <w:marRight w:val="0"/>
      <w:marTop w:val="0"/>
      <w:marBottom w:val="0"/>
      <w:divBdr>
        <w:top w:val="none" w:sz="0" w:space="0" w:color="auto"/>
        <w:left w:val="none" w:sz="0" w:space="0" w:color="auto"/>
        <w:bottom w:val="none" w:sz="0" w:space="0" w:color="auto"/>
        <w:right w:val="none" w:sz="0" w:space="0" w:color="auto"/>
      </w:divBdr>
    </w:div>
    <w:div w:id="961810962">
      <w:bodyDiv w:val="1"/>
      <w:marLeft w:val="0"/>
      <w:marRight w:val="0"/>
      <w:marTop w:val="0"/>
      <w:marBottom w:val="0"/>
      <w:divBdr>
        <w:top w:val="none" w:sz="0" w:space="0" w:color="auto"/>
        <w:left w:val="none" w:sz="0" w:space="0" w:color="auto"/>
        <w:bottom w:val="none" w:sz="0" w:space="0" w:color="auto"/>
        <w:right w:val="none" w:sz="0" w:space="0" w:color="auto"/>
      </w:divBdr>
    </w:div>
    <w:div w:id="966089529">
      <w:bodyDiv w:val="1"/>
      <w:marLeft w:val="0"/>
      <w:marRight w:val="0"/>
      <w:marTop w:val="0"/>
      <w:marBottom w:val="0"/>
      <w:divBdr>
        <w:top w:val="none" w:sz="0" w:space="0" w:color="auto"/>
        <w:left w:val="none" w:sz="0" w:space="0" w:color="auto"/>
        <w:bottom w:val="none" w:sz="0" w:space="0" w:color="auto"/>
        <w:right w:val="none" w:sz="0" w:space="0" w:color="auto"/>
      </w:divBdr>
    </w:div>
    <w:div w:id="1016807254">
      <w:bodyDiv w:val="1"/>
      <w:marLeft w:val="0"/>
      <w:marRight w:val="0"/>
      <w:marTop w:val="0"/>
      <w:marBottom w:val="0"/>
      <w:divBdr>
        <w:top w:val="none" w:sz="0" w:space="0" w:color="auto"/>
        <w:left w:val="none" w:sz="0" w:space="0" w:color="auto"/>
        <w:bottom w:val="none" w:sz="0" w:space="0" w:color="auto"/>
        <w:right w:val="none" w:sz="0" w:space="0" w:color="auto"/>
      </w:divBdr>
    </w:div>
    <w:div w:id="1663770998">
      <w:bodyDiv w:val="1"/>
      <w:marLeft w:val="0"/>
      <w:marRight w:val="0"/>
      <w:marTop w:val="0"/>
      <w:marBottom w:val="0"/>
      <w:divBdr>
        <w:top w:val="none" w:sz="0" w:space="0" w:color="auto"/>
        <w:left w:val="none" w:sz="0" w:space="0" w:color="auto"/>
        <w:bottom w:val="none" w:sz="0" w:space="0" w:color="auto"/>
        <w:right w:val="none" w:sz="0" w:space="0" w:color="auto"/>
      </w:divBdr>
    </w:div>
    <w:div w:id="1756826563">
      <w:bodyDiv w:val="1"/>
      <w:marLeft w:val="0"/>
      <w:marRight w:val="0"/>
      <w:marTop w:val="0"/>
      <w:marBottom w:val="0"/>
      <w:divBdr>
        <w:top w:val="none" w:sz="0" w:space="0" w:color="auto"/>
        <w:left w:val="none" w:sz="0" w:space="0" w:color="auto"/>
        <w:bottom w:val="none" w:sz="0" w:space="0" w:color="auto"/>
        <w:right w:val="none" w:sz="0" w:space="0" w:color="auto"/>
      </w:divBdr>
    </w:div>
    <w:div w:id="1822698979">
      <w:bodyDiv w:val="1"/>
      <w:marLeft w:val="0"/>
      <w:marRight w:val="0"/>
      <w:marTop w:val="0"/>
      <w:marBottom w:val="0"/>
      <w:divBdr>
        <w:top w:val="none" w:sz="0" w:space="0" w:color="auto"/>
        <w:left w:val="none" w:sz="0" w:space="0" w:color="auto"/>
        <w:bottom w:val="none" w:sz="0" w:space="0" w:color="auto"/>
        <w:right w:val="none" w:sz="0" w:space="0" w:color="auto"/>
      </w:divBdr>
    </w:div>
    <w:div w:id="1915317009">
      <w:bodyDiv w:val="1"/>
      <w:marLeft w:val="0"/>
      <w:marRight w:val="0"/>
      <w:marTop w:val="0"/>
      <w:marBottom w:val="0"/>
      <w:divBdr>
        <w:top w:val="none" w:sz="0" w:space="0" w:color="auto"/>
        <w:left w:val="none" w:sz="0" w:space="0" w:color="auto"/>
        <w:bottom w:val="none" w:sz="0" w:space="0" w:color="auto"/>
        <w:right w:val="none" w:sz="0" w:space="0" w:color="auto"/>
      </w:divBdr>
    </w:div>
    <w:div w:id="1953587194">
      <w:bodyDiv w:val="1"/>
      <w:marLeft w:val="0"/>
      <w:marRight w:val="0"/>
      <w:marTop w:val="0"/>
      <w:marBottom w:val="0"/>
      <w:divBdr>
        <w:top w:val="none" w:sz="0" w:space="0" w:color="auto"/>
        <w:left w:val="none" w:sz="0" w:space="0" w:color="auto"/>
        <w:bottom w:val="none" w:sz="0" w:space="0" w:color="auto"/>
        <w:right w:val="none" w:sz="0" w:space="0" w:color="auto"/>
      </w:divBdr>
    </w:div>
    <w:div w:id="2037392139">
      <w:bodyDiv w:val="1"/>
      <w:marLeft w:val="0"/>
      <w:marRight w:val="0"/>
      <w:marTop w:val="0"/>
      <w:marBottom w:val="0"/>
      <w:divBdr>
        <w:top w:val="none" w:sz="0" w:space="0" w:color="auto"/>
        <w:left w:val="none" w:sz="0" w:space="0" w:color="auto"/>
        <w:bottom w:val="none" w:sz="0" w:space="0" w:color="auto"/>
        <w:right w:val="none" w:sz="0" w:space="0" w:color="auto"/>
      </w:divBdr>
    </w:div>
    <w:div w:id="2039546143">
      <w:bodyDiv w:val="1"/>
      <w:marLeft w:val="0"/>
      <w:marRight w:val="0"/>
      <w:marTop w:val="0"/>
      <w:marBottom w:val="0"/>
      <w:divBdr>
        <w:top w:val="none" w:sz="0" w:space="0" w:color="auto"/>
        <w:left w:val="none" w:sz="0" w:space="0" w:color="auto"/>
        <w:bottom w:val="none" w:sz="0" w:space="0" w:color="auto"/>
        <w:right w:val="none" w:sz="0" w:space="0" w:color="auto"/>
      </w:divBdr>
    </w:div>
    <w:div w:id="2070613202">
      <w:bodyDiv w:val="1"/>
      <w:marLeft w:val="0"/>
      <w:marRight w:val="0"/>
      <w:marTop w:val="0"/>
      <w:marBottom w:val="0"/>
      <w:divBdr>
        <w:top w:val="none" w:sz="0" w:space="0" w:color="auto"/>
        <w:left w:val="none" w:sz="0" w:space="0" w:color="auto"/>
        <w:bottom w:val="none" w:sz="0" w:space="0" w:color="auto"/>
        <w:right w:val="none" w:sz="0" w:space="0" w:color="auto"/>
      </w:divBdr>
    </w:div>
    <w:div w:id="20757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312A9.8E4696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C035460DCA0140B850DB1C4F2D6DB7" ma:contentTypeVersion="6" ma:contentTypeDescription="Create a new document." ma:contentTypeScope="" ma:versionID="2f68b48f6ba119fe6a1b08396c04973d">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94D6A-161B-4471-9E6C-5F5E5CCD96CC}">
  <ds:schemaRefs>
    <ds:schemaRef ds:uri="http://schemas.openxmlformats.org/officeDocument/2006/bibliography"/>
  </ds:schemaRefs>
</ds:datastoreItem>
</file>

<file path=customXml/itemProps2.xml><?xml version="1.0" encoding="utf-8"?>
<ds:datastoreItem xmlns:ds="http://schemas.openxmlformats.org/officeDocument/2006/customXml" ds:itemID="{FC46843C-8E10-426C-BD2E-BC3CD65F4B2E}">
  <ds:schemaRefs>
    <ds:schemaRef ds:uri="http://schemas.microsoft.com/sharepoint/v3/contenttype/forms"/>
  </ds:schemaRefs>
</ds:datastoreItem>
</file>

<file path=customXml/itemProps3.xml><?xml version="1.0" encoding="utf-8"?>
<ds:datastoreItem xmlns:ds="http://schemas.openxmlformats.org/officeDocument/2006/customXml" ds:itemID="{EFEB243E-B9D0-4ECD-8BF8-28D934FDB741}">
  <ds:schemaRef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67BD590-0EA5-4FCF-ADD9-D9C03F7E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Tamara 10732</dc:creator>
  <cp:lastModifiedBy>Gordon, Sarah 9802</cp:lastModifiedBy>
  <cp:revision>38</cp:revision>
  <cp:lastPrinted>2021-07-16T10:49:00Z</cp:lastPrinted>
  <dcterms:created xsi:type="dcterms:W3CDTF">2020-07-06T10:22:00Z</dcterms:created>
  <dcterms:modified xsi:type="dcterms:W3CDTF">2021-07-16T10:50:00Z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0x0101006DC035460DCA0140B850DB1C4F2D6DB7</vt:lpwstr>
  </property>
</Properties>
</file>