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9C" w:rsidRDefault="004E1B9C" w:rsidP="00F227D9">
      <w:pPr>
        <w:jc w:val="center"/>
        <w:rPr>
          <w:rFonts w:ascii="Verdana" w:hAnsi="Verdana"/>
          <w:b/>
          <w:sz w:val="56"/>
          <w:szCs w:val="56"/>
          <w:lang w:val="en-AU"/>
        </w:rPr>
      </w:pPr>
      <w:bookmarkStart w:id="0" w:name="_GoBack"/>
      <w:bookmarkEnd w:id="0"/>
    </w:p>
    <w:p w:rsidR="004E1B9C" w:rsidRDefault="004E1B9C" w:rsidP="00F227D9">
      <w:pPr>
        <w:jc w:val="center"/>
        <w:rPr>
          <w:rFonts w:ascii="Verdana" w:hAnsi="Verdana"/>
          <w:b/>
          <w:sz w:val="56"/>
          <w:szCs w:val="56"/>
          <w:lang w:val="en-AU"/>
        </w:rPr>
      </w:pPr>
    </w:p>
    <w:p w:rsidR="00F227D9" w:rsidRPr="004E1B9C" w:rsidRDefault="004E1B9C" w:rsidP="00F227D9">
      <w:pPr>
        <w:jc w:val="center"/>
        <w:rPr>
          <w:rFonts w:ascii="Verdana" w:hAnsi="Verdana"/>
          <w:b/>
          <w:sz w:val="56"/>
          <w:szCs w:val="56"/>
          <w:lang w:val="en-AU"/>
        </w:rPr>
      </w:pPr>
      <w:r w:rsidRPr="004E1B9C">
        <w:rPr>
          <w:rFonts w:ascii="Verdana" w:hAnsi="Verdana"/>
          <w:b/>
          <w:sz w:val="56"/>
          <w:szCs w:val="56"/>
          <w:lang w:val="en-AU"/>
        </w:rPr>
        <w:t xml:space="preserve">The </w:t>
      </w:r>
      <w:r w:rsidR="00F227D9" w:rsidRPr="004E1B9C">
        <w:rPr>
          <w:rFonts w:ascii="Verdana" w:hAnsi="Verdana"/>
          <w:b/>
          <w:sz w:val="56"/>
          <w:szCs w:val="56"/>
          <w:lang w:val="en-AU"/>
        </w:rPr>
        <w:t>Chief Constable</w:t>
      </w:r>
      <w:r w:rsidRPr="004E1B9C">
        <w:rPr>
          <w:rFonts w:ascii="Verdana" w:hAnsi="Verdana"/>
          <w:b/>
          <w:sz w:val="56"/>
          <w:szCs w:val="56"/>
          <w:lang w:val="en-AU"/>
        </w:rPr>
        <w:t xml:space="preserve"> of Surrey</w:t>
      </w:r>
    </w:p>
    <w:p w:rsidR="004E1B9C" w:rsidRDefault="004E1B9C" w:rsidP="00F227D9">
      <w:pPr>
        <w:jc w:val="center"/>
        <w:rPr>
          <w:rFonts w:ascii="Verdana" w:hAnsi="Verdana"/>
          <w:b/>
          <w:sz w:val="56"/>
          <w:szCs w:val="56"/>
          <w:lang w:val="en-AU"/>
        </w:rPr>
      </w:pPr>
    </w:p>
    <w:p w:rsidR="004E1B9C" w:rsidRDefault="004E1B9C" w:rsidP="00F227D9">
      <w:pPr>
        <w:jc w:val="center"/>
        <w:rPr>
          <w:rFonts w:ascii="Verdana" w:hAnsi="Verdana"/>
          <w:b/>
          <w:sz w:val="56"/>
          <w:szCs w:val="56"/>
          <w:lang w:val="en-AU"/>
        </w:rPr>
      </w:pPr>
    </w:p>
    <w:p w:rsidR="00F227D9" w:rsidRPr="004E1B9C" w:rsidRDefault="00F227D9" w:rsidP="00F227D9">
      <w:pPr>
        <w:jc w:val="center"/>
        <w:rPr>
          <w:rFonts w:ascii="Verdana" w:hAnsi="Verdana"/>
          <w:b/>
          <w:sz w:val="44"/>
          <w:szCs w:val="44"/>
          <w:lang w:val="en-AU"/>
        </w:rPr>
      </w:pPr>
      <w:r w:rsidRPr="00EA146B">
        <w:rPr>
          <w:rFonts w:ascii="Verdana" w:hAnsi="Verdana"/>
          <w:b/>
          <w:sz w:val="44"/>
          <w:szCs w:val="44"/>
          <w:lang w:val="en-AU"/>
        </w:rPr>
        <w:t>Statement of Accounts for the year</w:t>
      </w:r>
      <w:r w:rsidRPr="002A69A9">
        <w:rPr>
          <w:rFonts w:ascii="Verdana" w:hAnsi="Verdana"/>
          <w:b/>
          <w:sz w:val="44"/>
          <w:szCs w:val="44"/>
          <w:lang w:val="en-AU"/>
        </w:rPr>
        <w:t xml:space="preserve"> </w:t>
      </w:r>
      <w:r w:rsidRPr="004E1B9C">
        <w:rPr>
          <w:rFonts w:ascii="Verdana" w:hAnsi="Verdana"/>
          <w:b/>
          <w:sz w:val="44"/>
          <w:szCs w:val="44"/>
          <w:lang w:val="en-AU"/>
        </w:rPr>
        <w:t>2019/20</w:t>
      </w:r>
    </w:p>
    <w:p w:rsidR="00F227D9" w:rsidRPr="00C63B07" w:rsidRDefault="00F227D9" w:rsidP="00F227D9">
      <w:pPr>
        <w:jc w:val="center"/>
        <w:rPr>
          <w:rFonts w:ascii="Verdana" w:hAnsi="Verdana"/>
          <w:b/>
          <w:sz w:val="72"/>
          <w:szCs w:val="72"/>
          <w:lang w:val="en-AU"/>
        </w:rPr>
      </w:pPr>
    </w:p>
    <w:p w:rsidR="00F227D9" w:rsidRDefault="00F227D9">
      <w:pPr>
        <w:rPr>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ED12F8">
      <w:pPr>
        <w:rPr>
          <w:rFonts w:ascii="Verdana" w:hAnsi="Verdana"/>
          <w:sz w:val="22"/>
          <w:szCs w:val="22"/>
          <w:lang w:val="en-AU"/>
        </w:rPr>
        <w:sectPr w:rsidR="00F227D9" w:rsidSect="00F227D9">
          <w:footerReference w:type="default" r:id="rId8"/>
          <w:pgSz w:w="11900" w:h="16840"/>
          <w:pgMar w:top="1440" w:right="1440" w:bottom="1440" w:left="1440" w:header="709" w:footer="709" w:gutter="0"/>
          <w:pgNumType w:start="1"/>
          <w:cols w:space="708"/>
          <w:docGrid w:linePitch="360"/>
        </w:sectPr>
      </w:pPr>
      <w:r>
        <w:pict w14:anchorId="42D23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111.4pt">
            <v:imagedata r:id="rId9" o:title=""/>
          </v:shape>
        </w:pict>
      </w:r>
    </w:p>
    <w:sdt>
      <w:sdtPr>
        <w:rPr>
          <w:rFonts w:ascii="Verdana" w:eastAsiaTheme="minorHAnsi" w:hAnsi="Verdana" w:cstheme="minorBidi"/>
          <w:b w:val="0"/>
          <w:color w:val="auto"/>
          <w:sz w:val="24"/>
          <w:szCs w:val="24"/>
        </w:rPr>
        <w:id w:val="-1029258257"/>
        <w:docPartObj>
          <w:docPartGallery w:val="Table of Contents"/>
          <w:docPartUnique/>
        </w:docPartObj>
      </w:sdtPr>
      <w:sdtEndPr>
        <w:rPr>
          <w:bCs/>
          <w:noProof/>
        </w:rPr>
      </w:sdtEndPr>
      <w:sdtContent>
        <w:p w:rsidR="00F227D9" w:rsidRPr="008615E5" w:rsidRDefault="00F227D9" w:rsidP="00F227D9">
          <w:pPr>
            <w:pStyle w:val="TOCHeading"/>
            <w:rPr>
              <w:rFonts w:ascii="Verdana" w:hAnsi="Verdana"/>
              <w:color w:val="auto"/>
              <w:sz w:val="28"/>
              <w:szCs w:val="28"/>
            </w:rPr>
          </w:pPr>
          <w:r w:rsidRPr="008615E5">
            <w:rPr>
              <w:rFonts w:ascii="Verdana" w:hAnsi="Verdana"/>
              <w:color w:val="auto"/>
              <w:sz w:val="28"/>
              <w:szCs w:val="28"/>
            </w:rPr>
            <w:t>Contents</w:t>
          </w:r>
        </w:p>
        <w:p w:rsidR="002A69A9" w:rsidRDefault="00F227D9">
          <w:pPr>
            <w:pStyle w:val="TOC1"/>
            <w:tabs>
              <w:tab w:val="right" w:leader="dot" w:pos="9010"/>
            </w:tabs>
            <w:rPr>
              <w:rFonts w:eastAsiaTheme="minorEastAsia"/>
              <w:noProof/>
              <w:sz w:val="22"/>
              <w:szCs w:val="22"/>
              <w:lang w:val="en-GB" w:eastAsia="en-GB"/>
            </w:rPr>
          </w:pPr>
          <w:r w:rsidRPr="008615E5">
            <w:rPr>
              <w:rFonts w:ascii="Verdana" w:hAnsi="Verdana"/>
            </w:rPr>
            <w:fldChar w:fldCharType="begin"/>
          </w:r>
          <w:r w:rsidRPr="008615E5">
            <w:rPr>
              <w:rFonts w:ascii="Verdana" w:hAnsi="Verdana"/>
            </w:rPr>
            <w:instrText xml:space="preserve"> TOC \o "1-3" \h \z \u </w:instrText>
          </w:r>
          <w:r w:rsidRPr="008615E5">
            <w:rPr>
              <w:rFonts w:ascii="Verdana" w:hAnsi="Verdana"/>
            </w:rPr>
            <w:fldChar w:fldCharType="separate"/>
          </w:r>
          <w:hyperlink w:anchor="_Toc55900971" w:history="1">
            <w:r w:rsidR="002A69A9" w:rsidRPr="003D4006">
              <w:rPr>
                <w:rStyle w:val="Hyperlink"/>
                <w:noProof/>
                <w:lang w:val="en-GB" w:eastAsia="en-GB"/>
              </w:rPr>
              <w:t>Narrative Report</w:t>
            </w:r>
            <w:r w:rsidR="002A69A9">
              <w:rPr>
                <w:noProof/>
                <w:webHidden/>
              </w:rPr>
              <w:tab/>
            </w:r>
            <w:r w:rsidR="002A69A9">
              <w:rPr>
                <w:noProof/>
                <w:webHidden/>
              </w:rPr>
              <w:fldChar w:fldCharType="begin"/>
            </w:r>
            <w:r w:rsidR="002A69A9">
              <w:rPr>
                <w:noProof/>
                <w:webHidden/>
              </w:rPr>
              <w:instrText xml:space="preserve"> PAGEREF _Toc55900971 \h </w:instrText>
            </w:r>
            <w:r w:rsidR="002A69A9">
              <w:rPr>
                <w:noProof/>
                <w:webHidden/>
              </w:rPr>
            </w:r>
            <w:r w:rsidR="002A69A9">
              <w:rPr>
                <w:noProof/>
                <w:webHidden/>
              </w:rPr>
              <w:fldChar w:fldCharType="separate"/>
            </w:r>
            <w:r w:rsidR="00ED12F8">
              <w:rPr>
                <w:noProof/>
                <w:webHidden/>
              </w:rPr>
              <w:t>2</w:t>
            </w:r>
            <w:r w:rsidR="002A69A9">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72" w:history="1">
            <w:r w:rsidRPr="003D4006">
              <w:rPr>
                <w:rStyle w:val="Hyperlink"/>
                <w:noProof/>
              </w:rPr>
              <w:t>External Auditor’s Report</w:t>
            </w:r>
            <w:r>
              <w:rPr>
                <w:noProof/>
                <w:webHidden/>
              </w:rPr>
              <w:tab/>
            </w:r>
            <w:r>
              <w:rPr>
                <w:noProof/>
                <w:webHidden/>
              </w:rPr>
              <w:fldChar w:fldCharType="begin"/>
            </w:r>
            <w:r>
              <w:rPr>
                <w:noProof/>
                <w:webHidden/>
              </w:rPr>
              <w:instrText xml:space="preserve"> PAGEREF _Toc55900972 \h </w:instrText>
            </w:r>
            <w:r>
              <w:rPr>
                <w:noProof/>
                <w:webHidden/>
              </w:rPr>
            </w:r>
            <w:r>
              <w:rPr>
                <w:noProof/>
                <w:webHidden/>
              </w:rPr>
              <w:fldChar w:fldCharType="separate"/>
            </w:r>
            <w:r w:rsidR="00ED12F8">
              <w:rPr>
                <w:noProof/>
                <w:webHidden/>
              </w:rPr>
              <w:t>17</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73" w:history="1">
            <w:r w:rsidRPr="003D4006">
              <w:rPr>
                <w:rStyle w:val="Hyperlink"/>
                <w:noProof/>
                <w:lang w:val="en-GB" w:eastAsia="en-GB"/>
              </w:rPr>
              <w:t>Statement of Responsibilities</w:t>
            </w:r>
            <w:r>
              <w:rPr>
                <w:noProof/>
                <w:webHidden/>
              </w:rPr>
              <w:tab/>
            </w:r>
            <w:r>
              <w:rPr>
                <w:noProof/>
                <w:webHidden/>
              </w:rPr>
              <w:fldChar w:fldCharType="begin"/>
            </w:r>
            <w:r>
              <w:rPr>
                <w:noProof/>
                <w:webHidden/>
              </w:rPr>
              <w:instrText xml:space="preserve"> PAGEREF _Toc55900973 \h </w:instrText>
            </w:r>
            <w:r>
              <w:rPr>
                <w:noProof/>
                <w:webHidden/>
              </w:rPr>
            </w:r>
            <w:r>
              <w:rPr>
                <w:noProof/>
                <w:webHidden/>
              </w:rPr>
              <w:fldChar w:fldCharType="separate"/>
            </w:r>
            <w:r w:rsidR="00ED12F8">
              <w:rPr>
                <w:noProof/>
                <w:webHidden/>
              </w:rPr>
              <w:t>18</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74" w:history="1">
            <w:r w:rsidRPr="003D4006">
              <w:rPr>
                <w:rStyle w:val="Hyperlink"/>
                <w:noProof/>
              </w:rPr>
              <w:t>Annual Governance Statement</w:t>
            </w:r>
            <w:r>
              <w:rPr>
                <w:noProof/>
                <w:webHidden/>
              </w:rPr>
              <w:tab/>
            </w:r>
            <w:r>
              <w:rPr>
                <w:noProof/>
                <w:webHidden/>
              </w:rPr>
              <w:fldChar w:fldCharType="begin"/>
            </w:r>
            <w:r>
              <w:rPr>
                <w:noProof/>
                <w:webHidden/>
              </w:rPr>
              <w:instrText xml:space="preserve"> PAGEREF _Toc55900974 \h </w:instrText>
            </w:r>
            <w:r>
              <w:rPr>
                <w:noProof/>
                <w:webHidden/>
              </w:rPr>
            </w:r>
            <w:r>
              <w:rPr>
                <w:noProof/>
                <w:webHidden/>
              </w:rPr>
              <w:fldChar w:fldCharType="separate"/>
            </w:r>
            <w:r w:rsidR="00ED12F8">
              <w:rPr>
                <w:noProof/>
                <w:webHidden/>
              </w:rPr>
              <w:t>19</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75" w:history="1">
            <w:r w:rsidRPr="003D4006">
              <w:rPr>
                <w:rStyle w:val="Hyperlink"/>
                <w:noProof/>
                <w:lang w:val="pt-BR"/>
              </w:rPr>
              <w:t>Movement in Reserves Statement</w:t>
            </w:r>
            <w:r>
              <w:rPr>
                <w:noProof/>
                <w:webHidden/>
              </w:rPr>
              <w:tab/>
            </w:r>
            <w:r>
              <w:rPr>
                <w:noProof/>
                <w:webHidden/>
              </w:rPr>
              <w:fldChar w:fldCharType="begin"/>
            </w:r>
            <w:r>
              <w:rPr>
                <w:noProof/>
                <w:webHidden/>
              </w:rPr>
              <w:instrText xml:space="preserve"> PAGEREF _Toc55900975 \h </w:instrText>
            </w:r>
            <w:r>
              <w:rPr>
                <w:noProof/>
                <w:webHidden/>
              </w:rPr>
            </w:r>
            <w:r>
              <w:rPr>
                <w:noProof/>
                <w:webHidden/>
              </w:rPr>
              <w:fldChar w:fldCharType="separate"/>
            </w:r>
            <w:r w:rsidR="00ED12F8">
              <w:rPr>
                <w:noProof/>
                <w:webHidden/>
              </w:rPr>
              <w:t>35</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76" w:history="1">
            <w:r w:rsidRPr="003D4006">
              <w:rPr>
                <w:rStyle w:val="Hyperlink"/>
                <w:noProof/>
                <w:lang w:val="pt-BR"/>
              </w:rPr>
              <w:t>Comprehensive Income and Expenditure Statement</w:t>
            </w:r>
            <w:r>
              <w:rPr>
                <w:noProof/>
                <w:webHidden/>
              </w:rPr>
              <w:tab/>
            </w:r>
            <w:r>
              <w:rPr>
                <w:noProof/>
                <w:webHidden/>
              </w:rPr>
              <w:fldChar w:fldCharType="begin"/>
            </w:r>
            <w:r>
              <w:rPr>
                <w:noProof/>
                <w:webHidden/>
              </w:rPr>
              <w:instrText xml:space="preserve"> PAGEREF _Toc55900976 \h </w:instrText>
            </w:r>
            <w:r>
              <w:rPr>
                <w:noProof/>
                <w:webHidden/>
              </w:rPr>
            </w:r>
            <w:r>
              <w:rPr>
                <w:noProof/>
                <w:webHidden/>
              </w:rPr>
              <w:fldChar w:fldCharType="separate"/>
            </w:r>
            <w:r w:rsidR="00ED12F8">
              <w:rPr>
                <w:noProof/>
                <w:webHidden/>
              </w:rPr>
              <w:t>36</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77" w:history="1">
            <w:r w:rsidRPr="003D4006">
              <w:rPr>
                <w:rStyle w:val="Hyperlink"/>
                <w:noProof/>
                <w:lang w:val="pt-BR"/>
              </w:rPr>
              <w:t>Balance Sheet</w:t>
            </w:r>
            <w:r>
              <w:rPr>
                <w:noProof/>
                <w:webHidden/>
              </w:rPr>
              <w:tab/>
            </w:r>
            <w:r>
              <w:rPr>
                <w:noProof/>
                <w:webHidden/>
              </w:rPr>
              <w:fldChar w:fldCharType="begin"/>
            </w:r>
            <w:r>
              <w:rPr>
                <w:noProof/>
                <w:webHidden/>
              </w:rPr>
              <w:instrText xml:space="preserve"> PAGEREF _Toc55900977 \h </w:instrText>
            </w:r>
            <w:r>
              <w:rPr>
                <w:noProof/>
                <w:webHidden/>
              </w:rPr>
            </w:r>
            <w:r>
              <w:rPr>
                <w:noProof/>
                <w:webHidden/>
              </w:rPr>
              <w:fldChar w:fldCharType="separate"/>
            </w:r>
            <w:r w:rsidR="00ED12F8">
              <w:rPr>
                <w:noProof/>
                <w:webHidden/>
              </w:rPr>
              <w:t>37</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78" w:history="1">
            <w:r w:rsidRPr="003D4006">
              <w:rPr>
                <w:rStyle w:val="Hyperlink"/>
                <w:noProof/>
                <w:lang w:val="pt-BR"/>
              </w:rPr>
              <w:t>Cash Flow Statement</w:t>
            </w:r>
            <w:r>
              <w:rPr>
                <w:noProof/>
                <w:webHidden/>
              </w:rPr>
              <w:tab/>
            </w:r>
            <w:r>
              <w:rPr>
                <w:noProof/>
                <w:webHidden/>
              </w:rPr>
              <w:fldChar w:fldCharType="begin"/>
            </w:r>
            <w:r>
              <w:rPr>
                <w:noProof/>
                <w:webHidden/>
              </w:rPr>
              <w:instrText xml:space="preserve"> PAGEREF _Toc55900978 \h </w:instrText>
            </w:r>
            <w:r>
              <w:rPr>
                <w:noProof/>
                <w:webHidden/>
              </w:rPr>
            </w:r>
            <w:r>
              <w:rPr>
                <w:noProof/>
                <w:webHidden/>
              </w:rPr>
              <w:fldChar w:fldCharType="separate"/>
            </w:r>
            <w:r w:rsidR="00ED12F8">
              <w:rPr>
                <w:noProof/>
                <w:webHidden/>
              </w:rPr>
              <w:t>38</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79" w:history="1">
            <w:r w:rsidRPr="003D4006">
              <w:rPr>
                <w:rStyle w:val="Hyperlink"/>
                <w:noProof/>
                <w:lang w:val="pt-BR"/>
              </w:rPr>
              <w:t>Note 1 - Critical Judgements in Applying Accounting Policies</w:t>
            </w:r>
            <w:r>
              <w:rPr>
                <w:noProof/>
                <w:webHidden/>
              </w:rPr>
              <w:tab/>
            </w:r>
            <w:r>
              <w:rPr>
                <w:noProof/>
                <w:webHidden/>
              </w:rPr>
              <w:fldChar w:fldCharType="begin"/>
            </w:r>
            <w:r>
              <w:rPr>
                <w:noProof/>
                <w:webHidden/>
              </w:rPr>
              <w:instrText xml:space="preserve"> PAGEREF _Toc55900979 \h </w:instrText>
            </w:r>
            <w:r>
              <w:rPr>
                <w:noProof/>
                <w:webHidden/>
              </w:rPr>
            </w:r>
            <w:r>
              <w:rPr>
                <w:noProof/>
                <w:webHidden/>
              </w:rPr>
              <w:fldChar w:fldCharType="separate"/>
            </w:r>
            <w:r w:rsidR="00ED12F8">
              <w:rPr>
                <w:noProof/>
                <w:webHidden/>
              </w:rPr>
              <w:t>39</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80" w:history="1">
            <w:r w:rsidRPr="003D4006">
              <w:rPr>
                <w:rStyle w:val="Hyperlink"/>
                <w:noProof/>
                <w:lang w:val="pt-BR"/>
              </w:rPr>
              <w:t>Note 2 – Going Concern</w:t>
            </w:r>
            <w:r>
              <w:rPr>
                <w:noProof/>
                <w:webHidden/>
              </w:rPr>
              <w:tab/>
            </w:r>
            <w:r>
              <w:rPr>
                <w:noProof/>
                <w:webHidden/>
              </w:rPr>
              <w:fldChar w:fldCharType="begin"/>
            </w:r>
            <w:r>
              <w:rPr>
                <w:noProof/>
                <w:webHidden/>
              </w:rPr>
              <w:instrText xml:space="preserve"> PAGEREF _Toc55900980 \h </w:instrText>
            </w:r>
            <w:r>
              <w:rPr>
                <w:noProof/>
                <w:webHidden/>
              </w:rPr>
            </w:r>
            <w:r>
              <w:rPr>
                <w:noProof/>
                <w:webHidden/>
              </w:rPr>
              <w:fldChar w:fldCharType="separate"/>
            </w:r>
            <w:r w:rsidR="00ED12F8">
              <w:rPr>
                <w:noProof/>
                <w:webHidden/>
              </w:rPr>
              <w:t>41</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81" w:history="1">
            <w:r w:rsidRPr="003D4006">
              <w:rPr>
                <w:rStyle w:val="Hyperlink"/>
                <w:noProof/>
                <w:lang w:val="pt-BR"/>
              </w:rPr>
              <w:t>Note 3 - Events After the Balance Sheet Date</w:t>
            </w:r>
            <w:r>
              <w:rPr>
                <w:noProof/>
                <w:webHidden/>
              </w:rPr>
              <w:tab/>
            </w:r>
            <w:r>
              <w:rPr>
                <w:noProof/>
                <w:webHidden/>
              </w:rPr>
              <w:fldChar w:fldCharType="begin"/>
            </w:r>
            <w:r>
              <w:rPr>
                <w:noProof/>
                <w:webHidden/>
              </w:rPr>
              <w:instrText xml:space="preserve"> PAGEREF _Toc55900981 \h </w:instrText>
            </w:r>
            <w:r>
              <w:rPr>
                <w:noProof/>
                <w:webHidden/>
              </w:rPr>
            </w:r>
            <w:r>
              <w:rPr>
                <w:noProof/>
                <w:webHidden/>
              </w:rPr>
              <w:fldChar w:fldCharType="separate"/>
            </w:r>
            <w:r w:rsidR="00ED12F8">
              <w:rPr>
                <w:noProof/>
                <w:webHidden/>
              </w:rPr>
              <w:t>43</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82" w:history="1">
            <w:r w:rsidRPr="003D4006">
              <w:rPr>
                <w:rStyle w:val="Hyperlink"/>
                <w:noProof/>
                <w:lang w:val="pt-BR"/>
              </w:rPr>
              <w:t>Note 4 - Assumptions Made about the Future and Other Major Sources of Estimation Uncertainty</w:t>
            </w:r>
            <w:r>
              <w:rPr>
                <w:noProof/>
                <w:webHidden/>
              </w:rPr>
              <w:tab/>
            </w:r>
            <w:r>
              <w:rPr>
                <w:noProof/>
                <w:webHidden/>
              </w:rPr>
              <w:fldChar w:fldCharType="begin"/>
            </w:r>
            <w:r>
              <w:rPr>
                <w:noProof/>
                <w:webHidden/>
              </w:rPr>
              <w:instrText xml:space="preserve"> PAGEREF _Toc55900982 \h </w:instrText>
            </w:r>
            <w:r>
              <w:rPr>
                <w:noProof/>
                <w:webHidden/>
              </w:rPr>
            </w:r>
            <w:r>
              <w:rPr>
                <w:noProof/>
                <w:webHidden/>
              </w:rPr>
              <w:fldChar w:fldCharType="separate"/>
            </w:r>
            <w:r w:rsidR="00ED12F8">
              <w:rPr>
                <w:noProof/>
                <w:webHidden/>
              </w:rPr>
              <w:t>44</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83" w:history="1">
            <w:r w:rsidRPr="003D4006">
              <w:rPr>
                <w:rStyle w:val="Hyperlink"/>
                <w:noProof/>
                <w:lang w:val="en-GB"/>
              </w:rPr>
              <w:t>Note 5 -Expenditure and Funding Analysis</w:t>
            </w:r>
            <w:r>
              <w:rPr>
                <w:noProof/>
                <w:webHidden/>
              </w:rPr>
              <w:tab/>
            </w:r>
            <w:r>
              <w:rPr>
                <w:noProof/>
                <w:webHidden/>
              </w:rPr>
              <w:fldChar w:fldCharType="begin"/>
            </w:r>
            <w:r>
              <w:rPr>
                <w:noProof/>
                <w:webHidden/>
              </w:rPr>
              <w:instrText xml:space="preserve"> PAGEREF _Toc55900983 \h </w:instrText>
            </w:r>
            <w:r>
              <w:rPr>
                <w:noProof/>
                <w:webHidden/>
              </w:rPr>
            </w:r>
            <w:r>
              <w:rPr>
                <w:noProof/>
                <w:webHidden/>
              </w:rPr>
              <w:fldChar w:fldCharType="separate"/>
            </w:r>
            <w:r w:rsidR="00ED12F8">
              <w:rPr>
                <w:noProof/>
                <w:webHidden/>
              </w:rPr>
              <w:t>46</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84" w:history="1">
            <w:r w:rsidRPr="003D4006">
              <w:rPr>
                <w:rStyle w:val="Hyperlink"/>
                <w:noProof/>
                <w:lang w:val="en-GB"/>
              </w:rPr>
              <w:t>Note 6 - Adjustments between Accounting Basis and Funding Basis under Regulations</w:t>
            </w:r>
            <w:r>
              <w:rPr>
                <w:noProof/>
                <w:webHidden/>
              </w:rPr>
              <w:tab/>
            </w:r>
            <w:r>
              <w:rPr>
                <w:noProof/>
                <w:webHidden/>
              </w:rPr>
              <w:fldChar w:fldCharType="begin"/>
            </w:r>
            <w:r>
              <w:rPr>
                <w:noProof/>
                <w:webHidden/>
              </w:rPr>
              <w:instrText xml:space="preserve"> PAGEREF _Toc55900984 \h </w:instrText>
            </w:r>
            <w:r>
              <w:rPr>
                <w:noProof/>
                <w:webHidden/>
              </w:rPr>
            </w:r>
            <w:r>
              <w:rPr>
                <w:noProof/>
                <w:webHidden/>
              </w:rPr>
              <w:fldChar w:fldCharType="separate"/>
            </w:r>
            <w:r w:rsidR="00ED12F8">
              <w:rPr>
                <w:noProof/>
                <w:webHidden/>
              </w:rPr>
              <w:t>47</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85" w:history="1">
            <w:r w:rsidRPr="003D4006">
              <w:rPr>
                <w:rStyle w:val="Hyperlink"/>
                <w:noProof/>
                <w:lang w:val="pt-BR"/>
              </w:rPr>
              <w:t>Note 7 - Grant Income</w:t>
            </w:r>
            <w:r>
              <w:rPr>
                <w:noProof/>
                <w:webHidden/>
              </w:rPr>
              <w:tab/>
            </w:r>
            <w:r>
              <w:rPr>
                <w:noProof/>
                <w:webHidden/>
              </w:rPr>
              <w:fldChar w:fldCharType="begin"/>
            </w:r>
            <w:r>
              <w:rPr>
                <w:noProof/>
                <w:webHidden/>
              </w:rPr>
              <w:instrText xml:space="preserve"> PAGEREF _Toc55900985 \h </w:instrText>
            </w:r>
            <w:r>
              <w:rPr>
                <w:noProof/>
                <w:webHidden/>
              </w:rPr>
            </w:r>
            <w:r>
              <w:rPr>
                <w:noProof/>
                <w:webHidden/>
              </w:rPr>
              <w:fldChar w:fldCharType="separate"/>
            </w:r>
            <w:r w:rsidR="00ED12F8">
              <w:rPr>
                <w:noProof/>
                <w:webHidden/>
              </w:rPr>
              <w:t>48</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86" w:history="1">
            <w:r w:rsidRPr="003D4006">
              <w:rPr>
                <w:rStyle w:val="Hyperlink"/>
                <w:noProof/>
                <w:lang w:val="pt-BR"/>
              </w:rPr>
              <w:t>Note 8 - Unusable Reserves</w:t>
            </w:r>
            <w:r>
              <w:rPr>
                <w:noProof/>
                <w:webHidden/>
              </w:rPr>
              <w:tab/>
            </w:r>
            <w:r>
              <w:rPr>
                <w:noProof/>
                <w:webHidden/>
              </w:rPr>
              <w:fldChar w:fldCharType="begin"/>
            </w:r>
            <w:r>
              <w:rPr>
                <w:noProof/>
                <w:webHidden/>
              </w:rPr>
              <w:instrText xml:space="preserve"> PAGEREF _Toc55900986 \h </w:instrText>
            </w:r>
            <w:r>
              <w:rPr>
                <w:noProof/>
                <w:webHidden/>
              </w:rPr>
            </w:r>
            <w:r>
              <w:rPr>
                <w:noProof/>
                <w:webHidden/>
              </w:rPr>
              <w:fldChar w:fldCharType="separate"/>
            </w:r>
            <w:r w:rsidR="00ED12F8">
              <w:rPr>
                <w:noProof/>
                <w:webHidden/>
              </w:rPr>
              <w:t>48</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87" w:history="1">
            <w:r w:rsidRPr="003D4006">
              <w:rPr>
                <w:rStyle w:val="Hyperlink"/>
                <w:noProof/>
                <w:lang w:val="pt-BR"/>
              </w:rPr>
              <w:t>Note 9 - Debtors</w:t>
            </w:r>
            <w:r>
              <w:rPr>
                <w:noProof/>
                <w:webHidden/>
              </w:rPr>
              <w:tab/>
            </w:r>
            <w:r>
              <w:rPr>
                <w:noProof/>
                <w:webHidden/>
              </w:rPr>
              <w:fldChar w:fldCharType="begin"/>
            </w:r>
            <w:r>
              <w:rPr>
                <w:noProof/>
                <w:webHidden/>
              </w:rPr>
              <w:instrText xml:space="preserve"> PAGEREF _Toc55900987 \h </w:instrText>
            </w:r>
            <w:r>
              <w:rPr>
                <w:noProof/>
                <w:webHidden/>
              </w:rPr>
            </w:r>
            <w:r>
              <w:rPr>
                <w:noProof/>
                <w:webHidden/>
              </w:rPr>
              <w:fldChar w:fldCharType="separate"/>
            </w:r>
            <w:r w:rsidR="00ED12F8">
              <w:rPr>
                <w:noProof/>
                <w:webHidden/>
              </w:rPr>
              <w:t>49</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88" w:history="1">
            <w:r w:rsidRPr="003D4006">
              <w:rPr>
                <w:rStyle w:val="Hyperlink"/>
                <w:noProof/>
                <w:lang w:val="pt-BR"/>
              </w:rPr>
              <w:t>Note 10 - Creditors</w:t>
            </w:r>
            <w:r>
              <w:rPr>
                <w:noProof/>
                <w:webHidden/>
              </w:rPr>
              <w:tab/>
            </w:r>
            <w:r>
              <w:rPr>
                <w:noProof/>
                <w:webHidden/>
              </w:rPr>
              <w:fldChar w:fldCharType="begin"/>
            </w:r>
            <w:r>
              <w:rPr>
                <w:noProof/>
                <w:webHidden/>
              </w:rPr>
              <w:instrText xml:space="preserve"> PAGEREF _Toc55900988 \h </w:instrText>
            </w:r>
            <w:r>
              <w:rPr>
                <w:noProof/>
                <w:webHidden/>
              </w:rPr>
            </w:r>
            <w:r>
              <w:rPr>
                <w:noProof/>
                <w:webHidden/>
              </w:rPr>
              <w:fldChar w:fldCharType="separate"/>
            </w:r>
            <w:r w:rsidR="00ED12F8">
              <w:rPr>
                <w:noProof/>
                <w:webHidden/>
              </w:rPr>
              <w:t>49</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89" w:history="1">
            <w:r w:rsidRPr="003D4006">
              <w:rPr>
                <w:rStyle w:val="Hyperlink"/>
                <w:noProof/>
                <w:lang w:val="pt-BR"/>
              </w:rPr>
              <w:t>Note 11 - Provisions</w:t>
            </w:r>
            <w:r>
              <w:rPr>
                <w:noProof/>
                <w:webHidden/>
              </w:rPr>
              <w:tab/>
            </w:r>
            <w:r>
              <w:rPr>
                <w:noProof/>
                <w:webHidden/>
              </w:rPr>
              <w:fldChar w:fldCharType="begin"/>
            </w:r>
            <w:r>
              <w:rPr>
                <w:noProof/>
                <w:webHidden/>
              </w:rPr>
              <w:instrText xml:space="preserve"> PAGEREF _Toc55900989 \h </w:instrText>
            </w:r>
            <w:r>
              <w:rPr>
                <w:noProof/>
                <w:webHidden/>
              </w:rPr>
            </w:r>
            <w:r>
              <w:rPr>
                <w:noProof/>
                <w:webHidden/>
              </w:rPr>
              <w:fldChar w:fldCharType="separate"/>
            </w:r>
            <w:r w:rsidR="00ED12F8">
              <w:rPr>
                <w:noProof/>
                <w:webHidden/>
              </w:rPr>
              <w:t>50</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90" w:history="1">
            <w:r w:rsidRPr="003D4006">
              <w:rPr>
                <w:rStyle w:val="Hyperlink"/>
                <w:noProof/>
              </w:rPr>
              <w:t>Note 12 - Joint Audit Committee</w:t>
            </w:r>
            <w:r>
              <w:rPr>
                <w:noProof/>
                <w:webHidden/>
              </w:rPr>
              <w:tab/>
            </w:r>
            <w:r>
              <w:rPr>
                <w:noProof/>
                <w:webHidden/>
              </w:rPr>
              <w:fldChar w:fldCharType="begin"/>
            </w:r>
            <w:r>
              <w:rPr>
                <w:noProof/>
                <w:webHidden/>
              </w:rPr>
              <w:instrText xml:space="preserve"> PAGEREF _Toc55900990 \h </w:instrText>
            </w:r>
            <w:r>
              <w:rPr>
                <w:noProof/>
                <w:webHidden/>
              </w:rPr>
            </w:r>
            <w:r>
              <w:rPr>
                <w:noProof/>
                <w:webHidden/>
              </w:rPr>
              <w:fldChar w:fldCharType="separate"/>
            </w:r>
            <w:r w:rsidR="00ED12F8">
              <w:rPr>
                <w:noProof/>
                <w:webHidden/>
              </w:rPr>
              <w:t>50</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91" w:history="1">
            <w:r w:rsidRPr="003D4006">
              <w:rPr>
                <w:rStyle w:val="Hyperlink"/>
                <w:noProof/>
              </w:rPr>
              <w:t>Note 13 - Collaborations</w:t>
            </w:r>
            <w:r>
              <w:rPr>
                <w:noProof/>
                <w:webHidden/>
              </w:rPr>
              <w:tab/>
            </w:r>
            <w:r>
              <w:rPr>
                <w:noProof/>
                <w:webHidden/>
              </w:rPr>
              <w:fldChar w:fldCharType="begin"/>
            </w:r>
            <w:r>
              <w:rPr>
                <w:noProof/>
                <w:webHidden/>
              </w:rPr>
              <w:instrText xml:space="preserve"> PAGEREF _Toc55900991 \h </w:instrText>
            </w:r>
            <w:r>
              <w:rPr>
                <w:noProof/>
                <w:webHidden/>
              </w:rPr>
            </w:r>
            <w:r>
              <w:rPr>
                <w:noProof/>
                <w:webHidden/>
              </w:rPr>
              <w:fldChar w:fldCharType="separate"/>
            </w:r>
            <w:r w:rsidR="00ED12F8">
              <w:rPr>
                <w:noProof/>
                <w:webHidden/>
              </w:rPr>
              <w:t>50</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92" w:history="1">
            <w:r w:rsidRPr="003D4006">
              <w:rPr>
                <w:rStyle w:val="Hyperlink"/>
                <w:noProof/>
                <w:lang w:val="pt-BR"/>
              </w:rPr>
              <w:t>Note 14 - Officers’ Remuneration</w:t>
            </w:r>
            <w:r>
              <w:rPr>
                <w:noProof/>
                <w:webHidden/>
              </w:rPr>
              <w:tab/>
            </w:r>
            <w:r>
              <w:rPr>
                <w:noProof/>
                <w:webHidden/>
              </w:rPr>
              <w:fldChar w:fldCharType="begin"/>
            </w:r>
            <w:r>
              <w:rPr>
                <w:noProof/>
                <w:webHidden/>
              </w:rPr>
              <w:instrText xml:space="preserve"> PAGEREF _Toc55900992 \h </w:instrText>
            </w:r>
            <w:r>
              <w:rPr>
                <w:noProof/>
                <w:webHidden/>
              </w:rPr>
            </w:r>
            <w:r>
              <w:rPr>
                <w:noProof/>
                <w:webHidden/>
              </w:rPr>
              <w:fldChar w:fldCharType="separate"/>
            </w:r>
            <w:r w:rsidR="00ED12F8">
              <w:rPr>
                <w:noProof/>
                <w:webHidden/>
              </w:rPr>
              <w:t>52</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93" w:history="1">
            <w:r w:rsidRPr="003D4006">
              <w:rPr>
                <w:rStyle w:val="Hyperlink"/>
                <w:noProof/>
                <w:lang w:val="pt-BR"/>
              </w:rPr>
              <w:t>Note 15 - External Audit Costs</w:t>
            </w:r>
            <w:r>
              <w:rPr>
                <w:noProof/>
                <w:webHidden/>
              </w:rPr>
              <w:tab/>
            </w:r>
            <w:r>
              <w:rPr>
                <w:noProof/>
                <w:webHidden/>
              </w:rPr>
              <w:fldChar w:fldCharType="begin"/>
            </w:r>
            <w:r>
              <w:rPr>
                <w:noProof/>
                <w:webHidden/>
              </w:rPr>
              <w:instrText xml:space="preserve"> PAGEREF _Toc55900993 \h </w:instrText>
            </w:r>
            <w:r>
              <w:rPr>
                <w:noProof/>
                <w:webHidden/>
              </w:rPr>
            </w:r>
            <w:r>
              <w:rPr>
                <w:noProof/>
                <w:webHidden/>
              </w:rPr>
              <w:fldChar w:fldCharType="separate"/>
            </w:r>
            <w:r w:rsidR="00ED12F8">
              <w:rPr>
                <w:noProof/>
                <w:webHidden/>
              </w:rPr>
              <w:t>53</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94" w:history="1">
            <w:r w:rsidRPr="003D4006">
              <w:rPr>
                <w:rStyle w:val="Hyperlink"/>
                <w:noProof/>
                <w:lang w:val="pt-BR"/>
              </w:rPr>
              <w:t>Note 16 - Related Parties</w:t>
            </w:r>
            <w:r>
              <w:rPr>
                <w:noProof/>
                <w:webHidden/>
              </w:rPr>
              <w:tab/>
            </w:r>
            <w:r>
              <w:rPr>
                <w:noProof/>
                <w:webHidden/>
              </w:rPr>
              <w:fldChar w:fldCharType="begin"/>
            </w:r>
            <w:r>
              <w:rPr>
                <w:noProof/>
                <w:webHidden/>
              </w:rPr>
              <w:instrText xml:space="preserve"> PAGEREF _Toc55900994 \h </w:instrText>
            </w:r>
            <w:r>
              <w:rPr>
                <w:noProof/>
                <w:webHidden/>
              </w:rPr>
            </w:r>
            <w:r>
              <w:rPr>
                <w:noProof/>
                <w:webHidden/>
              </w:rPr>
              <w:fldChar w:fldCharType="separate"/>
            </w:r>
            <w:r w:rsidR="00ED12F8">
              <w:rPr>
                <w:noProof/>
                <w:webHidden/>
              </w:rPr>
              <w:t>54</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95" w:history="1">
            <w:r w:rsidRPr="003D4006">
              <w:rPr>
                <w:rStyle w:val="Hyperlink"/>
                <w:noProof/>
                <w:lang w:val="en-GB"/>
              </w:rPr>
              <w:t>Note 17 - Defined Benefit Pension Scheme</w:t>
            </w:r>
            <w:r>
              <w:rPr>
                <w:noProof/>
                <w:webHidden/>
              </w:rPr>
              <w:tab/>
            </w:r>
            <w:r>
              <w:rPr>
                <w:noProof/>
                <w:webHidden/>
              </w:rPr>
              <w:fldChar w:fldCharType="begin"/>
            </w:r>
            <w:r>
              <w:rPr>
                <w:noProof/>
                <w:webHidden/>
              </w:rPr>
              <w:instrText xml:space="preserve"> PAGEREF _Toc55900995 \h </w:instrText>
            </w:r>
            <w:r>
              <w:rPr>
                <w:noProof/>
                <w:webHidden/>
              </w:rPr>
            </w:r>
            <w:r>
              <w:rPr>
                <w:noProof/>
                <w:webHidden/>
              </w:rPr>
              <w:fldChar w:fldCharType="separate"/>
            </w:r>
            <w:r w:rsidR="00ED12F8">
              <w:rPr>
                <w:noProof/>
                <w:webHidden/>
              </w:rPr>
              <w:t>54</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96" w:history="1">
            <w:r w:rsidRPr="003D4006">
              <w:rPr>
                <w:rStyle w:val="Hyperlink"/>
                <w:noProof/>
                <w:lang w:val="pt-BR"/>
              </w:rPr>
              <w:t>Note 18 - Contingent Liabilities</w:t>
            </w:r>
            <w:r>
              <w:rPr>
                <w:noProof/>
                <w:webHidden/>
              </w:rPr>
              <w:tab/>
            </w:r>
            <w:r>
              <w:rPr>
                <w:noProof/>
                <w:webHidden/>
              </w:rPr>
              <w:fldChar w:fldCharType="begin"/>
            </w:r>
            <w:r>
              <w:rPr>
                <w:noProof/>
                <w:webHidden/>
              </w:rPr>
              <w:instrText xml:space="preserve"> PAGEREF _Toc55900996 \h </w:instrText>
            </w:r>
            <w:r>
              <w:rPr>
                <w:noProof/>
                <w:webHidden/>
              </w:rPr>
            </w:r>
            <w:r>
              <w:rPr>
                <w:noProof/>
                <w:webHidden/>
              </w:rPr>
              <w:fldChar w:fldCharType="separate"/>
            </w:r>
            <w:r w:rsidR="00ED12F8">
              <w:rPr>
                <w:noProof/>
                <w:webHidden/>
              </w:rPr>
              <w:t>62</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97" w:history="1">
            <w:r w:rsidRPr="003D4006">
              <w:rPr>
                <w:rStyle w:val="Hyperlink"/>
                <w:noProof/>
                <w:lang w:val="pt-BR"/>
              </w:rPr>
              <w:t>Note 19 - Contingent Assets</w:t>
            </w:r>
            <w:r>
              <w:rPr>
                <w:noProof/>
                <w:webHidden/>
              </w:rPr>
              <w:tab/>
            </w:r>
            <w:r>
              <w:rPr>
                <w:noProof/>
                <w:webHidden/>
              </w:rPr>
              <w:fldChar w:fldCharType="begin"/>
            </w:r>
            <w:r>
              <w:rPr>
                <w:noProof/>
                <w:webHidden/>
              </w:rPr>
              <w:instrText xml:space="preserve"> PAGEREF _Toc55900997 \h </w:instrText>
            </w:r>
            <w:r>
              <w:rPr>
                <w:noProof/>
                <w:webHidden/>
              </w:rPr>
            </w:r>
            <w:r>
              <w:rPr>
                <w:noProof/>
                <w:webHidden/>
              </w:rPr>
              <w:fldChar w:fldCharType="separate"/>
            </w:r>
            <w:r w:rsidR="00ED12F8">
              <w:rPr>
                <w:noProof/>
                <w:webHidden/>
              </w:rPr>
              <w:t>62</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98" w:history="1">
            <w:r w:rsidRPr="003D4006">
              <w:rPr>
                <w:rStyle w:val="Hyperlink"/>
                <w:noProof/>
                <w:lang w:val="pt-BR"/>
              </w:rPr>
              <w:t>Note 20 - Financing and Investment Income and Expenditure</w:t>
            </w:r>
            <w:r>
              <w:rPr>
                <w:noProof/>
                <w:webHidden/>
              </w:rPr>
              <w:tab/>
            </w:r>
            <w:r>
              <w:rPr>
                <w:noProof/>
                <w:webHidden/>
              </w:rPr>
              <w:fldChar w:fldCharType="begin"/>
            </w:r>
            <w:r>
              <w:rPr>
                <w:noProof/>
                <w:webHidden/>
              </w:rPr>
              <w:instrText xml:space="preserve"> PAGEREF _Toc55900998 \h </w:instrText>
            </w:r>
            <w:r>
              <w:rPr>
                <w:noProof/>
                <w:webHidden/>
              </w:rPr>
            </w:r>
            <w:r>
              <w:rPr>
                <w:noProof/>
                <w:webHidden/>
              </w:rPr>
              <w:fldChar w:fldCharType="separate"/>
            </w:r>
            <w:r w:rsidR="00ED12F8">
              <w:rPr>
                <w:noProof/>
                <w:webHidden/>
              </w:rPr>
              <w:t>62</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0999" w:history="1">
            <w:r w:rsidRPr="003D4006">
              <w:rPr>
                <w:rStyle w:val="Hyperlink"/>
                <w:noProof/>
                <w:lang w:val="pt-BR"/>
              </w:rPr>
              <w:t>Note 21 - Other Operating Expenditure</w:t>
            </w:r>
            <w:r>
              <w:rPr>
                <w:noProof/>
                <w:webHidden/>
              </w:rPr>
              <w:tab/>
            </w:r>
            <w:r>
              <w:rPr>
                <w:noProof/>
                <w:webHidden/>
              </w:rPr>
              <w:fldChar w:fldCharType="begin"/>
            </w:r>
            <w:r>
              <w:rPr>
                <w:noProof/>
                <w:webHidden/>
              </w:rPr>
              <w:instrText xml:space="preserve"> PAGEREF _Toc55900999 \h </w:instrText>
            </w:r>
            <w:r>
              <w:rPr>
                <w:noProof/>
                <w:webHidden/>
              </w:rPr>
            </w:r>
            <w:r>
              <w:rPr>
                <w:noProof/>
                <w:webHidden/>
              </w:rPr>
              <w:fldChar w:fldCharType="separate"/>
            </w:r>
            <w:r w:rsidR="00ED12F8">
              <w:rPr>
                <w:noProof/>
                <w:webHidden/>
              </w:rPr>
              <w:t>63</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1000" w:history="1">
            <w:r w:rsidRPr="003D4006">
              <w:rPr>
                <w:rStyle w:val="Hyperlink"/>
                <w:noProof/>
                <w:lang w:val="en-GB" w:eastAsia="en-GB"/>
              </w:rPr>
              <w:t>Note 22 - Accounting Policies</w:t>
            </w:r>
            <w:r>
              <w:rPr>
                <w:noProof/>
                <w:webHidden/>
              </w:rPr>
              <w:tab/>
            </w:r>
            <w:r>
              <w:rPr>
                <w:noProof/>
                <w:webHidden/>
              </w:rPr>
              <w:fldChar w:fldCharType="begin"/>
            </w:r>
            <w:r>
              <w:rPr>
                <w:noProof/>
                <w:webHidden/>
              </w:rPr>
              <w:instrText xml:space="preserve"> PAGEREF _Toc55901000 \h </w:instrText>
            </w:r>
            <w:r>
              <w:rPr>
                <w:noProof/>
                <w:webHidden/>
              </w:rPr>
            </w:r>
            <w:r>
              <w:rPr>
                <w:noProof/>
                <w:webHidden/>
              </w:rPr>
              <w:fldChar w:fldCharType="separate"/>
            </w:r>
            <w:r w:rsidR="00ED12F8">
              <w:rPr>
                <w:noProof/>
                <w:webHidden/>
              </w:rPr>
              <w:t>63</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1001" w:history="1">
            <w:r w:rsidRPr="003D4006">
              <w:rPr>
                <w:rStyle w:val="Hyperlink"/>
                <w:noProof/>
                <w:lang w:val="en-GB" w:eastAsia="en-GB"/>
              </w:rPr>
              <w:t>Note 23 - Accounting Standards issued but not yet adopted</w:t>
            </w:r>
            <w:r>
              <w:rPr>
                <w:noProof/>
                <w:webHidden/>
              </w:rPr>
              <w:tab/>
            </w:r>
            <w:r>
              <w:rPr>
                <w:noProof/>
                <w:webHidden/>
              </w:rPr>
              <w:fldChar w:fldCharType="begin"/>
            </w:r>
            <w:r>
              <w:rPr>
                <w:noProof/>
                <w:webHidden/>
              </w:rPr>
              <w:instrText xml:space="preserve"> PAGEREF _Toc55901001 \h </w:instrText>
            </w:r>
            <w:r>
              <w:rPr>
                <w:noProof/>
                <w:webHidden/>
              </w:rPr>
            </w:r>
            <w:r>
              <w:rPr>
                <w:noProof/>
                <w:webHidden/>
              </w:rPr>
              <w:fldChar w:fldCharType="separate"/>
            </w:r>
            <w:r w:rsidR="00ED12F8">
              <w:rPr>
                <w:noProof/>
                <w:webHidden/>
              </w:rPr>
              <w:t>69</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1002" w:history="1">
            <w:r w:rsidRPr="003D4006">
              <w:rPr>
                <w:rStyle w:val="Hyperlink"/>
                <w:noProof/>
              </w:rPr>
              <w:t>Police Pensions Fund Account Statements as at 31 March 2020</w:t>
            </w:r>
            <w:r>
              <w:rPr>
                <w:noProof/>
                <w:webHidden/>
              </w:rPr>
              <w:tab/>
            </w:r>
            <w:r>
              <w:rPr>
                <w:noProof/>
                <w:webHidden/>
              </w:rPr>
              <w:fldChar w:fldCharType="begin"/>
            </w:r>
            <w:r>
              <w:rPr>
                <w:noProof/>
                <w:webHidden/>
              </w:rPr>
              <w:instrText xml:space="preserve"> PAGEREF _Toc55901002 \h </w:instrText>
            </w:r>
            <w:r>
              <w:rPr>
                <w:noProof/>
                <w:webHidden/>
              </w:rPr>
            </w:r>
            <w:r>
              <w:rPr>
                <w:noProof/>
                <w:webHidden/>
              </w:rPr>
              <w:fldChar w:fldCharType="separate"/>
            </w:r>
            <w:r w:rsidR="00ED12F8">
              <w:rPr>
                <w:noProof/>
                <w:webHidden/>
              </w:rPr>
              <w:t>71</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1003" w:history="1">
            <w:r w:rsidRPr="003D4006">
              <w:rPr>
                <w:rStyle w:val="Hyperlink"/>
                <w:noProof/>
                <w:lang w:eastAsia="en-GB"/>
              </w:rPr>
              <w:t>Police Pension Funds - Notes</w:t>
            </w:r>
            <w:r>
              <w:rPr>
                <w:noProof/>
                <w:webHidden/>
              </w:rPr>
              <w:tab/>
            </w:r>
            <w:r>
              <w:rPr>
                <w:noProof/>
                <w:webHidden/>
              </w:rPr>
              <w:fldChar w:fldCharType="begin"/>
            </w:r>
            <w:r>
              <w:rPr>
                <w:noProof/>
                <w:webHidden/>
              </w:rPr>
              <w:instrText xml:space="preserve"> PAGEREF _Toc55901003 \h </w:instrText>
            </w:r>
            <w:r>
              <w:rPr>
                <w:noProof/>
                <w:webHidden/>
              </w:rPr>
            </w:r>
            <w:r>
              <w:rPr>
                <w:noProof/>
                <w:webHidden/>
              </w:rPr>
              <w:fldChar w:fldCharType="separate"/>
            </w:r>
            <w:r w:rsidR="00ED12F8">
              <w:rPr>
                <w:noProof/>
                <w:webHidden/>
              </w:rPr>
              <w:t>72</w:t>
            </w:r>
            <w:r>
              <w:rPr>
                <w:noProof/>
                <w:webHidden/>
              </w:rPr>
              <w:fldChar w:fldCharType="end"/>
            </w:r>
          </w:hyperlink>
        </w:p>
        <w:p w:rsidR="002A69A9" w:rsidRDefault="002A69A9">
          <w:pPr>
            <w:pStyle w:val="TOC1"/>
            <w:tabs>
              <w:tab w:val="right" w:leader="dot" w:pos="9010"/>
            </w:tabs>
            <w:rPr>
              <w:rFonts w:eastAsiaTheme="minorEastAsia"/>
              <w:noProof/>
              <w:sz w:val="22"/>
              <w:szCs w:val="22"/>
              <w:lang w:val="en-GB" w:eastAsia="en-GB"/>
            </w:rPr>
          </w:pPr>
          <w:hyperlink w:anchor="_Toc55901004" w:history="1">
            <w:r w:rsidRPr="003D4006">
              <w:rPr>
                <w:rStyle w:val="Hyperlink"/>
                <w:noProof/>
                <w:lang w:val="en-GB" w:eastAsia="en-GB"/>
              </w:rPr>
              <w:t>Glossary of Accounting Terms</w:t>
            </w:r>
            <w:r>
              <w:rPr>
                <w:noProof/>
                <w:webHidden/>
              </w:rPr>
              <w:tab/>
            </w:r>
            <w:r>
              <w:rPr>
                <w:noProof/>
                <w:webHidden/>
              </w:rPr>
              <w:fldChar w:fldCharType="begin"/>
            </w:r>
            <w:r>
              <w:rPr>
                <w:noProof/>
                <w:webHidden/>
              </w:rPr>
              <w:instrText xml:space="preserve"> PAGEREF _Toc55901004 \h </w:instrText>
            </w:r>
            <w:r>
              <w:rPr>
                <w:noProof/>
                <w:webHidden/>
              </w:rPr>
            </w:r>
            <w:r>
              <w:rPr>
                <w:noProof/>
                <w:webHidden/>
              </w:rPr>
              <w:fldChar w:fldCharType="separate"/>
            </w:r>
            <w:r w:rsidR="00ED12F8">
              <w:rPr>
                <w:noProof/>
                <w:webHidden/>
              </w:rPr>
              <w:t>74</w:t>
            </w:r>
            <w:r>
              <w:rPr>
                <w:noProof/>
                <w:webHidden/>
              </w:rPr>
              <w:fldChar w:fldCharType="end"/>
            </w:r>
          </w:hyperlink>
        </w:p>
        <w:p w:rsidR="0053376B" w:rsidRPr="008615E5" w:rsidRDefault="00F227D9" w:rsidP="00F227D9">
          <w:pPr>
            <w:rPr>
              <w:rFonts w:ascii="Verdana" w:hAnsi="Verdana"/>
              <w:bCs/>
              <w:noProof/>
            </w:rPr>
          </w:pPr>
          <w:r w:rsidRPr="008615E5">
            <w:rPr>
              <w:rFonts w:ascii="Verdana" w:hAnsi="Verdana"/>
              <w:bCs/>
              <w:noProof/>
            </w:rPr>
            <w:fldChar w:fldCharType="end"/>
          </w:r>
        </w:p>
      </w:sdtContent>
    </w:sdt>
    <w:p w:rsidR="00F227D9" w:rsidRDefault="00F227D9" w:rsidP="00F227D9">
      <w:pPr>
        <w:rPr>
          <w:rFonts w:ascii="Verdana" w:hAnsi="Verdana"/>
          <w:sz w:val="22"/>
          <w:szCs w:val="22"/>
          <w:lang w:val="en-AU"/>
        </w:rPr>
      </w:pPr>
      <w:r>
        <w:rPr>
          <w:rFonts w:ascii="Verdana" w:hAnsi="Verdana"/>
          <w:sz w:val="22"/>
          <w:szCs w:val="22"/>
          <w:lang w:val="en-AU"/>
        </w:rPr>
        <w:t xml:space="preserve"> </w:t>
      </w:r>
    </w:p>
    <w:p w:rsidR="00F227D9" w:rsidRDefault="00F227D9" w:rsidP="00F227D9">
      <w:pPr>
        <w:rPr>
          <w:rFonts w:ascii="Verdana" w:hAnsi="Verdana"/>
          <w:sz w:val="22"/>
          <w:szCs w:val="22"/>
          <w:lang w:val="en-AU"/>
        </w:rPr>
      </w:pPr>
      <w:r>
        <w:rPr>
          <w:rFonts w:ascii="Verdana" w:hAnsi="Verdana"/>
          <w:sz w:val="22"/>
          <w:szCs w:val="22"/>
          <w:lang w:val="en-AU"/>
        </w:rPr>
        <w:br w:type="page"/>
      </w:r>
    </w:p>
    <w:p w:rsidR="00F227D9" w:rsidRDefault="00F227D9">
      <w:pPr>
        <w:rPr>
          <w:rFonts w:ascii="Verdana" w:hAnsi="Verdana"/>
          <w:sz w:val="22"/>
          <w:szCs w:val="22"/>
          <w:lang w:val="en-AU"/>
        </w:rPr>
        <w:sectPr w:rsidR="00F227D9" w:rsidSect="00F227D9">
          <w:footerReference w:type="default" r:id="rId10"/>
          <w:pgSz w:w="11900" w:h="16840"/>
          <w:pgMar w:top="1440" w:right="1440" w:bottom="1440" w:left="1440" w:header="708" w:footer="708" w:gutter="0"/>
          <w:pgNumType w:start="1"/>
          <w:cols w:space="708"/>
          <w:docGrid w:linePitch="360"/>
        </w:sectPr>
      </w:pPr>
    </w:p>
    <w:p w:rsidR="00F227D9" w:rsidRPr="003D2925" w:rsidRDefault="00F227D9" w:rsidP="00F227D9">
      <w:pPr>
        <w:pStyle w:val="Heading1"/>
        <w:rPr>
          <w:lang w:val="en-GB" w:eastAsia="en-GB"/>
        </w:rPr>
      </w:pPr>
      <w:bookmarkStart w:id="1" w:name="_Toc55900971"/>
      <w:r w:rsidRPr="003D2925">
        <w:rPr>
          <w:lang w:val="en-GB" w:eastAsia="en-GB"/>
        </w:rPr>
        <w:lastRenderedPageBreak/>
        <w:t>Narrative Report</w:t>
      </w:r>
      <w:bookmarkEnd w:id="1"/>
    </w:p>
    <w:p w:rsidR="00F227D9" w:rsidRPr="003D2925" w:rsidRDefault="00F227D9" w:rsidP="00F227D9">
      <w:pPr>
        <w:pStyle w:val="Style2"/>
        <w:rPr>
          <w:rFonts w:ascii="Verdana" w:hAnsi="Verdana"/>
          <w:sz w:val="22"/>
          <w:szCs w:val="22"/>
          <w:lang w:val="en-GB" w:eastAsia="en-GB"/>
        </w:rPr>
      </w:pPr>
    </w:p>
    <w:p w:rsidR="00F227D9" w:rsidRPr="003D2925" w:rsidRDefault="00F227D9" w:rsidP="00F227D9">
      <w:pPr>
        <w:pStyle w:val="Style1"/>
        <w:numPr>
          <w:ilvl w:val="0"/>
          <w:numId w:val="7"/>
        </w:numPr>
        <w:rPr>
          <w:rFonts w:ascii="Verdana" w:hAnsi="Verdana"/>
          <w:sz w:val="22"/>
          <w:szCs w:val="22"/>
          <w:lang w:val="en-GB" w:eastAsia="en-GB"/>
        </w:rPr>
      </w:pPr>
      <w:r w:rsidRPr="003D2925">
        <w:rPr>
          <w:rFonts w:ascii="Verdana" w:hAnsi="Verdana"/>
          <w:sz w:val="22"/>
          <w:szCs w:val="22"/>
          <w:lang w:val="en-GB" w:eastAsia="en-GB"/>
        </w:rPr>
        <w:t>Introduction</w:t>
      </w:r>
    </w:p>
    <w:p w:rsidR="00F227D9" w:rsidRPr="00943794" w:rsidRDefault="00F227D9" w:rsidP="00F227D9">
      <w:pPr>
        <w:pStyle w:val="Style1"/>
        <w:numPr>
          <w:ilvl w:val="0"/>
          <w:numId w:val="0"/>
        </w:numPr>
        <w:ind w:left="-142" w:right="1070"/>
        <w:rPr>
          <w:rFonts w:ascii="Verdana" w:hAnsi="Verdana"/>
          <w:sz w:val="22"/>
          <w:szCs w:val="22"/>
          <w:highlight w:val="yellow"/>
          <w:lang w:val="en-GB" w:eastAsia="en-GB"/>
        </w:rPr>
      </w:pPr>
    </w:p>
    <w:p w:rsidR="00F227D9" w:rsidRPr="00FF1FF9" w:rsidRDefault="00F227D9" w:rsidP="00F227D9">
      <w:pPr>
        <w:pStyle w:val="Normal0"/>
        <w:jc w:val="both"/>
        <w:rPr>
          <w:rFonts w:ascii="Verdana" w:eastAsia="Times New Roman" w:hAnsi="Verdana" w:cs="Arial"/>
          <w:sz w:val="22"/>
          <w:szCs w:val="22"/>
          <w:lang w:val="en-GB" w:eastAsia="en-GB"/>
        </w:rPr>
      </w:pPr>
      <w:r w:rsidRPr="00FF3D29">
        <w:rPr>
          <w:rFonts w:ascii="Verdana" w:eastAsia="Times New Roman" w:hAnsi="Verdana" w:cs="Arial"/>
          <w:sz w:val="22"/>
          <w:szCs w:val="22"/>
          <w:lang w:val="en-GB" w:eastAsia="en-GB"/>
        </w:rPr>
        <w:t xml:space="preserve">The purpose of this narrative report is to provide a guide to the most significant matters reported in </w:t>
      </w:r>
      <w:r w:rsidRPr="00FF1FF9">
        <w:rPr>
          <w:rFonts w:ascii="Verdana" w:eastAsia="Times New Roman" w:hAnsi="Verdana" w:cs="Arial"/>
          <w:sz w:val="22"/>
          <w:szCs w:val="22"/>
          <w:lang w:val="en-GB" w:eastAsia="en-GB"/>
        </w:rPr>
        <w:t>the 201</w:t>
      </w:r>
      <w:r w:rsidR="00FF3D29" w:rsidRPr="00FF1FF9">
        <w:rPr>
          <w:rFonts w:ascii="Verdana" w:eastAsia="Times New Roman" w:hAnsi="Verdana" w:cs="Arial"/>
          <w:sz w:val="22"/>
          <w:szCs w:val="22"/>
          <w:lang w:val="en-GB" w:eastAsia="en-GB"/>
        </w:rPr>
        <w:t>9</w:t>
      </w:r>
      <w:r w:rsidRPr="00FF1FF9">
        <w:rPr>
          <w:rFonts w:ascii="Verdana" w:eastAsia="Times New Roman" w:hAnsi="Verdana" w:cs="Arial"/>
          <w:sz w:val="22"/>
          <w:szCs w:val="22"/>
          <w:lang w:val="en-GB" w:eastAsia="en-GB"/>
        </w:rPr>
        <w:t>/</w:t>
      </w:r>
      <w:r w:rsidR="00FF3D29" w:rsidRPr="00FF1FF9">
        <w:rPr>
          <w:rFonts w:ascii="Verdana" w:eastAsia="Times New Roman" w:hAnsi="Verdana" w:cs="Arial"/>
          <w:sz w:val="22"/>
          <w:szCs w:val="22"/>
          <w:lang w:val="en-GB" w:eastAsia="en-GB"/>
        </w:rPr>
        <w:t>20</w:t>
      </w:r>
      <w:r w:rsidRPr="00FF1FF9">
        <w:rPr>
          <w:rFonts w:ascii="Verdana" w:eastAsia="Times New Roman" w:hAnsi="Verdana" w:cs="Arial"/>
          <w:sz w:val="22"/>
          <w:szCs w:val="22"/>
          <w:lang w:val="en-GB" w:eastAsia="en-GB"/>
        </w:rPr>
        <w:t xml:space="preserve"> Financial Statements for the Chief Constable for Surrey. The narrative report explains the purpose of the Financial Statements, a summary of the financial activities and the financial position as at 31</w:t>
      </w:r>
      <w:r w:rsidRPr="00FF1FF9">
        <w:rPr>
          <w:rFonts w:ascii="Verdana" w:eastAsia="Times New Roman" w:hAnsi="Verdana" w:cs="Arial"/>
          <w:sz w:val="22"/>
          <w:szCs w:val="22"/>
          <w:vertAlign w:val="superscript"/>
          <w:lang w:val="en-GB" w:eastAsia="en-GB"/>
        </w:rPr>
        <w:t>st</w:t>
      </w:r>
      <w:r w:rsidRPr="00FF1FF9">
        <w:rPr>
          <w:rFonts w:ascii="Verdana" w:eastAsia="Times New Roman" w:hAnsi="Verdana" w:cs="Arial"/>
          <w:sz w:val="22"/>
          <w:szCs w:val="22"/>
          <w:lang w:val="en-GB" w:eastAsia="en-GB"/>
        </w:rPr>
        <w:t xml:space="preserve"> March 20</w:t>
      </w:r>
      <w:r w:rsidR="00FF3D29" w:rsidRPr="00FF1FF9">
        <w:rPr>
          <w:rFonts w:ascii="Verdana" w:eastAsia="Times New Roman" w:hAnsi="Verdana" w:cs="Arial"/>
          <w:sz w:val="22"/>
          <w:szCs w:val="22"/>
          <w:lang w:val="en-GB" w:eastAsia="en-GB"/>
        </w:rPr>
        <w:t>20</w:t>
      </w:r>
      <w:r w:rsidRPr="00FF1FF9">
        <w:rPr>
          <w:rFonts w:ascii="Verdana" w:eastAsia="Times New Roman" w:hAnsi="Verdana" w:cs="Arial"/>
          <w:sz w:val="22"/>
          <w:szCs w:val="22"/>
          <w:lang w:val="en-GB" w:eastAsia="en-GB"/>
        </w:rPr>
        <w:t>.</w:t>
      </w:r>
    </w:p>
    <w:p w:rsidR="00F227D9" w:rsidRPr="00FF1FF9" w:rsidRDefault="00F227D9" w:rsidP="00F227D9">
      <w:pPr>
        <w:pStyle w:val="Normal0"/>
        <w:jc w:val="both"/>
        <w:rPr>
          <w:rFonts w:ascii="Verdana" w:eastAsia="Times New Roman" w:hAnsi="Verdana" w:cs="Arial"/>
          <w:sz w:val="22"/>
          <w:szCs w:val="22"/>
          <w:lang w:val="en-GB" w:eastAsia="en-GB"/>
        </w:rPr>
      </w:pPr>
    </w:p>
    <w:p w:rsidR="00F227D9" w:rsidRPr="00FF1FF9" w:rsidRDefault="00F227D9" w:rsidP="00F227D9">
      <w:pPr>
        <w:pStyle w:val="Normal0"/>
        <w:spacing w:after="150"/>
        <w:jc w:val="both"/>
        <w:rPr>
          <w:rFonts w:ascii="Verdana" w:eastAsia="Times New Roman" w:hAnsi="Verdana" w:cs="Arial"/>
          <w:sz w:val="22"/>
          <w:szCs w:val="22"/>
          <w:lang w:val="en-GB" w:eastAsia="en-GB"/>
        </w:rPr>
      </w:pPr>
      <w:r w:rsidRPr="00FF1FF9">
        <w:rPr>
          <w:rFonts w:ascii="Verdana" w:eastAsia="Times New Roman" w:hAnsi="Verdana" w:cs="Arial"/>
          <w:sz w:val="22"/>
          <w:szCs w:val="22"/>
          <w:lang w:val="en-GB" w:eastAsia="en-GB"/>
        </w:rPr>
        <w:t>Surrey is a county in the South East of England, covering 644 square-miles, with one county council</w:t>
      </w:r>
      <w:r w:rsidR="00D20C66">
        <w:rPr>
          <w:rFonts w:ascii="Verdana" w:eastAsia="Times New Roman" w:hAnsi="Verdana" w:cs="Arial"/>
          <w:sz w:val="22"/>
          <w:szCs w:val="22"/>
          <w:lang w:val="en-GB" w:eastAsia="en-GB"/>
        </w:rPr>
        <w:t>, 11 boroughs/districts and 6</w:t>
      </w:r>
      <w:r w:rsidRPr="00FF1FF9">
        <w:rPr>
          <w:rFonts w:ascii="Verdana" w:eastAsia="Times New Roman" w:hAnsi="Verdana" w:cs="Arial"/>
          <w:sz w:val="22"/>
          <w:szCs w:val="22"/>
          <w:lang w:val="en-GB" w:eastAsia="en-GB"/>
        </w:rPr>
        <w:t xml:space="preserve"> major hospitals</w:t>
      </w:r>
      <w:r w:rsidR="00D20C66">
        <w:rPr>
          <w:rFonts w:ascii="Verdana" w:eastAsia="Times New Roman" w:hAnsi="Verdana" w:cs="Arial"/>
          <w:sz w:val="22"/>
          <w:szCs w:val="22"/>
          <w:lang w:val="en-GB" w:eastAsia="en-GB"/>
        </w:rPr>
        <w:t xml:space="preserve"> with A&amp;E departments</w:t>
      </w:r>
      <w:r w:rsidRPr="00FF1FF9">
        <w:rPr>
          <w:rFonts w:ascii="Verdana" w:eastAsia="Times New Roman" w:hAnsi="Verdana" w:cs="Arial"/>
          <w:sz w:val="22"/>
          <w:szCs w:val="22"/>
          <w:lang w:val="en-GB" w:eastAsia="en-GB"/>
        </w:rPr>
        <w:t>. It has 62 miles of motorway, including the busiest M25 stretch. Surrey’s rivers include the Thames which is a notable flooding risk and 73% of the county is classified as greenbelt. Surrey borders the UK’s busiest two airports. It is the most densely populated county in South East England with a population of 1.2 million.</w:t>
      </w:r>
      <w:r w:rsidR="00FF1FF9">
        <w:rPr>
          <w:rFonts w:ascii="Verdana" w:eastAsia="Times New Roman" w:hAnsi="Verdana" w:cs="Arial"/>
          <w:sz w:val="22"/>
          <w:szCs w:val="22"/>
          <w:lang w:val="en-GB" w:eastAsia="en-GB"/>
        </w:rPr>
        <w:t xml:space="preserve"> The resident population is increased significantly by </w:t>
      </w:r>
      <w:r w:rsidR="00220628">
        <w:rPr>
          <w:rFonts w:ascii="Verdana" w:eastAsia="Times New Roman" w:hAnsi="Verdana" w:cs="Arial"/>
          <w:sz w:val="22"/>
          <w:szCs w:val="22"/>
          <w:lang w:val="en-GB" w:eastAsia="en-GB"/>
        </w:rPr>
        <w:t>university students and the large numbers who visit, socialise in, or travel through the area each year.</w:t>
      </w:r>
      <w:r w:rsidRPr="00FF1FF9">
        <w:rPr>
          <w:rFonts w:ascii="Verdana" w:eastAsia="Times New Roman" w:hAnsi="Verdana" w:cs="Arial"/>
          <w:sz w:val="22"/>
          <w:szCs w:val="22"/>
          <w:lang w:val="en-GB" w:eastAsia="en-GB"/>
        </w:rPr>
        <w:t xml:space="preserve"> The Olympic legacy increased the sporting footprint, with national cycling competitions and</w:t>
      </w:r>
      <w:r w:rsidR="00220628">
        <w:rPr>
          <w:rFonts w:ascii="Verdana" w:eastAsia="Times New Roman" w:hAnsi="Verdana" w:cs="Arial"/>
          <w:sz w:val="22"/>
          <w:szCs w:val="22"/>
          <w:lang w:val="en-GB" w:eastAsia="en-GB"/>
        </w:rPr>
        <w:t xml:space="preserve"> Epsom Derby which is</w:t>
      </w:r>
      <w:r w:rsidRPr="00FF1FF9">
        <w:rPr>
          <w:rFonts w:ascii="Verdana" w:eastAsia="Times New Roman" w:hAnsi="Verdana" w:cs="Arial"/>
          <w:sz w:val="22"/>
          <w:szCs w:val="22"/>
          <w:lang w:val="en-GB" w:eastAsia="en-GB"/>
        </w:rPr>
        <w:t xml:space="preserve"> the country’s largest one-</w:t>
      </w:r>
      <w:r w:rsidR="00220628">
        <w:rPr>
          <w:rFonts w:ascii="Verdana" w:eastAsia="Times New Roman" w:hAnsi="Verdana" w:cs="Arial"/>
          <w:sz w:val="22"/>
          <w:szCs w:val="22"/>
          <w:lang w:val="en-GB" w:eastAsia="en-GB"/>
        </w:rPr>
        <w:t>day sporting event attracting over 100,000 racegoers each year</w:t>
      </w:r>
      <w:r w:rsidRPr="00FF1FF9">
        <w:rPr>
          <w:rFonts w:ascii="Verdana" w:eastAsia="Times New Roman" w:hAnsi="Verdana" w:cs="Arial"/>
          <w:sz w:val="22"/>
          <w:szCs w:val="22"/>
          <w:lang w:val="en-GB" w:eastAsia="en-GB"/>
        </w:rPr>
        <w:t>.</w:t>
      </w:r>
    </w:p>
    <w:p w:rsidR="00F227D9" w:rsidRPr="00FF1FF9" w:rsidRDefault="00F227D9" w:rsidP="00F227D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FF1FF9">
        <w:rPr>
          <w:rFonts w:ascii="Verdana" w:eastAsia="Times New Roman" w:hAnsi="Verdana" w:cs="Arial"/>
          <w:sz w:val="22"/>
          <w:szCs w:val="22"/>
          <w:lang w:val="en-GB" w:eastAsia="en-GB"/>
        </w:rPr>
        <w:t xml:space="preserve">The vision for Surrey Police is to make Surrey the safest it can be in which to live and work, and a welcoming place to visit. Surrey Police has a track record of successful crime reduction and problem solving activity. Building on this experience and know-how, there is an aspiration to make Surrey even safer. </w:t>
      </w:r>
    </w:p>
    <w:p w:rsidR="00F227D9" w:rsidRPr="00FF1FF9" w:rsidRDefault="00F227D9" w:rsidP="00F227D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FF1FF9">
        <w:rPr>
          <w:rFonts w:ascii="Verdana" w:eastAsia="Times New Roman" w:hAnsi="Verdana" w:cs="Arial"/>
          <w:sz w:val="22"/>
          <w:szCs w:val="22"/>
          <w:lang w:val="en-GB" w:eastAsia="en-GB"/>
        </w:rPr>
        <w:t>Surrey Police introduced a new policing model aimed at making the best use of its policing resource. This model has provided each of the three divisions with dedicated Area Policing Teams, responsible for responding to calls and investigating crime. In addition, specialist teams continue to investigate more serious criminality and a dedicated safeguarding unit focuses on offences against vulnerable people. Each of the 11 boroughs in Surrey has a dedicated Safer Neighbourhood Team to work with partners to address the root causes of crime and tackle those issues which can blight local communities.</w:t>
      </w:r>
    </w:p>
    <w:p w:rsidR="00F227D9" w:rsidRPr="00220628" w:rsidRDefault="00F227D9" w:rsidP="00F227D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FF1FF9">
        <w:rPr>
          <w:rFonts w:ascii="Verdana" w:eastAsia="Times New Roman" w:hAnsi="Verdana" w:cs="Arial"/>
          <w:sz w:val="22"/>
          <w:szCs w:val="22"/>
          <w:lang w:val="en-GB" w:eastAsia="en-GB"/>
        </w:rPr>
        <w:t>Policing has become more complex; crime is changing and new demands are made of Surrey Police, this requires new ways of working along with new ways of leading. Surrey Police continues to work more closely with other forces, other agencies and with its communities to find new ways of managing demand and improving efficiency</w:t>
      </w:r>
      <w:r w:rsidRPr="00220628">
        <w:rPr>
          <w:rFonts w:ascii="Verdana" w:eastAsia="Times New Roman" w:hAnsi="Verdana" w:cs="Arial"/>
          <w:sz w:val="22"/>
          <w:szCs w:val="22"/>
          <w:lang w:val="en-GB" w:eastAsia="en-GB"/>
        </w:rPr>
        <w:t xml:space="preserve">. </w:t>
      </w:r>
    </w:p>
    <w:p w:rsidR="00220628" w:rsidRDefault="00220628" w:rsidP="00F227D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220628">
        <w:rPr>
          <w:rFonts w:ascii="Verdana" w:eastAsia="Times New Roman" w:hAnsi="Verdana" w:cs="Arial"/>
          <w:sz w:val="22"/>
          <w:szCs w:val="22"/>
          <w:lang w:val="en-GB" w:eastAsia="en-GB"/>
        </w:rPr>
        <w:t>The complexity</w:t>
      </w:r>
      <w:r>
        <w:rPr>
          <w:rFonts w:ascii="Verdana" w:eastAsia="Times New Roman" w:hAnsi="Verdana" w:cs="Arial"/>
          <w:sz w:val="22"/>
          <w:szCs w:val="22"/>
          <w:lang w:val="en-GB" w:eastAsia="en-GB"/>
        </w:rPr>
        <w:t xml:space="preserve"> of these investigations, especially those involving digital media or communications data or safeguarding issues, continues to increase. The use of technology in offending is an ever increasing issue often directed at those most vulnerable in our county.</w:t>
      </w:r>
    </w:p>
    <w:p w:rsidR="00220628" w:rsidRDefault="00220628" w:rsidP="00F227D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Pr>
          <w:rFonts w:ascii="Verdana" w:eastAsia="Times New Roman" w:hAnsi="Verdana" w:cs="Arial"/>
          <w:sz w:val="22"/>
          <w:szCs w:val="22"/>
          <w:lang w:val="en-GB" w:eastAsia="en-GB"/>
        </w:rPr>
        <w:t>Mental health issues continue to impact with an anticipated 12% rise in incidents by 2020. A number of partnership initiatives have been put in place to assist in reducing this demand, including the introduction of a joint police and mental health trust team, to provide a consistent response to high risk and high demand patients to ensure that the response provided by officers is appropriate to the individual’s needs.</w:t>
      </w:r>
    </w:p>
    <w:p w:rsidR="005C3491" w:rsidRDefault="00220628" w:rsidP="00F227D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Pr>
          <w:rFonts w:ascii="Verdana" w:eastAsia="Times New Roman" w:hAnsi="Verdana" w:cs="Arial"/>
          <w:sz w:val="22"/>
          <w:szCs w:val="22"/>
          <w:lang w:val="en-GB" w:eastAsia="en-GB"/>
        </w:rPr>
        <w:t xml:space="preserve">The force has been focusing on those issues that impact most, safeguarding those who call on our service, cyber enabled crime, sexual assaults and the serious threats of insurgent crime </w:t>
      </w:r>
      <w:r>
        <w:rPr>
          <w:rFonts w:ascii="Verdana" w:eastAsia="Times New Roman" w:hAnsi="Verdana" w:cs="Arial"/>
          <w:sz w:val="22"/>
          <w:szCs w:val="22"/>
          <w:lang w:val="en-GB" w:eastAsia="en-GB"/>
        </w:rPr>
        <w:lastRenderedPageBreak/>
        <w:t>‘County lines’ crimi</w:t>
      </w:r>
      <w:r w:rsidR="005C3491">
        <w:rPr>
          <w:rFonts w:ascii="Verdana" w:eastAsia="Times New Roman" w:hAnsi="Verdana" w:cs="Arial"/>
          <w:sz w:val="22"/>
          <w:szCs w:val="22"/>
          <w:lang w:val="en-GB" w:eastAsia="en-GB"/>
        </w:rPr>
        <w:t>nality and continues to enhance its partnership problem solving capability in support of neighbourhood policing.</w:t>
      </w:r>
    </w:p>
    <w:p w:rsidR="00220628" w:rsidRPr="00220628" w:rsidRDefault="005C3491" w:rsidP="00F227D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Pr>
          <w:rFonts w:ascii="Verdana" w:eastAsia="Times New Roman" w:hAnsi="Verdana" w:cs="Arial"/>
          <w:sz w:val="22"/>
          <w:szCs w:val="22"/>
          <w:lang w:val="en-GB" w:eastAsia="en-GB"/>
        </w:rPr>
        <w:t>In order to manage these issues for the financial year 2019/20, through the precept increase of £3.8m, the force has been investing heavily in our preventative policing approach and recruiting an additional 104 police officers and staff to support neighbourhood prevention and intervention, safeguarding, cyber-crime and serious organised crime.</w:t>
      </w:r>
      <w:r w:rsidR="001624A9">
        <w:rPr>
          <w:rFonts w:ascii="Verdana" w:eastAsia="Times New Roman" w:hAnsi="Verdana" w:cs="Arial"/>
          <w:sz w:val="22"/>
          <w:szCs w:val="22"/>
          <w:lang w:val="en-GB" w:eastAsia="en-GB"/>
        </w:rPr>
        <w:t xml:space="preserve"> Due to levels of attrition being higher than planned this ambition was delayed slightly until May</w:t>
      </w:r>
      <w:r w:rsidR="00277A9F">
        <w:rPr>
          <w:rFonts w:ascii="Verdana" w:eastAsia="Times New Roman" w:hAnsi="Verdana" w:cs="Arial"/>
          <w:sz w:val="22"/>
          <w:szCs w:val="22"/>
          <w:lang w:val="en-GB" w:eastAsia="en-GB"/>
        </w:rPr>
        <w:t xml:space="preserve"> 2020 and they </w:t>
      </w:r>
      <w:r w:rsidR="001624A9">
        <w:rPr>
          <w:rFonts w:ascii="Verdana" w:eastAsia="Times New Roman" w:hAnsi="Verdana" w:cs="Arial"/>
          <w:sz w:val="22"/>
          <w:szCs w:val="22"/>
          <w:lang w:val="en-GB" w:eastAsia="en-GB"/>
        </w:rPr>
        <w:t>are now in place.</w:t>
      </w:r>
    </w:p>
    <w:p w:rsidR="00FF1FF9" w:rsidRPr="00AC5A2C" w:rsidRDefault="00373459" w:rsidP="00F227D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Pr>
          <w:rFonts w:ascii="Verdana" w:eastAsia="Times New Roman" w:hAnsi="Verdana" w:cs="Arial"/>
          <w:sz w:val="22"/>
          <w:szCs w:val="22"/>
          <w:lang w:val="en-GB" w:eastAsia="en-GB"/>
        </w:rPr>
        <w:t>R</w:t>
      </w:r>
      <w:r w:rsidR="00277A9F">
        <w:rPr>
          <w:rFonts w:ascii="Verdana" w:eastAsia="Times New Roman" w:hAnsi="Verdana" w:cs="Arial"/>
          <w:sz w:val="22"/>
          <w:szCs w:val="22"/>
          <w:lang w:val="en-GB" w:eastAsia="en-GB"/>
        </w:rPr>
        <w:t>evenue</w:t>
      </w:r>
      <w:r>
        <w:rPr>
          <w:rFonts w:ascii="Verdana" w:eastAsia="Times New Roman" w:hAnsi="Verdana" w:cs="Arial"/>
          <w:sz w:val="22"/>
          <w:szCs w:val="22"/>
          <w:lang w:val="en-GB" w:eastAsia="en-GB"/>
        </w:rPr>
        <w:t xml:space="preserve"> budget</w:t>
      </w:r>
      <w:r w:rsidR="00277A9F">
        <w:rPr>
          <w:rFonts w:ascii="Verdana" w:eastAsia="Times New Roman" w:hAnsi="Verdana" w:cs="Arial"/>
          <w:sz w:val="22"/>
          <w:szCs w:val="22"/>
          <w:lang w:val="en-GB" w:eastAsia="en-GB"/>
        </w:rPr>
        <w:t xml:space="preserve"> underspends achieved during the</w:t>
      </w:r>
      <w:r>
        <w:rPr>
          <w:rFonts w:ascii="Verdana" w:eastAsia="Times New Roman" w:hAnsi="Verdana" w:cs="Arial"/>
          <w:sz w:val="22"/>
          <w:szCs w:val="22"/>
          <w:lang w:val="en-GB" w:eastAsia="en-GB"/>
        </w:rPr>
        <w:t xml:space="preserve"> 2019/20</w:t>
      </w:r>
      <w:r w:rsidR="00277A9F">
        <w:rPr>
          <w:rFonts w:ascii="Verdana" w:eastAsia="Times New Roman" w:hAnsi="Verdana" w:cs="Arial"/>
          <w:sz w:val="22"/>
          <w:szCs w:val="22"/>
          <w:lang w:val="en-GB" w:eastAsia="en-GB"/>
        </w:rPr>
        <w:t xml:space="preserve"> year </w:t>
      </w:r>
      <w:r w:rsidR="00D20C66">
        <w:rPr>
          <w:rFonts w:ascii="Verdana" w:eastAsia="Times New Roman" w:hAnsi="Verdana" w:cs="Arial"/>
          <w:sz w:val="22"/>
          <w:szCs w:val="22"/>
          <w:lang w:val="en-GB" w:eastAsia="en-GB"/>
        </w:rPr>
        <w:t xml:space="preserve">were transferred to reserves and </w:t>
      </w:r>
      <w:r w:rsidR="00277A9F">
        <w:rPr>
          <w:rFonts w:ascii="Verdana" w:eastAsia="Times New Roman" w:hAnsi="Verdana" w:cs="Arial"/>
          <w:sz w:val="22"/>
          <w:szCs w:val="22"/>
          <w:lang w:val="en-GB" w:eastAsia="en-GB"/>
        </w:rPr>
        <w:t xml:space="preserve">provided an opportunity to </w:t>
      </w:r>
      <w:r>
        <w:rPr>
          <w:rFonts w:ascii="Verdana" w:eastAsia="Times New Roman" w:hAnsi="Verdana" w:cs="Arial"/>
          <w:sz w:val="22"/>
          <w:szCs w:val="22"/>
          <w:lang w:val="en-GB" w:eastAsia="en-GB"/>
        </w:rPr>
        <w:t xml:space="preserve">create a specific Covid-19 reserve of £1.0m at the year-end which can now be used to </w:t>
      </w:r>
      <w:r w:rsidR="00277A9F">
        <w:rPr>
          <w:rFonts w:ascii="Verdana" w:eastAsia="Times New Roman" w:hAnsi="Verdana" w:cs="Arial"/>
          <w:sz w:val="22"/>
          <w:szCs w:val="22"/>
          <w:lang w:val="en-GB" w:eastAsia="en-GB"/>
        </w:rPr>
        <w:t>mitigate some of the costs and loss of income incurred in relation to the Covid-19 pandemic.</w:t>
      </w:r>
      <w:r w:rsidR="00D20C66">
        <w:rPr>
          <w:rFonts w:ascii="Verdana" w:eastAsia="Times New Roman" w:hAnsi="Verdana" w:cs="Arial"/>
          <w:sz w:val="22"/>
          <w:szCs w:val="22"/>
          <w:lang w:val="en-GB" w:eastAsia="en-GB"/>
        </w:rPr>
        <w:t xml:space="preserve"> The PCC has also been considering new initiatives to help residents during the pandemic </w:t>
      </w:r>
      <w:r w:rsidR="00D20C66" w:rsidRPr="00AC5A2C">
        <w:rPr>
          <w:rFonts w:ascii="Verdana" w:eastAsia="Times New Roman" w:hAnsi="Verdana" w:cs="Arial"/>
          <w:sz w:val="22"/>
          <w:szCs w:val="22"/>
          <w:lang w:val="en-GB" w:eastAsia="en-GB"/>
        </w:rPr>
        <w:t>such as a helpline to be funded from the PCC Operational Reserve.</w:t>
      </w:r>
    </w:p>
    <w:p w:rsidR="00FF1FF9" w:rsidRPr="00AC5A2C" w:rsidRDefault="00FF1FF9" w:rsidP="00F227D9">
      <w:pPr>
        <w:pStyle w:val="Normal0"/>
        <w:shd w:val="clear" w:color="auto" w:fill="FFFFFF"/>
        <w:spacing w:before="100" w:beforeAutospacing="1" w:after="100" w:afterAutospacing="1"/>
        <w:jc w:val="both"/>
        <w:rPr>
          <w:rFonts w:ascii="Verdana" w:eastAsia="Times New Roman" w:hAnsi="Verdana" w:cs="Arial"/>
          <w:b/>
          <w:sz w:val="22"/>
          <w:szCs w:val="22"/>
          <w:lang w:val="en-GB" w:eastAsia="en-GB"/>
        </w:rPr>
      </w:pPr>
    </w:p>
    <w:p w:rsidR="00FF3D29" w:rsidRPr="00AC5A2C" w:rsidRDefault="00FF3D29" w:rsidP="00F227D9">
      <w:pPr>
        <w:pStyle w:val="Style1"/>
        <w:numPr>
          <w:ilvl w:val="0"/>
          <w:numId w:val="7"/>
        </w:numPr>
        <w:rPr>
          <w:rFonts w:ascii="Verdana" w:hAnsi="Verdana"/>
          <w:sz w:val="22"/>
          <w:szCs w:val="22"/>
          <w:lang w:val="en-GB" w:eastAsia="en-GB"/>
        </w:rPr>
      </w:pPr>
      <w:r w:rsidRPr="00AC5A2C">
        <w:rPr>
          <w:rFonts w:ascii="Verdana" w:hAnsi="Verdana"/>
          <w:sz w:val="22"/>
          <w:szCs w:val="22"/>
          <w:lang w:val="en-GB" w:eastAsia="en-GB"/>
        </w:rPr>
        <w:t>The financial year ahead</w:t>
      </w:r>
    </w:p>
    <w:p w:rsidR="00FF3D29" w:rsidRPr="00AC5A2C" w:rsidRDefault="00FF3D29" w:rsidP="00FF3D2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AC5A2C">
        <w:rPr>
          <w:rFonts w:ascii="Verdana" w:eastAsia="Times New Roman" w:hAnsi="Verdana" w:cs="Arial"/>
          <w:sz w:val="22"/>
          <w:szCs w:val="22"/>
          <w:lang w:val="en-GB" w:eastAsia="en-GB"/>
        </w:rPr>
        <w:t>The financial year 2020/21 represents an exciting period of growth for Surrey Police but, in light of the current Covid-19 pandemic, will not be without significant challenges.</w:t>
      </w:r>
    </w:p>
    <w:p w:rsidR="00AC5A2C" w:rsidRPr="00AC5A2C" w:rsidRDefault="00AC5A2C" w:rsidP="00AC5A2C">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AC5A2C">
        <w:rPr>
          <w:rFonts w:ascii="Verdana" w:eastAsia="Times New Roman" w:hAnsi="Verdana" w:cs="Arial"/>
          <w:sz w:val="22"/>
          <w:szCs w:val="22"/>
          <w:lang w:val="en-GB" w:eastAsia="en-GB"/>
        </w:rPr>
        <w:t>It is an underestimation to say that we are experiencing huge change with the current health crisis and commitment to the force, colleagues and invaluable work from all employees has been exceptional. We have all had to adapt, very quickly, to new ways of working, to new methods of communicating with each other, and to the new social conditions placed on us and our families. Staff and officers embraced the change taking on tasks beyond the norm with acceptance and willingness, and to continue to support our frontline colleagues as they also face change and uncharted challenges. Some working environments are more difficult than others and wellbeing was especially important during this time, from both physical health and mental health perspectives for both employees and the people we serve.</w:t>
      </w:r>
    </w:p>
    <w:p w:rsidR="00AC5A2C" w:rsidRPr="00AC5A2C" w:rsidRDefault="00AC5A2C" w:rsidP="00AC5A2C">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AC5A2C">
        <w:rPr>
          <w:rFonts w:ascii="Verdana" w:eastAsia="Times New Roman" w:hAnsi="Verdana" w:cs="Arial"/>
          <w:sz w:val="22"/>
          <w:szCs w:val="22"/>
          <w:lang w:val="en-GB" w:eastAsia="en-GB"/>
        </w:rPr>
        <w:t>Procurement, insurance and financial</w:t>
      </w:r>
      <w:r>
        <w:rPr>
          <w:rFonts w:ascii="Verdana" w:eastAsia="Times New Roman" w:hAnsi="Verdana" w:cs="Arial"/>
          <w:sz w:val="22"/>
          <w:szCs w:val="22"/>
          <w:lang w:val="en-GB" w:eastAsia="en-GB"/>
        </w:rPr>
        <w:t xml:space="preserve"> services across Surrey Police and Sussex</w:t>
      </w:r>
      <w:r w:rsidRPr="00AC5A2C">
        <w:rPr>
          <w:rFonts w:ascii="Verdana" w:eastAsia="Times New Roman" w:hAnsi="Verdana" w:cs="Arial"/>
          <w:sz w:val="22"/>
          <w:szCs w:val="22"/>
          <w:lang w:val="en-GB" w:eastAsia="en-GB"/>
        </w:rPr>
        <w:t xml:space="preserve"> Police were able to secure procurement of £5m of PPE, facilities teams coordinated and distributed PPE for both forces, buildings continued to stay open and functioning whilst cleaning regimes were changed to incorporate additional cleaning of touch points around police premises, to ensure people remain as safe as possible within the workplace where necessary functions had to remain in HQ and other buildings. The fleet was kept on the roads and maintained throughout.</w:t>
      </w:r>
    </w:p>
    <w:p w:rsidR="00AC5A2C" w:rsidRPr="00AC5A2C" w:rsidRDefault="00AC5A2C" w:rsidP="00AC5A2C">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AC5A2C">
        <w:rPr>
          <w:rFonts w:ascii="Verdana" w:eastAsia="Times New Roman" w:hAnsi="Verdana" w:cs="Arial"/>
          <w:sz w:val="22"/>
          <w:szCs w:val="22"/>
          <w:lang w:val="en-GB" w:eastAsia="en-GB"/>
        </w:rPr>
        <w:t>The impact of Covid-19 is kept under constant review by the Chief Constable through established risk and monitoring processes. Operation Apollo, a ‘gold command’ governance group was set up to respond to changes as they were publicly announced, maintain a robust control environment to capture issues, assess capacity and capability, manage stakeholder engagement, make dec</w:t>
      </w:r>
      <w:r>
        <w:rPr>
          <w:rFonts w:ascii="Verdana" w:eastAsia="Times New Roman" w:hAnsi="Verdana" w:cs="Arial"/>
          <w:sz w:val="22"/>
          <w:szCs w:val="22"/>
          <w:lang w:val="en-GB" w:eastAsia="en-GB"/>
        </w:rPr>
        <w:t>isions and coordinate the Surrey</w:t>
      </w:r>
      <w:r w:rsidRPr="00AC5A2C">
        <w:rPr>
          <w:rFonts w:ascii="Verdana" w:eastAsia="Times New Roman" w:hAnsi="Verdana" w:cs="Arial"/>
          <w:sz w:val="22"/>
          <w:szCs w:val="22"/>
          <w:lang w:val="en-GB" w:eastAsia="en-GB"/>
        </w:rPr>
        <w:t xml:space="preserve"> Police response to Covid-19.</w:t>
      </w:r>
    </w:p>
    <w:p w:rsidR="00AC5A2C" w:rsidRPr="00AC5A2C" w:rsidRDefault="00AC5A2C" w:rsidP="00AC5A2C">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AC5A2C">
        <w:rPr>
          <w:rFonts w:ascii="Verdana" w:eastAsia="Times New Roman" w:hAnsi="Verdana" w:cs="Arial"/>
          <w:sz w:val="22"/>
          <w:szCs w:val="22"/>
          <w:lang w:val="en-GB" w:eastAsia="en-GB"/>
        </w:rPr>
        <w:t xml:space="preserve">Extensive internal and external communications, managed via Operation Apollo issued the latest information, guidance and wellbeing support to staff and officers daily. Activation of ‘social distancing’ policies and business continuity plans were invoked early on,  with non-operational staff mostly working from home and most meetings moved to teleconference or alternative virtual meeting space e.g. Skype or Teams. Redeployment of staff and officers supported the front-line workforce for Operation Apollo and changes in priorities and crime </w:t>
      </w:r>
      <w:r w:rsidRPr="00AC5A2C">
        <w:rPr>
          <w:rFonts w:ascii="Verdana" w:eastAsia="Times New Roman" w:hAnsi="Verdana" w:cs="Arial"/>
          <w:sz w:val="22"/>
          <w:szCs w:val="22"/>
          <w:lang w:val="en-GB" w:eastAsia="en-GB"/>
        </w:rPr>
        <w:lastRenderedPageBreak/>
        <w:t xml:space="preserve">demands arising from Covid-19. Frequent dialogue was maintained with government officials and key stakeholders.  </w:t>
      </w:r>
    </w:p>
    <w:p w:rsidR="00AC5A2C" w:rsidRPr="00AC5A2C" w:rsidRDefault="00AC5A2C" w:rsidP="00AC5A2C">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AC5A2C">
        <w:rPr>
          <w:rFonts w:ascii="Verdana" w:eastAsia="Times New Roman" w:hAnsi="Verdana" w:cs="Arial"/>
          <w:sz w:val="22"/>
          <w:szCs w:val="22"/>
          <w:lang w:val="en-GB" w:eastAsia="en-GB"/>
        </w:rPr>
        <w:t>Detailed monitoring and collation of additional costs of policing resulting from Covid-19 included pay related costs, personal protective equipment (PPE) for frontline staff, IT investment to allow people to work from home and income losses, whilst more flexible use of Government Procurement Cards and local floats facilitated urgent purchases. Immediate payment of invoices helped mitigate risk of failure by essential suppliers in the supply chain. Strategic review of all budget areas for 2020/21 is underway to mitigate costs arising from Covid-19 and support financial sustainability.</w:t>
      </w:r>
    </w:p>
    <w:p w:rsidR="00AC5A2C" w:rsidRPr="00AC5A2C" w:rsidRDefault="00AC5A2C" w:rsidP="00AC5A2C">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AC5A2C">
        <w:rPr>
          <w:rFonts w:ascii="Verdana" w:eastAsia="Times New Roman" w:hAnsi="Verdana" w:cs="Arial"/>
          <w:sz w:val="22"/>
          <w:szCs w:val="22"/>
          <w:lang w:val="en-GB" w:eastAsia="en-GB"/>
        </w:rPr>
        <w:t>Government initiatives to mitigate policing cash flow pressures include early payment of and more flexible use of government grants already granted for use in 2020/21 although no new government funding specifically for Covid-19 costs has yet been agreed.</w:t>
      </w:r>
    </w:p>
    <w:p w:rsidR="00FF3D29" w:rsidRPr="00AC5A2C" w:rsidRDefault="00FF3D29" w:rsidP="00FF3D2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AC5A2C">
        <w:rPr>
          <w:rFonts w:ascii="Verdana" w:eastAsia="Times New Roman" w:hAnsi="Verdana" w:cs="Arial"/>
          <w:sz w:val="22"/>
          <w:szCs w:val="22"/>
          <w:lang w:val="en-GB" w:eastAsia="en-GB"/>
        </w:rPr>
        <w:t>The commitment from Central Government to provide funding for an additional 20,000 police officers nationwide over the next three years will mean an additional 259 officers for Surrey Police by April 2023, with 78 to be recruited in 2020/21. In addition, a significant increase in precept funding has been agreed by the Police and Crime Commissioner for 2020/21; allowing Surrey Police to recruit a further 26 officers and 52 police staff. In total, therefore, Surrey Police will increase in size by 156 officers and staff over the next twelve months; representing an unprecedented period of growth for the Force.</w:t>
      </w:r>
    </w:p>
    <w:p w:rsidR="00FF3D29" w:rsidRPr="00AC5A2C" w:rsidRDefault="00FF3D29" w:rsidP="00FF3D2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AC5A2C">
        <w:rPr>
          <w:rFonts w:ascii="Verdana" w:eastAsia="Times New Roman" w:hAnsi="Verdana" w:cs="Arial"/>
          <w:sz w:val="22"/>
          <w:szCs w:val="22"/>
          <w:lang w:val="en-GB" w:eastAsia="en-GB"/>
        </w:rPr>
        <w:t>The prioritisation of these additional resources has been considered carefully; in line with Force priorities, cognisant of areas of increasing demand, and focussed on long-term improvements to best serve our communities. Some of this investment will enable the Force to establish new teams with new ways of working based on the best evidence of good practice from this Force and others. Other investment will enable existing teams to increase their resources in line with growing demand and changing social need.</w:t>
      </w:r>
    </w:p>
    <w:p w:rsidR="00FF3D29" w:rsidRPr="00AC5A2C" w:rsidRDefault="00FF3D29" w:rsidP="00FF3D2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AC5A2C">
        <w:rPr>
          <w:rFonts w:ascii="Verdana" w:eastAsia="Times New Roman" w:hAnsi="Verdana" w:cs="Arial"/>
          <w:sz w:val="22"/>
          <w:szCs w:val="22"/>
          <w:lang w:val="en-GB" w:eastAsia="en-GB"/>
        </w:rPr>
        <w:t>New teams that will be established over the next twelve months include:</w:t>
      </w:r>
    </w:p>
    <w:p w:rsidR="00FF3D29" w:rsidRPr="00AC5A2C" w:rsidRDefault="00FF3D29" w:rsidP="00FF3D29">
      <w:pPr>
        <w:pStyle w:val="ListParagraph"/>
        <w:tabs>
          <w:tab w:val="left" w:pos="1121"/>
        </w:tabs>
        <w:spacing w:after="160" w:line="259" w:lineRule="auto"/>
        <w:ind w:hanging="360"/>
        <w:jc w:val="both"/>
        <w:rPr>
          <w:rFonts w:ascii="Verdana" w:hAnsi="Verdana" w:cs="Times New Roman"/>
          <w:sz w:val="22"/>
          <w:szCs w:val="22"/>
          <w:lang w:val="en-GB" w:eastAsia="en-GB"/>
        </w:rPr>
      </w:pPr>
      <w:r w:rsidRPr="00AC5A2C">
        <w:rPr>
          <w:rFonts w:ascii="Verdana" w:hAnsi="Verdana" w:cs="Arial"/>
          <w:sz w:val="22"/>
          <w:szCs w:val="22"/>
          <w:lang w:val="en-GB" w:eastAsia="en-GB"/>
        </w:rPr>
        <w:t>•</w:t>
      </w:r>
      <w:r w:rsidRPr="00AC5A2C">
        <w:rPr>
          <w:rFonts w:ascii="Verdana" w:hAnsi="Verdana" w:cs="Arial"/>
          <w:sz w:val="22"/>
          <w:szCs w:val="22"/>
          <w:lang w:val="en-GB" w:eastAsia="en-GB"/>
        </w:rPr>
        <w:tab/>
      </w:r>
      <w:r w:rsidRPr="00AC5A2C">
        <w:rPr>
          <w:rFonts w:ascii="Verdana" w:hAnsi="Verdana" w:cs="Times New Roman"/>
          <w:sz w:val="22"/>
          <w:szCs w:val="22"/>
          <w:lang w:val="en-GB" w:eastAsia="en-GB"/>
        </w:rPr>
        <w:t>A Resolution Centre that will focus on a significant proportion of volume crime; giving members of the public a faster response to their issues, and allowing the Force to identify and act upon lines of enquiry at an earlier stage.</w:t>
      </w:r>
    </w:p>
    <w:p w:rsidR="00FF3D29" w:rsidRPr="00AC5A2C" w:rsidRDefault="00FF3D29" w:rsidP="00FF3D29">
      <w:pPr>
        <w:pStyle w:val="ListParagraph"/>
        <w:tabs>
          <w:tab w:val="left" w:pos="1121"/>
        </w:tabs>
        <w:spacing w:after="160" w:line="259" w:lineRule="auto"/>
        <w:ind w:hanging="360"/>
        <w:jc w:val="both"/>
        <w:rPr>
          <w:rFonts w:ascii="Verdana" w:hAnsi="Verdana" w:cs="Times New Roman"/>
          <w:sz w:val="22"/>
          <w:szCs w:val="22"/>
          <w:lang w:val="en-GB" w:eastAsia="en-GB"/>
        </w:rPr>
      </w:pPr>
      <w:r w:rsidRPr="00AC5A2C">
        <w:rPr>
          <w:rFonts w:ascii="Verdana" w:hAnsi="Verdana" w:cs="Times New Roman"/>
          <w:sz w:val="22"/>
          <w:szCs w:val="22"/>
          <w:lang w:val="en-GB" w:eastAsia="en-GB"/>
        </w:rPr>
        <w:t>•</w:t>
      </w:r>
      <w:r w:rsidRPr="00AC5A2C">
        <w:rPr>
          <w:rFonts w:ascii="Verdana" w:hAnsi="Verdana" w:cs="Times New Roman"/>
          <w:sz w:val="22"/>
          <w:szCs w:val="22"/>
          <w:lang w:val="en-GB" w:eastAsia="en-GB"/>
        </w:rPr>
        <w:tab/>
        <w:t xml:space="preserve">Divisional Proactive Teams that will give local officers tactical support to proactively tackle the most significant issues for local people; solving problems more quickly and effectively. </w:t>
      </w:r>
    </w:p>
    <w:p w:rsidR="00FF3D29" w:rsidRPr="00AC5A2C" w:rsidRDefault="00FF3D29" w:rsidP="00FF3D29">
      <w:pPr>
        <w:pStyle w:val="ListParagraph"/>
        <w:tabs>
          <w:tab w:val="left" w:pos="1121"/>
        </w:tabs>
        <w:spacing w:after="160" w:line="259" w:lineRule="auto"/>
        <w:ind w:hanging="360"/>
        <w:jc w:val="both"/>
        <w:rPr>
          <w:rFonts w:ascii="Verdana" w:hAnsi="Verdana" w:cs="Times New Roman"/>
          <w:sz w:val="22"/>
          <w:szCs w:val="22"/>
          <w:lang w:val="en-GB" w:eastAsia="en-GB"/>
        </w:rPr>
      </w:pPr>
      <w:r w:rsidRPr="00AC5A2C">
        <w:rPr>
          <w:rFonts w:ascii="Verdana" w:hAnsi="Verdana" w:cs="Times New Roman"/>
          <w:sz w:val="22"/>
          <w:szCs w:val="22"/>
          <w:lang w:val="en-GB" w:eastAsia="en-GB"/>
        </w:rPr>
        <w:t>•</w:t>
      </w:r>
      <w:r w:rsidRPr="00AC5A2C">
        <w:rPr>
          <w:rFonts w:ascii="Verdana" w:hAnsi="Verdana" w:cs="Times New Roman"/>
          <w:sz w:val="22"/>
          <w:szCs w:val="22"/>
          <w:lang w:val="en-GB" w:eastAsia="en-GB"/>
        </w:rPr>
        <w:tab/>
        <w:t>Domestic Abuse Caseworkers that will provide essential support and encouragement to survivors of domestic abuse as their cases progress through the criminal justice system.</w:t>
      </w:r>
    </w:p>
    <w:p w:rsidR="00FF3D29" w:rsidRPr="00AC5A2C" w:rsidRDefault="00FF3D29" w:rsidP="00FF3D29">
      <w:pPr>
        <w:pStyle w:val="ListParagraph"/>
        <w:tabs>
          <w:tab w:val="left" w:pos="1121"/>
        </w:tabs>
        <w:spacing w:after="160" w:line="259" w:lineRule="auto"/>
        <w:ind w:hanging="360"/>
        <w:jc w:val="both"/>
        <w:rPr>
          <w:rFonts w:ascii="Verdana" w:hAnsi="Verdana" w:cs="Times New Roman"/>
          <w:sz w:val="22"/>
          <w:szCs w:val="22"/>
          <w:lang w:val="en-GB" w:eastAsia="en-GB"/>
        </w:rPr>
      </w:pPr>
      <w:r w:rsidRPr="00AC5A2C">
        <w:rPr>
          <w:rFonts w:ascii="Verdana" w:hAnsi="Verdana" w:cs="Times New Roman"/>
          <w:sz w:val="22"/>
          <w:szCs w:val="22"/>
          <w:lang w:val="en-GB" w:eastAsia="en-GB"/>
        </w:rPr>
        <w:t>•</w:t>
      </w:r>
      <w:r w:rsidRPr="00AC5A2C">
        <w:rPr>
          <w:rFonts w:ascii="Verdana" w:hAnsi="Verdana" w:cs="Times New Roman"/>
          <w:sz w:val="22"/>
          <w:szCs w:val="22"/>
          <w:lang w:val="en-GB" w:eastAsia="en-GB"/>
        </w:rPr>
        <w:tab/>
        <w:t>Dedicated social media officers within the Contact Centre that will enable the public to contact the Force in a wider range of ways that suit them.</w:t>
      </w:r>
    </w:p>
    <w:p w:rsidR="00FF3D29" w:rsidRPr="00AC5A2C" w:rsidRDefault="00FF3D29" w:rsidP="00FF3D2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AC5A2C">
        <w:rPr>
          <w:rFonts w:ascii="Verdana" w:eastAsia="Times New Roman" w:hAnsi="Verdana" w:cs="Arial"/>
          <w:sz w:val="22"/>
          <w:szCs w:val="22"/>
          <w:lang w:val="en-GB" w:eastAsia="en-GB"/>
        </w:rPr>
        <w:t>Existing teams that will be increased in size over the next twelve months range from specialist economic, cyber and digital forensics teams, recognising the continued growth in crime enabled by new technologies, to more local teams such as Neighbourhood Specialist Officers and operational dog officers.</w:t>
      </w:r>
    </w:p>
    <w:p w:rsidR="00FF3D29" w:rsidRPr="00AC5A2C" w:rsidRDefault="00FF3D29" w:rsidP="00FF3D2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AC5A2C">
        <w:rPr>
          <w:rFonts w:ascii="Verdana" w:eastAsia="Times New Roman" w:hAnsi="Verdana" w:cs="Arial"/>
          <w:sz w:val="22"/>
          <w:szCs w:val="22"/>
          <w:lang w:val="en-GB" w:eastAsia="en-GB"/>
        </w:rPr>
        <w:t>At the same time as investing in additional staff, Surrey Police will undertake two significant change projects over the next twelve months to further enhance its capability and capacity:</w:t>
      </w:r>
    </w:p>
    <w:p w:rsidR="00FF3D29" w:rsidRPr="00AC5A2C" w:rsidRDefault="00FF3D29" w:rsidP="00FF3D29">
      <w:pPr>
        <w:pStyle w:val="ListParagraph"/>
        <w:tabs>
          <w:tab w:val="left" w:pos="1121"/>
        </w:tabs>
        <w:spacing w:after="160" w:line="259" w:lineRule="auto"/>
        <w:ind w:hanging="360"/>
        <w:jc w:val="both"/>
        <w:rPr>
          <w:rFonts w:ascii="Verdana" w:hAnsi="Verdana" w:cs="Times New Roman"/>
          <w:sz w:val="22"/>
          <w:szCs w:val="22"/>
          <w:lang w:val="en-GB" w:eastAsia="en-GB"/>
        </w:rPr>
      </w:pPr>
      <w:r w:rsidRPr="00AC5A2C">
        <w:rPr>
          <w:rFonts w:ascii="Verdana" w:hAnsi="Verdana" w:cs="Arial"/>
          <w:sz w:val="22"/>
          <w:szCs w:val="22"/>
          <w:lang w:val="en-GB" w:eastAsia="en-GB"/>
        </w:rPr>
        <w:lastRenderedPageBreak/>
        <w:t>•</w:t>
      </w:r>
      <w:r w:rsidRPr="00AC5A2C">
        <w:rPr>
          <w:rFonts w:ascii="Verdana" w:hAnsi="Verdana" w:cs="Arial"/>
          <w:sz w:val="22"/>
          <w:szCs w:val="22"/>
          <w:lang w:val="en-GB" w:eastAsia="en-GB"/>
        </w:rPr>
        <w:tab/>
      </w:r>
      <w:r w:rsidRPr="00AC5A2C">
        <w:rPr>
          <w:rFonts w:ascii="Verdana" w:hAnsi="Verdana" w:cs="Times New Roman"/>
          <w:sz w:val="22"/>
          <w:szCs w:val="22"/>
          <w:lang w:val="en-GB" w:eastAsia="en-GB"/>
        </w:rPr>
        <w:t>The Investigative Structure Review will conduct a thorough review of the structure of the Force’s Criminal Investigations Departments and Safeguarding Investigations Units, based on initial scoping of nationwide best practice already undertaken, to improve the investigation of the most complex and harmful crimes; resulting in improved service to, and outcomes for, victims of crime.</w:t>
      </w:r>
    </w:p>
    <w:p w:rsidR="00FF3D29" w:rsidRPr="00AC5A2C" w:rsidRDefault="00FF3D29" w:rsidP="00FF3D29">
      <w:pPr>
        <w:pStyle w:val="ListParagraph"/>
        <w:tabs>
          <w:tab w:val="left" w:pos="1121"/>
        </w:tabs>
        <w:spacing w:after="160" w:line="259" w:lineRule="auto"/>
        <w:ind w:hanging="360"/>
        <w:jc w:val="both"/>
        <w:rPr>
          <w:rFonts w:ascii="Verdana" w:hAnsi="Verdana" w:cs="Times New Roman"/>
          <w:sz w:val="22"/>
          <w:szCs w:val="22"/>
          <w:lang w:val="en-GB" w:eastAsia="en-GB"/>
        </w:rPr>
      </w:pPr>
      <w:r w:rsidRPr="00AC5A2C">
        <w:rPr>
          <w:rFonts w:ascii="Verdana" w:hAnsi="Verdana" w:cs="Times New Roman"/>
          <w:sz w:val="22"/>
          <w:szCs w:val="22"/>
          <w:lang w:val="en-GB" w:eastAsia="en-GB"/>
        </w:rPr>
        <w:t>•</w:t>
      </w:r>
      <w:r w:rsidRPr="00AC5A2C">
        <w:rPr>
          <w:rFonts w:ascii="Verdana" w:hAnsi="Verdana" w:cs="Times New Roman"/>
          <w:sz w:val="22"/>
          <w:szCs w:val="22"/>
          <w:lang w:val="en-GB" w:eastAsia="en-GB"/>
        </w:rPr>
        <w:tab/>
        <w:t>The Volume Crime Investigation Improvement Plan will build upon existing work and good practice from around the country to improve the Force’s investigation of volume crime; focussing on training for staff and refinement of processes to better investigate the majority of crimes reported to the Force.</w:t>
      </w:r>
    </w:p>
    <w:p w:rsidR="00FF3D29" w:rsidRDefault="00FF3D29" w:rsidP="00FF3D29">
      <w:pPr>
        <w:pStyle w:val="Normal0"/>
        <w:shd w:val="clear" w:color="auto" w:fill="FFFFFF"/>
        <w:spacing w:before="100" w:beforeAutospacing="1" w:after="100" w:afterAutospacing="1"/>
        <w:jc w:val="both"/>
        <w:rPr>
          <w:rFonts w:ascii="Verdana" w:eastAsia="Times New Roman" w:hAnsi="Verdana" w:cs="Arial"/>
          <w:sz w:val="22"/>
          <w:szCs w:val="22"/>
          <w:lang w:val="en-GB" w:eastAsia="en-GB"/>
        </w:rPr>
      </w:pPr>
      <w:r w:rsidRPr="00AC5A2C">
        <w:rPr>
          <w:rFonts w:ascii="Verdana" w:eastAsia="Times New Roman" w:hAnsi="Verdana" w:cs="Arial"/>
          <w:sz w:val="22"/>
          <w:szCs w:val="22"/>
          <w:lang w:val="en-GB" w:eastAsia="en-GB"/>
        </w:rPr>
        <w:t>Surrey Police has been planning these investments and change programmes for the last six months, to ensure best value for the public of Surrey. In that time, however, the Covid-19 pandemic has radically changed the demands upon, and the working practices of, the Force. Surrey Police has taken the necessary steps to adapt its ways of working to meet this crisis, and is constantly reviewing its performance in light of the changing circumstances. Surrey Police is working closely with local and national partners in supporting health agencies to combat the virus and maintain public services. Over the next twelve months, Surrey Police will continue to work with partners to adapt to a new normality, and to embed the best of this partnership work to enhance its performance going forwards.</w:t>
      </w:r>
    </w:p>
    <w:p w:rsidR="00FF3D29" w:rsidRDefault="00FF3D29" w:rsidP="00FF3D29">
      <w:pPr>
        <w:pStyle w:val="Style1"/>
        <w:numPr>
          <w:ilvl w:val="0"/>
          <w:numId w:val="0"/>
        </w:numPr>
        <w:ind w:left="5606" w:hanging="360"/>
        <w:rPr>
          <w:rFonts w:ascii="Verdana" w:hAnsi="Verdana"/>
          <w:sz w:val="22"/>
          <w:szCs w:val="22"/>
          <w:highlight w:val="yellow"/>
          <w:lang w:val="en-GB" w:eastAsia="en-GB"/>
        </w:rPr>
      </w:pPr>
    </w:p>
    <w:p w:rsidR="00FF3D29" w:rsidRDefault="00FF3D29" w:rsidP="00FF3D29">
      <w:pPr>
        <w:pStyle w:val="Style1"/>
        <w:numPr>
          <w:ilvl w:val="0"/>
          <w:numId w:val="0"/>
        </w:numPr>
        <w:ind w:left="5606" w:hanging="360"/>
        <w:rPr>
          <w:rFonts w:ascii="Verdana" w:hAnsi="Verdana"/>
          <w:sz w:val="22"/>
          <w:szCs w:val="22"/>
          <w:highlight w:val="yellow"/>
          <w:lang w:val="en-GB" w:eastAsia="en-GB"/>
        </w:rPr>
      </w:pPr>
    </w:p>
    <w:p w:rsidR="00F227D9" w:rsidRPr="00FF3D29" w:rsidRDefault="00F227D9" w:rsidP="00F227D9">
      <w:pPr>
        <w:pStyle w:val="Style1"/>
        <w:numPr>
          <w:ilvl w:val="0"/>
          <w:numId w:val="7"/>
        </w:numPr>
        <w:rPr>
          <w:rFonts w:ascii="Verdana" w:hAnsi="Verdana"/>
          <w:sz w:val="22"/>
          <w:szCs w:val="22"/>
          <w:lang w:val="en-GB" w:eastAsia="en-GB"/>
        </w:rPr>
      </w:pPr>
      <w:r w:rsidRPr="00FF3D29">
        <w:rPr>
          <w:rFonts w:ascii="Verdana" w:hAnsi="Verdana"/>
          <w:sz w:val="22"/>
          <w:szCs w:val="22"/>
          <w:lang w:val="en-GB" w:eastAsia="en-GB"/>
        </w:rPr>
        <w:t>The Chief Constable &amp; Police and Crime Commissioner</w:t>
      </w:r>
    </w:p>
    <w:p w:rsidR="00F227D9" w:rsidRPr="00FF3D29" w:rsidRDefault="00F227D9" w:rsidP="00F227D9">
      <w:pPr>
        <w:pStyle w:val="Style1"/>
        <w:numPr>
          <w:ilvl w:val="0"/>
          <w:numId w:val="0"/>
        </w:numPr>
        <w:ind w:left="720"/>
        <w:rPr>
          <w:rFonts w:ascii="Verdana" w:hAnsi="Verdana"/>
          <w:sz w:val="22"/>
          <w:szCs w:val="22"/>
          <w:lang w:val="en-GB" w:eastAsia="en-GB"/>
        </w:rPr>
      </w:pPr>
    </w:p>
    <w:p w:rsidR="00F227D9" w:rsidRPr="00FF3D29" w:rsidRDefault="00F227D9" w:rsidP="00F227D9">
      <w:pPr>
        <w:pStyle w:val="Normal0"/>
        <w:jc w:val="both"/>
        <w:rPr>
          <w:rFonts w:ascii="Verdana" w:eastAsia="Times New Roman" w:hAnsi="Verdana" w:cs="Arial"/>
          <w:sz w:val="22"/>
          <w:szCs w:val="22"/>
          <w:lang w:val="en-GB" w:eastAsia="en-GB"/>
        </w:rPr>
      </w:pPr>
      <w:r w:rsidRPr="00FF3D29">
        <w:rPr>
          <w:rFonts w:ascii="Verdana" w:eastAsia="Times New Roman" w:hAnsi="Verdana" w:cs="Arial"/>
          <w:sz w:val="22"/>
          <w:szCs w:val="22"/>
          <w:lang w:val="en-GB" w:eastAsia="en-GB"/>
        </w:rPr>
        <w:t>The Chief Constable and the Police and Crime Commissioner (PCC) are set up as separate corporation sole bodies. The Chief Constable is a 100% subsidiary of the PCC as set out under the Police Reform and Social Responsibility Act 2011. The ‘Surrey Police Group’ refers to both ‘The Chief Constable of Surrey’ and ‘The Police and Crime Commissioner for Surrey’ combined.</w:t>
      </w:r>
    </w:p>
    <w:p w:rsidR="00F227D9" w:rsidRPr="00FF3D29" w:rsidRDefault="00F227D9" w:rsidP="00F227D9">
      <w:pPr>
        <w:pStyle w:val="Normal0"/>
        <w:jc w:val="both"/>
        <w:rPr>
          <w:rFonts w:ascii="Verdana" w:eastAsia="Times New Roman" w:hAnsi="Verdana" w:cs="Arial"/>
          <w:sz w:val="22"/>
          <w:szCs w:val="22"/>
          <w:lang w:val="en-GB" w:eastAsia="en-GB"/>
        </w:rPr>
      </w:pPr>
    </w:p>
    <w:p w:rsidR="00F227D9" w:rsidRPr="00693255" w:rsidRDefault="00F227D9" w:rsidP="00F227D9">
      <w:pPr>
        <w:pStyle w:val="Normal0"/>
        <w:jc w:val="both"/>
        <w:rPr>
          <w:rFonts w:ascii="Verdana" w:eastAsia="Times New Roman" w:hAnsi="Verdana" w:cs="Arial"/>
          <w:b/>
          <w:sz w:val="22"/>
          <w:szCs w:val="22"/>
          <w:lang w:val="en-GB" w:eastAsia="en-GB"/>
        </w:rPr>
      </w:pPr>
      <w:r w:rsidRPr="00693255">
        <w:rPr>
          <w:rFonts w:ascii="Verdana" w:eastAsia="Times New Roman" w:hAnsi="Verdana" w:cs="Arial"/>
          <w:b/>
          <w:sz w:val="22"/>
          <w:szCs w:val="22"/>
          <w:lang w:val="en-GB" w:eastAsia="en-GB"/>
        </w:rPr>
        <w:t>The Chief Constable</w:t>
      </w:r>
    </w:p>
    <w:p w:rsidR="00F227D9" w:rsidRPr="00693255" w:rsidRDefault="00F227D9" w:rsidP="00F227D9">
      <w:pPr>
        <w:pStyle w:val="Normal0"/>
        <w:jc w:val="both"/>
        <w:rPr>
          <w:rFonts w:ascii="Verdana" w:eastAsia="Times New Roman" w:hAnsi="Verdana" w:cs="Arial"/>
          <w:b/>
          <w:sz w:val="22"/>
          <w:szCs w:val="22"/>
          <w:lang w:val="en-GB" w:eastAsia="en-GB"/>
        </w:rPr>
      </w:pPr>
    </w:p>
    <w:p w:rsidR="00F227D9" w:rsidRPr="00693255" w:rsidRDefault="00F227D9" w:rsidP="00F227D9">
      <w:pPr>
        <w:pStyle w:val="Normal0"/>
        <w:jc w:val="both"/>
        <w:rPr>
          <w:rFonts w:ascii="Verdana" w:eastAsia="Times New Roman" w:hAnsi="Verdana" w:cs="Arial"/>
          <w:sz w:val="22"/>
          <w:szCs w:val="22"/>
          <w:lang w:val="en-GB" w:eastAsia="en-GB"/>
        </w:rPr>
      </w:pPr>
      <w:r w:rsidRPr="00693255">
        <w:rPr>
          <w:rFonts w:ascii="Verdana" w:eastAsia="Times New Roman" w:hAnsi="Verdana" w:cs="Arial"/>
          <w:sz w:val="22"/>
          <w:szCs w:val="22"/>
          <w:lang w:val="en-GB" w:eastAsia="en-GB"/>
        </w:rPr>
        <w:t>The primary function of the entity headed by the Chief Constable is the exercise of operational policing duties under the Police Act 1996. The Chief Constable holds office under the Crown, but is appointed by the PCC and has responsibility for:</w:t>
      </w:r>
    </w:p>
    <w:p w:rsidR="00693255" w:rsidRPr="00693255" w:rsidRDefault="00693255" w:rsidP="00F227D9">
      <w:pPr>
        <w:pStyle w:val="Normal0"/>
        <w:jc w:val="both"/>
        <w:rPr>
          <w:rFonts w:ascii="Verdana" w:eastAsia="Times New Roman" w:hAnsi="Verdana" w:cs="Arial"/>
          <w:sz w:val="22"/>
          <w:szCs w:val="22"/>
          <w:lang w:val="en-GB" w:eastAsia="en-GB"/>
        </w:rPr>
      </w:pPr>
    </w:p>
    <w:p w:rsidR="00F227D9" w:rsidRPr="00693255" w:rsidRDefault="00F227D9" w:rsidP="00F227D9">
      <w:pPr>
        <w:pStyle w:val="ListParagraph"/>
        <w:numPr>
          <w:ilvl w:val="0"/>
          <w:numId w:val="8"/>
        </w:numPr>
        <w:jc w:val="both"/>
        <w:rPr>
          <w:rFonts w:ascii="Verdana" w:hAnsi="Verdana" w:cs="Arial"/>
          <w:sz w:val="22"/>
          <w:szCs w:val="22"/>
          <w:lang w:val="en-GB" w:eastAsia="en-GB"/>
        </w:rPr>
      </w:pPr>
      <w:r w:rsidRPr="00693255">
        <w:rPr>
          <w:rFonts w:ascii="Verdana" w:hAnsi="Verdana" w:cs="Arial"/>
          <w:sz w:val="22"/>
          <w:szCs w:val="22"/>
          <w:lang w:val="en-GB" w:eastAsia="en-GB"/>
        </w:rPr>
        <w:t>Operational independence to deliver the operational policing plan</w:t>
      </w:r>
    </w:p>
    <w:p w:rsidR="00F227D9" w:rsidRPr="00693255" w:rsidRDefault="00F227D9" w:rsidP="00F227D9">
      <w:pPr>
        <w:pStyle w:val="ListParagraph"/>
        <w:numPr>
          <w:ilvl w:val="0"/>
          <w:numId w:val="8"/>
        </w:numPr>
        <w:jc w:val="both"/>
        <w:rPr>
          <w:rFonts w:ascii="Verdana" w:hAnsi="Verdana" w:cs="Arial"/>
          <w:sz w:val="22"/>
          <w:szCs w:val="22"/>
          <w:lang w:val="en-GB" w:eastAsia="en-GB"/>
        </w:rPr>
      </w:pPr>
      <w:r w:rsidRPr="00693255">
        <w:rPr>
          <w:rFonts w:ascii="Verdana" w:hAnsi="Verdana" w:cs="Arial"/>
          <w:sz w:val="22"/>
          <w:szCs w:val="22"/>
          <w:lang w:val="en-GB" w:eastAsia="en-GB"/>
        </w:rPr>
        <w:t>Direction and control over the force’s officers and staff</w:t>
      </w:r>
    </w:p>
    <w:p w:rsidR="00F227D9" w:rsidRPr="00693255" w:rsidRDefault="00F227D9" w:rsidP="00F227D9">
      <w:pPr>
        <w:pStyle w:val="ListParagraph"/>
        <w:numPr>
          <w:ilvl w:val="0"/>
          <w:numId w:val="8"/>
        </w:numPr>
        <w:jc w:val="both"/>
        <w:rPr>
          <w:rFonts w:ascii="Verdana" w:hAnsi="Verdana" w:cs="Arial"/>
          <w:sz w:val="22"/>
          <w:szCs w:val="22"/>
          <w:lang w:val="en-GB" w:eastAsia="en-GB"/>
        </w:rPr>
      </w:pPr>
      <w:r w:rsidRPr="00693255">
        <w:rPr>
          <w:rFonts w:ascii="Verdana" w:hAnsi="Verdana" w:cs="Arial"/>
          <w:sz w:val="22"/>
          <w:szCs w:val="22"/>
          <w:lang w:val="en-GB" w:eastAsia="en-GB"/>
        </w:rPr>
        <w:t>Managing the operational delivery budget; and</w:t>
      </w:r>
    </w:p>
    <w:p w:rsidR="00F227D9" w:rsidRPr="00693255" w:rsidRDefault="00F227D9" w:rsidP="00F227D9">
      <w:pPr>
        <w:pStyle w:val="ListParagraph"/>
        <w:numPr>
          <w:ilvl w:val="0"/>
          <w:numId w:val="8"/>
        </w:numPr>
        <w:jc w:val="both"/>
        <w:rPr>
          <w:rFonts w:ascii="Verdana" w:hAnsi="Verdana" w:cs="Arial"/>
          <w:sz w:val="22"/>
          <w:szCs w:val="22"/>
          <w:lang w:val="en-GB" w:eastAsia="en-GB"/>
        </w:rPr>
      </w:pPr>
      <w:r w:rsidRPr="00693255">
        <w:rPr>
          <w:rFonts w:ascii="Verdana" w:hAnsi="Verdana" w:cs="Arial"/>
          <w:sz w:val="22"/>
          <w:szCs w:val="22"/>
          <w:lang w:val="en-GB" w:eastAsia="en-GB"/>
        </w:rPr>
        <w:t>Appointing a qualified person to act as chief finance officer</w:t>
      </w:r>
    </w:p>
    <w:p w:rsidR="00AC5A2C" w:rsidRPr="00693255" w:rsidRDefault="00AC5A2C" w:rsidP="00F227D9">
      <w:pPr>
        <w:pStyle w:val="Normal0"/>
        <w:jc w:val="both"/>
        <w:rPr>
          <w:rFonts w:ascii="Verdana" w:eastAsia="Times New Roman" w:hAnsi="Verdana" w:cs="Arial"/>
          <w:sz w:val="22"/>
          <w:szCs w:val="22"/>
          <w:lang w:val="en-GB" w:eastAsia="en-GB"/>
        </w:rPr>
      </w:pPr>
    </w:p>
    <w:p w:rsidR="00F227D9" w:rsidRPr="00693255" w:rsidRDefault="00F227D9" w:rsidP="00F227D9">
      <w:pPr>
        <w:pStyle w:val="Normal0"/>
        <w:jc w:val="both"/>
        <w:rPr>
          <w:rFonts w:ascii="Verdana" w:eastAsia="Times New Roman" w:hAnsi="Verdana" w:cs="Arial"/>
          <w:sz w:val="22"/>
          <w:szCs w:val="22"/>
          <w:lang w:val="en-GB" w:eastAsia="en-GB"/>
        </w:rPr>
      </w:pPr>
      <w:r w:rsidRPr="00693255">
        <w:rPr>
          <w:rFonts w:ascii="Verdana" w:eastAsia="Times New Roman" w:hAnsi="Verdana" w:cs="Arial"/>
          <w:sz w:val="22"/>
          <w:szCs w:val="22"/>
          <w:lang w:val="en-GB" w:eastAsia="en-GB"/>
        </w:rPr>
        <w:t>The Chief Constable incurs all operating costs (excluding those relating to the Office of the PCC) and receives any associated operating income, the net of which is funded directly by the PCC. The Chief Constable accounts for all pension costs, including the associated pension liability that is shown in the Chief Constable’s Balance Sheet.</w:t>
      </w:r>
    </w:p>
    <w:p w:rsidR="00F227D9" w:rsidRPr="00693255" w:rsidRDefault="00F227D9" w:rsidP="00F227D9">
      <w:pPr>
        <w:pStyle w:val="Normal0"/>
        <w:jc w:val="both"/>
        <w:rPr>
          <w:rFonts w:ascii="Verdana" w:eastAsia="Times New Roman" w:hAnsi="Verdana" w:cs="Arial"/>
          <w:sz w:val="22"/>
          <w:szCs w:val="22"/>
          <w:lang w:val="en-GB" w:eastAsia="en-GB"/>
        </w:rPr>
      </w:pPr>
    </w:p>
    <w:p w:rsidR="00F227D9" w:rsidRPr="00693255" w:rsidRDefault="00F227D9" w:rsidP="00F227D9">
      <w:pPr>
        <w:pStyle w:val="Normal0"/>
        <w:jc w:val="both"/>
        <w:rPr>
          <w:rFonts w:ascii="Verdana" w:eastAsia="Times New Roman" w:hAnsi="Verdana" w:cs="Arial"/>
          <w:b/>
          <w:sz w:val="22"/>
          <w:szCs w:val="22"/>
          <w:lang w:val="en-GB" w:eastAsia="en-GB"/>
        </w:rPr>
      </w:pPr>
      <w:r w:rsidRPr="00693255">
        <w:rPr>
          <w:rFonts w:ascii="Verdana" w:eastAsia="Times New Roman" w:hAnsi="Verdana" w:cs="Arial"/>
          <w:b/>
          <w:sz w:val="22"/>
          <w:szCs w:val="22"/>
          <w:lang w:val="en-GB" w:eastAsia="en-GB"/>
        </w:rPr>
        <w:t>The Police and Crime Commissioner</w:t>
      </w:r>
    </w:p>
    <w:p w:rsidR="00F227D9" w:rsidRPr="00693255" w:rsidRDefault="00F227D9" w:rsidP="00F227D9">
      <w:pPr>
        <w:pStyle w:val="Normal0"/>
        <w:jc w:val="both"/>
        <w:rPr>
          <w:rFonts w:ascii="Verdana" w:eastAsia="Times New Roman" w:hAnsi="Verdana" w:cs="Arial"/>
          <w:sz w:val="22"/>
          <w:szCs w:val="22"/>
          <w:lang w:val="en-GB" w:eastAsia="en-GB"/>
        </w:rPr>
      </w:pPr>
    </w:p>
    <w:p w:rsidR="00693255" w:rsidRDefault="00F227D9" w:rsidP="00F227D9">
      <w:pPr>
        <w:pStyle w:val="Normal0"/>
        <w:jc w:val="both"/>
        <w:rPr>
          <w:rFonts w:ascii="Verdana" w:eastAsia="Times New Roman" w:hAnsi="Verdana" w:cs="Arial"/>
          <w:sz w:val="22"/>
          <w:szCs w:val="22"/>
          <w:lang w:val="en-GB" w:eastAsia="en-GB"/>
        </w:rPr>
      </w:pPr>
      <w:r w:rsidRPr="00FF3D29">
        <w:rPr>
          <w:rFonts w:ascii="Verdana" w:eastAsia="Times New Roman" w:hAnsi="Verdana" w:cs="Arial"/>
          <w:sz w:val="22"/>
          <w:szCs w:val="22"/>
          <w:lang w:val="en-GB" w:eastAsia="en-GB"/>
        </w:rPr>
        <w:t>The Primary function of the PCC is to secure the maintenance of an efficient and effective police force in Surrey, and to hold the Chief Constable to account for the exercise of operational policing duties under the Police Act 1996.</w:t>
      </w:r>
      <w:r w:rsidR="00AC5A2C">
        <w:rPr>
          <w:rFonts w:ascii="Verdana" w:eastAsia="Times New Roman" w:hAnsi="Verdana" w:cs="Arial"/>
          <w:sz w:val="22"/>
          <w:szCs w:val="22"/>
          <w:lang w:val="en-GB" w:eastAsia="en-GB"/>
        </w:rPr>
        <w:t xml:space="preserve"> </w:t>
      </w:r>
    </w:p>
    <w:p w:rsidR="00693255" w:rsidRDefault="00693255" w:rsidP="00F227D9">
      <w:pPr>
        <w:pStyle w:val="Normal0"/>
        <w:jc w:val="both"/>
        <w:rPr>
          <w:rFonts w:ascii="Verdana" w:eastAsia="Times New Roman" w:hAnsi="Verdana" w:cs="Arial"/>
          <w:sz w:val="22"/>
          <w:szCs w:val="22"/>
          <w:lang w:val="en-GB" w:eastAsia="en-GB"/>
        </w:rPr>
      </w:pPr>
    </w:p>
    <w:p w:rsidR="00F227D9" w:rsidRPr="00FF3D29" w:rsidRDefault="00F227D9" w:rsidP="00F227D9">
      <w:pPr>
        <w:pStyle w:val="Normal0"/>
        <w:jc w:val="both"/>
        <w:rPr>
          <w:rFonts w:ascii="Verdana" w:eastAsia="Times New Roman" w:hAnsi="Verdana" w:cs="Arial"/>
          <w:sz w:val="22"/>
          <w:szCs w:val="22"/>
          <w:lang w:val="en-GB" w:eastAsia="en-GB"/>
        </w:rPr>
      </w:pPr>
      <w:r w:rsidRPr="00FF3D29">
        <w:rPr>
          <w:rFonts w:ascii="Verdana" w:eastAsia="Times New Roman" w:hAnsi="Verdana" w:cs="Arial"/>
          <w:sz w:val="22"/>
          <w:szCs w:val="22"/>
          <w:lang w:val="en-GB" w:eastAsia="en-GB"/>
        </w:rPr>
        <w:lastRenderedPageBreak/>
        <w:t>The PCC is responsible for the finances of the whole Group and controls all assets, liabilities and reserves. The PCC incurs costs relating to the Office of the Police and Crime Commissioner (OPCC) and receives all income and funding and makes all the payments for the Group from the overall Police Fund. In turn the Chief Constable of Surrey fulfils his functions under the Act within an annual budget (set by the PCC in consultation with the Chief Constable). A Scheme of Consent is in operation between the two bodies determining their respective responsibilities, as well as local arrangements in respect of the use of The PCC’s assets and staff.</w:t>
      </w:r>
    </w:p>
    <w:p w:rsidR="00F227D9" w:rsidRPr="00693255" w:rsidRDefault="00F227D9" w:rsidP="00F227D9">
      <w:pPr>
        <w:pStyle w:val="Normal0"/>
        <w:jc w:val="both"/>
        <w:rPr>
          <w:rFonts w:ascii="Verdana" w:eastAsia="Times New Roman" w:hAnsi="Verdana" w:cs="Arial"/>
          <w:sz w:val="22"/>
          <w:szCs w:val="22"/>
          <w:lang w:val="en-GB" w:eastAsia="en-GB"/>
        </w:rPr>
      </w:pPr>
    </w:p>
    <w:p w:rsidR="00F227D9" w:rsidRPr="00693255" w:rsidRDefault="00F227D9" w:rsidP="00F227D9">
      <w:pPr>
        <w:pStyle w:val="Normal0"/>
        <w:jc w:val="both"/>
        <w:rPr>
          <w:rFonts w:ascii="Verdana" w:eastAsia="Times New Roman" w:hAnsi="Verdana" w:cs="Arial"/>
          <w:b/>
          <w:sz w:val="22"/>
          <w:szCs w:val="22"/>
          <w:lang w:val="en-GB" w:eastAsia="en-GB"/>
        </w:rPr>
      </w:pPr>
      <w:r w:rsidRPr="00693255">
        <w:rPr>
          <w:rFonts w:ascii="Verdana" w:eastAsia="Times New Roman" w:hAnsi="Verdana" w:cs="Arial"/>
          <w:b/>
          <w:sz w:val="22"/>
          <w:szCs w:val="22"/>
          <w:lang w:val="en-GB" w:eastAsia="en-GB"/>
        </w:rPr>
        <w:t>Accounting Arrangements</w:t>
      </w:r>
    </w:p>
    <w:p w:rsidR="00F227D9" w:rsidRPr="00693255" w:rsidRDefault="00F227D9" w:rsidP="00F227D9">
      <w:pPr>
        <w:pStyle w:val="Normal0"/>
        <w:jc w:val="both"/>
        <w:rPr>
          <w:rFonts w:ascii="Verdana" w:eastAsia="Times New Roman" w:hAnsi="Verdana" w:cs="Arial"/>
          <w:sz w:val="22"/>
          <w:szCs w:val="22"/>
          <w:lang w:val="en-GB" w:eastAsia="en-GB"/>
        </w:rPr>
      </w:pPr>
    </w:p>
    <w:p w:rsidR="00F227D9" w:rsidRPr="00FF3D29" w:rsidRDefault="00F227D9" w:rsidP="00F227D9">
      <w:pPr>
        <w:pStyle w:val="Normal0"/>
        <w:jc w:val="both"/>
        <w:rPr>
          <w:rFonts w:ascii="Verdana" w:eastAsia="Times New Roman" w:hAnsi="Verdana" w:cs="Arial"/>
          <w:sz w:val="22"/>
          <w:szCs w:val="22"/>
          <w:lang w:val="en-GB" w:eastAsia="en-GB"/>
        </w:rPr>
      </w:pPr>
      <w:r w:rsidRPr="00693255">
        <w:rPr>
          <w:rFonts w:ascii="Verdana" w:eastAsia="Times New Roman" w:hAnsi="Verdana" w:cs="Arial"/>
          <w:sz w:val="22"/>
          <w:szCs w:val="22"/>
          <w:lang w:val="en-GB" w:eastAsia="en-GB"/>
        </w:rPr>
        <w:t>Each Public Body has a statutory</w:t>
      </w:r>
      <w:r w:rsidRPr="00FF3D29">
        <w:rPr>
          <w:rFonts w:ascii="Verdana" w:eastAsia="Times New Roman" w:hAnsi="Verdana" w:cs="Arial"/>
          <w:sz w:val="22"/>
          <w:szCs w:val="22"/>
          <w:lang w:val="en-GB" w:eastAsia="en-GB"/>
        </w:rPr>
        <w:t xml:space="preserve"> responsibility to prepare its own accounts to present fairly its operations during the year. They must be prepared in accordance with proper practices as set out in the Code of Practice on Local Authority Accounting in the United Kingdom (the Code).</w:t>
      </w:r>
    </w:p>
    <w:p w:rsidR="00693255" w:rsidRDefault="00693255" w:rsidP="00F227D9">
      <w:pPr>
        <w:pStyle w:val="Normal0"/>
        <w:jc w:val="both"/>
        <w:rPr>
          <w:rFonts w:ascii="Verdana" w:eastAsia="Times New Roman" w:hAnsi="Verdana" w:cs="Arial"/>
          <w:sz w:val="22"/>
          <w:szCs w:val="22"/>
          <w:lang w:val="en-GB" w:eastAsia="en-GB"/>
        </w:rPr>
      </w:pPr>
    </w:p>
    <w:p w:rsidR="00F227D9" w:rsidRPr="00FF3D29" w:rsidRDefault="00F227D9" w:rsidP="00F227D9">
      <w:pPr>
        <w:pStyle w:val="Normal0"/>
        <w:jc w:val="both"/>
        <w:rPr>
          <w:rFonts w:ascii="Verdana" w:eastAsia="Times New Roman" w:hAnsi="Verdana" w:cs="Arial"/>
          <w:sz w:val="22"/>
          <w:szCs w:val="22"/>
          <w:lang w:val="en-GB" w:eastAsia="en-GB"/>
        </w:rPr>
      </w:pPr>
      <w:r w:rsidRPr="00FF3D29">
        <w:rPr>
          <w:rFonts w:ascii="Verdana" w:eastAsia="Times New Roman" w:hAnsi="Verdana" w:cs="Arial"/>
          <w:sz w:val="22"/>
          <w:szCs w:val="22"/>
          <w:lang w:val="en-GB" w:eastAsia="en-GB"/>
        </w:rPr>
        <w:t>This Statement of Accounts includes all the financial transactions incurred during 201</w:t>
      </w:r>
      <w:r w:rsidR="00693255">
        <w:rPr>
          <w:rFonts w:ascii="Verdana" w:eastAsia="Times New Roman" w:hAnsi="Verdana" w:cs="Arial"/>
          <w:sz w:val="22"/>
          <w:szCs w:val="22"/>
          <w:lang w:val="en-GB" w:eastAsia="en-GB"/>
        </w:rPr>
        <w:t>9</w:t>
      </w:r>
      <w:r w:rsidRPr="00FF3D29">
        <w:rPr>
          <w:rFonts w:ascii="Verdana" w:eastAsia="Times New Roman" w:hAnsi="Verdana" w:cs="Arial"/>
          <w:sz w:val="22"/>
          <w:szCs w:val="22"/>
          <w:lang w:val="en-GB" w:eastAsia="en-GB"/>
        </w:rPr>
        <w:t>/</w:t>
      </w:r>
      <w:r w:rsidR="00693255">
        <w:rPr>
          <w:rFonts w:ascii="Verdana" w:eastAsia="Times New Roman" w:hAnsi="Verdana" w:cs="Arial"/>
          <w:sz w:val="22"/>
          <w:szCs w:val="22"/>
          <w:lang w:val="en-GB" w:eastAsia="en-GB"/>
        </w:rPr>
        <w:t>20</w:t>
      </w:r>
      <w:r w:rsidRPr="00FF3D29">
        <w:rPr>
          <w:rFonts w:ascii="Verdana" w:eastAsia="Times New Roman" w:hAnsi="Verdana" w:cs="Arial"/>
          <w:sz w:val="22"/>
          <w:szCs w:val="22"/>
          <w:lang w:val="en-GB" w:eastAsia="en-GB"/>
        </w:rPr>
        <w:t xml:space="preserve"> relating to the Chief Constable. The consolidated Group position including the Chief Constable and PCC, have been prepared in a separate Statement of Accounts.</w:t>
      </w:r>
    </w:p>
    <w:p w:rsidR="00F227D9" w:rsidRPr="00490CB1" w:rsidRDefault="00F227D9" w:rsidP="00F227D9">
      <w:pPr>
        <w:pStyle w:val="Normal0"/>
        <w:jc w:val="both"/>
        <w:rPr>
          <w:rFonts w:ascii="Verdana" w:eastAsia="Times New Roman" w:hAnsi="Verdana" w:cs="Arial"/>
          <w:sz w:val="22"/>
          <w:szCs w:val="22"/>
          <w:lang w:val="en-GB" w:eastAsia="en-GB"/>
        </w:rPr>
      </w:pPr>
      <w:r w:rsidRPr="00490CB1">
        <w:rPr>
          <w:rFonts w:ascii="Verdana" w:eastAsia="Times New Roman" w:hAnsi="Verdana" w:cs="Arial"/>
          <w:sz w:val="22"/>
          <w:szCs w:val="22"/>
          <w:lang w:val="en-GB" w:eastAsia="en-GB"/>
        </w:rPr>
        <w:t xml:space="preserve"> </w:t>
      </w:r>
    </w:p>
    <w:p w:rsidR="00F227D9" w:rsidRPr="00490CB1" w:rsidRDefault="00F227D9" w:rsidP="00F227D9">
      <w:pPr>
        <w:pStyle w:val="Normal0"/>
        <w:jc w:val="both"/>
        <w:rPr>
          <w:rFonts w:ascii="Verdana" w:eastAsia="Times New Roman" w:hAnsi="Verdana" w:cs="Arial"/>
          <w:sz w:val="22"/>
          <w:szCs w:val="22"/>
          <w:lang w:val="en-GB" w:eastAsia="en-GB"/>
        </w:rPr>
      </w:pPr>
    </w:p>
    <w:p w:rsidR="00F227D9" w:rsidRPr="00490CB1" w:rsidRDefault="00F227D9" w:rsidP="00F227D9">
      <w:pPr>
        <w:pStyle w:val="Style1"/>
        <w:numPr>
          <w:ilvl w:val="0"/>
          <w:numId w:val="7"/>
        </w:numPr>
        <w:rPr>
          <w:rFonts w:ascii="Verdana" w:hAnsi="Verdana"/>
          <w:sz w:val="22"/>
          <w:szCs w:val="22"/>
          <w:lang w:val="en-GB" w:eastAsia="en-GB"/>
        </w:rPr>
      </w:pPr>
      <w:r w:rsidRPr="00490CB1">
        <w:rPr>
          <w:rFonts w:ascii="Verdana" w:hAnsi="Verdana"/>
          <w:sz w:val="22"/>
          <w:szCs w:val="22"/>
          <w:lang w:val="en-GB" w:eastAsia="en-GB"/>
        </w:rPr>
        <w:t>The Statement of Accounts</w:t>
      </w:r>
    </w:p>
    <w:p w:rsidR="00F227D9" w:rsidRPr="00490CB1" w:rsidRDefault="00F227D9" w:rsidP="00F227D9">
      <w:pPr>
        <w:pStyle w:val="Normal0"/>
        <w:jc w:val="both"/>
        <w:rPr>
          <w:rFonts w:ascii="Verdana" w:eastAsia="Times New Roman" w:hAnsi="Verdana" w:cs="Arial"/>
          <w:sz w:val="22"/>
          <w:szCs w:val="22"/>
          <w:lang w:val="en-GB" w:eastAsia="en-GB"/>
        </w:rPr>
      </w:pPr>
    </w:p>
    <w:p w:rsidR="00490CB1" w:rsidRPr="00490CB1" w:rsidRDefault="00490CB1" w:rsidP="00490CB1">
      <w:pPr>
        <w:jc w:val="both"/>
        <w:rPr>
          <w:rFonts w:ascii="Verdana" w:hAnsi="Verdana" w:cs="Arial"/>
          <w:sz w:val="22"/>
          <w:szCs w:val="22"/>
        </w:rPr>
      </w:pPr>
      <w:r w:rsidRPr="00E93B08">
        <w:rPr>
          <w:rFonts w:ascii="Verdana" w:hAnsi="Verdana" w:cs="Arial"/>
          <w:sz w:val="22"/>
          <w:szCs w:val="22"/>
        </w:rPr>
        <w:t>The Financial Statements</w:t>
      </w:r>
      <w:r w:rsidR="00693255">
        <w:rPr>
          <w:rFonts w:ascii="Verdana" w:hAnsi="Verdana" w:cs="Arial"/>
          <w:sz w:val="22"/>
          <w:szCs w:val="22"/>
        </w:rPr>
        <w:t xml:space="preserve"> for 2019/20</w:t>
      </w:r>
      <w:r w:rsidRPr="00E93B08">
        <w:rPr>
          <w:rFonts w:ascii="Verdana" w:hAnsi="Verdana" w:cs="Arial"/>
          <w:sz w:val="22"/>
          <w:szCs w:val="22"/>
        </w:rPr>
        <w:t xml:space="preserve">, which follow this narrative report have been prepared in accordance with the Code of Practice on Local Authority Accounting in the United Kingdom 2019/20 Based on International Financial Reporting Standards) issued by the Chartered Institute of Public Finance &amp; </w:t>
      </w:r>
      <w:r w:rsidRPr="00490CB1">
        <w:rPr>
          <w:rFonts w:ascii="Verdana" w:hAnsi="Verdana" w:cs="Arial"/>
          <w:sz w:val="22"/>
          <w:szCs w:val="22"/>
        </w:rPr>
        <w:t>Accountancy (CIPFA) and comprise of:</w:t>
      </w:r>
    </w:p>
    <w:p w:rsidR="00490CB1" w:rsidRPr="00490CB1" w:rsidRDefault="00490CB1" w:rsidP="00F227D9">
      <w:pPr>
        <w:pStyle w:val="Normal0"/>
        <w:jc w:val="both"/>
        <w:rPr>
          <w:rFonts w:ascii="Verdana" w:eastAsia="Times New Roman" w:hAnsi="Verdana" w:cs="Arial"/>
          <w:sz w:val="22"/>
          <w:szCs w:val="22"/>
          <w:lang w:val="en-GB" w:eastAsia="en-GB"/>
        </w:rPr>
      </w:pPr>
    </w:p>
    <w:p w:rsidR="00693255" w:rsidRDefault="00F227D9" w:rsidP="00F227D9">
      <w:pPr>
        <w:pStyle w:val="Normal0"/>
        <w:ind w:left="720" w:hanging="720"/>
        <w:jc w:val="both"/>
        <w:rPr>
          <w:rFonts w:ascii="Verdana" w:eastAsia="Times New Roman" w:hAnsi="Verdana" w:cs="Arial"/>
          <w:b/>
          <w:sz w:val="22"/>
          <w:szCs w:val="22"/>
          <w:lang w:val="en-GB" w:eastAsia="en-GB"/>
        </w:rPr>
      </w:pPr>
      <w:r w:rsidRPr="00490CB1">
        <w:rPr>
          <w:rFonts w:ascii="Verdana" w:eastAsia="Times New Roman" w:hAnsi="Verdana" w:cs="Arial"/>
          <w:b/>
          <w:sz w:val="22"/>
          <w:szCs w:val="22"/>
          <w:lang w:val="en-GB" w:eastAsia="en-GB"/>
        </w:rPr>
        <w:t>Comprehensive In</w:t>
      </w:r>
      <w:r w:rsidR="00693255">
        <w:rPr>
          <w:rFonts w:ascii="Verdana" w:eastAsia="Times New Roman" w:hAnsi="Verdana" w:cs="Arial"/>
          <w:b/>
          <w:sz w:val="22"/>
          <w:szCs w:val="22"/>
          <w:lang w:val="en-GB" w:eastAsia="en-GB"/>
        </w:rPr>
        <w:t>come and Expenditure Statement (CIES)</w:t>
      </w:r>
    </w:p>
    <w:p w:rsidR="00F227D9" w:rsidRPr="00490CB1" w:rsidRDefault="00F227D9" w:rsidP="00693255">
      <w:pPr>
        <w:pStyle w:val="Normal0"/>
        <w:spacing w:line="257" w:lineRule="auto"/>
        <w:jc w:val="both"/>
        <w:rPr>
          <w:rFonts w:ascii="Verdana" w:eastAsia="Times New Roman" w:hAnsi="Verdana" w:cs="Arial"/>
          <w:sz w:val="22"/>
          <w:szCs w:val="22"/>
          <w:lang w:val="en-GB" w:eastAsia="en-GB"/>
        </w:rPr>
      </w:pPr>
      <w:r w:rsidRPr="00490CB1">
        <w:rPr>
          <w:rFonts w:ascii="Verdana" w:eastAsia="Times New Roman" w:hAnsi="Verdana" w:cs="Arial"/>
          <w:sz w:val="22"/>
          <w:szCs w:val="22"/>
          <w:lang w:val="en-GB" w:eastAsia="en-GB"/>
        </w:rPr>
        <w:t xml:space="preserve">The CIES consolidates all income, expenditure, gains and losses experienced during the financial year. This includes all day-to-day expenses and related income prepared on an accruals basis, as well as transactions measuring the value of fixed assets consumed and the real projected value of retirement benefits earned by employees in the year. The PCC raises taxation to cover expenditure in accordance with specific rules as to how tax rates are set in relation to the income and expenses of the Group. This means the expenditure covered by local taxation (funding basis) may be different to the full accounting cost recorded in the CIES (accounting basis). The adjustments between the funding basis and accounting basis are shown in the Movement in Reserves Statement (MIRS). </w:t>
      </w:r>
    </w:p>
    <w:p w:rsidR="00F227D9" w:rsidRPr="00490CB1" w:rsidRDefault="00F227D9" w:rsidP="00F227D9">
      <w:pPr>
        <w:pStyle w:val="Normal0"/>
        <w:ind w:left="720" w:hanging="720"/>
        <w:jc w:val="both"/>
        <w:rPr>
          <w:rFonts w:ascii="Verdana" w:eastAsia="Times New Roman" w:hAnsi="Verdana" w:cs="Arial"/>
          <w:sz w:val="22"/>
          <w:szCs w:val="22"/>
          <w:lang w:val="en-GB" w:eastAsia="en-GB"/>
        </w:rPr>
      </w:pPr>
      <w:r w:rsidRPr="00490CB1">
        <w:rPr>
          <w:rFonts w:ascii="Verdana" w:eastAsia="Times New Roman" w:hAnsi="Verdana" w:cs="Arial"/>
          <w:sz w:val="22"/>
          <w:szCs w:val="22"/>
          <w:lang w:val="en-GB" w:eastAsia="en-GB"/>
        </w:rPr>
        <w:t xml:space="preserve">  </w:t>
      </w:r>
    </w:p>
    <w:p w:rsidR="00693255" w:rsidRDefault="00693255" w:rsidP="00F227D9">
      <w:pPr>
        <w:pStyle w:val="Normal0"/>
        <w:ind w:left="720" w:hanging="720"/>
        <w:jc w:val="both"/>
        <w:rPr>
          <w:rFonts w:ascii="Verdana" w:eastAsia="Times New Roman" w:hAnsi="Verdana" w:cs="Arial"/>
          <w:b/>
          <w:sz w:val="22"/>
          <w:szCs w:val="22"/>
          <w:lang w:val="en-GB" w:eastAsia="en-GB"/>
        </w:rPr>
      </w:pPr>
      <w:r>
        <w:rPr>
          <w:rFonts w:ascii="Verdana" w:eastAsia="Times New Roman" w:hAnsi="Verdana" w:cs="Arial"/>
          <w:b/>
          <w:sz w:val="22"/>
          <w:szCs w:val="22"/>
          <w:lang w:val="en-GB" w:eastAsia="en-GB"/>
        </w:rPr>
        <w:t>Movement in Reserves Statement (MIRS)</w:t>
      </w:r>
    </w:p>
    <w:p w:rsidR="00F227D9" w:rsidRPr="00490CB1" w:rsidRDefault="00F227D9" w:rsidP="00693255">
      <w:pPr>
        <w:pStyle w:val="Normal0"/>
        <w:spacing w:line="257" w:lineRule="auto"/>
        <w:jc w:val="both"/>
        <w:rPr>
          <w:rFonts w:ascii="Verdana" w:eastAsia="Times New Roman" w:hAnsi="Verdana" w:cs="Arial"/>
          <w:sz w:val="22"/>
          <w:szCs w:val="22"/>
          <w:lang w:val="en-GB" w:eastAsia="en-GB"/>
        </w:rPr>
      </w:pPr>
      <w:r w:rsidRPr="00490CB1">
        <w:rPr>
          <w:rFonts w:ascii="Verdana" w:eastAsia="Times New Roman" w:hAnsi="Verdana" w:cs="Arial"/>
          <w:sz w:val="22"/>
          <w:szCs w:val="22"/>
          <w:lang w:val="en-GB" w:eastAsia="en-GB"/>
        </w:rPr>
        <w:t>The Movement in Reserves Statement (MIRS) is a summary of the changes that have taken place in the bottom half of the Balance Sheet over the financial year. It shows the movement in year on the different reserves, analysed into ‘useable’ (i.e. those that can be applied to fund expenditure or reduce local taxation) and other reserves.</w:t>
      </w:r>
    </w:p>
    <w:p w:rsidR="00F227D9" w:rsidRPr="00490CB1" w:rsidRDefault="00F227D9" w:rsidP="00F227D9">
      <w:pPr>
        <w:pStyle w:val="Normal0"/>
        <w:jc w:val="both"/>
        <w:rPr>
          <w:rFonts w:ascii="Verdana" w:eastAsia="Times New Roman" w:hAnsi="Verdana" w:cs="Arial"/>
          <w:sz w:val="22"/>
          <w:szCs w:val="22"/>
          <w:lang w:val="en-GB" w:eastAsia="en-GB"/>
        </w:rPr>
      </w:pPr>
    </w:p>
    <w:p w:rsidR="00693255" w:rsidRDefault="00F227D9" w:rsidP="00F227D9">
      <w:pPr>
        <w:pStyle w:val="Normal0"/>
        <w:ind w:left="720" w:hanging="720"/>
        <w:jc w:val="both"/>
        <w:rPr>
          <w:rFonts w:ascii="Verdana" w:eastAsia="Times New Roman" w:hAnsi="Verdana" w:cs="Arial"/>
          <w:sz w:val="22"/>
          <w:szCs w:val="22"/>
          <w:lang w:val="en-GB" w:eastAsia="en-GB"/>
        </w:rPr>
      </w:pPr>
      <w:r w:rsidRPr="00490CB1">
        <w:rPr>
          <w:rFonts w:ascii="Verdana" w:eastAsia="Times New Roman" w:hAnsi="Verdana" w:cs="Arial"/>
          <w:b/>
          <w:sz w:val="22"/>
          <w:szCs w:val="22"/>
          <w:lang w:val="en-GB" w:eastAsia="en-GB"/>
        </w:rPr>
        <w:t>Balance Sheet</w:t>
      </w:r>
    </w:p>
    <w:p w:rsidR="00F227D9" w:rsidRPr="00490CB1" w:rsidRDefault="00F227D9" w:rsidP="00693255">
      <w:pPr>
        <w:pStyle w:val="Normal0"/>
        <w:spacing w:line="257" w:lineRule="auto"/>
        <w:jc w:val="both"/>
        <w:rPr>
          <w:rFonts w:ascii="Verdana" w:eastAsia="Times New Roman" w:hAnsi="Verdana" w:cs="Arial"/>
          <w:sz w:val="22"/>
          <w:szCs w:val="22"/>
          <w:lang w:val="en-GB" w:eastAsia="en-GB"/>
        </w:rPr>
      </w:pPr>
      <w:r w:rsidRPr="00490CB1">
        <w:rPr>
          <w:rFonts w:ascii="Verdana" w:eastAsia="Times New Roman" w:hAnsi="Verdana" w:cs="Arial"/>
          <w:sz w:val="22"/>
          <w:szCs w:val="22"/>
          <w:lang w:val="en-GB" w:eastAsia="en-GB"/>
        </w:rPr>
        <w:t>This shows the value the assets and liabilities held by the Chief Constable as at 31 March for the current and prior years. The net liabilities (assets less liabilities) are matched by</w:t>
      </w:r>
      <w:r w:rsidR="00693255">
        <w:rPr>
          <w:rFonts w:ascii="Verdana" w:eastAsia="Times New Roman" w:hAnsi="Verdana" w:cs="Arial"/>
          <w:sz w:val="22"/>
          <w:szCs w:val="22"/>
          <w:lang w:val="en-GB" w:eastAsia="en-GB"/>
        </w:rPr>
        <w:t xml:space="preserve"> the total</w:t>
      </w:r>
      <w:r w:rsidRPr="00490CB1">
        <w:rPr>
          <w:rFonts w:ascii="Verdana" w:eastAsia="Times New Roman" w:hAnsi="Verdana" w:cs="Arial"/>
          <w:sz w:val="22"/>
          <w:szCs w:val="22"/>
          <w:lang w:val="en-GB" w:eastAsia="en-GB"/>
        </w:rPr>
        <w:t xml:space="preserve"> reserves.</w:t>
      </w:r>
    </w:p>
    <w:p w:rsidR="00F227D9" w:rsidRPr="00490CB1" w:rsidRDefault="00F227D9" w:rsidP="00F227D9">
      <w:pPr>
        <w:pStyle w:val="Normal0"/>
        <w:jc w:val="both"/>
        <w:rPr>
          <w:rFonts w:ascii="Verdana" w:eastAsia="Times New Roman" w:hAnsi="Verdana" w:cs="Arial"/>
          <w:sz w:val="22"/>
          <w:szCs w:val="22"/>
          <w:lang w:val="en-GB" w:eastAsia="en-GB"/>
        </w:rPr>
      </w:pPr>
      <w:r w:rsidRPr="00490CB1">
        <w:rPr>
          <w:rFonts w:ascii="Verdana" w:eastAsia="Times New Roman" w:hAnsi="Verdana" w:cs="Arial"/>
          <w:sz w:val="22"/>
          <w:szCs w:val="22"/>
          <w:lang w:val="en-GB" w:eastAsia="en-GB"/>
        </w:rPr>
        <w:t xml:space="preserve"> </w:t>
      </w:r>
    </w:p>
    <w:p w:rsidR="00693255" w:rsidRDefault="00F227D9" w:rsidP="00F227D9">
      <w:pPr>
        <w:pStyle w:val="Normal0"/>
        <w:ind w:left="720" w:hanging="720"/>
        <w:jc w:val="both"/>
        <w:rPr>
          <w:rFonts w:ascii="Verdana" w:eastAsia="Times New Roman" w:hAnsi="Verdana" w:cs="Arial"/>
          <w:sz w:val="22"/>
          <w:szCs w:val="22"/>
          <w:lang w:val="en-GB" w:eastAsia="en-GB"/>
        </w:rPr>
      </w:pPr>
      <w:r w:rsidRPr="00490CB1">
        <w:rPr>
          <w:rFonts w:ascii="Verdana" w:eastAsia="Times New Roman" w:hAnsi="Verdana" w:cs="Arial"/>
          <w:b/>
          <w:sz w:val="22"/>
          <w:szCs w:val="22"/>
          <w:lang w:val="en-GB" w:eastAsia="en-GB"/>
        </w:rPr>
        <w:t>Cash Flow Statement</w:t>
      </w:r>
      <w:r w:rsidRPr="00490CB1">
        <w:rPr>
          <w:rFonts w:ascii="Verdana" w:eastAsia="Times New Roman" w:hAnsi="Verdana" w:cs="Arial"/>
          <w:sz w:val="22"/>
          <w:szCs w:val="22"/>
          <w:lang w:val="en-GB" w:eastAsia="en-GB"/>
        </w:rPr>
        <w:t xml:space="preserve">. </w:t>
      </w:r>
    </w:p>
    <w:p w:rsidR="00F227D9" w:rsidRPr="00490CB1" w:rsidRDefault="00F227D9" w:rsidP="00693255">
      <w:pPr>
        <w:pStyle w:val="Normal0"/>
        <w:spacing w:line="257" w:lineRule="auto"/>
        <w:jc w:val="both"/>
        <w:rPr>
          <w:rFonts w:ascii="Verdana" w:eastAsia="Times New Roman" w:hAnsi="Verdana" w:cs="Arial"/>
          <w:sz w:val="22"/>
          <w:szCs w:val="22"/>
          <w:lang w:val="en-GB" w:eastAsia="en-GB"/>
        </w:rPr>
      </w:pPr>
      <w:r w:rsidRPr="00490CB1">
        <w:rPr>
          <w:rFonts w:ascii="Verdana" w:eastAsia="Times New Roman" w:hAnsi="Verdana" w:cs="Arial"/>
          <w:sz w:val="22"/>
          <w:szCs w:val="22"/>
          <w:lang w:val="en-GB" w:eastAsia="en-GB"/>
        </w:rPr>
        <w:t xml:space="preserve">This statement shows the changes in cash and cash equivalents of the Chief Constable during the reporting period. The Chief Constable does not manage any of these transactions and accordingly </w:t>
      </w:r>
      <w:r w:rsidR="00693255">
        <w:rPr>
          <w:rFonts w:ascii="Verdana" w:eastAsia="Times New Roman" w:hAnsi="Verdana" w:cs="Arial"/>
          <w:sz w:val="22"/>
          <w:szCs w:val="22"/>
          <w:lang w:val="en-GB" w:eastAsia="en-GB"/>
        </w:rPr>
        <w:t>the net cash impact is £Nil in these accounts</w:t>
      </w:r>
      <w:r w:rsidRPr="00490CB1">
        <w:rPr>
          <w:rFonts w:ascii="Verdana" w:eastAsia="Times New Roman" w:hAnsi="Verdana" w:cs="Arial"/>
          <w:sz w:val="22"/>
          <w:szCs w:val="22"/>
          <w:lang w:val="en-GB" w:eastAsia="en-GB"/>
        </w:rPr>
        <w:t xml:space="preserve">. Movements of monies are included </w:t>
      </w:r>
      <w:r w:rsidRPr="00490CB1">
        <w:rPr>
          <w:rFonts w:ascii="Verdana" w:eastAsia="Times New Roman" w:hAnsi="Verdana" w:cs="Arial"/>
          <w:sz w:val="22"/>
          <w:szCs w:val="22"/>
          <w:lang w:val="en-GB" w:eastAsia="en-GB"/>
        </w:rPr>
        <w:lastRenderedPageBreak/>
        <w:t>in the PCC’s Statement of Accounts</w:t>
      </w:r>
      <w:r w:rsidR="00693255">
        <w:rPr>
          <w:rFonts w:ascii="Verdana" w:eastAsia="Times New Roman" w:hAnsi="Verdana" w:cs="Arial"/>
          <w:sz w:val="22"/>
          <w:szCs w:val="22"/>
          <w:lang w:val="en-GB" w:eastAsia="en-GB"/>
        </w:rPr>
        <w:t xml:space="preserve"> and only the net deficit on the provision of services and adjustments for non-cash movements are included in the Chief Constables cash flow statement</w:t>
      </w:r>
      <w:r w:rsidRPr="00490CB1">
        <w:rPr>
          <w:rFonts w:ascii="Verdana" w:eastAsia="Times New Roman" w:hAnsi="Verdana" w:cs="Arial"/>
          <w:sz w:val="22"/>
          <w:szCs w:val="22"/>
          <w:lang w:val="en-GB" w:eastAsia="en-GB"/>
        </w:rPr>
        <w:t>.</w:t>
      </w:r>
    </w:p>
    <w:p w:rsidR="00F227D9" w:rsidRPr="00490CB1" w:rsidRDefault="00F227D9" w:rsidP="00F227D9">
      <w:pPr>
        <w:pStyle w:val="Normal0"/>
        <w:ind w:left="720" w:hanging="720"/>
        <w:jc w:val="both"/>
        <w:rPr>
          <w:rFonts w:ascii="Verdana" w:eastAsia="Times New Roman" w:hAnsi="Verdana" w:cs="Arial"/>
          <w:sz w:val="22"/>
          <w:szCs w:val="22"/>
          <w:lang w:val="en-GB" w:eastAsia="en-GB"/>
        </w:rPr>
      </w:pPr>
    </w:p>
    <w:p w:rsidR="00693255" w:rsidRDefault="00F227D9" w:rsidP="00F227D9">
      <w:pPr>
        <w:pStyle w:val="Normal0"/>
        <w:ind w:left="720" w:hanging="720"/>
        <w:jc w:val="both"/>
        <w:rPr>
          <w:rFonts w:ascii="Verdana" w:eastAsia="Times New Roman" w:hAnsi="Verdana" w:cs="Arial"/>
          <w:b/>
          <w:sz w:val="22"/>
          <w:szCs w:val="22"/>
          <w:lang w:val="en-GB" w:eastAsia="en-GB"/>
        </w:rPr>
      </w:pPr>
      <w:r w:rsidRPr="00490CB1">
        <w:rPr>
          <w:rFonts w:ascii="Verdana" w:eastAsia="Times New Roman" w:hAnsi="Verdana" w:cs="Arial"/>
          <w:b/>
          <w:sz w:val="22"/>
          <w:szCs w:val="22"/>
          <w:lang w:val="en-GB" w:eastAsia="en-GB"/>
        </w:rPr>
        <w:t xml:space="preserve">Notes to the Accounts.  </w:t>
      </w:r>
    </w:p>
    <w:p w:rsidR="00F227D9" w:rsidRPr="00490CB1" w:rsidRDefault="00F227D9" w:rsidP="00693255">
      <w:pPr>
        <w:pStyle w:val="Normal0"/>
        <w:spacing w:line="257" w:lineRule="auto"/>
        <w:jc w:val="both"/>
        <w:rPr>
          <w:rFonts w:ascii="Verdana" w:eastAsia="Times New Roman" w:hAnsi="Verdana" w:cs="Arial"/>
          <w:sz w:val="22"/>
          <w:szCs w:val="22"/>
          <w:lang w:val="en-GB" w:eastAsia="en-GB"/>
        </w:rPr>
      </w:pPr>
      <w:r w:rsidRPr="00490CB1">
        <w:rPr>
          <w:rFonts w:ascii="Verdana" w:eastAsia="Times New Roman" w:hAnsi="Verdana" w:cs="Arial"/>
          <w:sz w:val="22"/>
          <w:szCs w:val="22"/>
          <w:lang w:val="en-GB" w:eastAsia="en-GB"/>
        </w:rPr>
        <w:t>These provide additional information to support the figures included in the financial statements and are designed to aid the reader. They comprise significant accounting policies and other explanatory information.</w:t>
      </w:r>
    </w:p>
    <w:p w:rsidR="00F227D9" w:rsidRPr="00490CB1" w:rsidRDefault="00F227D9" w:rsidP="00F227D9">
      <w:pPr>
        <w:pStyle w:val="Normal0"/>
        <w:ind w:left="720" w:hanging="720"/>
        <w:jc w:val="both"/>
        <w:rPr>
          <w:rFonts w:ascii="Verdana" w:eastAsia="Times New Roman" w:hAnsi="Verdana" w:cs="Arial"/>
          <w:sz w:val="22"/>
          <w:szCs w:val="22"/>
          <w:lang w:val="en-GB" w:eastAsia="en-GB"/>
        </w:rPr>
      </w:pPr>
    </w:p>
    <w:p w:rsidR="00F227D9" w:rsidRPr="00490CB1" w:rsidRDefault="00F227D9" w:rsidP="00F227D9">
      <w:pPr>
        <w:pStyle w:val="Normal0"/>
        <w:jc w:val="both"/>
        <w:rPr>
          <w:rFonts w:ascii="Verdana" w:eastAsia="Times New Roman" w:hAnsi="Verdana" w:cs="Arial"/>
          <w:sz w:val="22"/>
          <w:szCs w:val="22"/>
          <w:lang w:val="en-GB" w:eastAsia="en-GB"/>
        </w:rPr>
      </w:pPr>
      <w:r w:rsidRPr="00490CB1">
        <w:rPr>
          <w:rFonts w:ascii="Verdana" w:eastAsia="Times New Roman" w:hAnsi="Verdana" w:cs="Arial"/>
          <w:sz w:val="22"/>
          <w:szCs w:val="22"/>
          <w:lang w:val="en-GB" w:eastAsia="en-GB"/>
        </w:rPr>
        <w:t>In addition to the Financial Statements, the annual accounts include a Statement of Responsibilities for the Accounts and information on the Police Officer Pension Fund (providing statements for pension fund income and expenditure, assets and liabilities).</w:t>
      </w:r>
    </w:p>
    <w:p w:rsidR="00F227D9" w:rsidRPr="00943794" w:rsidRDefault="00F227D9" w:rsidP="00F227D9">
      <w:pPr>
        <w:pStyle w:val="Normal0"/>
        <w:jc w:val="both"/>
        <w:rPr>
          <w:rFonts w:ascii="Verdana" w:eastAsia="Times New Roman" w:hAnsi="Verdana" w:cs="Arial"/>
          <w:sz w:val="22"/>
          <w:szCs w:val="22"/>
          <w:highlight w:val="yellow"/>
          <w:lang w:val="en-GB" w:eastAsia="en-GB"/>
        </w:rPr>
      </w:pPr>
    </w:p>
    <w:p w:rsidR="00F227D9" w:rsidRPr="00490CB1" w:rsidRDefault="00F227D9" w:rsidP="00F227D9">
      <w:pPr>
        <w:pStyle w:val="Normal0"/>
        <w:jc w:val="both"/>
        <w:rPr>
          <w:rFonts w:ascii="Verdana" w:eastAsia="Times New Roman" w:hAnsi="Verdana" w:cs="Arial"/>
          <w:b/>
          <w:sz w:val="22"/>
          <w:szCs w:val="22"/>
          <w:lang w:val="en-GB" w:eastAsia="en-GB"/>
        </w:rPr>
      </w:pPr>
      <w:r w:rsidRPr="00490CB1">
        <w:rPr>
          <w:rFonts w:ascii="Verdana" w:eastAsia="Times New Roman" w:hAnsi="Verdana" w:cs="Arial"/>
          <w:b/>
          <w:sz w:val="22"/>
          <w:szCs w:val="22"/>
          <w:lang w:val="en-GB" w:eastAsia="en-GB"/>
        </w:rPr>
        <w:t>Governance</w:t>
      </w:r>
    </w:p>
    <w:p w:rsidR="00693255" w:rsidRDefault="00F227D9" w:rsidP="00F227D9">
      <w:pPr>
        <w:pStyle w:val="Normal0"/>
        <w:jc w:val="both"/>
        <w:rPr>
          <w:rFonts w:ascii="Verdana" w:eastAsia="Times New Roman" w:hAnsi="Verdana" w:cs="Arial"/>
          <w:sz w:val="22"/>
          <w:szCs w:val="22"/>
          <w:lang w:val="en-GB" w:eastAsia="en-GB"/>
        </w:rPr>
      </w:pPr>
      <w:r w:rsidRPr="00490CB1">
        <w:rPr>
          <w:rFonts w:ascii="Verdana" w:eastAsia="Times New Roman" w:hAnsi="Verdana" w:cs="Arial"/>
          <w:sz w:val="22"/>
          <w:szCs w:val="22"/>
          <w:lang w:val="en-GB" w:eastAsia="en-GB"/>
        </w:rPr>
        <w:t xml:space="preserve">The accounts are subject to detailed review by an independent external auditor. The audit provides assurance that the accounts provide a true and fair view of the financial position, are prepared correctly, that proper accounting practices have been followed and that arrangements have been followed and that arrangements have been made for securing economy, efficiency and effectiveness in the use of resources. </w:t>
      </w:r>
    </w:p>
    <w:p w:rsidR="00693255" w:rsidRDefault="00693255" w:rsidP="00F227D9">
      <w:pPr>
        <w:pStyle w:val="Normal0"/>
        <w:jc w:val="both"/>
        <w:rPr>
          <w:rFonts w:ascii="Verdana" w:eastAsia="Times New Roman" w:hAnsi="Verdana" w:cs="Arial"/>
          <w:sz w:val="22"/>
          <w:szCs w:val="22"/>
          <w:lang w:val="en-GB" w:eastAsia="en-GB"/>
        </w:rPr>
      </w:pPr>
    </w:p>
    <w:p w:rsidR="003267F1" w:rsidRDefault="00F227D9" w:rsidP="00F227D9">
      <w:pPr>
        <w:pStyle w:val="Normal0"/>
        <w:jc w:val="both"/>
        <w:rPr>
          <w:rFonts w:ascii="Verdana" w:eastAsia="Times New Roman" w:hAnsi="Verdana" w:cs="Arial"/>
          <w:sz w:val="22"/>
          <w:szCs w:val="22"/>
          <w:lang w:val="en-GB" w:eastAsia="en-GB"/>
        </w:rPr>
      </w:pPr>
      <w:r w:rsidRPr="00490CB1">
        <w:rPr>
          <w:rFonts w:ascii="Verdana" w:eastAsia="Times New Roman" w:hAnsi="Verdana" w:cs="Arial"/>
          <w:sz w:val="22"/>
          <w:szCs w:val="22"/>
          <w:lang w:val="en-GB" w:eastAsia="en-GB"/>
        </w:rPr>
        <w:t xml:space="preserve">The Accounts and Audit (England) Regulations 2015 require that the Annual Governance Statement (AGS) should accompany the Statement of Accounts. The Chief Constable’s AGS is included within this Statement of Accounts and explains the governance processes and procedures in place to enable the Chief Constable to </w:t>
      </w:r>
      <w:r w:rsidR="00693255">
        <w:rPr>
          <w:rFonts w:ascii="Verdana" w:eastAsia="Times New Roman" w:hAnsi="Verdana" w:cs="Arial"/>
          <w:sz w:val="22"/>
          <w:szCs w:val="22"/>
          <w:lang w:val="en-GB" w:eastAsia="en-GB"/>
        </w:rPr>
        <w:t xml:space="preserve">carry out functions effectively </w:t>
      </w:r>
      <w:r w:rsidRPr="00490CB1">
        <w:rPr>
          <w:rFonts w:ascii="Verdana" w:eastAsia="Times New Roman" w:hAnsi="Verdana" w:cs="Arial"/>
          <w:sz w:val="22"/>
          <w:szCs w:val="22"/>
          <w:lang w:val="en-GB" w:eastAsia="en-GB"/>
        </w:rPr>
        <w:t>by highlighting the internal control environment, commenting on effectiveness and iden</w:t>
      </w:r>
      <w:r w:rsidR="00693255">
        <w:rPr>
          <w:rFonts w:ascii="Verdana" w:eastAsia="Times New Roman" w:hAnsi="Verdana" w:cs="Arial"/>
          <w:sz w:val="22"/>
          <w:szCs w:val="22"/>
          <w:lang w:val="en-GB" w:eastAsia="en-GB"/>
        </w:rPr>
        <w:t>tifying issues for future work.</w:t>
      </w:r>
    </w:p>
    <w:p w:rsidR="003267F1" w:rsidRPr="00490CB1" w:rsidRDefault="003267F1" w:rsidP="00F227D9">
      <w:pPr>
        <w:pStyle w:val="Normal0"/>
        <w:jc w:val="both"/>
        <w:rPr>
          <w:rFonts w:ascii="Verdana" w:eastAsia="Times New Roman" w:hAnsi="Verdana" w:cs="Arial"/>
          <w:sz w:val="22"/>
          <w:szCs w:val="22"/>
          <w:lang w:val="en-GB" w:eastAsia="en-GB"/>
        </w:rPr>
      </w:pPr>
    </w:p>
    <w:p w:rsidR="00F227D9" w:rsidRPr="003267F1" w:rsidRDefault="00F227D9" w:rsidP="00F227D9">
      <w:pPr>
        <w:pStyle w:val="Style1"/>
        <w:numPr>
          <w:ilvl w:val="0"/>
          <w:numId w:val="7"/>
        </w:numPr>
        <w:rPr>
          <w:rFonts w:ascii="Verdana" w:hAnsi="Verdana"/>
          <w:sz w:val="22"/>
          <w:szCs w:val="22"/>
          <w:lang w:val="en-GB" w:eastAsia="en-GB"/>
        </w:rPr>
      </w:pPr>
      <w:r w:rsidRPr="003267F1">
        <w:rPr>
          <w:rFonts w:ascii="Verdana" w:hAnsi="Verdana"/>
          <w:sz w:val="22"/>
          <w:szCs w:val="22"/>
          <w:lang w:val="en-GB" w:eastAsia="en-GB"/>
        </w:rPr>
        <w:t>Financial Arrangements</w:t>
      </w:r>
    </w:p>
    <w:p w:rsidR="00F227D9" w:rsidRPr="003267F1" w:rsidRDefault="00F227D9" w:rsidP="00F227D9">
      <w:pPr>
        <w:pStyle w:val="Normal0"/>
        <w:jc w:val="both"/>
        <w:rPr>
          <w:rFonts w:ascii="Verdana" w:eastAsia="Times New Roman" w:hAnsi="Verdana" w:cs="Arial"/>
          <w:b/>
          <w:sz w:val="22"/>
          <w:szCs w:val="22"/>
          <w:lang w:val="en-GB" w:eastAsia="en-GB"/>
        </w:rPr>
      </w:pPr>
    </w:p>
    <w:p w:rsidR="00F227D9" w:rsidRPr="003267F1" w:rsidRDefault="00F227D9" w:rsidP="00F227D9">
      <w:pPr>
        <w:pStyle w:val="Normal0"/>
        <w:jc w:val="both"/>
        <w:rPr>
          <w:rFonts w:ascii="Verdana" w:eastAsia="Times New Roman" w:hAnsi="Verdana" w:cs="Arial"/>
          <w:b/>
          <w:sz w:val="22"/>
          <w:szCs w:val="22"/>
          <w:lang w:val="en-GB" w:eastAsia="en-GB"/>
        </w:rPr>
      </w:pPr>
      <w:r w:rsidRPr="003267F1">
        <w:rPr>
          <w:rFonts w:ascii="Verdana" w:eastAsia="Times New Roman" w:hAnsi="Verdana" w:cs="Arial"/>
          <w:b/>
          <w:sz w:val="22"/>
          <w:szCs w:val="22"/>
          <w:lang w:val="en-GB" w:eastAsia="en-GB"/>
        </w:rPr>
        <w:t>Setting the Budget</w:t>
      </w:r>
    </w:p>
    <w:p w:rsidR="00490CB1" w:rsidRPr="000F7D64" w:rsidRDefault="00490CB1" w:rsidP="00490CB1">
      <w:pPr>
        <w:jc w:val="both"/>
        <w:rPr>
          <w:rFonts w:ascii="Verdana" w:hAnsi="Verdana" w:cs="Arial"/>
          <w:sz w:val="22"/>
          <w:szCs w:val="22"/>
        </w:rPr>
      </w:pPr>
      <w:r w:rsidRPr="000F7D64">
        <w:rPr>
          <w:rFonts w:ascii="Verdana" w:hAnsi="Verdana" w:cs="Arial"/>
          <w:sz w:val="22"/>
          <w:szCs w:val="22"/>
        </w:rPr>
        <w:t>The Chief Constable delivers the operational policing against a delivery plan and net budget approved by the Police and Crime Commissioner (PCC). The PCC Group net revenue budget (o</w:t>
      </w:r>
      <w:r w:rsidR="009D2F7C">
        <w:rPr>
          <w:rFonts w:ascii="Verdana" w:hAnsi="Verdana" w:cs="Arial"/>
          <w:sz w:val="22"/>
          <w:szCs w:val="22"/>
        </w:rPr>
        <w:t>r operating budget) for 2020</w:t>
      </w:r>
      <w:r w:rsidR="005E4528">
        <w:rPr>
          <w:rFonts w:ascii="Verdana" w:hAnsi="Verdana" w:cs="Arial"/>
          <w:sz w:val="22"/>
          <w:szCs w:val="22"/>
        </w:rPr>
        <w:t>/2</w:t>
      </w:r>
      <w:r w:rsidR="009D2F7C">
        <w:rPr>
          <w:rFonts w:ascii="Verdana" w:hAnsi="Verdana" w:cs="Arial"/>
          <w:sz w:val="22"/>
          <w:szCs w:val="22"/>
        </w:rPr>
        <w:t>1</w:t>
      </w:r>
      <w:r w:rsidRPr="000F7D64">
        <w:rPr>
          <w:rFonts w:ascii="Verdana" w:hAnsi="Verdana" w:cs="Arial"/>
          <w:sz w:val="22"/>
          <w:szCs w:val="22"/>
        </w:rPr>
        <w:t xml:space="preserve"> was set at £2</w:t>
      </w:r>
      <w:r>
        <w:rPr>
          <w:rFonts w:ascii="Verdana" w:hAnsi="Verdana" w:cs="Arial"/>
          <w:sz w:val="22"/>
          <w:szCs w:val="22"/>
        </w:rPr>
        <w:t>50</w:t>
      </w:r>
      <w:r w:rsidRPr="000F7D64">
        <w:rPr>
          <w:rFonts w:ascii="Verdana" w:hAnsi="Verdana" w:cs="Arial"/>
          <w:sz w:val="22"/>
          <w:szCs w:val="22"/>
        </w:rPr>
        <w:t>.</w:t>
      </w:r>
      <w:r>
        <w:rPr>
          <w:rFonts w:ascii="Verdana" w:hAnsi="Verdana" w:cs="Arial"/>
          <w:sz w:val="22"/>
          <w:szCs w:val="22"/>
        </w:rPr>
        <w:t>0</w:t>
      </w:r>
      <w:r w:rsidRPr="000F7D64">
        <w:rPr>
          <w:rFonts w:ascii="Verdana" w:hAnsi="Verdana" w:cs="Arial"/>
          <w:sz w:val="22"/>
          <w:szCs w:val="22"/>
        </w:rPr>
        <w:t>m (201</w:t>
      </w:r>
      <w:r>
        <w:rPr>
          <w:rFonts w:ascii="Verdana" w:hAnsi="Verdana" w:cs="Arial"/>
          <w:sz w:val="22"/>
          <w:szCs w:val="22"/>
        </w:rPr>
        <w:t>9</w:t>
      </w:r>
      <w:r w:rsidRPr="000F7D64">
        <w:rPr>
          <w:rFonts w:ascii="Verdana" w:hAnsi="Verdana" w:cs="Arial"/>
          <w:sz w:val="22"/>
          <w:szCs w:val="22"/>
        </w:rPr>
        <w:t>/</w:t>
      </w:r>
      <w:r>
        <w:rPr>
          <w:rFonts w:ascii="Verdana" w:hAnsi="Verdana" w:cs="Arial"/>
          <w:sz w:val="22"/>
          <w:szCs w:val="22"/>
        </w:rPr>
        <w:t xml:space="preserve">20 </w:t>
      </w:r>
      <w:r w:rsidRPr="000F7D64">
        <w:rPr>
          <w:rFonts w:ascii="Verdana" w:hAnsi="Verdana" w:cs="Arial"/>
          <w:sz w:val="22"/>
          <w:szCs w:val="22"/>
        </w:rPr>
        <w:t>£2</w:t>
      </w:r>
      <w:r>
        <w:rPr>
          <w:rFonts w:ascii="Verdana" w:hAnsi="Verdana" w:cs="Arial"/>
          <w:sz w:val="22"/>
          <w:szCs w:val="22"/>
        </w:rPr>
        <w:t>35</w:t>
      </w:r>
      <w:r w:rsidRPr="000F7D64">
        <w:rPr>
          <w:rFonts w:ascii="Verdana" w:hAnsi="Verdana" w:cs="Arial"/>
          <w:sz w:val="22"/>
          <w:szCs w:val="22"/>
        </w:rPr>
        <w:t>.</w:t>
      </w:r>
      <w:r>
        <w:rPr>
          <w:rFonts w:ascii="Verdana" w:hAnsi="Verdana" w:cs="Arial"/>
          <w:sz w:val="22"/>
          <w:szCs w:val="22"/>
        </w:rPr>
        <w:t>1</w:t>
      </w:r>
      <w:r w:rsidRPr="000F7D64">
        <w:rPr>
          <w:rFonts w:ascii="Verdana" w:hAnsi="Verdana" w:cs="Arial"/>
          <w:sz w:val="22"/>
          <w:szCs w:val="22"/>
        </w:rPr>
        <w:t>m) of which £</w:t>
      </w:r>
      <w:r>
        <w:rPr>
          <w:rFonts w:ascii="Verdana" w:hAnsi="Verdana" w:cs="Arial"/>
          <w:sz w:val="22"/>
          <w:szCs w:val="22"/>
        </w:rPr>
        <w:t>247.9</w:t>
      </w:r>
      <w:r w:rsidRPr="000F7D64">
        <w:rPr>
          <w:rFonts w:ascii="Verdana" w:hAnsi="Verdana" w:cs="Arial"/>
          <w:sz w:val="22"/>
          <w:szCs w:val="22"/>
        </w:rPr>
        <w:t>m (201</w:t>
      </w:r>
      <w:r>
        <w:rPr>
          <w:rFonts w:ascii="Verdana" w:hAnsi="Verdana" w:cs="Arial"/>
          <w:sz w:val="22"/>
          <w:szCs w:val="22"/>
        </w:rPr>
        <w:t>9/20</w:t>
      </w:r>
      <w:r w:rsidRPr="000F7D64">
        <w:rPr>
          <w:rFonts w:ascii="Verdana" w:hAnsi="Verdana" w:cs="Arial"/>
          <w:sz w:val="22"/>
          <w:szCs w:val="22"/>
        </w:rPr>
        <w:t xml:space="preserve"> £</w:t>
      </w:r>
      <w:r>
        <w:rPr>
          <w:rFonts w:ascii="Verdana" w:hAnsi="Verdana" w:cs="Arial"/>
          <w:sz w:val="22"/>
          <w:szCs w:val="22"/>
        </w:rPr>
        <w:t>233.0</w:t>
      </w:r>
      <w:r w:rsidRPr="000F7D64">
        <w:rPr>
          <w:rFonts w:ascii="Verdana" w:hAnsi="Verdana" w:cs="Arial"/>
          <w:sz w:val="22"/>
          <w:szCs w:val="22"/>
        </w:rPr>
        <w:t>m) was attributed to policing under the direction of the Chief Constable for the year, the remaining gross revenue budget being attributed to the cost of administering the Office of the PCC.</w:t>
      </w:r>
    </w:p>
    <w:p w:rsidR="00490CB1" w:rsidRPr="000F7D64" w:rsidRDefault="00490CB1" w:rsidP="00490CB1">
      <w:pPr>
        <w:jc w:val="both"/>
        <w:rPr>
          <w:rFonts w:ascii="Verdana" w:hAnsi="Verdana" w:cs="Arial"/>
          <w:sz w:val="22"/>
          <w:szCs w:val="22"/>
        </w:rPr>
      </w:pPr>
    </w:p>
    <w:p w:rsidR="00F227D9" w:rsidRPr="00943794" w:rsidRDefault="00215C2F" w:rsidP="006E4155">
      <w:pPr>
        <w:jc w:val="both"/>
        <w:rPr>
          <w:rFonts w:ascii="Verdana" w:eastAsia="Times New Roman" w:hAnsi="Verdana" w:cs="Arial"/>
          <w:sz w:val="22"/>
          <w:szCs w:val="22"/>
          <w:highlight w:val="yellow"/>
          <w:lang w:val="en-GB" w:eastAsia="en-GB"/>
        </w:rPr>
      </w:pPr>
      <w:r>
        <w:rPr>
          <w:rFonts w:ascii="Verdana" w:hAnsi="Verdana" w:cs="Arial"/>
          <w:sz w:val="22"/>
          <w:szCs w:val="22"/>
        </w:rPr>
        <w:t xml:space="preserve">The following charts show a summary of the </w:t>
      </w:r>
      <w:r w:rsidR="00490CB1" w:rsidRPr="000F7D64">
        <w:rPr>
          <w:rFonts w:ascii="Verdana" w:hAnsi="Verdana" w:cs="Arial"/>
          <w:sz w:val="22"/>
          <w:szCs w:val="22"/>
        </w:rPr>
        <w:t>annual revenue budget by types of subjective expenditure and b</w:t>
      </w:r>
      <w:r>
        <w:rPr>
          <w:rFonts w:ascii="Verdana" w:hAnsi="Verdana" w:cs="Arial"/>
          <w:sz w:val="22"/>
          <w:szCs w:val="22"/>
        </w:rPr>
        <w:t>y types of policing expenditure.</w:t>
      </w:r>
    </w:p>
    <w:p w:rsidR="00F227D9" w:rsidRPr="00943794" w:rsidRDefault="00F227D9" w:rsidP="00F227D9">
      <w:pPr>
        <w:pStyle w:val="Normal0"/>
        <w:jc w:val="both"/>
        <w:rPr>
          <w:rFonts w:ascii="Verdana" w:eastAsia="Times New Roman" w:hAnsi="Verdana" w:cs="Arial"/>
          <w:sz w:val="22"/>
          <w:szCs w:val="22"/>
          <w:highlight w:val="yellow"/>
          <w:lang w:val="en-GB" w:eastAsia="en-GB"/>
        </w:rPr>
      </w:pPr>
    </w:p>
    <w:p w:rsidR="00F227D9" w:rsidRPr="00943794" w:rsidRDefault="00F227D9" w:rsidP="00F227D9">
      <w:pPr>
        <w:pStyle w:val="Normal0"/>
        <w:jc w:val="center"/>
        <w:rPr>
          <w:rFonts w:ascii="Verdana" w:eastAsia="Times New Roman" w:hAnsi="Verdana" w:cs="Arial"/>
          <w:sz w:val="22"/>
          <w:szCs w:val="22"/>
          <w:highlight w:val="yellow"/>
          <w:lang w:val="en-GB" w:eastAsia="en-GB"/>
        </w:rPr>
      </w:pPr>
      <w:r w:rsidRPr="00C372B0">
        <w:rPr>
          <w:rFonts w:ascii="Verdana" w:hAnsi="Verdana" w:cs="Arial"/>
          <w:noProof/>
          <w:sz w:val="22"/>
          <w:szCs w:val="22"/>
          <w:lang w:val="en-GB" w:eastAsia="en-GB"/>
        </w:rPr>
        <w:lastRenderedPageBreak/>
        <w:drawing>
          <wp:inline distT="0" distB="0" distL="0" distR="0">
            <wp:extent cx="4433978" cy="2589250"/>
            <wp:effectExtent l="0" t="0" r="508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72881"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469989" cy="2610279"/>
                    </a:xfrm>
                    <a:prstGeom prst="rect">
                      <a:avLst/>
                    </a:prstGeom>
                    <a:noFill/>
                  </pic:spPr>
                </pic:pic>
              </a:graphicData>
            </a:graphic>
          </wp:inline>
        </w:drawing>
      </w:r>
    </w:p>
    <w:p w:rsidR="00F227D9" w:rsidRPr="00943794" w:rsidRDefault="00F227D9" w:rsidP="00F227D9">
      <w:pPr>
        <w:pStyle w:val="Normal0"/>
        <w:jc w:val="both"/>
        <w:rPr>
          <w:rFonts w:ascii="Verdana" w:eastAsia="Times New Roman" w:hAnsi="Verdana" w:cs="Arial"/>
          <w:i/>
          <w:sz w:val="22"/>
          <w:szCs w:val="22"/>
          <w:highlight w:val="yellow"/>
          <w:lang w:val="en-GB" w:eastAsia="en-GB"/>
        </w:rPr>
      </w:pPr>
    </w:p>
    <w:p w:rsidR="00F227D9" w:rsidRPr="00943794" w:rsidRDefault="00F227D9" w:rsidP="00F227D9">
      <w:pPr>
        <w:pStyle w:val="Normal0"/>
        <w:jc w:val="center"/>
        <w:rPr>
          <w:rFonts w:ascii="Verdana" w:eastAsia="Times New Roman" w:hAnsi="Verdana" w:cs="Arial"/>
          <w:sz w:val="22"/>
          <w:szCs w:val="22"/>
          <w:highlight w:val="yellow"/>
          <w:lang w:val="en-GB" w:eastAsia="en-GB"/>
        </w:rPr>
      </w:pPr>
      <w:r w:rsidRPr="002B5AAF">
        <w:rPr>
          <w:rFonts w:ascii="Verdana" w:hAnsi="Verdana" w:cs="Arial"/>
          <w:noProof/>
          <w:sz w:val="22"/>
          <w:szCs w:val="22"/>
          <w:lang w:val="en-GB" w:eastAsia="en-GB"/>
        </w:rPr>
        <w:drawing>
          <wp:inline distT="0" distB="0" distL="0" distR="0">
            <wp:extent cx="4499267" cy="306715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51668"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527705" cy="3086544"/>
                    </a:xfrm>
                    <a:prstGeom prst="rect">
                      <a:avLst/>
                    </a:prstGeom>
                    <a:noFill/>
                  </pic:spPr>
                </pic:pic>
              </a:graphicData>
            </a:graphic>
          </wp:inline>
        </w:drawing>
      </w:r>
    </w:p>
    <w:p w:rsidR="00F227D9" w:rsidRPr="00943794" w:rsidRDefault="00F227D9" w:rsidP="00F227D9">
      <w:pPr>
        <w:pStyle w:val="Normal0"/>
        <w:jc w:val="both"/>
        <w:rPr>
          <w:rFonts w:ascii="Verdana" w:eastAsia="Times New Roman" w:hAnsi="Verdana" w:cs="Arial"/>
          <w:sz w:val="22"/>
          <w:szCs w:val="22"/>
          <w:highlight w:val="yellow"/>
          <w:lang w:val="en-GB" w:eastAsia="en-GB"/>
        </w:rPr>
      </w:pPr>
    </w:p>
    <w:p w:rsidR="00F227D9" w:rsidRPr="006E4155" w:rsidRDefault="00F227D9" w:rsidP="00F227D9">
      <w:pPr>
        <w:pStyle w:val="Normal0"/>
        <w:jc w:val="both"/>
        <w:rPr>
          <w:rFonts w:ascii="Verdana" w:eastAsia="Times New Roman" w:hAnsi="Verdana" w:cs="Times New Roman"/>
          <w:sz w:val="22"/>
          <w:szCs w:val="22"/>
          <w:lang w:val="en-GB" w:eastAsia="en-GB"/>
        </w:rPr>
      </w:pPr>
      <w:r w:rsidRPr="006E4155">
        <w:rPr>
          <w:rFonts w:ascii="Verdana" w:eastAsia="Times New Roman" w:hAnsi="Verdana" w:cs="Times New Roman"/>
          <w:sz w:val="22"/>
          <w:szCs w:val="22"/>
          <w:lang w:val="en-GB" w:eastAsia="en-GB"/>
        </w:rPr>
        <w:t>The capital budget included planned expenditure and receipts from sales in line with the Estates Strategy, improvements to IT infrastructure, replacement programmes for fleet and operational equipment and major projects including digital policing.</w:t>
      </w:r>
    </w:p>
    <w:p w:rsidR="00F227D9" w:rsidRPr="006E4155" w:rsidRDefault="00F227D9" w:rsidP="00F227D9">
      <w:pPr>
        <w:pStyle w:val="Normal0"/>
        <w:jc w:val="both"/>
        <w:rPr>
          <w:rFonts w:ascii="Verdana" w:eastAsia="Times New Roman" w:hAnsi="Verdana" w:cs="Arial"/>
          <w:sz w:val="22"/>
          <w:szCs w:val="22"/>
          <w:lang w:val="en-GB" w:eastAsia="en-GB"/>
        </w:rPr>
      </w:pPr>
    </w:p>
    <w:p w:rsidR="00F227D9" w:rsidRPr="006E4155" w:rsidRDefault="00F227D9" w:rsidP="00F227D9">
      <w:pPr>
        <w:pStyle w:val="Normal0"/>
        <w:jc w:val="both"/>
        <w:rPr>
          <w:rFonts w:ascii="Verdana" w:eastAsia="Times New Roman" w:hAnsi="Verdana" w:cs="Arial"/>
          <w:b/>
          <w:sz w:val="22"/>
          <w:szCs w:val="22"/>
          <w:lang w:val="en-GB" w:eastAsia="en-GB"/>
        </w:rPr>
      </w:pPr>
      <w:r w:rsidRPr="006E4155">
        <w:rPr>
          <w:rFonts w:ascii="Verdana" w:eastAsia="Times New Roman" w:hAnsi="Verdana" w:cs="Arial"/>
          <w:b/>
          <w:sz w:val="22"/>
          <w:szCs w:val="22"/>
          <w:lang w:val="en-GB" w:eastAsia="en-GB"/>
        </w:rPr>
        <w:t>Final Revenue Outturn</w:t>
      </w:r>
    </w:p>
    <w:p w:rsidR="006E4155" w:rsidRPr="00943794" w:rsidRDefault="006E4155" w:rsidP="00F227D9">
      <w:pPr>
        <w:pStyle w:val="Normal0"/>
        <w:jc w:val="both"/>
        <w:rPr>
          <w:rFonts w:ascii="Verdana" w:eastAsia="Times New Roman" w:hAnsi="Verdana" w:cs="Arial"/>
          <w:b/>
          <w:sz w:val="22"/>
          <w:szCs w:val="22"/>
          <w:highlight w:val="yellow"/>
          <w:lang w:val="en-GB" w:eastAsia="en-GB"/>
        </w:rPr>
      </w:pPr>
    </w:p>
    <w:p w:rsidR="006E4155" w:rsidRPr="00C575CC" w:rsidRDefault="006E4155" w:rsidP="006E4155">
      <w:pPr>
        <w:jc w:val="both"/>
        <w:rPr>
          <w:rFonts w:ascii="Verdana" w:hAnsi="Verdana" w:cs="Arial"/>
          <w:sz w:val="22"/>
          <w:szCs w:val="22"/>
        </w:rPr>
      </w:pPr>
      <w:r w:rsidRPr="00C575CC">
        <w:rPr>
          <w:rFonts w:ascii="Verdana" w:hAnsi="Verdana" w:cs="Arial"/>
          <w:sz w:val="22"/>
          <w:szCs w:val="22"/>
        </w:rPr>
        <w:t xml:space="preserve">Actual expenditure attributable to policing under the direction of the Chief Constable was £231.6m (2018/19 £212.0m), against a budget </w:t>
      </w:r>
      <w:r w:rsidRPr="00E30927">
        <w:rPr>
          <w:rFonts w:ascii="Verdana" w:hAnsi="Verdana" w:cs="Arial"/>
          <w:sz w:val="22"/>
          <w:szCs w:val="22"/>
        </w:rPr>
        <w:t xml:space="preserve">of </w:t>
      </w:r>
      <w:r w:rsidR="00E30927" w:rsidRPr="00E30927">
        <w:rPr>
          <w:rFonts w:ascii="Verdana" w:hAnsi="Verdana" w:cs="Arial"/>
          <w:sz w:val="22"/>
          <w:szCs w:val="22"/>
        </w:rPr>
        <w:t>£23</w:t>
      </w:r>
      <w:r w:rsidR="002B5AAF">
        <w:rPr>
          <w:rFonts w:ascii="Verdana" w:hAnsi="Verdana" w:cs="Arial"/>
          <w:sz w:val="22"/>
          <w:szCs w:val="22"/>
        </w:rPr>
        <w:t>1</w:t>
      </w:r>
      <w:r w:rsidRPr="00E30927">
        <w:rPr>
          <w:rFonts w:ascii="Verdana" w:hAnsi="Verdana" w:cs="Arial"/>
          <w:sz w:val="22"/>
          <w:szCs w:val="22"/>
        </w:rPr>
        <w:t>.</w:t>
      </w:r>
      <w:r w:rsidR="002B5AAF">
        <w:rPr>
          <w:rFonts w:ascii="Verdana" w:hAnsi="Verdana" w:cs="Arial"/>
          <w:sz w:val="22"/>
          <w:szCs w:val="22"/>
        </w:rPr>
        <w:t>9</w:t>
      </w:r>
      <w:r w:rsidRPr="00E30927">
        <w:rPr>
          <w:rFonts w:ascii="Verdana" w:hAnsi="Verdana" w:cs="Arial"/>
          <w:sz w:val="22"/>
          <w:szCs w:val="22"/>
        </w:rPr>
        <w:t>m</w:t>
      </w:r>
      <w:r w:rsidRPr="00C575CC">
        <w:rPr>
          <w:rFonts w:ascii="Verdana" w:hAnsi="Verdana" w:cs="Arial"/>
          <w:sz w:val="22"/>
          <w:szCs w:val="22"/>
        </w:rPr>
        <w:t xml:space="preserve"> (201</w:t>
      </w:r>
      <w:r w:rsidR="00215C2F">
        <w:rPr>
          <w:rFonts w:ascii="Verdana" w:hAnsi="Verdana" w:cs="Arial"/>
          <w:sz w:val="22"/>
          <w:szCs w:val="22"/>
        </w:rPr>
        <w:t>8</w:t>
      </w:r>
      <w:r w:rsidRPr="00C575CC">
        <w:rPr>
          <w:rFonts w:ascii="Verdana" w:hAnsi="Verdana" w:cs="Arial"/>
          <w:sz w:val="22"/>
          <w:szCs w:val="22"/>
        </w:rPr>
        <w:t>/1</w:t>
      </w:r>
      <w:r w:rsidR="00215C2F">
        <w:rPr>
          <w:rFonts w:ascii="Verdana" w:hAnsi="Verdana" w:cs="Arial"/>
          <w:sz w:val="22"/>
          <w:szCs w:val="22"/>
        </w:rPr>
        <w:t>9</w:t>
      </w:r>
      <w:r w:rsidRPr="00C575CC">
        <w:rPr>
          <w:rFonts w:ascii="Verdana" w:hAnsi="Verdana" w:cs="Arial"/>
          <w:sz w:val="22"/>
          <w:szCs w:val="22"/>
        </w:rPr>
        <w:t xml:space="preserve"> £212.6m)</w:t>
      </w:r>
      <w:r w:rsidR="00215C2F">
        <w:rPr>
          <w:rFonts w:ascii="Verdana" w:hAnsi="Verdana" w:cs="Arial"/>
          <w:sz w:val="22"/>
          <w:szCs w:val="22"/>
        </w:rPr>
        <w:t xml:space="preserve"> resulting in underspend </w:t>
      </w:r>
      <w:r w:rsidR="00215C2F" w:rsidRPr="00E30927">
        <w:rPr>
          <w:rFonts w:ascii="Verdana" w:hAnsi="Verdana" w:cs="Arial"/>
          <w:sz w:val="22"/>
          <w:szCs w:val="22"/>
        </w:rPr>
        <w:t>of £0.3</w:t>
      </w:r>
      <w:r w:rsidRPr="00E30927">
        <w:rPr>
          <w:rFonts w:ascii="Verdana" w:hAnsi="Verdana" w:cs="Arial"/>
          <w:sz w:val="22"/>
          <w:szCs w:val="22"/>
        </w:rPr>
        <w:t>m</w:t>
      </w:r>
      <w:r w:rsidRPr="00C575CC">
        <w:rPr>
          <w:rFonts w:ascii="Verdana" w:hAnsi="Verdana" w:cs="Arial"/>
          <w:sz w:val="22"/>
          <w:szCs w:val="22"/>
        </w:rPr>
        <w:t xml:space="preserve"> for the current year</w:t>
      </w:r>
      <w:r w:rsidR="00E30927" w:rsidRPr="002B5AAF">
        <w:rPr>
          <w:rFonts w:ascii="Verdana" w:hAnsi="Verdana" w:cs="Arial"/>
          <w:sz w:val="22"/>
          <w:szCs w:val="22"/>
        </w:rPr>
        <w:t>.</w:t>
      </w:r>
      <w:r w:rsidR="00E30927">
        <w:rPr>
          <w:rFonts w:ascii="Verdana" w:hAnsi="Verdana" w:cs="Arial"/>
          <w:sz w:val="22"/>
          <w:szCs w:val="22"/>
        </w:rPr>
        <w:t xml:space="preserve">  </w:t>
      </w:r>
    </w:p>
    <w:p w:rsidR="00215C2F" w:rsidRDefault="00215C2F" w:rsidP="006E4155">
      <w:pPr>
        <w:jc w:val="both"/>
        <w:rPr>
          <w:rFonts w:ascii="Verdana" w:hAnsi="Verdana" w:cs="Arial"/>
          <w:sz w:val="22"/>
          <w:szCs w:val="22"/>
        </w:rPr>
      </w:pPr>
    </w:p>
    <w:p w:rsidR="006E4155" w:rsidRPr="004F4DDB" w:rsidRDefault="006E4155" w:rsidP="006E4155">
      <w:pPr>
        <w:jc w:val="both"/>
        <w:rPr>
          <w:rFonts w:ascii="Verdana" w:hAnsi="Verdana"/>
          <w:sz w:val="22"/>
          <w:szCs w:val="22"/>
        </w:rPr>
      </w:pPr>
      <w:r w:rsidRPr="004F4DDB">
        <w:rPr>
          <w:rFonts w:ascii="Verdana" w:hAnsi="Verdana" w:cs="Arial"/>
          <w:sz w:val="22"/>
          <w:szCs w:val="22"/>
        </w:rPr>
        <w:t>The following chart shows the actual expenditure for the Chief Constable, along with a table comparing actual expenditure to budget for 2019/20 by cost type</w:t>
      </w:r>
      <w:r w:rsidRPr="004F4DDB">
        <w:rPr>
          <w:rFonts w:ascii="Verdana" w:hAnsi="Verdana"/>
          <w:sz w:val="22"/>
          <w:szCs w:val="22"/>
        </w:rPr>
        <w:t xml:space="preserve"> for the year.</w:t>
      </w:r>
    </w:p>
    <w:p w:rsidR="00F227D9" w:rsidRPr="00943794" w:rsidRDefault="00F227D9" w:rsidP="00F227D9">
      <w:pPr>
        <w:pStyle w:val="Normal0"/>
        <w:jc w:val="both"/>
        <w:rPr>
          <w:rFonts w:ascii="Verdana" w:eastAsia="Times New Roman" w:hAnsi="Verdana" w:cs="Times New Roman"/>
          <w:sz w:val="22"/>
          <w:szCs w:val="22"/>
          <w:highlight w:val="yellow"/>
          <w:lang w:val="en-GB" w:eastAsia="en-GB"/>
        </w:rPr>
      </w:pPr>
    </w:p>
    <w:p w:rsidR="00F227D9" w:rsidRDefault="00584BCB" w:rsidP="00F227D9">
      <w:pPr>
        <w:pStyle w:val="Normal0"/>
        <w:jc w:val="center"/>
        <w:rPr>
          <w:rFonts w:ascii="Verdana" w:eastAsia="Times New Roman" w:hAnsi="Verdana" w:cs="Arial"/>
          <w:sz w:val="22"/>
          <w:szCs w:val="22"/>
          <w:highlight w:val="yellow"/>
          <w:lang w:val="en-GB" w:eastAsia="en-GB"/>
        </w:rPr>
      </w:pPr>
      <w:r>
        <w:rPr>
          <w:noProof/>
          <w:lang w:val="en-GB" w:eastAsia="en-GB"/>
        </w:rPr>
        <w:lastRenderedPageBreak/>
        <w:drawing>
          <wp:inline distT="0" distB="0" distL="0" distR="0" wp14:anchorId="708064FC" wp14:editId="3DFB8BD8">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27D9" w:rsidRDefault="00F227D9" w:rsidP="00F227D9">
      <w:pPr>
        <w:pStyle w:val="Normal0"/>
        <w:jc w:val="both"/>
        <w:rPr>
          <w:rFonts w:ascii="Verdana" w:eastAsia="Times New Roman" w:hAnsi="Verdana" w:cs="Arial"/>
          <w:sz w:val="22"/>
          <w:szCs w:val="22"/>
          <w:highlight w:val="yellow"/>
          <w:lang w:val="en-GB" w:eastAsia="en-GB"/>
        </w:rPr>
      </w:pPr>
    </w:p>
    <w:p w:rsidR="00BA7F4D" w:rsidRDefault="00BA7F4D" w:rsidP="00F227D9">
      <w:pPr>
        <w:pStyle w:val="Normal0"/>
        <w:jc w:val="both"/>
        <w:rPr>
          <w:rFonts w:ascii="Verdana" w:eastAsia="Times New Roman" w:hAnsi="Verdana" w:cs="Arial"/>
          <w:sz w:val="22"/>
          <w:szCs w:val="22"/>
          <w:highlight w:val="yellow"/>
          <w:lang w:val="en-GB" w:eastAsia="en-GB"/>
        </w:rPr>
      </w:pPr>
    </w:p>
    <w:tbl>
      <w:tblPr>
        <w:tblW w:w="7607" w:type="dxa"/>
        <w:jc w:val="center"/>
        <w:tblLook w:val="04A0" w:firstRow="1" w:lastRow="0" w:firstColumn="1" w:lastColumn="0" w:noHBand="0" w:noVBand="1"/>
      </w:tblPr>
      <w:tblGrid>
        <w:gridCol w:w="4221"/>
        <w:gridCol w:w="996"/>
        <w:gridCol w:w="1095"/>
        <w:gridCol w:w="1295"/>
      </w:tblGrid>
      <w:tr w:rsidR="00BA7F4D" w:rsidRPr="00423539" w:rsidTr="00BA7F4D">
        <w:trPr>
          <w:trHeight w:val="253"/>
          <w:jc w:val="center"/>
        </w:trPr>
        <w:tc>
          <w:tcPr>
            <w:tcW w:w="4221" w:type="dxa"/>
            <w:tcBorders>
              <w:top w:val="single" w:sz="4" w:space="0" w:color="auto"/>
              <w:left w:val="single" w:sz="4" w:space="0" w:color="auto"/>
              <w:bottom w:val="nil"/>
              <w:right w:val="single" w:sz="4" w:space="0" w:color="auto"/>
            </w:tcBorders>
            <w:shd w:val="clear" w:color="auto" w:fill="auto"/>
            <w:noWrap/>
            <w:vAlign w:val="bottom"/>
            <w:hideMark/>
          </w:tcPr>
          <w:p w:rsidR="00BA7F4D" w:rsidRPr="00FD4304" w:rsidRDefault="00BA7F4D" w:rsidP="00BA7F4D">
            <w:pPr>
              <w:rPr>
                <w:b/>
                <w:lang w:val="en-GB" w:eastAsia="en-GB"/>
              </w:rPr>
            </w:pPr>
            <w:r w:rsidRPr="00FD4304">
              <w:rPr>
                <w:b/>
                <w:lang w:val="en-GB" w:eastAsia="en-GB"/>
              </w:rPr>
              <w:t> </w:t>
            </w:r>
          </w:p>
        </w:tc>
        <w:tc>
          <w:tcPr>
            <w:tcW w:w="338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A7F4D" w:rsidRPr="00FD4304" w:rsidRDefault="00BA7F4D" w:rsidP="00BA7F4D">
            <w:pPr>
              <w:jc w:val="center"/>
              <w:rPr>
                <w:b/>
                <w:lang w:val="en-GB" w:eastAsia="en-GB"/>
              </w:rPr>
            </w:pPr>
            <w:r w:rsidRPr="00FD4304">
              <w:rPr>
                <w:b/>
                <w:lang w:val="en-GB" w:eastAsia="en-GB"/>
              </w:rPr>
              <w:t>2019/20</w:t>
            </w:r>
          </w:p>
        </w:tc>
      </w:tr>
      <w:tr w:rsidR="00BA7F4D" w:rsidRPr="00423539" w:rsidTr="00BA7F4D">
        <w:trPr>
          <w:trHeight w:val="253"/>
          <w:jc w:val="center"/>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BA7F4D" w:rsidRPr="00FD4304" w:rsidRDefault="00BA7F4D" w:rsidP="00664CC3">
            <w:pPr>
              <w:rPr>
                <w:b/>
                <w:lang w:val="en-GB" w:eastAsia="en-GB"/>
              </w:rPr>
            </w:pPr>
            <w:r w:rsidRPr="00FD4304">
              <w:rPr>
                <w:b/>
                <w:lang w:val="en-GB" w:eastAsia="en-GB"/>
              </w:rPr>
              <w:t> Expenditure</w:t>
            </w:r>
            <w:r>
              <w:rPr>
                <w:b/>
                <w:lang w:val="en-GB" w:eastAsia="en-GB"/>
              </w:rPr>
              <w:t xml:space="preserve"> &amp; Income</w:t>
            </w:r>
            <w:r w:rsidRPr="00FD4304">
              <w:rPr>
                <w:b/>
                <w:lang w:val="en-GB" w:eastAsia="en-GB"/>
              </w:rPr>
              <w:t xml:space="preserve"> Categories</w:t>
            </w:r>
          </w:p>
        </w:tc>
        <w:tc>
          <w:tcPr>
            <w:tcW w:w="996" w:type="dxa"/>
            <w:tcBorders>
              <w:top w:val="nil"/>
              <w:left w:val="nil"/>
              <w:bottom w:val="single" w:sz="4" w:space="0" w:color="auto"/>
              <w:right w:val="single" w:sz="4" w:space="0" w:color="auto"/>
            </w:tcBorders>
            <w:shd w:val="clear" w:color="auto" w:fill="auto"/>
            <w:noWrap/>
            <w:vAlign w:val="bottom"/>
            <w:hideMark/>
          </w:tcPr>
          <w:p w:rsidR="00BA7F4D" w:rsidRPr="00FD4304" w:rsidRDefault="00BA7F4D" w:rsidP="00664CC3">
            <w:pPr>
              <w:rPr>
                <w:b/>
                <w:lang w:val="en-GB" w:eastAsia="en-GB"/>
              </w:rPr>
            </w:pPr>
            <w:r w:rsidRPr="00FD4304">
              <w:rPr>
                <w:b/>
                <w:lang w:val="en-GB" w:eastAsia="en-GB"/>
              </w:rPr>
              <w:t xml:space="preserve">Actual </w:t>
            </w:r>
          </w:p>
        </w:tc>
        <w:tc>
          <w:tcPr>
            <w:tcW w:w="1095" w:type="dxa"/>
            <w:tcBorders>
              <w:top w:val="nil"/>
              <w:left w:val="nil"/>
              <w:bottom w:val="single" w:sz="4" w:space="0" w:color="auto"/>
              <w:right w:val="nil"/>
            </w:tcBorders>
            <w:shd w:val="clear" w:color="auto" w:fill="auto"/>
            <w:noWrap/>
            <w:vAlign w:val="bottom"/>
            <w:hideMark/>
          </w:tcPr>
          <w:p w:rsidR="00BA7F4D" w:rsidRPr="00FD4304" w:rsidRDefault="00BA7F4D" w:rsidP="00664CC3">
            <w:pPr>
              <w:rPr>
                <w:b/>
                <w:lang w:val="en-GB" w:eastAsia="en-GB"/>
              </w:rPr>
            </w:pPr>
            <w:r w:rsidRPr="00FD4304">
              <w:rPr>
                <w:b/>
                <w:lang w:val="en-GB" w:eastAsia="en-GB"/>
              </w:rPr>
              <w:t xml:space="preserve">Budget </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rsidR="00BA7F4D" w:rsidRPr="00FD4304" w:rsidRDefault="00BA7F4D" w:rsidP="00664CC3">
            <w:pPr>
              <w:rPr>
                <w:b/>
                <w:lang w:val="en-GB" w:eastAsia="en-GB"/>
              </w:rPr>
            </w:pPr>
            <w:r w:rsidRPr="00FD4304">
              <w:rPr>
                <w:b/>
                <w:lang w:val="en-GB" w:eastAsia="en-GB"/>
              </w:rPr>
              <w:t>Variance</w:t>
            </w:r>
          </w:p>
        </w:tc>
      </w:tr>
      <w:tr w:rsidR="00BA7F4D" w:rsidRPr="00423539" w:rsidTr="00BA7F4D">
        <w:trPr>
          <w:trHeight w:val="253"/>
          <w:jc w:val="center"/>
        </w:trPr>
        <w:tc>
          <w:tcPr>
            <w:tcW w:w="4221" w:type="dxa"/>
            <w:tcBorders>
              <w:top w:val="single" w:sz="4" w:space="0" w:color="auto"/>
              <w:left w:val="single" w:sz="4" w:space="0" w:color="auto"/>
              <w:bottom w:val="nil"/>
              <w:right w:val="single" w:sz="4" w:space="0" w:color="auto"/>
            </w:tcBorders>
            <w:shd w:val="clear" w:color="auto" w:fill="auto"/>
            <w:noWrap/>
            <w:vAlign w:val="bottom"/>
            <w:hideMark/>
          </w:tcPr>
          <w:p w:rsidR="00BA7F4D" w:rsidRPr="00612FC4" w:rsidRDefault="00BA7F4D" w:rsidP="00664CC3">
            <w:pPr>
              <w:rPr>
                <w:i/>
                <w:lang w:val="en-GB" w:eastAsia="en-GB"/>
              </w:rPr>
            </w:pPr>
            <w:r w:rsidRPr="00612FC4">
              <w:rPr>
                <w:i/>
                <w:lang w:val="en-GB" w:eastAsia="en-GB"/>
              </w:rPr>
              <w:t>Police Payroll</w:t>
            </w:r>
          </w:p>
        </w:tc>
        <w:tc>
          <w:tcPr>
            <w:tcW w:w="996" w:type="dxa"/>
            <w:tcBorders>
              <w:top w:val="nil"/>
              <w:left w:val="nil"/>
              <w:bottom w:val="nil"/>
              <w:right w:val="nil"/>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111.0</w:t>
            </w:r>
          </w:p>
        </w:tc>
        <w:tc>
          <w:tcPr>
            <w:tcW w:w="1095" w:type="dxa"/>
            <w:tcBorders>
              <w:top w:val="nil"/>
              <w:left w:val="single" w:sz="4" w:space="0" w:color="auto"/>
              <w:bottom w:val="nil"/>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110.8</w:t>
            </w:r>
          </w:p>
        </w:tc>
        <w:tc>
          <w:tcPr>
            <w:tcW w:w="1295" w:type="dxa"/>
            <w:tcBorders>
              <w:top w:val="nil"/>
              <w:left w:val="nil"/>
              <w:bottom w:val="nil"/>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0.2</w:t>
            </w:r>
          </w:p>
        </w:tc>
      </w:tr>
      <w:tr w:rsidR="00BA7F4D" w:rsidRPr="00423539" w:rsidTr="00BA7F4D">
        <w:trPr>
          <w:trHeight w:val="253"/>
          <w:jc w:val="center"/>
        </w:trPr>
        <w:tc>
          <w:tcPr>
            <w:tcW w:w="4221" w:type="dxa"/>
            <w:tcBorders>
              <w:top w:val="nil"/>
              <w:left w:val="single" w:sz="4" w:space="0" w:color="auto"/>
              <w:bottom w:val="nil"/>
              <w:right w:val="single" w:sz="4" w:space="0" w:color="auto"/>
            </w:tcBorders>
            <w:shd w:val="clear" w:color="auto" w:fill="auto"/>
            <w:noWrap/>
            <w:vAlign w:val="bottom"/>
            <w:hideMark/>
          </w:tcPr>
          <w:p w:rsidR="00BA7F4D" w:rsidRPr="00612FC4" w:rsidRDefault="00BA7F4D" w:rsidP="00664CC3">
            <w:pPr>
              <w:rPr>
                <w:i/>
                <w:lang w:val="en-GB" w:eastAsia="en-GB"/>
              </w:rPr>
            </w:pPr>
            <w:r w:rsidRPr="00612FC4">
              <w:rPr>
                <w:i/>
                <w:lang w:val="en-GB" w:eastAsia="en-GB"/>
              </w:rPr>
              <w:t>Police Overtime</w:t>
            </w:r>
          </w:p>
        </w:tc>
        <w:tc>
          <w:tcPr>
            <w:tcW w:w="996" w:type="dxa"/>
            <w:tcBorders>
              <w:top w:val="nil"/>
              <w:left w:val="nil"/>
              <w:bottom w:val="nil"/>
              <w:right w:val="nil"/>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4.8</w:t>
            </w:r>
          </w:p>
        </w:tc>
        <w:tc>
          <w:tcPr>
            <w:tcW w:w="1095" w:type="dxa"/>
            <w:tcBorders>
              <w:top w:val="nil"/>
              <w:left w:val="single" w:sz="4" w:space="0" w:color="auto"/>
              <w:bottom w:val="nil"/>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3.5</w:t>
            </w:r>
          </w:p>
        </w:tc>
        <w:tc>
          <w:tcPr>
            <w:tcW w:w="1295" w:type="dxa"/>
            <w:tcBorders>
              <w:top w:val="nil"/>
              <w:left w:val="nil"/>
              <w:bottom w:val="nil"/>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1.3</w:t>
            </w:r>
          </w:p>
        </w:tc>
      </w:tr>
      <w:tr w:rsidR="00BA7F4D" w:rsidRPr="00423539" w:rsidTr="00BA7F4D">
        <w:trPr>
          <w:trHeight w:val="253"/>
          <w:jc w:val="center"/>
        </w:trPr>
        <w:tc>
          <w:tcPr>
            <w:tcW w:w="4221" w:type="dxa"/>
            <w:tcBorders>
              <w:top w:val="nil"/>
              <w:left w:val="single" w:sz="4" w:space="0" w:color="auto"/>
              <w:bottom w:val="nil"/>
              <w:right w:val="single" w:sz="4" w:space="0" w:color="auto"/>
            </w:tcBorders>
            <w:shd w:val="clear" w:color="auto" w:fill="auto"/>
            <w:noWrap/>
            <w:vAlign w:val="bottom"/>
            <w:hideMark/>
          </w:tcPr>
          <w:p w:rsidR="00BA7F4D" w:rsidRPr="00612FC4" w:rsidRDefault="00BA7F4D" w:rsidP="00664CC3">
            <w:pPr>
              <w:rPr>
                <w:i/>
                <w:lang w:val="en-GB" w:eastAsia="en-GB"/>
              </w:rPr>
            </w:pPr>
            <w:r w:rsidRPr="00612FC4">
              <w:rPr>
                <w:i/>
                <w:lang w:val="en-GB" w:eastAsia="en-GB"/>
              </w:rPr>
              <w:t>Staff Payroll</w:t>
            </w:r>
          </w:p>
        </w:tc>
        <w:tc>
          <w:tcPr>
            <w:tcW w:w="996" w:type="dxa"/>
            <w:tcBorders>
              <w:top w:val="nil"/>
              <w:left w:val="nil"/>
              <w:bottom w:val="nil"/>
              <w:right w:val="nil"/>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65.9</w:t>
            </w:r>
          </w:p>
        </w:tc>
        <w:tc>
          <w:tcPr>
            <w:tcW w:w="1095" w:type="dxa"/>
            <w:tcBorders>
              <w:top w:val="nil"/>
              <w:left w:val="single" w:sz="4" w:space="0" w:color="auto"/>
              <w:bottom w:val="nil"/>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69.6</w:t>
            </w:r>
          </w:p>
        </w:tc>
        <w:tc>
          <w:tcPr>
            <w:tcW w:w="1295" w:type="dxa"/>
            <w:tcBorders>
              <w:top w:val="nil"/>
              <w:left w:val="nil"/>
              <w:bottom w:val="nil"/>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(3.7)</w:t>
            </w:r>
          </w:p>
        </w:tc>
      </w:tr>
      <w:tr w:rsidR="00BA7F4D" w:rsidRPr="00423539" w:rsidTr="00BA7F4D">
        <w:trPr>
          <w:trHeight w:val="253"/>
          <w:jc w:val="center"/>
        </w:trPr>
        <w:tc>
          <w:tcPr>
            <w:tcW w:w="4221" w:type="dxa"/>
            <w:tcBorders>
              <w:top w:val="nil"/>
              <w:left w:val="single" w:sz="4" w:space="0" w:color="auto"/>
              <w:bottom w:val="nil"/>
              <w:right w:val="single" w:sz="4" w:space="0" w:color="auto"/>
            </w:tcBorders>
            <w:shd w:val="clear" w:color="auto" w:fill="auto"/>
            <w:noWrap/>
            <w:vAlign w:val="bottom"/>
            <w:hideMark/>
          </w:tcPr>
          <w:p w:rsidR="00BA7F4D" w:rsidRPr="00612FC4" w:rsidRDefault="00BA7F4D" w:rsidP="00664CC3">
            <w:pPr>
              <w:rPr>
                <w:i/>
                <w:lang w:val="en-GB" w:eastAsia="en-GB"/>
              </w:rPr>
            </w:pPr>
            <w:r w:rsidRPr="00612FC4">
              <w:rPr>
                <w:i/>
                <w:lang w:val="en-GB" w:eastAsia="en-GB"/>
              </w:rPr>
              <w:t>Staff Overtime</w:t>
            </w:r>
          </w:p>
        </w:tc>
        <w:tc>
          <w:tcPr>
            <w:tcW w:w="996" w:type="dxa"/>
            <w:tcBorders>
              <w:top w:val="nil"/>
              <w:left w:val="nil"/>
              <w:bottom w:val="nil"/>
              <w:right w:val="nil"/>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1.5</w:t>
            </w:r>
          </w:p>
        </w:tc>
        <w:tc>
          <w:tcPr>
            <w:tcW w:w="1095" w:type="dxa"/>
            <w:tcBorders>
              <w:top w:val="nil"/>
              <w:left w:val="single" w:sz="4" w:space="0" w:color="auto"/>
              <w:bottom w:val="nil"/>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1.1</w:t>
            </w:r>
          </w:p>
        </w:tc>
        <w:tc>
          <w:tcPr>
            <w:tcW w:w="1295" w:type="dxa"/>
            <w:tcBorders>
              <w:top w:val="nil"/>
              <w:left w:val="nil"/>
              <w:bottom w:val="nil"/>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0.4</w:t>
            </w:r>
          </w:p>
        </w:tc>
      </w:tr>
      <w:tr w:rsidR="00BA7F4D" w:rsidRPr="00423539" w:rsidTr="00BA7F4D">
        <w:trPr>
          <w:trHeight w:val="253"/>
          <w:jc w:val="center"/>
        </w:trPr>
        <w:tc>
          <w:tcPr>
            <w:tcW w:w="4221" w:type="dxa"/>
            <w:tcBorders>
              <w:top w:val="nil"/>
              <w:left w:val="single" w:sz="4" w:space="0" w:color="auto"/>
              <w:bottom w:val="nil"/>
              <w:right w:val="single" w:sz="4" w:space="0" w:color="auto"/>
            </w:tcBorders>
            <w:shd w:val="clear" w:color="auto" w:fill="auto"/>
            <w:noWrap/>
            <w:vAlign w:val="bottom"/>
            <w:hideMark/>
          </w:tcPr>
          <w:p w:rsidR="00BA7F4D" w:rsidRPr="00612FC4" w:rsidRDefault="00BA7F4D" w:rsidP="00664CC3">
            <w:pPr>
              <w:rPr>
                <w:i/>
                <w:lang w:val="en-GB" w:eastAsia="en-GB"/>
              </w:rPr>
            </w:pPr>
            <w:r w:rsidRPr="00612FC4">
              <w:rPr>
                <w:i/>
                <w:lang w:val="en-GB" w:eastAsia="en-GB"/>
              </w:rPr>
              <w:t>Agency</w:t>
            </w:r>
          </w:p>
        </w:tc>
        <w:tc>
          <w:tcPr>
            <w:tcW w:w="996" w:type="dxa"/>
            <w:tcBorders>
              <w:top w:val="nil"/>
              <w:left w:val="nil"/>
              <w:bottom w:val="nil"/>
              <w:right w:val="nil"/>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2.0</w:t>
            </w:r>
          </w:p>
        </w:tc>
        <w:tc>
          <w:tcPr>
            <w:tcW w:w="1095" w:type="dxa"/>
            <w:tcBorders>
              <w:top w:val="nil"/>
              <w:left w:val="single" w:sz="4" w:space="0" w:color="auto"/>
              <w:bottom w:val="nil"/>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1.4</w:t>
            </w:r>
          </w:p>
        </w:tc>
        <w:tc>
          <w:tcPr>
            <w:tcW w:w="1295" w:type="dxa"/>
            <w:tcBorders>
              <w:top w:val="nil"/>
              <w:left w:val="nil"/>
              <w:bottom w:val="nil"/>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0.6</w:t>
            </w:r>
          </w:p>
        </w:tc>
      </w:tr>
      <w:tr w:rsidR="00BA7F4D" w:rsidRPr="00423539" w:rsidTr="00BA7F4D">
        <w:trPr>
          <w:trHeight w:val="253"/>
          <w:jc w:val="center"/>
        </w:trPr>
        <w:tc>
          <w:tcPr>
            <w:tcW w:w="4221" w:type="dxa"/>
            <w:tcBorders>
              <w:top w:val="nil"/>
              <w:left w:val="single" w:sz="4" w:space="0" w:color="auto"/>
              <w:right w:val="single" w:sz="4" w:space="0" w:color="auto"/>
            </w:tcBorders>
            <w:shd w:val="clear" w:color="auto" w:fill="auto"/>
            <w:noWrap/>
            <w:vAlign w:val="bottom"/>
            <w:hideMark/>
          </w:tcPr>
          <w:p w:rsidR="00BA7F4D" w:rsidRPr="00612FC4" w:rsidRDefault="00BA7F4D" w:rsidP="00664CC3">
            <w:pPr>
              <w:rPr>
                <w:i/>
                <w:lang w:val="en-GB" w:eastAsia="en-GB"/>
              </w:rPr>
            </w:pPr>
            <w:r w:rsidRPr="00612FC4">
              <w:rPr>
                <w:i/>
                <w:lang w:val="en-GB" w:eastAsia="en-GB"/>
              </w:rPr>
              <w:t>Training</w:t>
            </w:r>
          </w:p>
        </w:tc>
        <w:tc>
          <w:tcPr>
            <w:tcW w:w="996" w:type="dxa"/>
            <w:tcBorders>
              <w:top w:val="nil"/>
              <w:left w:val="nil"/>
              <w:right w:val="nil"/>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1.5</w:t>
            </w:r>
          </w:p>
        </w:tc>
        <w:tc>
          <w:tcPr>
            <w:tcW w:w="1095" w:type="dxa"/>
            <w:tcBorders>
              <w:top w:val="nil"/>
              <w:left w:val="single" w:sz="4" w:space="0" w:color="auto"/>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1.3</w:t>
            </w:r>
          </w:p>
        </w:tc>
        <w:tc>
          <w:tcPr>
            <w:tcW w:w="1295" w:type="dxa"/>
            <w:tcBorders>
              <w:top w:val="nil"/>
              <w:left w:val="nil"/>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0.2</w:t>
            </w:r>
          </w:p>
        </w:tc>
      </w:tr>
      <w:tr w:rsidR="00BA7F4D" w:rsidRPr="00423539" w:rsidTr="00BA7F4D">
        <w:trPr>
          <w:trHeight w:val="253"/>
          <w:jc w:val="center"/>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BA7F4D" w:rsidRPr="00612FC4" w:rsidRDefault="00BA7F4D" w:rsidP="00664CC3">
            <w:pPr>
              <w:rPr>
                <w:i/>
                <w:lang w:val="en-GB" w:eastAsia="en-GB"/>
              </w:rPr>
            </w:pPr>
            <w:r w:rsidRPr="00612FC4">
              <w:rPr>
                <w:i/>
                <w:lang w:val="en-GB" w:eastAsia="en-GB"/>
              </w:rPr>
              <w:t>Other Payroll Costs</w:t>
            </w:r>
          </w:p>
        </w:tc>
        <w:tc>
          <w:tcPr>
            <w:tcW w:w="996" w:type="dxa"/>
            <w:tcBorders>
              <w:top w:val="nil"/>
              <w:left w:val="nil"/>
              <w:bottom w:val="single" w:sz="4" w:space="0" w:color="auto"/>
              <w:right w:val="nil"/>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4.3</w:t>
            </w:r>
          </w:p>
        </w:tc>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4.1</w:t>
            </w:r>
          </w:p>
        </w:tc>
        <w:tc>
          <w:tcPr>
            <w:tcW w:w="1295" w:type="dxa"/>
            <w:tcBorders>
              <w:top w:val="nil"/>
              <w:left w:val="nil"/>
              <w:bottom w:val="single" w:sz="4" w:space="0" w:color="auto"/>
              <w:right w:val="single" w:sz="4" w:space="0" w:color="auto"/>
            </w:tcBorders>
            <w:shd w:val="clear" w:color="auto" w:fill="auto"/>
            <w:noWrap/>
            <w:vAlign w:val="bottom"/>
            <w:hideMark/>
          </w:tcPr>
          <w:p w:rsidR="00BA7F4D" w:rsidRPr="00612FC4" w:rsidRDefault="00BA7F4D" w:rsidP="00664CC3">
            <w:pPr>
              <w:jc w:val="right"/>
              <w:rPr>
                <w:i/>
                <w:lang w:val="en-GB" w:eastAsia="en-GB"/>
              </w:rPr>
            </w:pPr>
            <w:r w:rsidRPr="00612FC4">
              <w:rPr>
                <w:i/>
                <w:lang w:val="en-GB" w:eastAsia="en-GB"/>
              </w:rPr>
              <w:t>0.2</w:t>
            </w:r>
          </w:p>
        </w:tc>
      </w:tr>
      <w:tr w:rsidR="00BA7F4D" w:rsidRPr="00423539" w:rsidTr="00BA7F4D">
        <w:trPr>
          <w:trHeight w:val="253"/>
          <w:jc w:val="center"/>
        </w:trPr>
        <w:tc>
          <w:tcPr>
            <w:tcW w:w="4221" w:type="dxa"/>
            <w:tcBorders>
              <w:top w:val="single" w:sz="4" w:space="0" w:color="auto"/>
              <w:left w:val="single" w:sz="4" w:space="0" w:color="auto"/>
              <w:bottom w:val="nil"/>
              <w:right w:val="single" w:sz="4" w:space="0" w:color="auto"/>
            </w:tcBorders>
            <w:shd w:val="clear" w:color="auto" w:fill="auto"/>
            <w:noWrap/>
            <w:vAlign w:val="bottom"/>
          </w:tcPr>
          <w:p w:rsidR="00BA7F4D" w:rsidRPr="00453EAE" w:rsidRDefault="00BA7F4D" w:rsidP="00664CC3">
            <w:pPr>
              <w:rPr>
                <w:lang w:val="en-GB" w:eastAsia="en-GB"/>
              </w:rPr>
            </w:pPr>
            <w:r w:rsidRPr="00453EAE">
              <w:rPr>
                <w:lang w:val="en-GB" w:eastAsia="en-GB"/>
              </w:rPr>
              <w:t>Total Employee Costs</w:t>
            </w:r>
          </w:p>
        </w:tc>
        <w:tc>
          <w:tcPr>
            <w:tcW w:w="996" w:type="dxa"/>
            <w:tcBorders>
              <w:top w:val="single" w:sz="4" w:space="0" w:color="auto"/>
              <w:left w:val="nil"/>
              <w:bottom w:val="nil"/>
              <w:right w:val="nil"/>
            </w:tcBorders>
            <w:shd w:val="clear" w:color="auto" w:fill="auto"/>
            <w:noWrap/>
            <w:vAlign w:val="bottom"/>
          </w:tcPr>
          <w:p w:rsidR="00BA7F4D" w:rsidRPr="00453EAE" w:rsidRDefault="00BA7F4D" w:rsidP="00664CC3">
            <w:pPr>
              <w:jc w:val="right"/>
              <w:rPr>
                <w:lang w:val="en-GB" w:eastAsia="en-GB"/>
              </w:rPr>
            </w:pPr>
            <w:r w:rsidRPr="00453EAE">
              <w:rPr>
                <w:lang w:val="en-GB" w:eastAsia="en-GB"/>
              </w:rPr>
              <w:t>191.0</w:t>
            </w:r>
          </w:p>
        </w:tc>
        <w:tc>
          <w:tcPr>
            <w:tcW w:w="1095" w:type="dxa"/>
            <w:tcBorders>
              <w:top w:val="single" w:sz="4" w:space="0" w:color="auto"/>
              <w:left w:val="single" w:sz="4" w:space="0" w:color="auto"/>
              <w:bottom w:val="nil"/>
              <w:right w:val="single" w:sz="4" w:space="0" w:color="auto"/>
            </w:tcBorders>
            <w:shd w:val="clear" w:color="auto" w:fill="auto"/>
            <w:noWrap/>
            <w:vAlign w:val="bottom"/>
          </w:tcPr>
          <w:p w:rsidR="00BA7F4D" w:rsidRPr="00453EAE" w:rsidRDefault="00BA7F4D" w:rsidP="00664CC3">
            <w:pPr>
              <w:jc w:val="right"/>
              <w:rPr>
                <w:lang w:val="en-GB" w:eastAsia="en-GB"/>
              </w:rPr>
            </w:pPr>
            <w:r w:rsidRPr="00453EAE">
              <w:rPr>
                <w:lang w:val="en-GB" w:eastAsia="en-GB"/>
              </w:rPr>
              <w:t>191.8</w:t>
            </w:r>
          </w:p>
        </w:tc>
        <w:tc>
          <w:tcPr>
            <w:tcW w:w="1295" w:type="dxa"/>
            <w:tcBorders>
              <w:top w:val="single" w:sz="4" w:space="0" w:color="auto"/>
              <w:left w:val="nil"/>
              <w:bottom w:val="nil"/>
              <w:right w:val="single" w:sz="4" w:space="0" w:color="auto"/>
            </w:tcBorders>
            <w:shd w:val="clear" w:color="auto" w:fill="auto"/>
            <w:noWrap/>
            <w:vAlign w:val="bottom"/>
          </w:tcPr>
          <w:p w:rsidR="00BA7F4D" w:rsidRPr="00453EAE" w:rsidRDefault="00BA7F4D" w:rsidP="00664CC3">
            <w:pPr>
              <w:jc w:val="right"/>
              <w:rPr>
                <w:lang w:val="en-GB" w:eastAsia="en-GB"/>
              </w:rPr>
            </w:pPr>
            <w:r w:rsidRPr="00453EAE">
              <w:rPr>
                <w:lang w:val="en-GB" w:eastAsia="en-GB"/>
              </w:rPr>
              <w:t>(0.8)</w:t>
            </w:r>
          </w:p>
        </w:tc>
      </w:tr>
      <w:tr w:rsidR="00BA7F4D" w:rsidRPr="00423539" w:rsidTr="00BA7F4D">
        <w:trPr>
          <w:trHeight w:val="253"/>
          <w:jc w:val="center"/>
        </w:trPr>
        <w:tc>
          <w:tcPr>
            <w:tcW w:w="4221" w:type="dxa"/>
            <w:tcBorders>
              <w:top w:val="nil"/>
              <w:left w:val="single" w:sz="4" w:space="0" w:color="auto"/>
              <w:bottom w:val="nil"/>
              <w:right w:val="single" w:sz="4" w:space="0" w:color="auto"/>
            </w:tcBorders>
            <w:shd w:val="clear" w:color="auto" w:fill="auto"/>
            <w:noWrap/>
            <w:vAlign w:val="bottom"/>
            <w:hideMark/>
          </w:tcPr>
          <w:p w:rsidR="00BA7F4D" w:rsidRPr="00453EAE" w:rsidRDefault="00BA7F4D" w:rsidP="00664CC3">
            <w:pPr>
              <w:rPr>
                <w:lang w:val="en-GB" w:eastAsia="en-GB"/>
              </w:rPr>
            </w:pPr>
            <w:r w:rsidRPr="00453EAE">
              <w:rPr>
                <w:lang w:val="en-GB" w:eastAsia="en-GB"/>
              </w:rPr>
              <w:t>Premises</w:t>
            </w:r>
          </w:p>
        </w:tc>
        <w:tc>
          <w:tcPr>
            <w:tcW w:w="996" w:type="dxa"/>
            <w:tcBorders>
              <w:top w:val="nil"/>
              <w:left w:val="nil"/>
              <w:bottom w:val="nil"/>
              <w:right w:val="nil"/>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12.7</w:t>
            </w:r>
          </w:p>
        </w:tc>
        <w:tc>
          <w:tcPr>
            <w:tcW w:w="1095" w:type="dxa"/>
            <w:tcBorders>
              <w:top w:val="nil"/>
              <w:left w:val="single" w:sz="4" w:space="0" w:color="auto"/>
              <w:bottom w:val="nil"/>
              <w:right w:val="single" w:sz="4" w:space="0" w:color="auto"/>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10.8</w:t>
            </w:r>
          </w:p>
        </w:tc>
        <w:tc>
          <w:tcPr>
            <w:tcW w:w="1295" w:type="dxa"/>
            <w:tcBorders>
              <w:top w:val="nil"/>
              <w:left w:val="nil"/>
              <w:bottom w:val="nil"/>
              <w:right w:val="single" w:sz="4" w:space="0" w:color="auto"/>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1.9</w:t>
            </w:r>
          </w:p>
        </w:tc>
      </w:tr>
      <w:tr w:rsidR="00BA7F4D" w:rsidRPr="00423539" w:rsidTr="00BA7F4D">
        <w:trPr>
          <w:trHeight w:val="253"/>
          <w:jc w:val="center"/>
        </w:trPr>
        <w:tc>
          <w:tcPr>
            <w:tcW w:w="4221" w:type="dxa"/>
            <w:tcBorders>
              <w:top w:val="nil"/>
              <w:left w:val="single" w:sz="4" w:space="0" w:color="auto"/>
              <w:bottom w:val="nil"/>
              <w:right w:val="single" w:sz="4" w:space="0" w:color="auto"/>
            </w:tcBorders>
            <w:shd w:val="clear" w:color="auto" w:fill="auto"/>
            <w:noWrap/>
            <w:vAlign w:val="bottom"/>
            <w:hideMark/>
          </w:tcPr>
          <w:p w:rsidR="00BA7F4D" w:rsidRPr="00453EAE" w:rsidRDefault="00BA7F4D" w:rsidP="00664CC3">
            <w:pPr>
              <w:rPr>
                <w:lang w:val="en-GB" w:eastAsia="en-GB"/>
              </w:rPr>
            </w:pPr>
            <w:r w:rsidRPr="00453EAE">
              <w:rPr>
                <w:lang w:val="en-GB" w:eastAsia="en-GB"/>
              </w:rPr>
              <w:t>Transport</w:t>
            </w:r>
          </w:p>
        </w:tc>
        <w:tc>
          <w:tcPr>
            <w:tcW w:w="996" w:type="dxa"/>
            <w:tcBorders>
              <w:top w:val="nil"/>
              <w:left w:val="nil"/>
              <w:bottom w:val="nil"/>
              <w:right w:val="nil"/>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6.1</w:t>
            </w:r>
          </w:p>
        </w:tc>
        <w:tc>
          <w:tcPr>
            <w:tcW w:w="1095" w:type="dxa"/>
            <w:tcBorders>
              <w:top w:val="nil"/>
              <w:left w:val="single" w:sz="4" w:space="0" w:color="auto"/>
              <w:bottom w:val="nil"/>
              <w:right w:val="single" w:sz="4" w:space="0" w:color="auto"/>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5.1</w:t>
            </w:r>
          </w:p>
        </w:tc>
        <w:tc>
          <w:tcPr>
            <w:tcW w:w="1295" w:type="dxa"/>
            <w:tcBorders>
              <w:top w:val="nil"/>
              <w:left w:val="nil"/>
              <w:bottom w:val="nil"/>
              <w:right w:val="single" w:sz="4" w:space="0" w:color="auto"/>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1.0</w:t>
            </w:r>
          </w:p>
        </w:tc>
      </w:tr>
      <w:tr w:rsidR="00BA7F4D" w:rsidRPr="00423539" w:rsidTr="00BA7F4D">
        <w:trPr>
          <w:trHeight w:val="253"/>
          <w:jc w:val="center"/>
        </w:trPr>
        <w:tc>
          <w:tcPr>
            <w:tcW w:w="4221" w:type="dxa"/>
            <w:tcBorders>
              <w:top w:val="nil"/>
              <w:left w:val="single" w:sz="4" w:space="0" w:color="auto"/>
              <w:bottom w:val="nil"/>
              <w:right w:val="single" w:sz="4" w:space="0" w:color="auto"/>
            </w:tcBorders>
            <w:shd w:val="clear" w:color="auto" w:fill="auto"/>
            <w:noWrap/>
            <w:vAlign w:val="bottom"/>
            <w:hideMark/>
          </w:tcPr>
          <w:p w:rsidR="00BA7F4D" w:rsidRPr="00453EAE" w:rsidRDefault="00BA7F4D" w:rsidP="00664CC3">
            <w:pPr>
              <w:rPr>
                <w:lang w:val="en-GB" w:eastAsia="en-GB"/>
              </w:rPr>
            </w:pPr>
            <w:r w:rsidRPr="00453EAE">
              <w:rPr>
                <w:lang w:val="en-GB" w:eastAsia="en-GB"/>
              </w:rPr>
              <w:t>Supplies and Services</w:t>
            </w:r>
          </w:p>
        </w:tc>
        <w:tc>
          <w:tcPr>
            <w:tcW w:w="996" w:type="dxa"/>
            <w:tcBorders>
              <w:top w:val="nil"/>
              <w:left w:val="nil"/>
              <w:bottom w:val="nil"/>
              <w:right w:val="nil"/>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27.3</w:t>
            </w:r>
          </w:p>
        </w:tc>
        <w:tc>
          <w:tcPr>
            <w:tcW w:w="1095" w:type="dxa"/>
            <w:tcBorders>
              <w:top w:val="nil"/>
              <w:left w:val="single" w:sz="4" w:space="0" w:color="auto"/>
              <w:bottom w:val="nil"/>
              <w:right w:val="single" w:sz="4" w:space="0" w:color="auto"/>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30.6</w:t>
            </w:r>
          </w:p>
        </w:tc>
        <w:tc>
          <w:tcPr>
            <w:tcW w:w="1295" w:type="dxa"/>
            <w:tcBorders>
              <w:top w:val="nil"/>
              <w:left w:val="nil"/>
              <w:bottom w:val="nil"/>
              <w:right w:val="single" w:sz="4" w:space="0" w:color="auto"/>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(3.3)</w:t>
            </w:r>
          </w:p>
        </w:tc>
      </w:tr>
      <w:tr w:rsidR="00BA7F4D" w:rsidRPr="00423539" w:rsidTr="00BA7F4D">
        <w:trPr>
          <w:trHeight w:val="253"/>
          <w:jc w:val="center"/>
        </w:trPr>
        <w:tc>
          <w:tcPr>
            <w:tcW w:w="4221" w:type="dxa"/>
            <w:tcBorders>
              <w:top w:val="nil"/>
              <w:left w:val="single" w:sz="4" w:space="0" w:color="auto"/>
              <w:bottom w:val="nil"/>
              <w:right w:val="single" w:sz="4" w:space="0" w:color="auto"/>
            </w:tcBorders>
            <w:shd w:val="clear" w:color="auto" w:fill="auto"/>
            <w:noWrap/>
            <w:vAlign w:val="bottom"/>
            <w:hideMark/>
          </w:tcPr>
          <w:p w:rsidR="00BA7F4D" w:rsidRPr="00453EAE" w:rsidRDefault="00BA7F4D" w:rsidP="00664CC3">
            <w:pPr>
              <w:rPr>
                <w:lang w:val="en-GB" w:eastAsia="en-GB"/>
              </w:rPr>
            </w:pPr>
            <w:r w:rsidRPr="00453EAE">
              <w:rPr>
                <w:lang w:val="en-GB" w:eastAsia="en-GB"/>
              </w:rPr>
              <w:t>Financing</w:t>
            </w:r>
          </w:p>
        </w:tc>
        <w:tc>
          <w:tcPr>
            <w:tcW w:w="996" w:type="dxa"/>
            <w:tcBorders>
              <w:top w:val="nil"/>
              <w:left w:val="nil"/>
              <w:bottom w:val="nil"/>
              <w:right w:val="nil"/>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7.0</w:t>
            </w:r>
          </w:p>
        </w:tc>
        <w:tc>
          <w:tcPr>
            <w:tcW w:w="1095" w:type="dxa"/>
            <w:tcBorders>
              <w:top w:val="nil"/>
              <w:left w:val="single" w:sz="4" w:space="0" w:color="auto"/>
              <w:bottom w:val="nil"/>
              <w:right w:val="single" w:sz="4" w:space="0" w:color="auto"/>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4.1</w:t>
            </w:r>
          </w:p>
        </w:tc>
        <w:tc>
          <w:tcPr>
            <w:tcW w:w="1295" w:type="dxa"/>
            <w:tcBorders>
              <w:top w:val="nil"/>
              <w:left w:val="nil"/>
              <w:bottom w:val="nil"/>
              <w:right w:val="single" w:sz="4" w:space="0" w:color="auto"/>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2.9</w:t>
            </w:r>
          </w:p>
        </w:tc>
      </w:tr>
      <w:tr w:rsidR="00BA7F4D" w:rsidRPr="00423539" w:rsidTr="00BA7F4D">
        <w:trPr>
          <w:trHeight w:val="253"/>
          <w:jc w:val="center"/>
        </w:trPr>
        <w:tc>
          <w:tcPr>
            <w:tcW w:w="4221" w:type="dxa"/>
            <w:tcBorders>
              <w:top w:val="nil"/>
              <w:left w:val="single" w:sz="4" w:space="0" w:color="auto"/>
              <w:bottom w:val="nil"/>
              <w:right w:val="single" w:sz="4" w:space="0" w:color="auto"/>
            </w:tcBorders>
            <w:shd w:val="clear" w:color="auto" w:fill="auto"/>
            <w:noWrap/>
            <w:vAlign w:val="bottom"/>
            <w:hideMark/>
          </w:tcPr>
          <w:p w:rsidR="00BA7F4D" w:rsidRPr="00453EAE" w:rsidRDefault="00BA7F4D" w:rsidP="00664CC3">
            <w:pPr>
              <w:rPr>
                <w:lang w:val="en-GB" w:eastAsia="en-GB"/>
              </w:rPr>
            </w:pPr>
            <w:r w:rsidRPr="00453EAE">
              <w:rPr>
                <w:lang w:val="en-GB" w:eastAsia="en-GB"/>
              </w:rPr>
              <w:t>Income and Grants</w:t>
            </w:r>
          </w:p>
        </w:tc>
        <w:tc>
          <w:tcPr>
            <w:tcW w:w="996" w:type="dxa"/>
            <w:tcBorders>
              <w:top w:val="nil"/>
              <w:left w:val="nil"/>
              <w:bottom w:val="nil"/>
              <w:right w:val="nil"/>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(12.5)</w:t>
            </w:r>
          </w:p>
        </w:tc>
        <w:tc>
          <w:tcPr>
            <w:tcW w:w="1095" w:type="dxa"/>
            <w:tcBorders>
              <w:top w:val="nil"/>
              <w:left w:val="single" w:sz="4" w:space="0" w:color="auto"/>
              <w:bottom w:val="nil"/>
              <w:right w:val="single" w:sz="4" w:space="0" w:color="auto"/>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(10.5)</w:t>
            </w:r>
          </w:p>
        </w:tc>
        <w:tc>
          <w:tcPr>
            <w:tcW w:w="1295" w:type="dxa"/>
            <w:tcBorders>
              <w:top w:val="nil"/>
              <w:left w:val="nil"/>
              <w:bottom w:val="nil"/>
              <w:right w:val="single" w:sz="4" w:space="0" w:color="auto"/>
            </w:tcBorders>
            <w:shd w:val="clear" w:color="auto" w:fill="auto"/>
            <w:noWrap/>
            <w:vAlign w:val="bottom"/>
            <w:hideMark/>
          </w:tcPr>
          <w:p w:rsidR="00BA7F4D" w:rsidRPr="00453EAE" w:rsidRDefault="00BA7F4D" w:rsidP="00664CC3">
            <w:pPr>
              <w:jc w:val="right"/>
              <w:rPr>
                <w:lang w:val="en-GB" w:eastAsia="en-GB"/>
              </w:rPr>
            </w:pPr>
            <w:r w:rsidRPr="00453EAE">
              <w:rPr>
                <w:lang w:val="en-GB" w:eastAsia="en-GB"/>
              </w:rPr>
              <w:t>(2.0)</w:t>
            </w:r>
          </w:p>
        </w:tc>
      </w:tr>
      <w:tr w:rsidR="00BA7F4D" w:rsidRPr="00423539" w:rsidTr="00BA7F4D">
        <w:trPr>
          <w:trHeight w:val="182"/>
          <w:jc w:val="center"/>
        </w:trPr>
        <w:tc>
          <w:tcPr>
            <w:tcW w:w="42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F4D" w:rsidRPr="00FD4304" w:rsidRDefault="00BA7F4D" w:rsidP="00BA7F4D">
            <w:pPr>
              <w:rPr>
                <w:b/>
                <w:lang w:val="en-GB" w:eastAsia="en-GB"/>
              </w:rPr>
            </w:pPr>
            <w:r w:rsidRPr="00FD4304">
              <w:rPr>
                <w:b/>
                <w:lang w:val="en-GB" w:eastAsia="en-GB"/>
              </w:rPr>
              <w:t xml:space="preserve">Chief Constable </w:t>
            </w:r>
            <w:r>
              <w:rPr>
                <w:b/>
                <w:lang w:val="en-GB" w:eastAsia="en-GB"/>
              </w:rPr>
              <w:t>Net Expenditure</w:t>
            </w:r>
          </w:p>
        </w:tc>
        <w:tc>
          <w:tcPr>
            <w:tcW w:w="996" w:type="dxa"/>
            <w:tcBorders>
              <w:top w:val="single" w:sz="4" w:space="0" w:color="auto"/>
              <w:left w:val="nil"/>
              <w:bottom w:val="single" w:sz="4" w:space="0" w:color="auto"/>
              <w:right w:val="nil"/>
            </w:tcBorders>
            <w:shd w:val="clear" w:color="auto" w:fill="auto"/>
            <w:noWrap/>
            <w:vAlign w:val="bottom"/>
          </w:tcPr>
          <w:p w:rsidR="00BA7F4D" w:rsidRPr="00FD4304" w:rsidRDefault="00BA7F4D" w:rsidP="00664CC3">
            <w:pPr>
              <w:jc w:val="right"/>
              <w:rPr>
                <w:b/>
                <w:lang w:val="en-GB" w:eastAsia="en-GB"/>
              </w:rPr>
            </w:pPr>
            <w:r w:rsidRPr="00FD4304">
              <w:rPr>
                <w:b/>
                <w:lang w:val="en-GB" w:eastAsia="en-GB"/>
              </w:rPr>
              <w:t>231.6</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7F4D" w:rsidRPr="00FD4304" w:rsidRDefault="00BA7F4D" w:rsidP="00664CC3">
            <w:pPr>
              <w:jc w:val="right"/>
              <w:rPr>
                <w:b/>
                <w:lang w:val="en-GB" w:eastAsia="en-GB"/>
              </w:rPr>
            </w:pPr>
            <w:r w:rsidRPr="00FD4304">
              <w:rPr>
                <w:b/>
                <w:lang w:val="en-GB" w:eastAsia="en-GB"/>
              </w:rPr>
              <w:t>231.9</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A7F4D" w:rsidRPr="00FD4304" w:rsidRDefault="00BA7F4D" w:rsidP="00664CC3">
            <w:pPr>
              <w:jc w:val="right"/>
              <w:rPr>
                <w:b/>
                <w:lang w:val="en-GB" w:eastAsia="en-GB"/>
              </w:rPr>
            </w:pPr>
            <w:r w:rsidRPr="00FD4304">
              <w:rPr>
                <w:b/>
                <w:lang w:val="en-GB" w:eastAsia="en-GB"/>
              </w:rPr>
              <w:t>(0.3)</w:t>
            </w:r>
          </w:p>
        </w:tc>
      </w:tr>
    </w:tbl>
    <w:p w:rsidR="00BA7F4D" w:rsidRDefault="00BA7F4D" w:rsidP="00F227D9">
      <w:pPr>
        <w:pStyle w:val="Normal0"/>
        <w:jc w:val="both"/>
        <w:rPr>
          <w:rFonts w:ascii="Verdana" w:eastAsia="Times New Roman" w:hAnsi="Verdana" w:cs="Arial"/>
          <w:sz w:val="22"/>
          <w:szCs w:val="22"/>
          <w:highlight w:val="yellow"/>
          <w:lang w:val="en-GB" w:eastAsia="en-GB"/>
        </w:rPr>
      </w:pPr>
    </w:p>
    <w:p w:rsidR="006E4155" w:rsidRPr="009668AF" w:rsidRDefault="006E4155" w:rsidP="006E4155">
      <w:pPr>
        <w:jc w:val="both"/>
        <w:rPr>
          <w:rFonts w:ascii="Verdana" w:hAnsi="Verdana" w:cs="Arial"/>
          <w:sz w:val="22"/>
          <w:szCs w:val="22"/>
        </w:rPr>
      </w:pPr>
      <w:r w:rsidRPr="009668AF">
        <w:rPr>
          <w:rFonts w:ascii="Verdana" w:hAnsi="Verdana" w:cs="Arial"/>
          <w:sz w:val="22"/>
          <w:szCs w:val="22"/>
        </w:rPr>
        <w:t xml:space="preserve">The Chief Constable establishment for police officers for the year was under the original budget plan but resulted in an overspend due to officer rates higher than budgeted, combined with an overspend on police overtime resulted in higher than expected costs for police officers. This was partially offset by underspend on  police staff budgets due to vacant posts during the year and other force budgets resulting in the overall underspend position of £0.3m. </w:t>
      </w:r>
    </w:p>
    <w:p w:rsidR="00F227D9" w:rsidRDefault="00F227D9" w:rsidP="00F227D9">
      <w:pPr>
        <w:pStyle w:val="Normal0"/>
        <w:jc w:val="both"/>
        <w:rPr>
          <w:rFonts w:ascii="Verdana" w:eastAsia="Times New Roman" w:hAnsi="Verdana" w:cs="Arial"/>
          <w:sz w:val="22"/>
          <w:szCs w:val="22"/>
          <w:highlight w:val="yellow"/>
          <w:lang w:val="en-GB" w:eastAsia="en-GB"/>
        </w:rPr>
      </w:pPr>
    </w:p>
    <w:p w:rsidR="006E4155" w:rsidRPr="00D877E6" w:rsidRDefault="006E4155" w:rsidP="006E4155">
      <w:pPr>
        <w:jc w:val="both"/>
        <w:rPr>
          <w:rFonts w:ascii="Verdana" w:hAnsi="Verdana" w:cs="Arial"/>
          <w:sz w:val="22"/>
          <w:szCs w:val="22"/>
        </w:rPr>
      </w:pPr>
      <w:r w:rsidRPr="00C575CC">
        <w:rPr>
          <w:rFonts w:ascii="Verdana" w:hAnsi="Verdana" w:cs="Arial"/>
          <w:sz w:val="22"/>
          <w:szCs w:val="22"/>
        </w:rPr>
        <w:t xml:space="preserve">Factors </w:t>
      </w:r>
      <w:r w:rsidRPr="00D877E6">
        <w:rPr>
          <w:rFonts w:ascii="Verdana" w:hAnsi="Verdana" w:cs="Arial"/>
          <w:sz w:val="22"/>
          <w:szCs w:val="22"/>
        </w:rPr>
        <w:t>contributing to this underspend position include:</w:t>
      </w:r>
    </w:p>
    <w:p w:rsidR="006E4155" w:rsidRPr="00D877E6" w:rsidRDefault="006E4155" w:rsidP="006E4155">
      <w:pPr>
        <w:jc w:val="both"/>
        <w:rPr>
          <w:rFonts w:ascii="Verdana" w:hAnsi="Verdana" w:cs="Arial"/>
          <w:sz w:val="22"/>
          <w:szCs w:val="22"/>
        </w:rPr>
      </w:pPr>
    </w:p>
    <w:p w:rsidR="006E4155" w:rsidRPr="00D877E6" w:rsidRDefault="006E4155" w:rsidP="006E4155">
      <w:pPr>
        <w:jc w:val="both"/>
        <w:rPr>
          <w:rFonts w:ascii="Verdana" w:hAnsi="Verdana" w:cs="Arial"/>
          <w:sz w:val="22"/>
          <w:szCs w:val="22"/>
        </w:rPr>
      </w:pPr>
      <w:r w:rsidRPr="00D877E6">
        <w:rPr>
          <w:rFonts w:ascii="Verdana" w:hAnsi="Verdana" w:cs="Arial"/>
          <w:sz w:val="22"/>
          <w:szCs w:val="22"/>
        </w:rPr>
        <w:t>Significant areas of underspend</w:t>
      </w:r>
    </w:p>
    <w:p w:rsidR="006E4155" w:rsidRPr="00D877E6" w:rsidRDefault="006E4155" w:rsidP="006E4155">
      <w:pPr>
        <w:pStyle w:val="ListParagraph"/>
        <w:numPr>
          <w:ilvl w:val="0"/>
          <w:numId w:val="14"/>
        </w:numPr>
        <w:jc w:val="both"/>
        <w:rPr>
          <w:rFonts w:ascii="Verdana" w:hAnsi="Verdana" w:cs="Arial"/>
          <w:sz w:val="22"/>
          <w:szCs w:val="22"/>
        </w:rPr>
      </w:pPr>
      <w:r w:rsidRPr="00D877E6">
        <w:rPr>
          <w:rFonts w:ascii="Verdana" w:hAnsi="Verdana" w:cs="Arial"/>
          <w:sz w:val="22"/>
          <w:szCs w:val="22"/>
        </w:rPr>
        <w:t xml:space="preserve">Police Staff £3.7m Shortfall of 161 staff </w:t>
      </w:r>
    </w:p>
    <w:p w:rsidR="006E4155" w:rsidRPr="00D877E6" w:rsidRDefault="006E4155" w:rsidP="006E4155">
      <w:pPr>
        <w:pStyle w:val="ListParagraph"/>
        <w:numPr>
          <w:ilvl w:val="0"/>
          <w:numId w:val="14"/>
        </w:numPr>
        <w:jc w:val="both"/>
        <w:rPr>
          <w:rFonts w:ascii="Verdana" w:hAnsi="Verdana" w:cs="Arial"/>
          <w:sz w:val="22"/>
          <w:szCs w:val="22"/>
        </w:rPr>
      </w:pPr>
      <w:r w:rsidRPr="00D877E6">
        <w:rPr>
          <w:rFonts w:ascii="Verdana" w:hAnsi="Verdana" w:cs="Arial"/>
          <w:sz w:val="22"/>
          <w:szCs w:val="22"/>
        </w:rPr>
        <w:t>Supplies and Services £3.3m IT Projects delayed</w:t>
      </w:r>
    </w:p>
    <w:p w:rsidR="006E4155" w:rsidRPr="00D877E6" w:rsidRDefault="006E4155" w:rsidP="006E4155">
      <w:pPr>
        <w:pStyle w:val="ListParagraph"/>
        <w:numPr>
          <w:ilvl w:val="0"/>
          <w:numId w:val="14"/>
        </w:numPr>
        <w:jc w:val="both"/>
        <w:rPr>
          <w:rFonts w:ascii="Verdana" w:hAnsi="Verdana" w:cs="Arial"/>
          <w:sz w:val="22"/>
          <w:szCs w:val="22"/>
        </w:rPr>
      </w:pPr>
      <w:r w:rsidRPr="00D877E6">
        <w:rPr>
          <w:rFonts w:ascii="Verdana" w:hAnsi="Verdana" w:cs="Arial"/>
          <w:sz w:val="22"/>
          <w:szCs w:val="22"/>
        </w:rPr>
        <w:t>Income £3.1m Increase in cost recovery for Camera Part</w:t>
      </w:r>
      <w:r w:rsidR="001A7830" w:rsidRPr="00D877E6">
        <w:rPr>
          <w:rFonts w:ascii="Verdana" w:hAnsi="Verdana" w:cs="Arial"/>
          <w:sz w:val="22"/>
          <w:szCs w:val="22"/>
        </w:rPr>
        <w:t>nership and Cyber Crime funding</w:t>
      </w:r>
    </w:p>
    <w:p w:rsidR="006E4155" w:rsidRPr="00D877E6" w:rsidRDefault="006E4155" w:rsidP="006E4155">
      <w:pPr>
        <w:jc w:val="both"/>
        <w:rPr>
          <w:rFonts w:ascii="Verdana" w:hAnsi="Verdana" w:cs="Arial"/>
          <w:sz w:val="22"/>
          <w:szCs w:val="22"/>
        </w:rPr>
      </w:pPr>
    </w:p>
    <w:p w:rsidR="006E4155" w:rsidRPr="00D877E6" w:rsidRDefault="006E4155" w:rsidP="006E4155">
      <w:pPr>
        <w:jc w:val="both"/>
        <w:rPr>
          <w:rFonts w:ascii="Verdana" w:hAnsi="Verdana" w:cs="Arial"/>
          <w:sz w:val="22"/>
          <w:szCs w:val="22"/>
        </w:rPr>
      </w:pPr>
      <w:r w:rsidRPr="00D877E6">
        <w:rPr>
          <w:rFonts w:ascii="Verdana" w:hAnsi="Verdana" w:cs="Arial"/>
          <w:sz w:val="22"/>
          <w:szCs w:val="22"/>
        </w:rPr>
        <w:t>Significant areas of overspend</w:t>
      </w:r>
    </w:p>
    <w:p w:rsidR="006E4155" w:rsidRPr="00D877E6" w:rsidRDefault="006E4155" w:rsidP="006E4155">
      <w:pPr>
        <w:pStyle w:val="ListParagraph"/>
        <w:numPr>
          <w:ilvl w:val="0"/>
          <w:numId w:val="15"/>
        </w:numPr>
        <w:ind w:left="709"/>
        <w:jc w:val="both"/>
        <w:rPr>
          <w:rFonts w:ascii="Verdana" w:hAnsi="Verdana" w:cs="Arial"/>
          <w:sz w:val="22"/>
          <w:szCs w:val="22"/>
        </w:rPr>
      </w:pPr>
      <w:r w:rsidRPr="00D877E6">
        <w:rPr>
          <w:rFonts w:ascii="Verdana" w:hAnsi="Verdana" w:cs="Arial"/>
          <w:sz w:val="22"/>
          <w:szCs w:val="22"/>
        </w:rPr>
        <w:t xml:space="preserve">Police Officer overtime £1.3m </w:t>
      </w:r>
    </w:p>
    <w:p w:rsidR="006E4155" w:rsidRPr="00D877E6" w:rsidRDefault="006E4155" w:rsidP="006E4155">
      <w:pPr>
        <w:pStyle w:val="ListParagraph"/>
        <w:numPr>
          <w:ilvl w:val="0"/>
          <w:numId w:val="15"/>
        </w:numPr>
        <w:ind w:left="709"/>
        <w:jc w:val="both"/>
        <w:rPr>
          <w:rFonts w:ascii="Verdana" w:hAnsi="Verdana" w:cs="Arial"/>
          <w:sz w:val="22"/>
          <w:szCs w:val="22"/>
        </w:rPr>
      </w:pPr>
      <w:r w:rsidRPr="00D877E6">
        <w:rPr>
          <w:rFonts w:ascii="Verdana" w:hAnsi="Verdana" w:cs="Arial"/>
          <w:sz w:val="22"/>
          <w:szCs w:val="22"/>
        </w:rPr>
        <w:t xml:space="preserve">Premises related expenditure £2.0m due to essential works being carried out and costs for the </w:t>
      </w:r>
      <w:r w:rsidR="001A7830" w:rsidRPr="00D877E6">
        <w:rPr>
          <w:rFonts w:ascii="Verdana" w:hAnsi="Verdana" w:cs="Arial"/>
          <w:sz w:val="22"/>
          <w:szCs w:val="22"/>
        </w:rPr>
        <w:t>new headquarters at Leatherhead</w:t>
      </w:r>
    </w:p>
    <w:p w:rsidR="006E4155" w:rsidRPr="00D877E6" w:rsidRDefault="006E4155" w:rsidP="006E4155">
      <w:pPr>
        <w:pStyle w:val="ListParagraph"/>
        <w:numPr>
          <w:ilvl w:val="0"/>
          <w:numId w:val="15"/>
        </w:numPr>
        <w:ind w:left="709"/>
        <w:jc w:val="both"/>
        <w:rPr>
          <w:rFonts w:ascii="Verdana" w:hAnsi="Verdana" w:cs="Arial"/>
          <w:sz w:val="22"/>
          <w:szCs w:val="22"/>
        </w:rPr>
      </w:pPr>
      <w:r w:rsidRPr="00D877E6">
        <w:rPr>
          <w:rFonts w:ascii="Verdana" w:hAnsi="Verdana" w:cs="Arial"/>
          <w:sz w:val="22"/>
          <w:szCs w:val="22"/>
        </w:rPr>
        <w:lastRenderedPageBreak/>
        <w:t>Transport £1.0m for workshop costs.</w:t>
      </w:r>
    </w:p>
    <w:p w:rsidR="006E4155" w:rsidRPr="00D877E6" w:rsidRDefault="006E4155" w:rsidP="006E4155">
      <w:pPr>
        <w:pStyle w:val="ListParagraph"/>
        <w:numPr>
          <w:ilvl w:val="0"/>
          <w:numId w:val="15"/>
        </w:numPr>
        <w:ind w:left="709"/>
        <w:jc w:val="both"/>
        <w:rPr>
          <w:rFonts w:ascii="Verdana" w:hAnsi="Verdana" w:cs="Arial"/>
          <w:sz w:val="22"/>
          <w:szCs w:val="22"/>
        </w:rPr>
      </w:pPr>
      <w:r w:rsidRPr="00D877E6">
        <w:rPr>
          <w:rFonts w:ascii="Verdana" w:hAnsi="Verdana" w:cs="Arial"/>
          <w:sz w:val="22"/>
          <w:szCs w:val="22"/>
        </w:rPr>
        <w:t>Financing £3.0m relating to contributions to capital for various projects and extra costs re PWLB loan for new offices</w:t>
      </w:r>
    </w:p>
    <w:p w:rsidR="006E4155" w:rsidRPr="00D877E6" w:rsidRDefault="006E4155" w:rsidP="006E4155">
      <w:pPr>
        <w:jc w:val="both"/>
        <w:rPr>
          <w:rFonts w:ascii="Verdana" w:hAnsi="Verdana" w:cs="Arial"/>
          <w:sz w:val="22"/>
          <w:szCs w:val="22"/>
        </w:rPr>
      </w:pPr>
    </w:p>
    <w:p w:rsidR="006E4155" w:rsidRPr="002C3696" w:rsidRDefault="006E4155" w:rsidP="006E4155">
      <w:pPr>
        <w:jc w:val="both"/>
        <w:rPr>
          <w:rFonts w:ascii="Verdana" w:hAnsi="Verdana" w:cs="Arial"/>
          <w:sz w:val="22"/>
          <w:szCs w:val="22"/>
        </w:rPr>
      </w:pPr>
      <w:r w:rsidRPr="00D877E6">
        <w:rPr>
          <w:rFonts w:ascii="Verdana" w:hAnsi="Verdana" w:cs="Arial"/>
          <w:sz w:val="22"/>
          <w:szCs w:val="22"/>
        </w:rPr>
        <w:t>The 2019/20 underspend of £0.3m will be used in accordance with the approved Medium Term Financial Plan and</w:t>
      </w:r>
      <w:r w:rsidRPr="002C3696">
        <w:rPr>
          <w:rFonts w:ascii="Verdana" w:hAnsi="Verdana" w:cs="Arial"/>
          <w:sz w:val="22"/>
          <w:szCs w:val="22"/>
        </w:rPr>
        <w:t xml:space="preserve"> 2019/20 outturn report.</w:t>
      </w:r>
    </w:p>
    <w:p w:rsidR="00F227D9" w:rsidRPr="00F52015" w:rsidRDefault="00F227D9" w:rsidP="00F227D9">
      <w:pPr>
        <w:pStyle w:val="Normal0"/>
        <w:jc w:val="both"/>
        <w:rPr>
          <w:rFonts w:ascii="Verdana" w:eastAsia="Times New Roman" w:hAnsi="Verdana" w:cs="Arial"/>
          <w:sz w:val="22"/>
          <w:szCs w:val="22"/>
          <w:lang w:val="en-GB" w:eastAsia="en-GB"/>
        </w:rPr>
      </w:pPr>
    </w:p>
    <w:p w:rsidR="00F227D9" w:rsidRPr="00F52015" w:rsidRDefault="00F227D9" w:rsidP="00F227D9">
      <w:pPr>
        <w:pStyle w:val="Normal0"/>
        <w:jc w:val="both"/>
        <w:rPr>
          <w:rFonts w:ascii="Verdana" w:eastAsia="Times New Roman" w:hAnsi="Verdana" w:cs="Arial"/>
          <w:sz w:val="22"/>
          <w:szCs w:val="22"/>
          <w:lang w:val="en-GB" w:eastAsia="en-GB"/>
        </w:rPr>
      </w:pPr>
      <w:r w:rsidRPr="00F52015">
        <w:rPr>
          <w:rFonts w:ascii="Verdana" w:eastAsia="Times New Roman" w:hAnsi="Verdana" w:cs="Arial"/>
          <w:sz w:val="22"/>
          <w:szCs w:val="22"/>
          <w:lang w:val="en-GB" w:eastAsia="en-GB"/>
        </w:rPr>
        <w:t>The Chief Constable proposed to carry forward a total of £0.</w:t>
      </w:r>
      <w:r w:rsidR="00F52015" w:rsidRPr="00F52015">
        <w:rPr>
          <w:rFonts w:ascii="Verdana" w:eastAsia="Times New Roman" w:hAnsi="Verdana" w:cs="Arial"/>
          <w:sz w:val="22"/>
          <w:szCs w:val="22"/>
          <w:lang w:val="en-GB" w:eastAsia="en-GB"/>
        </w:rPr>
        <w:t>3</w:t>
      </w:r>
      <w:r w:rsidRPr="00F52015">
        <w:rPr>
          <w:rFonts w:ascii="Verdana" w:eastAsia="Times New Roman" w:hAnsi="Verdana" w:cs="Arial"/>
          <w:sz w:val="22"/>
          <w:szCs w:val="22"/>
          <w:lang w:val="en-GB" w:eastAsia="en-GB"/>
        </w:rPr>
        <w:t>m to fund additional investments.</w:t>
      </w:r>
    </w:p>
    <w:p w:rsidR="00F227D9" w:rsidRPr="00F52015" w:rsidRDefault="00F227D9" w:rsidP="00F227D9">
      <w:pPr>
        <w:pStyle w:val="Normal0"/>
        <w:jc w:val="both"/>
        <w:rPr>
          <w:rFonts w:ascii="Verdana" w:eastAsia="Times New Roman" w:hAnsi="Verdana" w:cs="Arial"/>
          <w:sz w:val="22"/>
          <w:szCs w:val="22"/>
          <w:lang w:val="en-GB" w:eastAsia="en-GB"/>
        </w:rPr>
      </w:pPr>
    </w:p>
    <w:p w:rsidR="00F227D9" w:rsidRPr="00A857C9" w:rsidRDefault="00F227D9" w:rsidP="00F227D9">
      <w:pPr>
        <w:pStyle w:val="Normal0"/>
        <w:jc w:val="both"/>
        <w:rPr>
          <w:rFonts w:ascii="Verdana" w:eastAsia="Times New Roman" w:hAnsi="Verdana" w:cs="Arial"/>
          <w:b/>
          <w:sz w:val="22"/>
          <w:szCs w:val="22"/>
          <w:lang w:val="en-GB" w:eastAsia="en-GB"/>
        </w:rPr>
      </w:pPr>
      <w:r w:rsidRPr="00A857C9">
        <w:rPr>
          <w:rFonts w:ascii="Verdana" w:eastAsia="Times New Roman" w:hAnsi="Verdana" w:cs="Arial"/>
          <w:b/>
          <w:sz w:val="22"/>
          <w:szCs w:val="22"/>
          <w:lang w:val="en-GB" w:eastAsia="en-GB"/>
        </w:rPr>
        <w:t>Comprehensive Income and Expenditure Statement (CIES)</w:t>
      </w:r>
    </w:p>
    <w:p w:rsidR="00F227D9" w:rsidRPr="00943794" w:rsidRDefault="00F227D9" w:rsidP="00F227D9">
      <w:pPr>
        <w:pStyle w:val="Normal0"/>
        <w:jc w:val="both"/>
        <w:rPr>
          <w:rFonts w:ascii="Verdana" w:eastAsia="Times New Roman" w:hAnsi="Verdana" w:cs="Arial"/>
          <w:b/>
          <w:sz w:val="22"/>
          <w:szCs w:val="22"/>
          <w:highlight w:val="yellow"/>
          <w:u w:val="thick"/>
          <w:lang w:val="en-GB" w:eastAsia="en-GB"/>
        </w:rPr>
      </w:pPr>
    </w:p>
    <w:p w:rsidR="00F227D9" w:rsidRPr="00C13F01" w:rsidRDefault="00F227D9" w:rsidP="00F227D9">
      <w:pPr>
        <w:pStyle w:val="Normal0"/>
        <w:jc w:val="both"/>
        <w:rPr>
          <w:rFonts w:ascii="Verdana" w:eastAsia="Times New Roman" w:hAnsi="Verdana" w:cs="Arial"/>
          <w:sz w:val="22"/>
          <w:szCs w:val="22"/>
          <w:lang w:val="en-GB" w:eastAsia="en-GB"/>
        </w:rPr>
      </w:pPr>
      <w:r w:rsidRPr="00C13F01">
        <w:rPr>
          <w:rFonts w:ascii="Verdana" w:eastAsia="Times New Roman" w:hAnsi="Verdana" w:cs="Arial"/>
          <w:sz w:val="22"/>
          <w:szCs w:val="22"/>
          <w:lang w:val="en-GB" w:eastAsia="en-GB"/>
        </w:rPr>
        <w:t>Actual expenditure for the year ended for the year ended 31 March 20</w:t>
      </w:r>
      <w:r w:rsidR="00F87184" w:rsidRPr="00C13F01">
        <w:rPr>
          <w:rFonts w:ascii="Verdana" w:eastAsia="Times New Roman" w:hAnsi="Verdana" w:cs="Arial"/>
          <w:sz w:val="22"/>
          <w:szCs w:val="22"/>
          <w:lang w:val="en-GB" w:eastAsia="en-GB"/>
        </w:rPr>
        <w:t>20</w:t>
      </w:r>
      <w:r w:rsidRPr="00C13F01">
        <w:rPr>
          <w:rFonts w:ascii="Verdana" w:eastAsia="Times New Roman" w:hAnsi="Verdana" w:cs="Arial"/>
          <w:sz w:val="22"/>
          <w:szCs w:val="22"/>
          <w:lang w:val="en-GB" w:eastAsia="en-GB"/>
        </w:rPr>
        <w:t xml:space="preserve"> compared against the previous year can be seen in the CIES. The Comprehensive Income and Expenditure Statement measures the financial performance for the year in terms of resources consumed over period and the funding provided to finance these resources. The accounting basis used to calculate net expenditure funded from the Home Office grants and local taxation. The CIES includes all net expenditure funded from grant and taxation plus notional (non-cash) amounts that are required by accounting regulations e.g. depreciation and changes in the value of property assets, interest charges on leased assets, and calculations of movements in police officer and police staff pension liabilities. </w:t>
      </w:r>
    </w:p>
    <w:p w:rsidR="00F227D9" w:rsidRPr="00C13F01" w:rsidRDefault="00F227D9" w:rsidP="00F227D9">
      <w:pPr>
        <w:pStyle w:val="Normal0"/>
        <w:jc w:val="both"/>
        <w:rPr>
          <w:rFonts w:ascii="Verdana" w:eastAsia="Times New Roman" w:hAnsi="Verdana" w:cs="Arial"/>
          <w:sz w:val="22"/>
          <w:szCs w:val="22"/>
          <w:lang w:val="en-GB" w:eastAsia="en-GB"/>
        </w:rPr>
      </w:pPr>
    </w:p>
    <w:p w:rsidR="00F227D9" w:rsidRPr="00C13F01" w:rsidRDefault="00F227D9" w:rsidP="00F227D9">
      <w:pPr>
        <w:pStyle w:val="Normal0"/>
        <w:jc w:val="both"/>
        <w:rPr>
          <w:rFonts w:ascii="Verdana" w:eastAsia="Times New Roman" w:hAnsi="Verdana" w:cs="Arial"/>
          <w:sz w:val="22"/>
          <w:szCs w:val="22"/>
          <w:lang w:val="en-GB" w:eastAsia="en-GB"/>
        </w:rPr>
      </w:pPr>
      <w:r w:rsidRPr="00C13F01">
        <w:rPr>
          <w:rFonts w:ascii="Verdana" w:eastAsia="Times New Roman" w:hAnsi="Verdana" w:cs="Arial"/>
          <w:sz w:val="22"/>
          <w:szCs w:val="22"/>
          <w:lang w:val="en-GB" w:eastAsia="en-GB"/>
        </w:rPr>
        <w:t>The</w:t>
      </w:r>
      <w:r w:rsidR="001B66A5">
        <w:rPr>
          <w:rFonts w:ascii="Verdana" w:eastAsia="Times New Roman" w:hAnsi="Verdana" w:cs="Arial"/>
          <w:sz w:val="22"/>
          <w:szCs w:val="22"/>
          <w:lang w:val="en-GB" w:eastAsia="en-GB"/>
        </w:rPr>
        <w:t xml:space="preserve"> following</w:t>
      </w:r>
      <w:r w:rsidRPr="00C13F01">
        <w:rPr>
          <w:rFonts w:ascii="Verdana" w:eastAsia="Times New Roman" w:hAnsi="Verdana" w:cs="Arial"/>
          <w:sz w:val="22"/>
          <w:szCs w:val="22"/>
          <w:lang w:val="en-GB" w:eastAsia="en-GB"/>
        </w:rPr>
        <w:t xml:space="preserve"> table reconciles Chief Constable’s net operational expenditure for 201</w:t>
      </w:r>
      <w:r w:rsidR="003267F1" w:rsidRPr="00C13F01">
        <w:rPr>
          <w:rFonts w:ascii="Verdana" w:eastAsia="Times New Roman" w:hAnsi="Verdana" w:cs="Arial"/>
          <w:sz w:val="22"/>
          <w:szCs w:val="22"/>
          <w:lang w:val="en-GB" w:eastAsia="en-GB"/>
        </w:rPr>
        <w:t>9</w:t>
      </w:r>
      <w:r w:rsidRPr="00C13F01">
        <w:rPr>
          <w:rFonts w:ascii="Verdana" w:eastAsia="Times New Roman" w:hAnsi="Verdana" w:cs="Arial"/>
          <w:sz w:val="22"/>
          <w:szCs w:val="22"/>
          <w:lang w:val="en-GB" w:eastAsia="en-GB"/>
        </w:rPr>
        <w:t>/</w:t>
      </w:r>
      <w:r w:rsidR="003267F1" w:rsidRPr="00C13F01">
        <w:rPr>
          <w:rFonts w:ascii="Verdana" w:eastAsia="Times New Roman" w:hAnsi="Verdana" w:cs="Arial"/>
          <w:sz w:val="22"/>
          <w:szCs w:val="22"/>
          <w:lang w:val="en-GB" w:eastAsia="en-GB"/>
        </w:rPr>
        <w:t>20</w:t>
      </w:r>
      <w:r w:rsidRPr="00C13F01">
        <w:rPr>
          <w:rFonts w:ascii="Verdana" w:eastAsia="Times New Roman" w:hAnsi="Verdana" w:cs="Arial"/>
          <w:sz w:val="22"/>
          <w:szCs w:val="22"/>
          <w:lang w:val="en-GB" w:eastAsia="en-GB"/>
        </w:rPr>
        <w:t xml:space="preserve"> to the position reported in the CIES. The table shows how the management accounts are adjusted for accounting regulations and other statutory adjustments to arrive at the deficit on provision of services as reported in the Comprehensive Income and Expenditure Statement.</w:t>
      </w:r>
    </w:p>
    <w:p w:rsidR="00A857C9" w:rsidRDefault="00A857C9" w:rsidP="00F227D9">
      <w:pPr>
        <w:pStyle w:val="Normal0"/>
        <w:jc w:val="both"/>
        <w:rPr>
          <w:rFonts w:ascii="Verdana" w:eastAsia="Times New Roman" w:hAnsi="Verdana" w:cs="Arial"/>
          <w:sz w:val="22"/>
          <w:szCs w:val="22"/>
          <w:highlight w:val="yellow"/>
          <w:lang w:val="en-GB" w:eastAsia="en-GB"/>
        </w:rPr>
      </w:pPr>
    </w:p>
    <w:tbl>
      <w:tblPr>
        <w:tblpPr w:leftFromText="180" w:rightFromText="180" w:vertAnchor="text" w:horzAnchor="page" w:tblpXSpec="center" w:tblpY="105"/>
        <w:tblW w:w="9753" w:type="dxa"/>
        <w:tblLayout w:type="fixed"/>
        <w:tblLook w:val="04A0" w:firstRow="1" w:lastRow="0" w:firstColumn="1" w:lastColumn="0" w:noHBand="0" w:noVBand="1"/>
      </w:tblPr>
      <w:tblGrid>
        <w:gridCol w:w="1559"/>
        <w:gridCol w:w="6800"/>
        <w:gridCol w:w="1394"/>
      </w:tblGrid>
      <w:tr w:rsidR="001B66A5" w:rsidRPr="0005653B" w:rsidTr="001B66A5">
        <w:trPr>
          <w:trHeight w:val="231"/>
        </w:trPr>
        <w:tc>
          <w:tcPr>
            <w:tcW w:w="1559" w:type="dxa"/>
            <w:tcBorders>
              <w:top w:val="single" w:sz="4" w:space="0" w:color="auto"/>
              <w:left w:val="single" w:sz="4" w:space="0" w:color="auto"/>
              <w:bottom w:val="nil"/>
              <w:right w:val="single" w:sz="4" w:space="0" w:color="auto"/>
            </w:tcBorders>
            <w:shd w:val="clear" w:color="000000" w:fill="FFFFFF"/>
            <w:vAlign w:val="bottom"/>
          </w:tcPr>
          <w:p w:rsidR="001B66A5" w:rsidRPr="00A857C9" w:rsidRDefault="001B66A5" w:rsidP="001B66A5">
            <w:pPr>
              <w:jc w:val="center"/>
              <w:rPr>
                <w:rFonts w:ascii="Verdana" w:hAnsi="Verdana"/>
                <w:b/>
                <w:sz w:val="20"/>
                <w:szCs w:val="20"/>
                <w:lang w:val="en-GB" w:eastAsia="en-GB"/>
              </w:rPr>
            </w:pPr>
            <w:r w:rsidRPr="00A857C9">
              <w:rPr>
                <w:rFonts w:ascii="Verdana" w:hAnsi="Verdana"/>
                <w:b/>
                <w:sz w:val="20"/>
                <w:szCs w:val="20"/>
                <w:lang w:val="en-GB" w:eastAsia="en-GB"/>
              </w:rPr>
              <w:t>201</w:t>
            </w:r>
            <w:r>
              <w:rPr>
                <w:rFonts w:ascii="Verdana" w:hAnsi="Verdana"/>
                <w:b/>
                <w:sz w:val="20"/>
                <w:szCs w:val="20"/>
                <w:lang w:val="en-GB" w:eastAsia="en-GB"/>
              </w:rPr>
              <w:t>8</w:t>
            </w:r>
            <w:r w:rsidRPr="00A857C9">
              <w:rPr>
                <w:rFonts w:ascii="Verdana" w:hAnsi="Verdana"/>
                <w:b/>
                <w:sz w:val="20"/>
                <w:szCs w:val="20"/>
                <w:lang w:val="en-GB" w:eastAsia="en-GB"/>
              </w:rPr>
              <w:t>/</w:t>
            </w:r>
            <w:r>
              <w:rPr>
                <w:rFonts w:ascii="Verdana" w:hAnsi="Verdana"/>
                <w:b/>
                <w:sz w:val="20"/>
                <w:szCs w:val="20"/>
                <w:lang w:val="en-GB" w:eastAsia="en-GB"/>
              </w:rPr>
              <w:t>19</w:t>
            </w:r>
          </w:p>
        </w:tc>
        <w:tc>
          <w:tcPr>
            <w:tcW w:w="6800" w:type="dxa"/>
            <w:tcBorders>
              <w:top w:val="single" w:sz="4" w:space="0" w:color="auto"/>
              <w:left w:val="single" w:sz="4" w:space="0" w:color="auto"/>
              <w:bottom w:val="nil"/>
              <w:right w:val="single" w:sz="4" w:space="0" w:color="auto"/>
            </w:tcBorders>
            <w:shd w:val="clear" w:color="000000" w:fill="FFFFFF"/>
            <w:noWrap/>
            <w:vAlign w:val="bottom"/>
            <w:hideMark/>
          </w:tcPr>
          <w:p w:rsidR="001B66A5" w:rsidRPr="00A857C9" w:rsidRDefault="001B66A5" w:rsidP="001B66A5">
            <w:pPr>
              <w:jc w:val="center"/>
              <w:rPr>
                <w:rFonts w:ascii="Verdana" w:hAnsi="Verdana"/>
                <w:b/>
                <w:sz w:val="20"/>
                <w:szCs w:val="20"/>
                <w:lang w:val="en-GB" w:eastAsia="en-GB"/>
              </w:rPr>
            </w:pPr>
          </w:p>
        </w:tc>
        <w:tc>
          <w:tcPr>
            <w:tcW w:w="1394" w:type="dxa"/>
            <w:tcBorders>
              <w:top w:val="single" w:sz="4" w:space="0" w:color="auto"/>
              <w:left w:val="nil"/>
              <w:bottom w:val="single" w:sz="4" w:space="0" w:color="auto"/>
              <w:right w:val="single" w:sz="4" w:space="0" w:color="auto"/>
            </w:tcBorders>
            <w:shd w:val="clear" w:color="000000" w:fill="FFFFFF"/>
            <w:vAlign w:val="bottom"/>
          </w:tcPr>
          <w:p w:rsidR="001B66A5" w:rsidRPr="00A857C9" w:rsidRDefault="001B66A5" w:rsidP="001B66A5">
            <w:pPr>
              <w:jc w:val="center"/>
              <w:rPr>
                <w:rFonts w:ascii="Verdana" w:hAnsi="Verdana"/>
                <w:b/>
                <w:sz w:val="20"/>
                <w:szCs w:val="20"/>
                <w:lang w:val="en-GB" w:eastAsia="en-GB"/>
              </w:rPr>
            </w:pPr>
            <w:r w:rsidRPr="00A857C9">
              <w:rPr>
                <w:rFonts w:ascii="Verdana" w:hAnsi="Verdana"/>
                <w:b/>
                <w:sz w:val="20"/>
                <w:szCs w:val="20"/>
                <w:lang w:val="en-GB" w:eastAsia="en-GB"/>
              </w:rPr>
              <w:t>2019/20</w:t>
            </w:r>
          </w:p>
        </w:tc>
      </w:tr>
      <w:tr w:rsidR="001B66A5" w:rsidRPr="0005653B" w:rsidTr="001B66A5">
        <w:trPr>
          <w:cantSplit/>
          <w:trHeight w:val="465"/>
        </w:trPr>
        <w:tc>
          <w:tcPr>
            <w:tcW w:w="1559" w:type="dxa"/>
            <w:tcBorders>
              <w:top w:val="nil"/>
              <w:left w:val="single" w:sz="4" w:space="0" w:color="auto"/>
              <w:bottom w:val="single" w:sz="4" w:space="0" w:color="auto"/>
              <w:right w:val="single" w:sz="4" w:space="0" w:color="auto"/>
            </w:tcBorders>
            <w:shd w:val="clear" w:color="000000" w:fill="FFFFFF"/>
            <w:vAlign w:val="center"/>
          </w:tcPr>
          <w:p w:rsidR="001B66A5" w:rsidRPr="00A857C9" w:rsidRDefault="001B66A5" w:rsidP="001B66A5">
            <w:pPr>
              <w:jc w:val="center"/>
              <w:rPr>
                <w:rFonts w:ascii="Verdana" w:hAnsi="Verdana"/>
                <w:b/>
                <w:sz w:val="20"/>
                <w:szCs w:val="20"/>
                <w:lang w:val="en-GB" w:eastAsia="en-GB"/>
              </w:rPr>
            </w:pPr>
            <w:r w:rsidRPr="00A857C9">
              <w:rPr>
                <w:rFonts w:ascii="Verdana" w:hAnsi="Verdana"/>
                <w:b/>
                <w:sz w:val="20"/>
                <w:szCs w:val="20"/>
                <w:lang w:val="en-GB" w:eastAsia="en-GB"/>
              </w:rPr>
              <w:t>CC</w:t>
            </w:r>
            <w:r w:rsidRPr="00A857C9">
              <w:rPr>
                <w:rFonts w:ascii="Verdana" w:hAnsi="Verdana"/>
                <w:b/>
                <w:sz w:val="20"/>
                <w:szCs w:val="20"/>
                <w:lang w:val="en-GB" w:eastAsia="en-GB"/>
              </w:rPr>
              <w:br/>
              <w:t>£m</w:t>
            </w:r>
          </w:p>
        </w:tc>
        <w:tc>
          <w:tcPr>
            <w:tcW w:w="6800" w:type="dxa"/>
            <w:tcBorders>
              <w:top w:val="nil"/>
              <w:left w:val="single" w:sz="4" w:space="0" w:color="auto"/>
              <w:bottom w:val="single" w:sz="4" w:space="0" w:color="auto"/>
              <w:right w:val="single" w:sz="4" w:space="0" w:color="auto"/>
            </w:tcBorders>
            <w:shd w:val="clear" w:color="000000" w:fill="FFFFFF"/>
            <w:noWrap/>
            <w:vAlign w:val="bottom"/>
            <w:hideMark/>
          </w:tcPr>
          <w:p w:rsidR="001B66A5" w:rsidRPr="00A857C9" w:rsidRDefault="001B66A5" w:rsidP="001B66A5">
            <w:pPr>
              <w:jc w:val="center"/>
              <w:rPr>
                <w:rFonts w:ascii="Verdana" w:hAnsi="Verdana"/>
                <w:b/>
                <w:sz w:val="20"/>
                <w:szCs w:val="20"/>
                <w:lang w:val="en-GB" w:eastAsia="en-GB"/>
              </w:rPr>
            </w:pPr>
          </w:p>
        </w:tc>
        <w:tc>
          <w:tcPr>
            <w:tcW w:w="1394" w:type="dxa"/>
            <w:tcBorders>
              <w:top w:val="nil"/>
              <w:left w:val="nil"/>
              <w:bottom w:val="single" w:sz="4" w:space="0" w:color="auto"/>
              <w:right w:val="single" w:sz="4" w:space="0" w:color="auto"/>
            </w:tcBorders>
            <w:shd w:val="clear" w:color="000000" w:fill="FFFFFF"/>
            <w:vAlign w:val="center"/>
            <w:hideMark/>
          </w:tcPr>
          <w:p w:rsidR="001B66A5" w:rsidRPr="00A857C9" w:rsidRDefault="001B66A5" w:rsidP="001B66A5">
            <w:pPr>
              <w:jc w:val="center"/>
              <w:rPr>
                <w:rFonts w:ascii="Verdana" w:hAnsi="Verdana"/>
                <w:b/>
                <w:sz w:val="20"/>
                <w:szCs w:val="20"/>
                <w:lang w:val="en-GB" w:eastAsia="en-GB"/>
              </w:rPr>
            </w:pPr>
            <w:r w:rsidRPr="00A857C9">
              <w:rPr>
                <w:rFonts w:ascii="Verdana" w:hAnsi="Verdana"/>
                <w:b/>
                <w:sz w:val="20"/>
                <w:szCs w:val="20"/>
                <w:lang w:val="en-GB" w:eastAsia="en-GB"/>
              </w:rPr>
              <w:t>CC</w:t>
            </w:r>
            <w:r w:rsidRPr="00A857C9">
              <w:rPr>
                <w:rFonts w:ascii="Verdana" w:hAnsi="Verdana"/>
                <w:b/>
                <w:sz w:val="20"/>
                <w:szCs w:val="20"/>
                <w:lang w:val="en-GB" w:eastAsia="en-GB"/>
              </w:rPr>
              <w:br/>
              <w:t>£m</w:t>
            </w:r>
          </w:p>
        </w:tc>
      </w:tr>
      <w:tr w:rsidR="001B66A5" w:rsidRPr="0005653B" w:rsidTr="001B66A5">
        <w:trPr>
          <w:cantSplit/>
          <w:trHeight w:val="465"/>
        </w:trPr>
        <w:tc>
          <w:tcPr>
            <w:tcW w:w="1559" w:type="dxa"/>
            <w:tcBorders>
              <w:top w:val="nil"/>
              <w:left w:val="single" w:sz="4" w:space="0" w:color="auto"/>
              <w:bottom w:val="single" w:sz="4" w:space="0" w:color="auto"/>
              <w:right w:val="single" w:sz="4" w:space="0" w:color="auto"/>
            </w:tcBorders>
            <w:shd w:val="clear" w:color="000000" w:fill="FFFFFF"/>
            <w:vAlign w:val="center"/>
          </w:tcPr>
          <w:p w:rsidR="001B66A5" w:rsidRPr="00A857C9" w:rsidRDefault="001B66A5" w:rsidP="001B66A5">
            <w:pPr>
              <w:jc w:val="right"/>
              <w:rPr>
                <w:rFonts w:ascii="Verdana" w:hAnsi="Verdana"/>
                <w:b/>
                <w:sz w:val="20"/>
                <w:szCs w:val="20"/>
                <w:lang w:val="en-GB" w:eastAsia="en-GB"/>
              </w:rPr>
            </w:pPr>
            <w:r w:rsidRPr="00A857C9">
              <w:rPr>
                <w:rFonts w:ascii="Verdana" w:hAnsi="Verdana"/>
                <w:b/>
                <w:sz w:val="20"/>
                <w:szCs w:val="20"/>
                <w:lang w:val="en-GB" w:eastAsia="en-GB"/>
              </w:rPr>
              <w:t>2</w:t>
            </w:r>
            <w:r>
              <w:rPr>
                <w:rFonts w:ascii="Verdana" w:hAnsi="Verdana"/>
                <w:b/>
                <w:sz w:val="20"/>
                <w:szCs w:val="20"/>
                <w:lang w:val="en-GB" w:eastAsia="en-GB"/>
              </w:rPr>
              <w:t>12</w:t>
            </w:r>
            <w:r w:rsidRPr="00A857C9">
              <w:rPr>
                <w:rFonts w:ascii="Verdana" w:hAnsi="Verdana"/>
                <w:b/>
                <w:sz w:val="20"/>
                <w:szCs w:val="20"/>
                <w:lang w:val="en-GB" w:eastAsia="en-GB"/>
              </w:rPr>
              <w:t>.</w:t>
            </w:r>
            <w:r>
              <w:rPr>
                <w:rFonts w:ascii="Verdana" w:hAnsi="Verdana"/>
                <w:b/>
                <w:sz w:val="20"/>
                <w:szCs w:val="20"/>
                <w:lang w:val="en-GB" w:eastAsia="en-GB"/>
              </w:rPr>
              <w:t>0</w:t>
            </w:r>
          </w:p>
        </w:tc>
        <w:tc>
          <w:tcPr>
            <w:tcW w:w="6800" w:type="dxa"/>
            <w:tcBorders>
              <w:top w:val="nil"/>
              <w:left w:val="single" w:sz="4" w:space="0" w:color="auto"/>
              <w:bottom w:val="single" w:sz="4" w:space="0" w:color="auto"/>
              <w:right w:val="single" w:sz="4" w:space="0" w:color="auto"/>
            </w:tcBorders>
            <w:shd w:val="clear" w:color="000000" w:fill="FFFFFF"/>
            <w:vAlign w:val="center"/>
            <w:hideMark/>
          </w:tcPr>
          <w:p w:rsidR="001B66A5" w:rsidRPr="00A857C9" w:rsidRDefault="001B66A5" w:rsidP="001B66A5">
            <w:pPr>
              <w:rPr>
                <w:rFonts w:ascii="Verdana" w:hAnsi="Verdana"/>
                <w:b/>
                <w:sz w:val="20"/>
                <w:szCs w:val="20"/>
                <w:lang w:val="en-GB" w:eastAsia="en-GB"/>
              </w:rPr>
            </w:pPr>
            <w:r w:rsidRPr="00A857C9">
              <w:rPr>
                <w:rFonts w:ascii="Verdana" w:hAnsi="Verdana"/>
                <w:b/>
                <w:sz w:val="20"/>
                <w:szCs w:val="20"/>
                <w:lang w:val="en-GB" w:eastAsia="en-GB"/>
              </w:rPr>
              <w:t>Operational Delivery Net Expenditure per revenue outturn report 2019/20</w:t>
            </w:r>
          </w:p>
        </w:tc>
        <w:tc>
          <w:tcPr>
            <w:tcW w:w="1394" w:type="dxa"/>
            <w:tcBorders>
              <w:top w:val="nil"/>
              <w:left w:val="single" w:sz="4" w:space="0" w:color="auto"/>
              <w:bottom w:val="single" w:sz="4" w:space="0" w:color="auto"/>
              <w:right w:val="single" w:sz="4" w:space="0" w:color="auto"/>
            </w:tcBorders>
            <w:shd w:val="clear" w:color="000000" w:fill="FFFFFF"/>
            <w:noWrap/>
            <w:vAlign w:val="center"/>
            <w:hideMark/>
          </w:tcPr>
          <w:p w:rsidR="001B66A5" w:rsidRPr="00A857C9" w:rsidRDefault="001B66A5" w:rsidP="001B66A5">
            <w:pPr>
              <w:jc w:val="right"/>
              <w:rPr>
                <w:rFonts w:ascii="Verdana" w:hAnsi="Verdana"/>
                <w:b/>
                <w:sz w:val="20"/>
                <w:szCs w:val="20"/>
                <w:lang w:val="en-GB" w:eastAsia="en-GB"/>
              </w:rPr>
            </w:pPr>
            <w:r w:rsidRPr="00A857C9">
              <w:rPr>
                <w:rFonts w:ascii="Verdana" w:hAnsi="Verdana"/>
                <w:b/>
                <w:sz w:val="20"/>
                <w:szCs w:val="20"/>
                <w:lang w:val="en-GB" w:eastAsia="en-GB"/>
              </w:rPr>
              <w:t>231.6</w:t>
            </w:r>
          </w:p>
        </w:tc>
      </w:tr>
      <w:tr w:rsidR="001B66A5" w:rsidRPr="0005653B" w:rsidTr="001B66A5">
        <w:trPr>
          <w:cantSplit/>
          <w:trHeight w:val="78"/>
        </w:trPr>
        <w:tc>
          <w:tcPr>
            <w:tcW w:w="1559" w:type="dxa"/>
            <w:tcBorders>
              <w:top w:val="nil"/>
              <w:left w:val="single" w:sz="4" w:space="0" w:color="auto"/>
              <w:bottom w:val="nil"/>
              <w:right w:val="single" w:sz="4" w:space="0" w:color="auto"/>
            </w:tcBorders>
            <w:shd w:val="clear" w:color="000000" w:fill="FFFFFF"/>
            <w:vAlign w:val="bottom"/>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1B66A5" w:rsidRDefault="001B66A5" w:rsidP="001B66A5">
            <w:pPr>
              <w:rPr>
                <w:rFonts w:ascii="Verdana" w:hAnsi="Verdana"/>
                <w:sz w:val="4"/>
                <w:szCs w:val="4"/>
                <w:lang w:val="en-GB" w:eastAsia="en-GB"/>
              </w:rPr>
            </w:pPr>
            <w:r w:rsidRPr="001B66A5">
              <w:rPr>
                <w:rFonts w:ascii="Verdana" w:hAnsi="Verdana"/>
                <w:sz w:val="4"/>
                <w:szCs w:val="4"/>
                <w:lang w:val="en-GB" w:eastAsia="en-GB"/>
              </w:rPr>
              <w:softHyphen/>
            </w:r>
          </w:p>
        </w:tc>
        <w:tc>
          <w:tcPr>
            <w:tcW w:w="1394" w:type="dxa"/>
            <w:tcBorders>
              <w:top w:val="nil"/>
              <w:left w:val="single" w:sz="4" w:space="0" w:color="auto"/>
              <w:bottom w:val="nil"/>
              <w:right w:val="single" w:sz="4" w:space="0" w:color="auto"/>
            </w:tcBorders>
            <w:shd w:val="clear" w:color="000000" w:fill="FFFFFF"/>
            <w:noWrap/>
            <w:vAlign w:val="bottom"/>
            <w:hideMark/>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r>
      <w:tr w:rsidR="001B66A5" w:rsidRPr="0005653B" w:rsidTr="001B66A5">
        <w:trPr>
          <w:cantSplit/>
          <w:trHeight w:val="231"/>
        </w:trPr>
        <w:tc>
          <w:tcPr>
            <w:tcW w:w="1559" w:type="dxa"/>
            <w:tcBorders>
              <w:top w:val="nil"/>
              <w:left w:val="single" w:sz="4" w:space="0" w:color="auto"/>
              <w:bottom w:val="nil"/>
              <w:right w:val="single" w:sz="4" w:space="0" w:color="auto"/>
            </w:tcBorders>
            <w:shd w:val="clear" w:color="000000" w:fill="FFFFFF"/>
            <w:vAlign w:val="bottom"/>
          </w:tcPr>
          <w:p w:rsidR="001B66A5" w:rsidRPr="00A857C9" w:rsidRDefault="001B66A5" w:rsidP="001B66A5">
            <w:pPr>
              <w:jc w:val="right"/>
              <w:rPr>
                <w:rFonts w:ascii="Verdana" w:hAnsi="Verdana"/>
                <w:sz w:val="20"/>
                <w:szCs w:val="20"/>
                <w:lang w:val="en-GB" w:eastAsia="en-GB"/>
              </w:rPr>
            </w:pPr>
            <w:r w:rsidRPr="00A857C9">
              <w:rPr>
                <w:rFonts w:ascii="Verdana" w:hAnsi="Verdana"/>
                <w:sz w:val="20"/>
                <w:szCs w:val="20"/>
                <w:lang w:val="en-GB" w:eastAsia="en-GB"/>
              </w:rPr>
              <w:t> </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1B66A5">
            <w:pPr>
              <w:rPr>
                <w:rFonts w:ascii="Verdana" w:hAnsi="Verdana"/>
                <w:sz w:val="20"/>
                <w:szCs w:val="20"/>
                <w:lang w:val="en-GB" w:eastAsia="en-GB"/>
              </w:rPr>
            </w:pPr>
            <w:r w:rsidRPr="00A857C9">
              <w:rPr>
                <w:rFonts w:ascii="Verdana" w:hAnsi="Verdana"/>
                <w:sz w:val="20"/>
                <w:szCs w:val="20"/>
                <w:lang w:val="en-GB" w:eastAsia="en-GB"/>
              </w:rPr>
              <w:t>Reserve and Provision transfers excluded from (Surplus)/Deficit on Provision of Services:</w:t>
            </w:r>
          </w:p>
        </w:tc>
        <w:tc>
          <w:tcPr>
            <w:tcW w:w="1394"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1B66A5">
            <w:pPr>
              <w:jc w:val="right"/>
              <w:rPr>
                <w:rFonts w:ascii="Verdana" w:hAnsi="Verdana"/>
                <w:sz w:val="20"/>
                <w:szCs w:val="20"/>
                <w:lang w:val="en-GB" w:eastAsia="en-GB"/>
              </w:rPr>
            </w:pPr>
            <w:r w:rsidRPr="00A857C9">
              <w:rPr>
                <w:rFonts w:ascii="Verdana" w:hAnsi="Verdana"/>
                <w:sz w:val="20"/>
                <w:szCs w:val="20"/>
                <w:lang w:val="en-GB" w:eastAsia="en-GB"/>
              </w:rPr>
              <w:t> </w:t>
            </w:r>
          </w:p>
        </w:tc>
      </w:tr>
      <w:tr w:rsidR="001B66A5" w:rsidRPr="0005653B" w:rsidTr="001B66A5">
        <w:trPr>
          <w:cantSplit/>
          <w:trHeight w:val="231"/>
        </w:trPr>
        <w:tc>
          <w:tcPr>
            <w:tcW w:w="1559" w:type="dxa"/>
            <w:tcBorders>
              <w:top w:val="nil"/>
              <w:left w:val="single" w:sz="4" w:space="0" w:color="auto"/>
              <w:bottom w:val="nil"/>
              <w:right w:val="single" w:sz="4" w:space="0" w:color="auto"/>
            </w:tcBorders>
            <w:shd w:val="clear" w:color="000000" w:fill="FFFFFF"/>
            <w:vAlign w:val="bottom"/>
          </w:tcPr>
          <w:p w:rsidR="001B66A5" w:rsidRPr="00A857C9" w:rsidRDefault="001B66A5" w:rsidP="001B66A5">
            <w:pPr>
              <w:jc w:val="right"/>
              <w:rPr>
                <w:rFonts w:ascii="Verdana" w:hAnsi="Verdana"/>
                <w:sz w:val="20"/>
                <w:szCs w:val="20"/>
                <w:lang w:val="en-GB" w:eastAsia="en-GB"/>
              </w:rPr>
            </w:pPr>
            <w:r>
              <w:rPr>
                <w:rFonts w:ascii="Verdana" w:hAnsi="Verdana"/>
                <w:sz w:val="20"/>
                <w:szCs w:val="20"/>
                <w:lang w:val="en-GB" w:eastAsia="en-GB"/>
              </w:rPr>
              <w:t>0.2</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1B66A5">
            <w:pPr>
              <w:rPr>
                <w:rFonts w:ascii="Verdana" w:hAnsi="Verdana"/>
                <w:sz w:val="20"/>
                <w:szCs w:val="20"/>
                <w:lang w:val="en-GB" w:eastAsia="en-GB"/>
              </w:rPr>
            </w:pPr>
            <w:r w:rsidRPr="00A857C9">
              <w:rPr>
                <w:rFonts w:ascii="Verdana" w:hAnsi="Verdana"/>
                <w:sz w:val="20"/>
                <w:szCs w:val="20"/>
                <w:lang w:val="en-GB" w:eastAsia="en-GB"/>
              </w:rPr>
              <w:t>Usable Reserves</w:t>
            </w:r>
          </w:p>
        </w:tc>
        <w:tc>
          <w:tcPr>
            <w:tcW w:w="1394"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1B66A5">
            <w:pPr>
              <w:jc w:val="right"/>
              <w:rPr>
                <w:rFonts w:ascii="Verdana" w:hAnsi="Verdana"/>
                <w:sz w:val="20"/>
                <w:szCs w:val="20"/>
                <w:lang w:val="en-GB" w:eastAsia="en-GB"/>
              </w:rPr>
            </w:pPr>
            <w:r w:rsidRPr="00A857C9">
              <w:rPr>
                <w:rFonts w:ascii="Verdana" w:hAnsi="Verdana"/>
                <w:sz w:val="20"/>
                <w:szCs w:val="20"/>
                <w:lang w:val="en-GB" w:eastAsia="en-GB"/>
              </w:rPr>
              <w:t>(2.6)</w:t>
            </w:r>
          </w:p>
        </w:tc>
      </w:tr>
      <w:tr w:rsidR="001B66A5" w:rsidRPr="0005653B" w:rsidTr="001B66A5">
        <w:trPr>
          <w:cantSplit/>
          <w:trHeight w:val="231"/>
        </w:trPr>
        <w:tc>
          <w:tcPr>
            <w:tcW w:w="1559" w:type="dxa"/>
            <w:tcBorders>
              <w:top w:val="nil"/>
              <w:left w:val="single" w:sz="4" w:space="0" w:color="auto"/>
              <w:bottom w:val="nil"/>
              <w:right w:val="single" w:sz="4" w:space="0" w:color="auto"/>
            </w:tcBorders>
            <w:shd w:val="clear" w:color="000000" w:fill="FFFFFF"/>
            <w:vAlign w:val="bottom"/>
          </w:tcPr>
          <w:p w:rsidR="001B66A5" w:rsidRPr="00A857C9" w:rsidRDefault="001B66A5" w:rsidP="001B66A5">
            <w:pPr>
              <w:jc w:val="right"/>
              <w:rPr>
                <w:rFonts w:ascii="Verdana" w:hAnsi="Verdana"/>
                <w:sz w:val="20"/>
                <w:szCs w:val="20"/>
                <w:lang w:val="en-GB" w:eastAsia="en-GB"/>
              </w:rPr>
            </w:pPr>
            <w:r>
              <w:rPr>
                <w:rFonts w:ascii="Verdana" w:hAnsi="Verdana"/>
                <w:sz w:val="20"/>
                <w:szCs w:val="20"/>
                <w:lang w:val="en-GB" w:eastAsia="en-GB"/>
              </w:rPr>
              <w:t>(2.2</w:t>
            </w:r>
            <w:r w:rsidRPr="00A857C9">
              <w:rPr>
                <w:rFonts w:ascii="Verdana" w:hAnsi="Verdana"/>
                <w:sz w:val="20"/>
                <w:szCs w:val="20"/>
                <w:lang w:val="en-GB" w:eastAsia="en-GB"/>
              </w:rPr>
              <w:t>)</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1B66A5">
            <w:pPr>
              <w:rPr>
                <w:rFonts w:ascii="Verdana" w:hAnsi="Verdana"/>
                <w:sz w:val="20"/>
                <w:szCs w:val="20"/>
                <w:lang w:val="en-GB" w:eastAsia="en-GB"/>
              </w:rPr>
            </w:pPr>
            <w:r w:rsidRPr="00A857C9">
              <w:rPr>
                <w:rFonts w:ascii="Verdana" w:hAnsi="Verdana"/>
                <w:sz w:val="20"/>
                <w:szCs w:val="20"/>
                <w:lang w:val="en-GB" w:eastAsia="en-GB"/>
              </w:rPr>
              <w:t>Financial year end accounting adjustments</w:t>
            </w:r>
          </w:p>
        </w:tc>
        <w:tc>
          <w:tcPr>
            <w:tcW w:w="1394"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1B66A5">
            <w:pPr>
              <w:jc w:val="right"/>
              <w:rPr>
                <w:rFonts w:ascii="Verdana" w:hAnsi="Verdana"/>
                <w:sz w:val="20"/>
                <w:szCs w:val="20"/>
                <w:lang w:val="en-GB" w:eastAsia="en-GB"/>
              </w:rPr>
            </w:pPr>
            <w:r w:rsidRPr="00A857C9">
              <w:rPr>
                <w:rFonts w:ascii="Verdana" w:hAnsi="Verdana"/>
                <w:sz w:val="20"/>
                <w:szCs w:val="20"/>
                <w:lang w:val="en-GB" w:eastAsia="en-GB"/>
              </w:rPr>
              <w:t>(6.6)</w:t>
            </w:r>
          </w:p>
        </w:tc>
      </w:tr>
      <w:tr w:rsidR="001B66A5" w:rsidRPr="0005653B" w:rsidTr="001B66A5">
        <w:trPr>
          <w:cantSplit/>
          <w:trHeight w:val="231"/>
        </w:trPr>
        <w:tc>
          <w:tcPr>
            <w:tcW w:w="1559" w:type="dxa"/>
            <w:tcBorders>
              <w:top w:val="nil"/>
              <w:left w:val="single" w:sz="4" w:space="0" w:color="auto"/>
              <w:bottom w:val="nil"/>
              <w:right w:val="single" w:sz="4" w:space="0" w:color="auto"/>
            </w:tcBorders>
            <w:shd w:val="clear" w:color="000000" w:fill="FFFFFF"/>
            <w:vAlign w:val="bottom"/>
          </w:tcPr>
          <w:p w:rsidR="001B66A5" w:rsidRPr="00A857C9" w:rsidRDefault="001B66A5" w:rsidP="001B66A5">
            <w:pPr>
              <w:jc w:val="right"/>
              <w:rPr>
                <w:rFonts w:ascii="Verdana" w:hAnsi="Verdana"/>
                <w:sz w:val="20"/>
                <w:szCs w:val="20"/>
                <w:lang w:val="en-GB" w:eastAsia="en-GB"/>
              </w:rPr>
            </w:pPr>
            <w:r w:rsidRPr="00A857C9">
              <w:rPr>
                <w:rFonts w:ascii="Verdana" w:hAnsi="Verdana"/>
                <w:sz w:val="20"/>
                <w:szCs w:val="20"/>
                <w:lang w:val="en-GB" w:eastAsia="en-GB"/>
              </w:rPr>
              <w:t> </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1B66A5">
            <w:pPr>
              <w:rPr>
                <w:rFonts w:ascii="Verdana" w:hAnsi="Verdana"/>
                <w:sz w:val="20"/>
                <w:szCs w:val="20"/>
                <w:lang w:val="en-GB" w:eastAsia="en-GB"/>
              </w:rPr>
            </w:pPr>
            <w:r w:rsidRPr="00A857C9">
              <w:rPr>
                <w:rFonts w:ascii="Verdana" w:hAnsi="Verdana"/>
                <w:sz w:val="20"/>
                <w:szCs w:val="20"/>
                <w:lang w:val="en-GB" w:eastAsia="en-GB"/>
              </w:rPr>
              <w:t>Amounts in the CIES not in the outturn report:</w:t>
            </w:r>
          </w:p>
        </w:tc>
        <w:tc>
          <w:tcPr>
            <w:tcW w:w="1394"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1B66A5">
            <w:pPr>
              <w:jc w:val="right"/>
              <w:rPr>
                <w:rFonts w:ascii="Verdana" w:hAnsi="Verdana"/>
                <w:sz w:val="20"/>
                <w:szCs w:val="20"/>
                <w:lang w:val="en-GB" w:eastAsia="en-GB"/>
              </w:rPr>
            </w:pPr>
            <w:r w:rsidRPr="00A857C9">
              <w:rPr>
                <w:rFonts w:ascii="Verdana" w:hAnsi="Verdana"/>
                <w:sz w:val="20"/>
                <w:szCs w:val="20"/>
                <w:lang w:val="en-GB" w:eastAsia="en-GB"/>
              </w:rPr>
              <w:t> </w:t>
            </w:r>
          </w:p>
        </w:tc>
      </w:tr>
      <w:tr w:rsidR="001B66A5" w:rsidRPr="0005653B" w:rsidTr="001B66A5">
        <w:trPr>
          <w:cantSplit/>
          <w:trHeight w:val="231"/>
        </w:trPr>
        <w:tc>
          <w:tcPr>
            <w:tcW w:w="1559" w:type="dxa"/>
            <w:tcBorders>
              <w:top w:val="nil"/>
              <w:left w:val="single" w:sz="4" w:space="0" w:color="auto"/>
              <w:bottom w:val="nil"/>
              <w:right w:val="single" w:sz="4" w:space="0" w:color="auto"/>
            </w:tcBorders>
            <w:shd w:val="clear" w:color="000000" w:fill="FFFFFF"/>
            <w:vAlign w:val="bottom"/>
          </w:tcPr>
          <w:p w:rsidR="001B66A5" w:rsidRPr="00A857C9" w:rsidRDefault="001B66A5" w:rsidP="001B66A5">
            <w:pPr>
              <w:jc w:val="right"/>
              <w:rPr>
                <w:rFonts w:ascii="Verdana" w:hAnsi="Verdana"/>
                <w:sz w:val="20"/>
                <w:szCs w:val="20"/>
                <w:lang w:val="en-GB" w:eastAsia="en-GB"/>
              </w:rPr>
            </w:pPr>
            <w:r>
              <w:rPr>
                <w:rFonts w:ascii="Verdana" w:hAnsi="Verdana"/>
                <w:sz w:val="20"/>
                <w:szCs w:val="20"/>
                <w:lang w:val="en-GB" w:eastAsia="en-GB"/>
              </w:rPr>
              <w:t>9.0</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1B66A5">
            <w:pPr>
              <w:rPr>
                <w:rFonts w:ascii="Verdana" w:hAnsi="Verdana"/>
                <w:sz w:val="20"/>
                <w:szCs w:val="20"/>
                <w:lang w:val="en-GB" w:eastAsia="en-GB"/>
              </w:rPr>
            </w:pPr>
            <w:r w:rsidRPr="00A857C9">
              <w:rPr>
                <w:rFonts w:ascii="Verdana" w:hAnsi="Verdana"/>
                <w:sz w:val="20"/>
                <w:szCs w:val="20"/>
                <w:lang w:val="en-GB" w:eastAsia="en-GB"/>
              </w:rPr>
              <w:t>Depreciation &amp; amortisation</w:t>
            </w:r>
          </w:p>
        </w:tc>
        <w:tc>
          <w:tcPr>
            <w:tcW w:w="1394"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1B66A5">
            <w:pPr>
              <w:jc w:val="right"/>
              <w:rPr>
                <w:rFonts w:ascii="Verdana" w:hAnsi="Verdana"/>
                <w:sz w:val="20"/>
                <w:szCs w:val="20"/>
                <w:lang w:val="en-GB" w:eastAsia="en-GB"/>
              </w:rPr>
            </w:pPr>
            <w:r w:rsidRPr="00A857C9">
              <w:rPr>
                <w:rFonts w:ascii="Verdana" w:hAnsi="Verdana"/>
                <w:sz w:val="20"/>
                <w:szCs w:val="20"/>
                <w:lang w:val="en-GB" w:eastAsia="en-GB"/>
              </w:rPr>
              <w:t>11.2</w:t>
            </w:r>
          </w:p>
        </w:tc>
      </w:tr>
      <w:tr w:rsidR="001B66A5" w:rsidRPr="0005653B" w:rsidTr="001B66A5">
        <w:trPr>
          <w:cantSplit/>
          <w:trHeight w:val="231"/>
        </w:trPr>
        <w:tc>
          <w:tcPr>
            <w:tcW w:w="1559" w:type="dxa"/>
            <w:tcBorders>
              <w:top w:val="nil"/>
              <w:left w:val="single" w:sz="4" w:space="0" w:color="auto"/>
              <w:bottom w:val="nil"/>
              <w:right w:val="single" w:sz="4" w:space="0" w:color="auto"/>
            </w:tcBorders>
            <w:shd w:val="clear" w:color="000000" w:fill="FFFFFF"/>
            <w:vAlign w:val="bottom"/>
          </w:tcPr>
          <w:p w:rsidR="001B66A5" w:rsidRPr="00A857C9" w:rsidRDefault="001B66A5" w:rsidP="001B66A5">
            <w:pPr>
              <w:jc w:val="right"/>
              <w:rPr>
                <w:rFonts w:ascii="Verdana" w:hAnsi="Verdana"/>
                <w:sz w:val="20"/>
                <w:szCs w:val="20"/>
                <w:lang w:val="en-GB" w:eastAsia="en-GB"/>
              </w:rPr>
            </w:pPr>
            <w:r>
              <w:rPr>
                <w:rFonts w:ascii="Verdana" w:hAnsi="Verdana"/>
                <w:sz w:val="20"/>
                <w:szCs w:val="20"/>
                <w:lang w:val="en-GB" w:eastAsia="en-GB"/>
              </w:rPr>
              <w:t>110.3</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1B66A5">
            <w:pPr>
              <w:rPr>
                <w:rFonts w:ascii="Verdana" w:hAnsi="Verdana"/>
                <w:sz w:val="20"/>
                <w:szCs w:val="20"/>
                <w:lang w:val="en-GB" w:eastAsia="en-GB"/>
              </w:rPr>
            </w:pPr>
            <w:r w:rsidRPr="00A857C9">
              <w:rPr>
                <w:rFonts w:ascii="Verdana" w:hAnsi="Verdana"/>
                <w:sz w:val="20"/>
                <w:szCs w:val="20"/>
                <w:lang w:val="en-GB" w:eastAsia="en-GB"/>
              </w:rPr>
              <w:t>Pensions</w:t>
            </w:r>
          </w:p>
        </w:tc>
        <w:tc>
          <w:tcPr>
            <w:tcW w:w="1394" w:type="dxa"/>
            <w:tcBorders>
              <w:top w:val="nil"/>
              <w:left w:val="single" w:sz="4" w:space="0" w:color="auto"/>
              <w:bottom w:val="nil"/>
              <w:right w:val="single" w:sz="4" w:space="0" w:color="auto"/>
            </w:tcBorders>
            <w:shd w:val="clear" w:color="000000" w:fill="FFFFFF"/>
            <w:noWrap/>
            <w:vAlign w:val="bottom"/>
            <w:hideMark/>
          </w:tcPr>
          <w:p w:rsidR="001B66A5" w:rsidRPr="00A857C9" w:rsidRDefault="00085308" w:rsidP="00D81043">
            <w:pPr>
              <w:jc w:val="right"/>
              <w:rPr>
                <w:rFonts w:ascii="Verdana" w:hAnsi="Verdana"/>
                <w:sz w:val="20"/>
                <w:szCs w:val="20"/>
                <w:lang w:val="en-GB" w:eastAsia="en-GB"/>
              </w:rPr>
            </w:pPr>
            <w:r>
              <w:rPr>
                <w:rFonts w:ascii="Verdana" w:hAnsi="Verdana"/>
                <w:sz w:val="20"/>
                <w:szCs w:val="20"/>
                <w:lang w:val="en-GB" w:eastAsia="en-GB"/>
              </w:rPr>
              <w:t>27.</w:t>
            </w:r>
            <w:r w:rsidR="00520257">
              <w:rPr>
                <w:rFonts w:ascii="Verdana" w:hAnsi="Verdana"/>
                <w:sz w:val="20"/>
                <w:szCs w:val="20"/>
                <w:lang w:val="en-GB" w:eastAsia="en-GB"/>
              </w:rPr>
              <w:t>2</w:t>
            </w:r>
          </w:p>
        </w:tc>
      </w:tr>
      <w:tr w:rsidR="001B66A5" w:rsidRPr="0005653B" w:rsidTr="001B66A5">
        <w:trPr>
          <w:cantSplit/>
          <w:trHeight w:val="92"/>
        </w:trPr>
        <w:tc>
          <w:tcPr>
            <w:tcW w:w="1559" w:type="dxa"/>
            <w:tcBorders>
              <w:top w:val="nil"/>
              <w:left w:val="single" w:sz="4" w:space="0" w:color="auto"/>
              <w:bottom w:val="nil"/>
              <w:right w:val="single" w:sz="4" w:space="0" w:color="auto"/>
            </w:tcBorders>
            <w:shd w:val="clear" w:color="000000" w:fill="FFFFFF"/>
            <w:vAlign w:val="bottom"/>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1B66A5" w:rsidRDefault="001B66A5" w:rsidP="001B66A5">
            <w:pPr>
              <w:rPr>
                <w:rFonts w:ascii="Verdana" w:hAnsi="Verdana"/>
                <w:sz w:val="4"/>
                <w:szCs w:val="4"/>
                <w:lang w:val="en-GB" w:eastAsia="en-GB"/>
              </w:rPr>
            </w:pPr>
            <w:r w:rsidRPr="001B66A5">
              <w:rPr>
                <w:rFonts w:ascii="Verdana" w:hAnsi="Verdana"/>
                <w:sz w:val="4"/>
                <w:szCs w:val="4"/>
                <w:lang w:val="en-GB" w:eastAsia="en-GB"/>
              </w:rPr>
              <w:t> </w:t>
            </w:r>
          </w:p>
        </w:tc>
        <w:tc>
          <w:tcPr>
            <w:tcW w:w="1394" w:type="dxa"/>
            <w:tcBorders>
              <w:top w:val="nil"/>
              <w:left w:val="single" w:sz="4" w:space="0" w:color="auto"/>
              <w:bottom w:val="nil"/>
              <w:right w:val="single" w:sz="4" w:space="0" w:color="auto"/>
            </w:tcBorders>
            <w:shd w:val="clear" w:color="000000" w:fill="FFFFFF"/>
            <w:noWrap/>
            <w:vAlign w:val="bottom"/>
            <w:hideMark/>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r>
      <w:tr w:rsidR="001B66A5" w:rsidRPr="0005653B" w:rsidTr="001B66A5">
        <w:trPr>
          <w:cantSplit/>
          <w:trHeight w:val="92"/>
        </w:trPr>
        <w:tc>
          <w:tcPr>
            <w:tcW w:w="1559" w:type="dxa"/>
            <w:tcBorders>
              <w:top w:val="single" w:sz="4" w:space="0" w:color="auto"/>
              <w:left w:val="single" w:sz="4" w:space="0" w:color="auto"/>
              <w:right w:val="single" w:sz="4" w:space="0" w:color="auto"/>
            </w:tcBorders>
            <w:shd w:val="clear" w:color="000000" w:fill="FFFFFF"/>
            <w:vAlign w:val="bottom"/>
          </w:tcPr>
          <w:p w:rsidR="001B66A5" w:rsidRPr="00A857C9" w:rsidRDefault="001B66A5" w:rsidP="001B66A5">
            <w:pPr>
              <w:rPr>
                <w:rFonts w:ascii="Verdana" w:hAnsi="Verdana"/>
                <w:sz w:val="20"/>
                <w:szCs w:val="20"/>
                <w:lang w:val="en-GB" w:eastAsia="en-GB"/>
              </w:rPr>
            </w:pPr>
          </w:p>
        </w:tc>
        <w:tc>
          <w:tcPr>
            <w:tcW w:w="6800" w:type="dxa"/>
            <w:tcBorders>
              <w:top w:val="single" w:sz="4" w:space="0" w:color="auto"/>
              <w:left w:val="single" w:sz="4" w:space="0" w:color="auto"/>
              <w:right w:val="single" w:sz="4" w:space="0" w:color="auto"/>
            </w:tcBorders>
            <w:shd w:val="clear" w:color="000000" w:fill="FFFFFF"/>
            <w:noWrap/>
            <w:vAlign w:val="bottom"/>
            <w:hideMark/>
          </w:tcPr>
          <w:p w:rsidR="001B66A5" w:rsidRPr="00A857C9" w:rsidRDefault="001B66A5" w:rsidP="001B66A5">
            <w:pPr>
              <w:rPr>
                <w:rFonts w:ascii="Verdana" w:hAnsi="Verdana"/>
                <w:sz w:val="20"/>
                <w:szCs w:val="20"/>
                <w:lang w:val="en-GB" w:eastAsia="en-GB"/>
              </w:rPr>
            </w:pPr>
          </w:p>
        </w:tc>
        <w:tc>
          <w:tcPr>
            <w:tcW w:w="1394" w:type="dxa"/>
            <w:tcBorders>
              <w:top w:val="single" w:sz="4" w:space="0" w:color="auto"/>
              <w:left w:val="single" w:sz="4" w:space="0" w:color="auto"/>
              <w:right w:val="single" w:sz="4" w:space="0" w:color="auto"/>
            </w:tcBorders>
            <w:shd w:val="clear" w:color="000000" w:fill="FFFFFF"/>
            <w:noWrap/>
            <w:vAlign w:val="bottom"/>
            <w:hideMark/>
          </w:tcPr>
          <w:p w:rsidR="001B66A5" w:rsidRPr="00A857C9" w:rsidRDefault="001B66A5" w:rsidP="001B66A5">
            <w:pPr>
              <w:rPr>
                <w:rFonts w:ascii="Verdana" w:hAnsi="Verdana"/>
                <w:sz w:val="20"/>
                <w:szCs w:val="20"/>
                <w:lang w:val="en-GB" w:eastAsia="en-GB"/>
              </w:rPr>
            </w:pPr>
          </w:p>
        </w:tc>
      </w:tr>
      <w:tr w:rsidR="001B66A5" w:rsidRPr="0005653B" w:rsidTr="001B66A5">
        <w:trPr>
          <w:cantSplit/>
          <w:trHeight w:val="95"/>
        </w:trPr>
        <w:tc>
          <w:tcPr>
            <w:tcW w:w="1559" w:type="dxa"/>
            <w:tcBorders>
              <w:top w:val="nil"/>
              <w:left w:val="single" w:sz="4" w:space="0" w:color="auto"/>
              <w:bottom w:val="single" w:sz="4" w:space="0" w:color="auto"/>
              <w:right w:val="single" w:sz="4" w:space="0" w:color="auto"/>
            </w:tcBorders>
            <w:shd w:val="clear" w:color="000000" w:fill="FFFFFF"/>
            <w:vAlign w:val="center"/>
          </w:tcPr>
          <w:p w:rsidR="001B66A5" w:rsidRPr="00A857C9" w:rsidRDefault="001B66A5" w:rsidP="001B66A5">
            <w:pPr>
              <w:jc w:val="right"/>
              <w:rPr>
                <w:rFonts w:ascii="Verdana" w:hAnsi="Verdana"/>
                <w:b/>
                <w:sz w:val="20"/>
                <w:szCs w:val="20"/>
                <w:lang w:val="en-GB" w:eastAsia="en-GB"/>
              </w:rPr>
            </w:pPr>
            <w:r>
              <w:rPr>
                <w:rFonts w:ascii="Verdana" w:hAnsi="Verdana"/>
                <w:b/>
                <w:sz w:val="20"/>
                <w:szCs w:val="20"/>
                <w:lang w:val="en-GB" w:eastAsia="en-GB"/>
              </w:rPr>
              <w:t>329.3</w:t>
            </w:r>
          </w:p>
        </w:tc>
        <w:tc>
          <w:tcPr>
            <w:tcW w:w="6800" w:type="dxa"/>
            <w:tcBorders>
              <w:top w:val="nil"/>
              <w:left w:val="single" w:sz="4" w:space="0" w:color="auto"/>
              <w:bottom w:val="single" w:sz="4" w:space="0" w:color="auto"/>
              <w:right w:val="single" w:sz="4" w:space="0" w:color="auto"/>
            </w:tcBorders>
            <w:shd w:val="clear" w:color="000000" w:fill="FFFFFF"/>
            <w:noWrap/>
            <w:vAlign w:val="center"/>
            <w:hideMark/>
          </w:tcPr>
          <w:p w:rsidR="001B66A5" w:rsidRPr="00A857C9" w:rsidRDefault="001B66A5" w:rsidP="001B66A5">
            <w:pPr>
              <w:rPr>
                <w:rFonts w:ascii="Verdana" w:hAnsi="Verdana"/>
                <w:b/>
                <w:sz w:val="20"/>
                <w:szCs w:val="20"/>
                <w:lang w:val="en-GB" w:eastAsia="en-GB"/>
              </w:rPr>
            </w:pPr>
            <w:r w:rsidRPr="00A857C9">
              <w:rPr>
                <w:rFonts w:ascii="Verdana" w:hAnsi="Verdana"/>
                <w:b/>
                <w:sz w:val="20"/>
                <w:szCs w:val="20"/>
                <w:lang w:val="en-GB" w:eastAsia="en-GB"/>
              </w:rPr>
              <w:t>Net Cost of Services</w:t>
            </w:r>
          </w:p>
        </w:tc>
        <w:tc>
          <w:tcPr>
            <w:tcW w:w="1394" w:type="dxa"/>
            <w:tcBorders>
              <w:top w:val="nil"/>
              <w:left w:val="single" w:sz="4" w:space="0" w:color="auto"/>
              <w:bottom w:val="single" w:sz="4" w:space="0" w:color="auto"/>
              <w:right w:val="single" w:sz="4" w:space="0" w:color="auto"/>
            </w:tcBorders>
            <w:shd w:val="clear" w:color="000000" w:fill="FFFFFF"/>
            <w:noWrap/>
            <w:vAlign w:val="center"/>
            <w:hideMark/>
          </w:tcPr>
          <w:p w:rsidR="001B66A5" w:rsidRPr="00A857C9" w:rsidRDefault="007B6F2E" w:rsidP="00D81043">
            <w:pPr>
              <w:jc w:val="right"/>
              <w:rPr>
                <w:rFonts w:ascii="Verdana" w:hAnsi="Verdana"/>
                <w:b/>
                <w:sz w:val="20"/>
                <w:szCs w:val="20"/>
                <w:lang w:val="en-GB" w:eastAsia="en-GB"/>
              </w:rPr>
            </w:pPr>
            <w:r>
              <w:rPr>
                <w:rFonts w:ascii="Verdana" w:hAnsi="Verdana"/>
                <w:b/>
                <w:sz w:val="20"/>
                <w:szCs w:val="20"/>
                <w:lang w:val="en-GB" w:eastAsia="en-GB"/>
              </w:rPr>
              <w:t>2</w:t>
            </w:r>
            <w:r w:rsidR="00085308">
              <w:rPr>
                <w:rFonts w:ascii="Verdana" w:hAnsi="Verdana"/>
                <w:b/>
                <w:sz w:val="20"/>
                <w:szCs w:val="20"/>
                <w:lang w:val="en-GB" w:eastAsia="en-GB"/>
              </w:rPr>
              <w:t>60.</w:t>
            </w:r>
            <w:r w:rsidR="00520257">
              <w:rPr>
                <w:rFonts w:ascii="Verdana" w:hAnsi="Verdana"/>
                <w:b/>
                <w:sz w:val="20"/>
                <w:szCs w:val="20"/>
                <w:lang w:val="en-GB" w:eastAsia="en-GB"/>
              </w:rPr>
              <w:t>8</w:t>
            </w:r>
          </w:p>
        </w:tc>
      </w:tr>
      <w:tr w:rsidR="001B66A5" w:rsidRPr="0005653B" w:rsidTr="001B66A5">
        <w:trPr>
          <w:cantSplit/>
          <w:trHeight w:val="581"/>
        </w:trPr>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B66A5" w:rsidRPr="00A857C9" w:rsidRDefault="001B66A5" w:rsidP="001B66A5">
            <w:pPr>
              <w:jc w:val="right"/>
              <w:rPr>
                <w:rFonts w:ascii="Verdana" w:hAnsi="Verdana"/>
                <w:sz w:val="20"/>
                <w:szCs w:val="20"/>
                <w:lang w:val="en-GB" w:eastAsia="en-GB"/>
              </w:rPr>
            </w:pPr>
            <w:r>
              <w:rPr>
                <w:rFonts w:ascii="Verdana" w:hAnsi="Verdana"/>
                <w:sz w:val="20"/>
                <w:szCs w:val="20"/>
                <w:lang w:val="en-GB" w:eastAsia="en-GB"/>
              </w:rPr>
              <w:t>(237.8</w:t>
            </w:r>
            <w:r w:rsidRPr="00A857C9">
              <w:rPr>
                <w:rFonts w:ascii="Verdana" w:hAnsi="Verdana"/>
                <w:sz w:val="20"/>
                <w:szCs w:val="20"/>
                <w:lang w:val="en-GB" w:eastAsia="en-GB"/>
              </w:rPr>
              <w:t>)</w:t>
            </w:r>
          </w:p>
        </w:tc>
        <w:tc>
          <w:tcPr>
            <w:tcW w:w="6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66A5" w:rsidRPr="00A857C9" w:rsidRDefault="001B66A5" w:rsidP="001B66A5">
            <w:pPr>
              <w:rPr>
                <w:rFonts w:ascii="Verdana" w:hAnsi="Verdana"/>
                <w:sz w:val="20"/>
                <w:szCs w:val="20"/>
                <w:lang w:val="en-GB" w:eastAsia="en-GB"/>
              </w:rPr>
            </w:pPr>
            <w:r w:rsidRPr="00A857C9">
              <w:rPr>
                <w:rFonts w:ascii="Verdana" w:hAnsi="Verdana"/>
                <w:sz w:val="20"/>
                <w:szCs w:val="20"/>
                <w:lang w:val="en-GB" w:eastAsia="en-GB"/>
              </w:rPr>
              <w:t>Intra-group Adjustment from PCC to CC for resources consumed at the request of the Chief Constable</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6A5" w:rsidRPr="00A857C9" w:rsidRDefault="001B66A5" w:rsidP="001B66A5">
            <w:pPr>
              <w:jc w:val="right"/>
              <w:rPr>
                <w:rFonts w:ascii="Verdana" w:hAnsi="Verdana"/>
                <w:sz w:val="20"/>
                <w:szCs w:val="20"/>
                <w:lang w:val="en-GB" w:eastAsia="en-GB"/>
              </w:rPr>
            </w:pPr>
            <w:r w:rsidRPr="00A857C9">
              <w:rPr>
                <w:rFonts w:ascii="Verdana" w:hAnsi="Verdana"/>
                <w:sz w:val="20"/>
                <w:szCs w:val="20"/>
                <w:lang w:val="en-GB" w:eastAsia="en-GB"/>
              </w:rPr>
              <w:t>(251.3)</w:t>
            </w:r>
          </w:p>
        </w:tc>
      </w:tr>
      <w:tr w:rsidR="001B66A5" w:rsidRPr="0005653B" w:rsidTr="001B66A5">
        <w:trPr>
          <w:cantSplit/>
          <w:trHeight w:val="92"/>
        </w:trPr>
        <w:tc>
          <w:tcPr>
            <w:tcW w:w="1559" w:type="dxa"/>
            <w:tcBorders>
              <w:top w:val="nil"/>
              <w:left w:val="single" w:sz="4" w:space="0" w:color="auto"/>
              <w:bottom w:val="nil"/>
              <w:right w:val="single" w:sz="4" w:space="0" w:color="auto"/>
            </w:tcBorders>
            <w:shd w:val="clear" w:color="000000" w:fill="FFFFFF"/>
            <w:vAlign w:val="bottom"/>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1B66A5" w:rsidRDefault="001B66A5" w:rsidP="001B66A5">
            <w:pPr>
              <w:rPr>
                <w:rFonts w:ascii="Verdana" w:hAnsi="Verdana"/>
                <w:sz w:val="4"/>
                <w:szCs w:val="4"/>
                <w:lang w:val="en-GB" w:eastAsia="en-GB"/>
              </w:rPr>
            </w:pPr>
            <w:r w:rsidRPr="001B66A5">
              <w:rPr>
                <w:rFonts w:ascii="Verdana" w:hAnsi="Verdana"/>
                <w:sz w:val="4"/>
                <w:szCs w:val="4"/>
                <w:lang w:val="en-GB" w:eastAsia="en-GB"/>
              </w:rPr>
              <w:t> </w:t>
            </w:r>
          </w:p>
        </w:tc>
        <w:tc>
          <w:tcPr>
            <w:tcW w:w="1394" w:type="dxa"/>
            <w:tcBorders>
              <w:top w:val="nil"/>
              <w:left w:val="nil"/>
              <w:bottom w:val="nil"/>
              <w:right w:val="single" w:sz="4" w:space="0" w:color="auto"/>
            </w:tcBorders>
            <w:shd w:val="clear" w:color="000000" w:fill="FFFFFF"/>
            <w:noWrap/>
            <w:vAlign w:val="bottom"/>
            <w:hideMark/>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r>
      <w:tr w:rsidR="001B66A5" w:rsidRPr="0005653B" w:rsidTr="001B66A5">
        <w:trPr>
          <w:cantSplit/>
          <w:trHeight w:val="231"/>
        </w:trPr>
        <w:tc>
          <w:tcPr>
            <w:tcW w:w="1559" w:type="dxa"/>
            <w:tcBorders>
              <w:top w:val="nil"/>
              <w:left w:val="single" w:sz="4" w:space="0" w:color="auto"/>
              <w:bottom w:val="nil"/>
              <w:right w:val="single" w:sz="4" w:space="0" w:color="auto"/>
            </w:tcBorders>
            <w:shd w:val="clear" w:color="000000" w:fill="FFFFFF"/>
            <w:vAlign w:val="bottom"/>
          </w:tcPr>
          <w:p w:rsidR="001B66A5" w:rsidRPr="00A857C9" w:rsidRDefault="001B66A5" w:rsidP="001B66A5">
            <w:pPr>
              <w:jc w:val="right"/>
              <w:rPr>
                <w:rFonts w:ascii="Verdana" w:hAnsi="Verdana"/>
                <w:sz w:val="20"/>
                <w:szCs w:val="20"/>
                <w:lang w:val="en-GB" w:eastAsia="en-GB"/>
              </w:rPr>
            </w:pPr>
            <w:r>
              <w:rPr>
                <w:rFonts w:ascii="Verdana" w:hAnsi="Verdana"/>
                <w:sz w:val="20"/>
                <w:szCs w:val="20"/>
                <w:lang w:val="en-GB" w:eastAsia="en-GB"/>
              </w:rPr>
              <w:t>49.4</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1B66A5">
            <w:pPr>
              <w:rPr>
                <w:rFonts w:ascii="Verdana" w:hAnsi="Verdana"/>
                <w:sz w:val="20"/>
                <w:szCs w:val="20"/>
                <w:lang w:val="en-GB" w:eastAsia="en-GB"/>
              </w:rPr>
            </w:pPr>
            <w:r w:rsidRPr="00A857C9">
              <w:rPr>
                <w:rFonts w:ascii="Verdana" w:hAnsi="Verdana"/>
                <w:sz w:val="20"/>
                <w:szCs w:val="20"/>
                <w:lang w:val="en-GB" w:eastAsia="en-GB"/>
              </w:rPr>
              <w:t>Pension Interest costs and expected return on pension assets</w:t>
            </w:r>
          </w:p>
        </w:tc>
        <w:tc>
          <w:tcPr>
            <w:tcW w:w="1394" w:type="dxa"/>
            <w:tcBorders>
              <w:top w:val="nil"/>
              <w:left w:val="nil"/>
              <w:bottom w:val="nil"/>
              <w:right w:val="single" w:sz="4" w:space="0" w:color="auto"/>
            </w:tcBorders>
            <w:shd w:val="clear" w:color="000000" w:fill="FFFFFF"/>
            <w:noWrap/>
            <w:vAlign w:val="bottom"/>
            <w:hideMark/>
          </w:tcPr>
          <w:p w:rsidR="001B66A5" w:rsidRPr="00A857C9" w:rsidRDefault="001B66A5" w:rsidP="00D81043">
            <w:pPr>
              <w:jc w:val="right"/>
              <w:rPr>
                <w:rFonts w:ascii="Verdana" w:hAnsi="Verdana"/>
                <w:sz w:val="20"/>
                <w:szCs w:val="20"/>
                <w:lang w:val="en-GB" w:eastAsia="en-GB"/>
              </w:rPr>
            </w:pPr>
            <w:r w:rsidRPr="00A857C9">
              <w:rPr>
                <w:rFonts w:ascii="Verdana" w:hAnsi="Verdana"/>
                <w:sz w:val="20"/>
                <w:szCs w:val="20"/>
                <w:lang w:val="en-GB" w:eastAsia="en-GB"/>
              </w:rPr>
              <w:t>53.</w:t>
            </w:r>
            <w:r w:rsidR="00085308">
              <w:rPr>
                <w:rFonts w:ascii="Verdana" w:hAnsi="Verdana"/>
                <w:sz w:val="20"/>
                <w:szCs w:val="20"/>
                <w:lang w:val="en-GB" w:eastAsia="en-GB"/>
              </w:rPr>
              <w:t>1</w:t>
            </w:r>
          </w:p>
        </w:tc>
      </w:tr>
      <w:tr w:rsidR="001B66A5" w:rsidRPr="0005653B" w:rsidTr="001B66A5">
        <w:trPr>
          <w:cantSplit/>
          <w:trHeight w:val="231"/>
        </w:trPr>
        <w:tc>
          <w:tcPr>
            <w:tcW w:w="1559" w:type="dxa"/>
            <w:tcBorders>
              <w:top w:val="nil"/>
              <w:left w:val="single" w:sz="4" w:space="0" w:color="auto"/>
              <w:bottom w:val="nil"/>
              <w:right w:val="single" w:sz="4" w:space="0" w:color="auto"/>
            </w:tcBorders>
            <w:shd w:val="clear" w:color="000000" w:fill="FFFFFF"/>
            <w:vAlign w:val="bottom"/>
          </w:tcPr>
          <w:p w:rsidR="001B66A5" w:rsidRPr="00A857C9" w:rsidRDefault="001B66A5" w:rsidP="001B66A5">
            <w:pPr>
              <w:jc w:val="right"/>
              <w:rPr>
                <w:rFonts w:ascii="Verdana" w:hAnsi="Verdana"/>
                <w:sz w:val="20"/>
                <w:szCs w:val="20"/>
                <w:lang w:val="en-GB" w:eastAsia="en-GB"/>
              </w:rPr>
            </w:pPr>
            <w:r w:rsidRPr="00A857C9">
              <w:rPr>
                <w:rFonts w:ascii="Verdana" w:hAnsi="Verdana"/>
                <w:sz w:val="20"/>
                <w:szCs w:val="20"/>
                <w:lang w:val="en-GB" w:eastAsia="en-GB"/>
              </w:rPr>
              <w:t>0.5</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1B66A5">
            <w:pPr>
              <w:rPr>
                <w:rFonts w:ascii="Verdana" w:hAnsi="Verdana"/>
                <w:sz w:val="20"/>
                <w:szCs w:val="20"/>
                <w:lang w:val="en-GB" w:eastAsia="en-GB"/>
              </w:rPr>
            </w:pPr>
            <w:r w:rsidRPr="00A857C9">
              <w:rPr>
                <w:rFonts w:ascii="Verdana" w:hAnsi="Verdana"/>
                <w:sz w:val="20"/>
                <w:szCs w:val="20"/>
                <w:lang w:val="en-GB" w:eastAsia="en-GB"/>
              </w:rPr>
              <w:t>Levies &amp; other operating expenditure</w:t>
            </w:r>
          </w:p>
        </w:tc>
        <w:tc>
          <w:tcPr>
            <w:tcW w:w="1394" w:type="dxa"/>
            <w:tcBorders>
              <w:top w:val="nil"/>
              <w:left w:val="nil"/>
              <w:bottom w:val="nil"/>
              <w:right w:val="single" w:sz="4" w:space="0" w:color="auto"/>
            </w:tcBorders>
            <w:shd w:val="clear" w:color="000000" w:fill="FFFFFF"/>
            <w:noWrap/>
            <w:vAlign w:val="bottom"/>
            <w:hideMark/>
          </w:tcPr>
          <w:p w:rsidR="001B66A5" w:rsidRPr="00A857C9" w:rsidRDefault="001B66A5" w:rsidP="001B66A5">
            <w:pPr>
              <w:jc w:val="right"/>
              <w:rPr>
                <w:rFonts w:ascii="Verdana" w:hAnsi="Verdana"/>
                <w:sz w:val="20"/>
                <w:szCs w:val="20"/>
                <w:lang w:val="en-GB" w:eastAsia="en-GB"/>
              </w:rPr>
            </w:pPr>
            <w:r w:rsidRPr="00A857C9">
              <w:rPr>
                <w:rFonts w:ascii="Verdana" w:hAnsi="Verdana"/>
                <w:sz w:val="20"/>
                <w:szCs w:val="20"/>
                <w:lang w:val="en-GB" w:eastAsia="en-GB"/>
              </w:rPr>
              <w:t>0.5</w:t>
            </w:r>
          </w:p>
        </w:tc>
      </w:tr>
      <w:tr w:rsidR="001B66A5" w:rsidRPr="0005653B" w:rsidTr="001B66A5">
        <w:trPr>
          <w:cantSplit/>
          <w:trHeight w:val="92"/>
        </w:trPr>
        <w:tc>
          <w:tcPr>
            <w:tcW w:w="1559" w:type="dxa"/>
            <w:tcBorders>
              <w:top w:val="nil"/>
              <w:left w:val="single" w:sz="4" w:space="0" w:color="auto"/>
              <w:bottom w:val="nil"/>
              <w:right w:val="single" w:sz="4" w:space="0" w:color="auto"/>
            </w:tcBorders>
            <w:shd w:val="clear" w:color="000000" w:fill="FFFFFF"/>
            <w:vAlign w:val="bottom"/>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1B66A5" w:rsidRDefault="001B66A5" w:rsidP="001B66A5">
            <w:pPr>
              <w:rPr>
                <w:rFonts w:ascii="Verdana" w:hAnsi="Verdana"/>
                <w:sz w:val="4"/>
                <w:szCs w:val="4"/>
                <w:lang w:val="en-GB" w:eastAsia="en-GB"/>
              </w:rPr>
            </w:pPr>
            <w:r w:rsidRPr="001B66A5">
              <w:rPr>
                <w:rFonts w:ascii="Verdana" w:hAnsi="Verdana"/>
                <w:sz w:val="4"/>
                <w:szCs w:val="4"/>
                <w:lang w:val="en-GB" w:eastAsia="en-GB"/>
              </w:rPr>
              <w:t> </w:t>
            </w:r>
          </w:p>
        </w:tc>
        <w:tc>
          <w:tcPr>
            <w:tcW w:w="1394" w:type="dxa"/>
            <w:tcBorders>
              <w:top w:val="nil"/>
              <w:left w:val="nil"/>
              <w:bottom w:val="nil"/>
              <w:right w:val="single" w:sz="4" w:space="0" w:color="auto"/>
            </w:tcBorders>
            <w:shd w:val="clear" w:color="000000" w:fill="FFFFFF"/>
            <w:noWrap/>
            <w:vAlign w:val="bottom"/>
            <w:hideMark/>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r>
      <w:tr w:rsidR="001B66A5" w:rsidRPr="0005653B" w:rsidTr="001B66A5">
        <w:trPr>
          <w:cantSplit/>
          <w:trHeight w:val="92"/>
        </w:trPr>
        <w:tc>
          <w:tcPr>
            <w:tcW w:w="1559" w:type="dxa"/>
            <w:tcBorders>
              <w:top w:val="single" w:sz="4" w:space="0" w:color="auto"/>
              <w:left w:val="single" w:sz="4" w:space="0" w:color="auto"/>
              <w:bottom w:val="nil"/>
              <w:right w:val="single" w:sz="4" w:space="0" w:color="auto"/>
            </w:tcBorders>
            <w:shd w:val="clear" w:color="000000" w:fill="FFFFFF"/>
            <w:vAlign w:val="bottom"/>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c>
          <w:tcPr>
            <w:tcW w:w="6800" w:type="dxa"/>
            <w:tcBorders>
              <w:top w:val="single" w:sz="4" w:space="0" w:color="auto"/>
              <w:left w:val="single" w:sz="4" w:space="0" w:color="auto"/>
              <w:bottom w:val="nil"/>
              <w:right w:val="single" w:sz="4" w:space="0" w:color="auto"/>
            </w:tcBorders>
            <w:shd w:val="clear" w:color="000000" w:fill="FFFFFF"/>
            <w:noWrap/>
            <w:vAlign w:val="bottom"/>
            <w:hideMark/>
          </w:tcPr>
          <w:p w:rsidR="001B66A5" w:rsidRPr="001B66A5" w:rsidRDefault="001B66A5" w:rsidP="001B66A5">
            <w:pPr>
              <w:rPr>
                <w:rFonts w:ascii="Verdana" w:hAnsi="Verdana"/>
                <w:sz w:val="4"/>
                <w:szCs w:val="4"/>
                <w:lang w:val="en-GB" w:eastAsia="en-GB"/>
              </w:rPr>
            </w:pPr>
            <w:r w:rsidRPr="001B66A5">
              <w:rPr>
                <w:rFonts w:ascii="Verdana" w:hAnsi="Verdana"/>
                <w:sz w:val="4"/>
                <w:szCs w:val="4"/>
                <w:lang w:val="en-GB" w:eastAsia="en-GB"/>
              </w:rPr>
              <w:t> </w:t>
            </w:r>
          </w:p>
        </w:tc>
        <w:tc>
          <w:tcPr>
            <w:tcW w:w="1394" w:type="dxa"/>
            <w:tcBorders>
              <w:top w:val="single" w:sz="4" w:space="0" w:color="auto"/>
              <w:left w:val="nil"/>
              <w:bottom w:val="nil"/>
              <w:right w:val="single" w:sz="4" w:space="0" w:color="auto"/>
            </w:tcBorders>
            <w:shd w:val="clear" w:color="000000" w:fill="FFFFFF"/>
            <w:noWrap/>
            <w:vAlign w:val="bottom"/>
            <w:hideMark/>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r>
      <w:tr w:rsidR="001B66A5" w:rsidRPr="0005653B" w:rsidTr="001B66A5">
        <w:trPr>
          <w:cantSplit/>
          <w:trHeight w:val="289"/>
        </w:trPr>
        <w:tc>
          <w:tcPr>
            <w:tcW w:w="1559" w:type="dxa"/>
            <w:tcBorders>
              <w:top w:val="nil"/>
              <w:left w:val="single" w:sz="4" w:space="0" w:color="auto"/>
              <w:bottom w:val="nil"/>
              <w:right w:val="single" w:sz="4" w:space="0" w:color="auto"/>
            </w:tcBorders>
            <w:shd w:val="clear" w:color="000000" w:fill="FFFFFF"/>
            <w:vAlign w:val="center"/>
          </w:tcPr>
          <w:p w:rsidR="001B66A5" w:rsidRPr="00A857C9" w:rsidRDefault="00687614" w:rsidP="001B66A5">
            <w:pPr>
              <w:jc w:val="right"/>
              <w:rPr>
                <w:rFonts w:ascii="Verdana" w:hAnsi="Verdana"/>
                <w:b/>
                <w:sz w:val="20"/>
                <w:szCs w:val="20"/>
                <w:lang w:val="en-GB" w:eastAsia="en-GB"/>
              </w:rPr>
            </w:pPr>
            <w:r>
              <w:rPr>
                <w:rFonts w:ascii="Verdana" w:hAnsi="Verdana"/>
                <w:b/>
                <w:sz w:val="20"/>
                <w:szCs w:val="20"/>
                <w:lang w:val="en-GB" w:eastAsia="en-GB"/>
              </w:rPr>
              <w:t>141.4</w:t>
            </w:r>
          </w:p>
        </w:tc>
        <w:tc>
          <w:tcPr>
            <w:tcW w:w="6800" w:type="dxa"/>
            <w:tcBorders>
              <w:top w:val="nil"/>
              <w:left w:val="single" w:sz="4" w:space="0" w:color="auto"/>
              <w:bottom w:val="nil"/>
              <w:right w:val="single" w:sz="4" w:space="0" w:color="auto"/>
            </w:tcBorders>
            <w:shd w:val="clear" w:color="000000" w:fill="FFFFFF"/>
            <w:noWrap/>
            <w:vAlign w:val="center"/>
            <w:hideMark/>
          </w:tcPr>
          <w:p w:rsidR="001B66A5" w:rsidRPr="00A857C9" w:rsidRDefault="001B66A5" w:rsidP="001B66A5">
            <w:pPr>
              <w:rPr>
                <w:rFonts w:ascii="Verdana" w:hAnsi="Verdana"/>
                <w:b/>
                <w:sz w:val="20"/>
                <w:szCs w:val="20"/>
                <w:lang w:val="en-GB" w:eastAsia="en-GB"/>
              </w:rPr>
            </w:pPr>
            <w:r w:rsidRPr="00A857C9">
              <w:rPr>
                <w:rFonts w:ascii="Verdana" w:hAnsi="Verdana"/>
                <w:b/>
                <w:sz w:val="20"/>
                <w:szCs w:val="20"/>
                <w:lang w:val="en-GB" w:eastAsia="en-GB"/>
              </w:rPr>
              <w:t>Deficit on the provision of services</w:t>
            </w:r>
          </w:p>
        </w:tc>
        <w:tc>
          <w:tcPr>
            <w:tcW w:w="1394" w:type="dxa"/>
            <w:tcBorders>
              <w:top w:val="nil"/>
              <w:left w:val="nil"/>
              <w:bottom w:val="nil"/>
              <w:right w:val="single" w:sz="4" w:space="0" w:color="auto"/>
            </w:tcBorders>
            <w:shd w:val="clear" w:color="000000" w:fill="FFFFFF"/>
            <w:noWrap/>
            <w:vAlign w:val="center"/>
            <w:hideMark/>
          </w:tcPr>
          <w:p w:rsidR="001B66A5" w:rsidRPr="00A857C9" w:rsidRDefault="00085308" w:rsidP="00D81043">
            <w:pPr>
              <w:jc w:val="right"/>
              <w:rPr>
                <w:rFonts w:ascii="Verdana" w:hAnsi="Verdana"/>
                <w:b/>
                <w:sz w:val="20"/>
                <w:szCs w:val="20"/>
                <w:lang w:val="en-GB" w:eastAsia="en-GB"/>
              </w:rPr>
            </w:pPr>
            <w:r>
              <w:rPr>
                <w:rFonts w:ascii="Verdana" w:hAnsi="Verdana"/>
                <w:b/>
                <w:sz w:val="20"/>
                <w:szCs w:val="20"/>
                <w:lang w:val="en-GB" w:eastAsia="en-GB"/>
              </w:rPr>
              <w:t>63.</w:t>
            </w:r>
            <w:r w:rsidR="00520257">
              <w:rPr>
                <w:rFonts w:ascii="Verdana" w:hAnsi="Verdana"/>
                <w:b/>
                <w:sz w:val="20"/>
                <w:szCs w:val="20"/>
                <w:lang w:val="en-GB" w:eastAsia="en-GB"/>
              </w:rPr>
              <w:t>1</w:t>
            </w:r>
          </w:p>
        </w:tc>
      </w:tr>
      <w:tr w:rsidR="001B66A5" w:rsidRPr="0005653B" w:rsidTr="001B66A5">
        <w:trPr>
          <w:cantSplit/>
          <w:trHeight w:val="92"/>
        </w:trPr>
        <w:tc>
          <w:tcPr>
            <w:tcW w:w="1559" w:type="dxa"/>
            <w:tcBorders>
              <w:top w:val="nil"/>
              <w:left w:val="single" w:sz="4" w:space="0" w:color="auto"/>
              <w:bottom w:val="single" w:sz="4" w:space="0" w:color="auto"/>
              <w:right w:val="single" w:sz="4" w:space="0" w:color="auto"/>
            </w:tcBorders>
            <w:shd w:val="clear" w:color="000000" w:fill="FFFFFF"/>
            <w:vAlign w:val="bottom"/>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c>
          <w:tcPr>
            <w:tcW w:w="6800" w:type="dxa"/>
            <w:tcBorders>
              <w:top w:val="nil"/>
              <w:left w:val="single" w:sz="4" w:space="0" w:color="auto"/>
              <w:bottom w:val="single" w:sz="4" w:space="0" w:color="auto"/>
              <w:right w:val="single" w:sz="4" w:space="0" w:color="auto"/>
            </w:tcBorders>
            <w:shd w:val="clear" w:color="000000" w:fill="FFFFFF"/>
            <w:noWrap/>
            <w:vAlign w:val="bottom"/>
            <w:hideMark/>
          </w:tcPr>
          <w:p w:rsidR="001B66A5" w:rsidRPr="001B66A5" w:rsidRDefault="001B66A5" w:rsidP="001B66A5">
            <w:pPr>
              <w:rPr>
                <w:rFonts w:ascii="Verdana" w:hAnsi="Verdana"/>
                <w:sz w:val="4"/>
                <w:szCs w:val="4"/>
                <w:lang w:val="en-GB" w:eastAsia="en-GB"/>
              </w:rPr>
            </w:pPr>
            <w:r w:rsidRPr="001B66A5">
              <w:rPr>
                <w:rFonts w:ascii="Verdana" w:hAnsi="Verdana"/>
                <w:sz w:val="4"/>
                <w:szCs w:val="4"/>
                <w:lang w:val="en-GB" w:eastAsia="en-GB"/>
              </w:rPr>
              <w:t> </w:t>
            </w:r>
          </w:p>
        </w:tc>
        <w:tc>
          <w:tcPr>
            <w:tcW w:w="1394" w:type="dxa"/>
            <w:tcBorders>
              <w:top w:val="nil"/>
              <w:left w:val="nil"/>
              <w:bottom w:val="single" w:sz="4" w:space="0" w:color="auto"/>
              <w:right w:val="single" w:sz="4" w:space="0" w:color="auto"/>
            </w:tcBorders>
            <w:shd w:val="clear" w:color="000000" w:fill="FFFFFF"/>
            <w:noWrap/>
            <w:vAlign w:val="bottom"/>
            <w:hideMark/>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r>
      <w:tr w:rsidR="001B66A5" w:rsidRPr="0005653B" w:rsidTr="001B66A5">
        <w:trPr>
          <w:cantSplit/>
          <w:trHeight w:val="92"/>
        </w:trPr>
        <w:tc>
          <w:tcPr>
            <w:tcW w:w="1559" w:type="dxa"/>
            <w:tcBorders>
              <w:top w:val="nil"/>
              <w:left w:val="single" w:sz="4" w:space="0" w:color="auto"/>
              <w:bottom w:val="nil"/>
              <w:right w:val="single" w:sz="4" w:space="0" w:color="auto"/>
            </w:tcBorders>
            <w:shd w:val="clear" w:color="000000" w:fill="FFFFFF"/>
            <w:vAlign w:val="bottom"/>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1B66A5" w:rsidRDefault="001B66A5" w:rsidP="001B66A5">
            <w:pPr>
              <w:rPr>
                <w:rFonts w:ascii="Verdana" w:hAnsi="Verdana"/>
                <w:sz w:val="4"/>
                <w:szCs w:val="4"/>
                <w:lang w:val="en-GB" w:eastAsia="en-GB"/>
              </w:rPr>
            </w:pPr>
            <w:r w:rsidRPr="001B66A5">
              <w:rPr>
                <w:rFonts w:ascii="Verdana" w:hAnsi="Verdana"/>
                <w:sz w:val="4"/>
                <w:szCs w:val="4"/>
                <w:lang w:val="en-GB" w:eastAsia="en-GB"/>
              </w:rPr>
              <w:t> </w:t>
            </w:r>
          </w:p>
        </w:tc>
        <w:tc>
          <w:tcPr>
            <w:tcW w:w="1394" w:type="dxa"/>
            <w:tcBorders>
              <w:top w:val="nil"/>
              <w:left w:val="single" w:sz="4" w:space="0" w:color="auto"/>
              <w:bottom w:val="nil"/>
              <w:right w:val="single" w:sz="4" w:space="0" w:color="auto"/>
            </w:tcBorders>
            <w:shd w:val="clear" w:color="000000" w:fill="FFFFFF"/>
            <w:noWrap/>
            <w:vAlign w:val="bottom"/>
            <w:hideMark/>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r>
      <w:tr w:rsidR="007B6F2E" w:rsidRPr="0005653B" w:rsidTr="001B66A5">
        <w:trPr>
          <w:cantSplit/>
          <w:trHeight w:val="231"/>
        </w:trPr>
        <w:tc>
          <w:tcPr>
            <w:tcW w:w="1559" w:type="dxa"/>
            <w:tcBorders>
              <w:top w:val="nil"/>
              <w:left w:val="single" w:sz="4" w:space="0" w:color="auto"/>
              <w:bottom w:val="nil"/>
              <w:right w:val="single" w:sz="4" w:space="0" w:color="auto"/>
            </w:tcBorders>
            <w:shd w:val="clear" w:color="000000" w:fill="FFFFFF"/>
            <w:vAlign w:val="bottom"/>
          </w:tcPr>
          <w:p w:rsidR="007B6F2E" w:rsidRDefault="007B6F2E" w:rsidP="001B66A5">
            <w:pPr>
              <w:jc w:val="right"/>
              <w:rPr>
                <w:rFonts w:ascii="Verdana" w:hAnsi="Verdana"/>
                <w:sz w:val="20"/>
                <w:szCs w:val="20"/>
                <w:lang w:val="en-GB" w:eastAsia="en-GB"/>
              </w:rPr>
            </w:pPr>
          </w:p>
        </w:tc>
        <w:tc>
          <w:tcPr>
            <w:tcW w:w="6800" w:type="dxa"/>
            <w:tcBorders>
              <w:top w:val="nil"/>
              <w:left w:val="single" w:sz="4" w:space="0" w:color="auto"/>
              <w:bottom w:val="nil"/>
              <w:right w:val="single" w:sz="4" w:space="0" w:color="auto"/>
            </w:tcBorders>
            <w:shd w:val="clear" w:color="000000" w:fill="FFFFFF"/>
            <w:noWrap/>
            <w:vAlign w:val="bottom"/>
          </w:tcPr>
          <w:p w:rsidR="007B6F2E" w:rsidRPr="00A857C9" w:rsidRDefault="007B6F2E" w:rsidP="001B66A5">
            <w:pPr>
              <w:rPr>
                <w:rFonts w:ascii="Verdana" w:hAnsi="Verdana"/>
                <w:sz w:val="20"/>
                <w:szCs w:val="20"/>
                <w:lang w:val="en-GB" w:eastAsia="en-GB"/>
              </w:rPr>
            </w:pPr>
          </w:p>
        </w:tc>
        <w:tc>
          <w:tcPr>
            <w:tcW w:w="1394" w:type="dxa"/>
            <w:tcBorders>
              <w:top w:val="nil"/>
              <w:left w:val="single" w:sz="4" w:space="0" w:color="auto"/>
              <w:bottom w:val="nil"/>
              <w:right w:val="single" w:sz="4" w:space="0" w:color="auto"/>
            </w:tcBorders>
            <w:shd w:val="clear" w:color="000000" w:fill="FFFFFF"/>
            <w:noWrap/>
            <w:vAlign w:val="bottom"/>
          </w:tcPr>
          <w:p w:rsidR="007B6F2E" w:rsidRPr="00A857C9" w:rsidRDefault="007B6F2E" w:rsidP="00AA2A89">
            <w:pPr>
              <w:jc w:val="right"/>
              <w:rPr>
                <w:rFonts w:ascii="Verdana" w:hAnsi="Verdana"/>
                <w:sz w:val="20"/>
                <w:szCs w:val="20"/>
                <w:lang w:val="en-GB" w:eastAsia="en-GB"/>
              </w:rPr>
            </w:pPr>
          </w:p>
        </w:tc>
      </w:tr>
      <w:tr w:rsidR="001B66A5" w:rsidRPr="0005653B" w:rsidTr="001B66A5">
        <w:trPr>
          <w:cantSplit/>
          <w:trHeight w:val="231"/>
        </w:trPr>
        <w:tc>
          <w:tcPr>
            <w:tcW w:w="1559" w:type="dxa"/>
            <w:tcBorders>
              <w:top w:val="nil"/>
              <w:left w:val="single" w:sz="4" w:space="0" w:color="auto"/>
              <w:bottom w:val="nil"/>
              <w:right w:val="single" w:sz="4" w:space="0" w:color="auto"/>
            </w:tcBorders>
            <w:shd w:val="clear" w:color="000000" w:fill="FFFFFF"/>
            <w:vAlign w:val="bottom"/>
          </w:tcPr>
          <w:p w:rsidR="001B66A5" w:rsidRPr="00A857C9" w:rsidRDefault="001B66A5" w:rsidP="001B66A5">
            <w:pPr>
              <w:jc w:val="right"/>
              <w:rPr>
                <w:rFonts w:ascii="Verdana" w:hAnsi="Verdana"/>
                <w:sz w:val="20"/>
                <w:szCs w:val="20"/>
                <w:lang w:val="en-GB" w:eastAsia="en-GB"/>
              </w:rPr>
            </w:pPr>
            <w:r>
              <w:rPr>
                <w:rFonts w:ascii="Verdana" w:hAnsi="Verdana"/>
                <w:sz w:val="20"/>
                <w:szCs w:val="20"/>
                <w:lang w:val="en-GB" w:eastAsia="en-GB"/>
              </w:rPr>
              <w:t>87.6</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D81043">
            <w:pPr>
              <w:rPr>
                <w:rFonts w:ascii="Verdana" w:hAnsi="Verdana"/>
                <w:sz w:val="20"/>
                <w:szCs w:val="20"/>
                <w:lang w:val="en-GB" w:eastAsia="en-GB"/>
              </w:rPr>
            </w:pPr>
            <w:r w:rsidRPr="00A857C9">
              <w:rPr>
                <w:rFonts w:ascii="Verdana" w:hAnsi="Verdana"/>
                <w:sz w:val="20"/>
                <w:szCs w:val="20"/>
                <w:lang w:val="en-GB" w:eastAsia="en-GB"/>
              </w:rPr>
              <w:t>Re-measurement of the net defined benefit liability/asset</w:t>
            </w:r>
            <w:r w:rsidR="00085308">
              <w:rPr>
                <w:rFonts w:ascii="Verdana" w:hAnsi="Verdana"/>
                <w:sz w:val="20"/>
                <w:szCs w:val="20"/>
                <w:lang w:val="en-GB" w:eastAsia="en-GB"/>
              </w:rPr>
              <w:t xml:space="preserve"> </w:t>
            </w:r>
          </w:p>
        </w:tc>
        <w:tc>
          <w:tcPr>
            <w:tcW w:w="1394" w:type="dxa"/>
            <w:tcBorders>
              <w:top w:val="nil"/>
              <w:left w:val="single" w:sz="4" w:space="0" w:color="auto"/>
              <w:bottom w:val="nil"/>
              <w:right w:val="single" w:sz="4" w:space="0" w:color="auto"/>
            </w:tcBorders>
            <w:shd w:val="clear" w:color="000000" w:fill="FFFFFF"/>
            <w:noWrap/>
            <w:vAlign w:val="bottom"/>
            <w:hideMark/>
          </w:tcPr>
          <w:p w:rsidR="001B66A5" w:rsidRPr="00A857C9" w:rsidRDefault="001B66A5" w:rsidP="00F93CA0">
            <w:pPr>
              <w:jc w:val="right"/>
              <w:rPr>
                <w:rFonts w:ascii="Verdana" w:hAnsi="Verdana"/>
                <w:sz w:val="20"/>
                <w:szCs w:val="20"/>
                <w:lang w:val="en-GB" w:eastAsia="en-GB"/>
              </w:rPr>
            </w:pPr>
            <w:r w:rsidRPr="00A857C9">
              <w:rPr>
                <w:rFonts w:ascii="Verdana" w:hAnsi="Verdana"/>
                <w:sz w:val="20"/>
                <w:szCs w:val="20"/>
                <w:lang w:val="en-GB" w:eastAsia="en-GB"/>
              </w:rPr>
              <w:t>(19</w:t>
            </w:r>
            <w:r w:rsidR="00085308">
              <w:rPr>
                <w:rFonts w:ascii="Verdana" w:hAnsi="Verdana"/>
                <w:sz w:val="20"/>
                <w:szCs w:val="20"/>
                <w:lang w:val="en-GB" w:eastAsia="en-GB"/>
              </w:rPr>
              <w:t>3</w:t>
            </w:r>
            <w:r w:rsidRPr="00A857C9">
              <w:rPr>
                <w:rFonts w:ascii="Verdana" w:hAnsi="Verdana"/>
                <w:sz w:val="20"/>
                <w:szCs w:val="20"/>
                <w:lang w:val="en-GB" w:eastAsia="en-GB"/>
              </w:rPr>
              <w:t>.</w:t>
            </w:r>
            <w:r w:rsidR="00520257">
              <w:rPr>
                <w:rFonts w:ascii="Verdana" w:hAnsi="Verdana"/>
                <w:sz w:val="20"/>
                <w:szCs w:val="20"/>
                <w:lang w:val="en-GB" w:eastAsia="en-GB"/>
              </w:rPr>
              <w:t>3</w:t>
            </w:r>
            <w:r w:rsidRPr="00A857C9">
              <w:rPr>
                <w:rFonts w:ascii="Verdana" w:hAnsi="Verdana"/>
                <w:sz w:val="20"/>
                <w:szCs w:val="20"/>
                <w:lang w:val="en-GB" w:eastAsia="en-GB"/>
              </w:rPr>
              <w:t>)</w:t>
            </w:r>
          </w:p>
        </w:tc>
      </w:tr>
      <w:tr w:rsidR="001B66A5" w:rsidRPr="0005653B" w:rsidTr="00EA146B">
        <w:trPr>
          <w:cantSplit/>
          <w:trHeight w:val="66"/>
        </w:trPr>
        <w:tc>
          <w:tcPr>
            <w:tcW w:w="1559" w:type="dxa"/>
            <w:tcBorders>
              <w:top w:val="nil"/>
              <w:left w:val="single" w:sz="4" w:space="0" w:color="auto"/>
              <w:bottom w:val="nil"/>
              <w:right w:val="single" w:sz="4" w:space="0" w:color="auto"/>
            </w:tcBorders>
            <w:shd w:val="clear" w:color="000000" w:fill="FFFFFF"/>
            <w:vAlign w:val="bottom"/>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c>
          <w:tcPr>
            <w:tcW w:w="6800" w:type="dxa"/>
            <w:tcBorders>
              <w:top w:val="nil"/>
              <w:left w:val="single" w:sz="4" w:space="0" w:color="auto"/>
              <w:bottom w:val="nil"/>
              <w:right w:val="single" w:sz="4" w:space="0" w:color="auto"/>
            </w:tcBorders>
            <w:shd w:val="clear" w:color="000000" w:fill="FFFFFF"/>
            <w:noWrap/>
            <w:vAlign w:val="bottom"/>
            <w:hideMark/>
          </w:tcPr>
          <w:p w:rsidR="001B66A5" w:rsidRPr="001B66A5" w:rsidRDefault="001B66A5" w:rsidP="001B66A5">
            <w:pPr>
              <w:rPr>
                <w:rFonts w:ascii="Verdana" w:hAnsi="Verdana"/>
                <w:sz w:val="4"/>
                <w:szCs w:val="4"/>
                <w:lang w:val="en-GB" w:eastAsia="en-GB"/>
              </w:rPr>
            </w:pPr>
            <w:r w:rsidRPr="001B66A5">
              <w:rPr>
                <w:rFonts w:ascii="Verdana" w:hAnsi="Verdana"/>
                <w:sz w:val="4"/>
                <w:szCs w:val="4"/>
                <w:lang w:val="en-GB" w:eastAsia="en-GB"/>
              </w:rPr>
              <w:t> </w:t>
            </w:r>
          </w:p>
        </w:tc>
        <w:tc>
          <w:tcPr>
            <w:tcW w:w="1394" w:type="dxa"/>
            <w:tcBorders>
              <w:top w:val="nil"/>
              <w:left w:val="single" w:sz="4" w:space="0" w:color="auto"/>
              <w:bottom w:val="nil"/>
              <w:right w:val="single" w:sz="4" w:space="0" w:color="auto"/>
            </w:tcBorders>
            <w:shd w:val="clear" w:color="000000" w:fill="FFFFFF"/>
            <w:noWrap/>
            <w:vAlign w:val="bottom"/>
            <w:hideMark/>
          </w:tcPr>
          <w:p w:rsidR="001B66A5" w:rsidRPr="001B66A5" w:rsidRDefault="001B66A5" w:rsidP="001B66A5">
            <w:pPr>
              <w:jc w:val="right"/>
              <w:rPr>
                <w:rFonts w:ascii="Verdana" w:hAnsi="Verdana"/>
                <w:sz w:val="4"/>
                <w:szCs w:val="4"/>
                <w:lang w:val="en-GB" w:eastAsia="en-GB"/>
              </w:rPr>
            </w:pPr>
            <w:r w:rsidRPr="001B66A5">
              <w:rPr>
                <w:rFonts w:ascii="Verdana" w:hAnsi="Verdana"/>
                <w:sz w:val="4"/>
                <w:szCs w:val="4"/>
                <w:lang w:val="en-GB" w:eastAsia="en-GB"/>
              </w:rPr>
              <w:t> </w:t>
            </w:r>
          </w:p>
        </w:tc>
      </w:tr>
      <w:tr w:rsidR="001B66A5" w:rsidRPr="0005653B" w:rsidTr="001B66A5">
        <w:trPr>
          <w:cantSplit/>
          <w:trHeight w:val="348"/>
        </w:trPr>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B66A5" w:rsidRPr="00A857C9" w:rsidRDefault="001B66A5" w:rsidP="001B66A5">
            <w:pPr>
              <w:jc w:val="right"/>
              <w:rPr>
                <w:rFonts w:ascii="Verdana" w:hAnsi="Verdana"/>
                <w:b/>
                <w:sz w:val="20"/>
                <w:szCs w:val="20"/>
                <w:lang w:val="en-GB" w:eastAsia="en-GB"/>
              </w:rPr>
            </w:pPr>
            <w:r>
              <w:rPr>
                <w:rFonts w:ascii="Verdana" w:hAnsi="Verdana"/>
                <w:b/>
                <w:sz w:val="20"/>
                <w:szCs w:val="20"/>
                <w:lang w:val="en-GB" w:eastAsia="en-GB"/>
              </w:rPr>
              <w:t>229.0</w:t>
            </w:r>
          </w:p>
        </w:tc>
        <w:tc>
          <w:tcPr>
            <w:tcW w:w="6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66A5" w:rsidRPr="00A857C9" w:rsidRDefault="001B66A5" w:rsidP="001B66A5">
            <w:pPr>
              <w:rPr>
                <w:rFonts w:ascii="Verdana" w:hAnsi="Verdana"/>
                <w:b/>
                <w:sz w:val="20"/>
                <w:szCs w:val="20"/>
                <w:lang w:val="en-GB" w:eastAsia="en-GB"/>
              </w:rPr>
            </w:pPr>
            <w:r w:rsidRPr="00A857C9">
              <w:rPr>
                <w:rFonts w:ascii="Verdana" w:hAnsi="Verdana"/>
                <w:b/>
                <w:sz w:val="20"/>
                <w:szCs w:val="20"/>
                <w:lang w:val="en-GB" w:eastAsia="en-GB"/>
              </w:rPr>
              <w:t>Total Comprehensive Income and Expenditure</w:t>
            </w:r>
          </w:p>
        </w:tc>
        <w:tc>
          <w:tcPr>
            <w:tcW w:w="1394" w:type="dxa"/>
            <w:tcBorders>
              <w:top w:val="single" w:sz="4" w:space="0" w:color="auto"/>
              <w:left w:val="nil"/>
              <w:bottom w:val="single" w:sz="4" w:space="0" w:color="auto"/>
              <w:right w:val="single" w:sz="4" w:space="0" w:color="auto"/>
            </w:tcBorders>
            <w:shd w:val="clear" w:color="000000" w:fill="FFFFFF"/>
            <w:noWrap/>
            <w:vAlign w:val="center"/>
            <w:hideMark/>
          </w:tcPr>
          <w:p w:rsidR="001B66A5" w:rsidRPr="00A857C9" w:rsidRDefault="00AA2A89" w:rsidP="00D81043">
            <w:pPr>
              <w:jc w:val="right"/>
              <w:rPr>
                <w:rFonts w:ascii="Verdana" w:hAnsi="Verdana"/>
                <w:b/>
                <w:sz w:val="20"/>
                <w:szCs w:val="20"/>
                <w:lang w:val="en-GB" w:eastAsia="en-GB"/>
              </w:rPr>
            </w:pPr>
            <w:r>
              <w:rPr>
                <w:rFonts w:ascii="Verdana" w:hAnsi="Verdana"/>
                <w:b/>
                <w:sz w:val="20"/>
                <w:szCs w:val="20"/>
                <w:lang w:val="en-GB" w:eastAsia="en-GB"/>
              </w:rPr>
              <w:t>(1</w:t>
            </w:r>
            <w:r w:rsidR="00085308">
              <w:rPr>
                <w:rFonts w:ascii="Verdana" w:hAnsi="Verdana"/>
                <w:b/>
                <w:sz w:val="20"/>
                <w:szCs w:val="20"/>
                <w:lang w:val="en-GB" w:eastAsia="en-GB"/>
              </w:rPr>
              <w:t>3</w:t>
            </w:r>
            <w:r>
              <w:rPr>
                <w:rFonts w:ascii="Verdana" w:hAnsi="Verdana"/>
                <w:b/>
                <w:sz w:val="20"/>
                <w:szCs w:val="20"/>
                <w:lang w:val="en-GB" w:eastAsia="en-GB"/>
              </w:rPr>
              <w:t>0.</w:t>
            </w:r>
            <w:r w:rsidR="00085308">
              <w:rPr>
                <w:rFonts w:ascii="Verdana" w:hAnsi="Verdana"/>
                <w:b/>
                <w:sz w:val="20"/>
                <w:szCs w:val="20"/>
                <w:lang w:val="en-GB" w:eastAsia="en-GB"/>
              </w:rPr>
              <w:t>2</w:t>
            </w:r>
            <w:r w:rsidR="001B66A5" w:rsidRPr="00A857C9">
              <w:rPr>
                <w:rFonts w:ascii="Verdana" w:hAnsi="Verdana"/>
                <w:b/>
                <w:sz w:val="20"/>
                <w:szCs w:val="20"/>
                <w:lang w:val="en-GB" w:eastAsia="en-GB"/>
              </w:rPr>
              <w:t>)</w:t>
            </w:r>
          </w:p>
        </w:tc>
      </w:tr>
    </w:tbl>
    <w:p w:rsidR="00A857C9" w:rsidRDefault="00A857C9" w:rsidP="00F227D9">
      <w:pPr>
        <w:pStyle w:val="Normal0"/>
        <w:jc w:val="both"/>
        <w:rPr>
          <w:rFonts w:ascii="Verdana" w:eastAsia="Times New Roman" w:hAnsi="Verdana" w:cs="Arial"/>
          <w:sz w:val="22"/>
          <w:szCs w:val="22"/>
          <w:highlight w:val="yellow"/>
          <w:lang w:val="en-GB" w:eastAsia="en-GB"/>
        </w:rPr>
      </w:pPr>
    </w:p>
    <w:p w:rsidR="00F227D9" w:rsidRDefault="00F227D9" w:rsidP="00F227D9">
      <w:pPr>
        <w:pStyle w:val="Normal0"/>
        <w:jc w:val="both"/>
        <w:rPr>
          <w:rFonts w:ascii="Verdana" w:eastAsia="Times New Roman" w:hAnsi="Verdana" w:cs="Arial"/>
          <w:sz w:val="22"/>
          <w:szCs w:val="22"/>
          <w:lang w:val="en-GB" w:eastAsia="en-GB"/>
        </w:rPr>
      </w:pPr>
      <w:r w:rsidRPr="00F87184">
        <w:rPr>
          <w:rFonts w:ascii="Verdana" w:eastAsia="Times New Roman" w:hAnsi="Verdana" w:cs="Arial"/>
          <w:sz w:val="22"/>
          <w:szCs w:val="22"/>
          <w:lang w:val="en-GB" w:eastAsia="en-GB"/>
        </w:rPr>
        <w:t>The total net expenditure shown in the Comprehensive Income and Expenditure Statement includes operating income and expenditure along with adjustments for non-cash accounting transactions for depreciation, capital grants and pension costs in accordance with IAS 19 requirements.  A summary of the Comprehensive Income and Expenditure Statement is shown below.  The intra-group funding is a transfer between the PCC and Chief Constable accounts to offset the financial resources consumed at the request of the Chief Constable on behalf of the Group.</w:t>
      </w:r>
    </w:p>
    <w:p w:rsidR="00F87184" w:rsidRPr="00F87184" w:rsidRDefault="00F87184" w:rsidP="00F227D9">
      <w:pPr>
        <w:pStyle w:val="Normal0"/>
        <w:jc w:val="both"/>
        <w:rPr>
          <w:rFonts w:ascii="Verdana" w:eastAsia="Times New Roman" w:hAnsi="Verdana" w:cs="Arial"/>
          <w:sz w:val="22"/>
          <w:szCs w:val="22"/>
          <w:lang w:val="en-GB" w:eastAsia="en-GB"/>
        </w:rPr>
      </w:pPr>
    </w:p>
    <w:tbl>
      <w:tblPr>
        <w:tblW w:w="8992" w:type="dxa"/>
        <w:tblInd w:w="562" w:type="dxa"/>
        <w:tblLayout w:type="fixed"/>
        <w:tblLook w:val="04A0" w:firstRow="1" w:lastRow="0" w:firstColumn="1" w:lastColumn="0" w:noHBand="0" w:noVBand="1"/>
      </w:tblPr>
      <w:tblGrid>
        <w:gridCol w:w="1622"/>
        <w:gridCol w:w="5749"/>
        <w:gridCol w:w="1621"/>
      </w:tblGrid>
      <w:tr w:rsidR="00C4690D" w:rsidRPr="00F87184" w:rsidTr="00EA146B">
        <w:trPr>
          <w:trHeight w:val="247"/>
        </w:trPr>
        <w:tc>
          <w:tcPr>
            <w:tcW w:w="1622" w:type="dxa"/>
            <w:tcBorders>
              <w:top w:val="single" w:sz="4" w:space="0" w:color="auto"/>
              <w:left w:val="single" w:sz="4" w:space="0" w:color="auto"/>
              <w:bottom w:val="nil"/>
              <w:right w:val="nil"/>
            </w:tcBorders>
            <w:shd w:val="clear" w:color="000000" w:fill="FFFFFF"/>
          </w:tcPr>
          <w:p w:rsidR="00C4690D" w:rsidRPr="00A725E1" w:rsidRDefault="00C4690D" w:rsidP="00C4690D">
            <w:pPr>
              <w:ind w:firstLineChars="100" w:firstLine="181"/>
              <w:jc w:val="center"/>
              <w:rPr>
                <w:rFonts w:ascii="Verdana" w:eastAsia="Times New Roman" w:hAnsi="Verdana" w:cs="Times New Roman"/>
                <w:b/>
                <w:bCs/>
                <w:color w:val="000000"/>
                <w:sz w:val="18"/>
                <w:szCs w:val="18"/>
                <w:lang w:val="en-GB" w:eastAsia="en-GB"/>
              </w:rPr>
            </w:pPr>
            <w:r w:rsidRPr="00A725E1">
              <w:rPr>
                <w:rFonts w:ascii="Verdana" w:eastAsia="Times New Roman" w:hAnsi="Verdana" w:cs="Times New Roman"/>
                <w:b/>
                <w:bCs/>
                <w:color w:val="000000"/>
                <w:sz w:val="18"/>
                <w:szCs w:val="18"/>
                <w:lang w:val="en-GB" w:eastAsia="en-GB"/>
              </w:rPr>
              <w:t>2018/19</w:t>
            </w:r>
            <w:r>
              <w:rPr>
                <w:rFonts w:ascii="Verdana" w:eastAsia="Times New Roman" w:hAnsi="Verdana" w:cs="Times New Roman"/>
                <w:b/>
                <w:bCs/>
                <w:color w:val="000000"/>
                <w:sz w:val="18"/>
                <w:szCs w:val="18"/>
                <w:lang w:val="en-GB" w:eastAsia="en-GB"/>
              </w:rPr>
              <w:t xml:space="preserve"> </w:t>
            </w:r>
          </w:p>
          <w:p w:rsidR="00C4690D" w:rsidRPr="00A725E1" w:rsidRDefault="00C4690D" w:rsidP="00C4690D">
            <w:pPr>
              <w:ind w:firstLineChars="100" w:firstLine="181"/>
              <w:jc w:val="center"/>
              <w:rPr>
                <w:rFonts w:ascii="Verdana" w:eastAsia="Times New Roman" w:hAnsi="Verdana" w:cs="Times New Roman"/>
                <w:b/>
                <w:bCs/>
                <w:color w:val="000000"/>
                <w:sz w:val="18"/>
                <w:szCs w:val="18"/>
                <w:lang w:val="en-GB" w:eastAsia="en-GB"/>
              </w:rPr>
            </w:pPr>
            <w:r w:rsidRPr="00A725E1">
              <w:rPr>
                <w:rFonts w:ascii="Verdana" w:eastAsia="Times New Roman" w:hAnsi="Verdana" w:cs="Times New Roman"/>
                <w:b/>
                <w:bCs/>
                <w:color w:val="000000"/>
                <w:sz w:val="18"/>
                <w:szCs w:val="18"/>
                <w:lang w:val="en-GB" w:eastAsia="en-GB"/>
              </w:rPr>
              <w:t>Net Expenditure</w:t>
            </w:r>
          </w:p>
        </w:tc>
        <w:tc>
          <w:tcPr>
            <w:tcW w:w="5749" w:type="dxa"/>
            <w:tcBorders>
              <w:top w:val="single" w:sz="4" w:space="0" w:color="auto"/>
              <w:left w:val="single" w:sz="4" w:space="0" w:color="auto"/>
              <w:bottom w:val="nil"/>
              <w:right w:val="nil"/>
            </w:tcBorders>
            <w:shd w:val="clear" w:color="000000" w:fill="FFFFFF"/>
            <w:noWrap/>
            <w:vAlign w:val="bottom"/>
            <w:hideMark/>
          </w:tcPr>
          <w:p w:rsidR="00C4690D" w:rsidRPr="00A725E1" w:rsidRDefault="00C4690D" w:rsidP="00C4690D">
            <w:pPr>
              <w:ind w:firstLineChars="100" w:firstLine="181"/>
              <w:rPr>
                <w:rFonts w:ascii="Verdana" w:eastAsia="Times New Roman" w:hAnsi="Verdana" w:cs="Times New Roman"/>
                <w:b/>
                <w:bCs/>
                <w:color w:val="000000"/>
                <w:sz w:val="18"/>
                <w:szCs w:val="18"/>
                <w:lang w:val="en-GB" w:eastAsia="en-GB"/>
              </w:rPr>
            </w:pPr>
            <w:r w:rsidRPr="00A725E1">
              <w:rPr>
                <w:rFonts w:ascii="Verdana" w:eastAsia="Times New Roman" w:hAnsi="Verdana" w:cs="Times New Roman"/>
                <w:b/>
                <w:bCs/>
                <w:color w:val="000000"/>
                <w:sz w:val="18"/>
                <w:szCs w:val="18"/>
                <w:lang w:val="en-GB" w:eastAsia="en-GB"/>
              </w:rPr>
              <w:t> </w:t>
            </w:r>
            <w:r>
              <w:rPr>
                <w:rFonts w:ascii="Verdana" w:eastAsia="Times New Roman" w:hAnsi="Verdana" w:cs="Times New Roman"/>
                <w:b/>
                <w:bCs/>
                <w:color w:val="000000"/>
                <w:sz w:val="18"/>
                <w:szCs w:val="18"/>
                <w:lang w:val="en-GB" w:eastAsia="en-GB"/>
              </w:rPr>
              <w:t>Summary of Chief Constables CIES</w:t>
            </w:r>
          </w:p>
        </w:tc>
        <w:tc>
          <w:tcPr>
            <w:tcW w:w="1621" w:type="dxa"/>
            <w:tcBorders>
              <w:top w:val="single" w:sz="4" w:space="0" w:color="auto"/>
              <w:left w:val="single" w:sz="4" w:space="0" w:color="auto"/>
              <w:bottom w:val="nil"/>
              <w:right w:val="single" w:sz="4" w:space="0" w:color="auto"/>
            </w:tcBorders>
            <w:shd w:val="clear" w:color="000000" w:fill="FFFFFF"/>
          </w:tcPr>
          <w:p w:rsidR="00C4690D" w:rsidRPr="00A725E1" w:rsidRDefault="00C4690D" w:rsidP="00C4690D">
            <w:pPr>
              <w:ind w:firstLineChars="100" w:firstLine="181"/>
              <w:jc w:val="center"/>
              <w:rPr>
                <w:rFonts w:ascii="Verdana" w:eastAsia="Times New Roman" w:hAnsi="Verdana" w:cs="Times New Roman"/>
                <w:b/>
                <w:bCs/>
                <w:color w:val="000000"/>
                <w:sz w:val="18"/>
                <w:szCs w:val="18"/>
                <w:lang w:val="en-GB" w:eastAsia="en-GB"/>
              </w:rPr>
            </w:pPr>
            <w:r w:rsidRPr="00A725E1">
              <w:rPr>
                <w:rFonts w:ascii="Verdana" w:eastAsia="Times New Roman" w:hAnsi="Verdana" w:cs="Times New Roman"/>
                <w:b/>
                <w:bCs/>
                <w:color w:val="000000"/>
                <w:sz w:val="18"/>
                <w:szCs w:val="18"/>
                <w:lang w:val="en-GB" w:eastAsia="en-GB"/>
              </w:rPr>
              <w:t>201</w:t>
            </w:r>
            <w:r w:rsidR="00DA3253">
              <w:rPr>
                <w:rFonts w:ascii="Verdana" w:eastAsia="Times New Roman" w:hAnsi="Verdana" w:cs="Times New Roman"/>
                <w:b/>
                <w:bCs/>
                <w:color w:val="000000"/>
                <w:sz w:val="18"/>
                <w:szCs w:val="18"/>
                <w:lang w:val="en-GB" w:eastAsia="en-GB"/>
              </w:rPr>
              <w:t>9/20</w:t>
            </w:r>
            <w:r>
              <w:rPr>
                <w:rFonts w:ascii="Verdana" w:eastAsia="Times New Roman" w:hAnsi="Verdana" w:cs="Times New Roman"/>
                <w:b/>
                <w:bCs/>
                <w:color w:val="000000"/>
                <w:sz w:val="18"/>
                <w:szCs w:val="18"/>
                <w:lang w:val="en-GB" w:eastAsia="en-GB"/>
              </w:rPr>
              <w:t xml:space="preserve"> </w:t>
            </w:r>
          </w:p>
          <w:p w:rsidR="00C4690D" w:rsidRPr="00A725E1" w:rsidRDefault="00C4690D" w:rsidP="00C4690D">
            <w:pPr>
              <w:ind w:firstLineChars="100" w:firstLine="181"/>
              <w:jc w:val="center"/>
              <w:rPr>
                <w:rFonts w:ascii="Verdana" w:eastAsia="Times New Roman" w:hAnsi="Verdana" w:cs="Times New Roman"/>
                <w:b/>
                <w:bCs/>
                <w:color w:val="000000"/>
                <w:sz w:val="18"/>
                <w:szCs w:val="18"/>
                <w:lang w:val="en-GB" w:eastAsia="en-GB"/>
              </w:rPr>
            </w:pPr>
            <w:r w:rsidRPr="00A725E1">
              <w:rPr>
                <w:rFonts w:ascii="Verdana" w:eastAsia="Times New Roman" w:hAnsi="Verdana" w:cs="Times New Roman"/>
                <w:b/>
                <w:bCs/>
                <w:color w:val="000000"/>
                <w:sz w:val="18"/>
                <w:szCs w:val="18"/>
                <w:lang w:val="en-GB" w:eastAsia="en-GB"/>
              </w:rPr>
              <w:t>Net Expenditure</w:t>
            </w:r>
          </w:p>
        </w:tc>
      </w:tr>
      <w:tr w:rsidR="00C4690D" w:rsidRPr="00F87184" w:rsidTr="00EA146B">
        <w:trPr>
          <w:trHeight w:val="247"/>
        </w:trPr>
        <w:tc>
          <w:tcPr>
            <w:tcW w:w="1622" w:type="dxa"/>
            <w:tcBorders>
              <w:top w:val="nil"/>
              <w:left w:val="single" w:sz="4" w:space="0" w:color="auto"/>
              <w:bottom w:val="single" w:sz="4" w:space="0" w:color="auto"/>
              <w:right w:val="nil"/>
            </w:tcBorders>
            <w:shd w:val="clear" w:color="000000" w:fill="FFFFFF"/>
          </w:tcPr>
          <w:p w:rsidR="00C4690D" w:rsidRPr="00A725E1" w:rsidRDefault="00C4690D" w:rsidP="00C4690D">
            <w:pPr>
              <w:ind w:firstLineChars="100" w:firstLine="181"/>
              <w:jc w:val="center"/>
              <w:rPr>
                <w:rFonts w:ascii="Verdana" w:eastAsia="Times New Roman" w:hAnsi="Verdana" w:cs="Times New Roman"/>
                <w:b/>
                <w:bCs/>
                <w:color w:val="000000"/>
                <w:sz w:val="18"/>
                <w:szCs w:val="18"/>
                <w:lang w:val="en-GB" w:eastAsia="en-GB"/>
              </w:rPr>
            </w:pPr>
            <w:r>
              <w:rPr>
                <w:rFonts w:ascii="Verdana" w:eastAsia="Times New Roman" w:hAnsi="Verdana" w:cs="Times New Roman"/>
                <w:b/>
                <w:bCs/>
                <w:color w:val="000000"/>
                <w:sz w:val="18"/>
                <w:szCs w:val="18"/>
                <w:lang w:val="en-GB" w:eastAsia="en-GB"/>
              </w:rPr>
              <w:t>£m</w:t>
            </w:r>
          </w:p>
        </w:tc>
        <w:tc>
          <w:tcPr>
            <w:tcW w:w="5749" w:type="dxa"/>
            <w:tcBorders>
              <w:top w:val="nil"/>
              <w:left w:val="single" w:sz="4" w:space="0" w:color="auto"/>
              <w:bottom w:val="single" w:sz="4" w:space="0" w:color="auto"/>
              <w:right w:val="nil"/>
            </w:tcBorders>
            <w:shd w:val="clear" w:color="000000" w:fill="FFFFFF"/>
            <w:noWrap/>
            <w:vAlign w:val="bottom"/>
            <w:hideMark/>
          </w:tcPr>
          <w:p w:rsidR="00C4690D" w:rsidRPr="00A725E1" w:rsidRDefault="00C4690D" w:rsidP="00C4690D">
            <w:pPr>
              <w:ind w:firstLineChars="100" w:firstLine="181"/>
              <w:rPr>
                <w:rFonts w:ascii="Verdana" w:eastAsia="Times New Roman" w:hAnsi="Verdana" w:cs="Times New Roman"/>
                <w:b/>
                <w:bCs/>
                <w:color w:val="000000"/>
                <w:sz w:val="18"/>
                <w:szCs w:val="18"/>
                <w:lang w:val="en-GB" w:eastAsia="en-GB"/>
              </w:rPr>
            </w:pPr>
            <w:r w:rsidRPr="00A725E1">
              <w:rPr>
                <w:rFonts w:ascii="Verdana" w:eastAsia="Times New Roman" w:hAnsi="Verdana" w:cs="Times New Roman"/>
                <w:b/>
                <w:bCs/>
                <w:color w:val="000000"/>
                <w:sz w:val="18"/>
                <w:szCs w:val="18"/>
                <w:lang w:val="en-GB" w:eastAsia="en-GB"/>
              </w:rPr>
              <w:t> </w:t>
            </w:r>
          </w:p>
        </w:tc>
        <w:tc>
          <w:tcPr>
            <w:tcW w:w="1621" w:type="dxa"/>
            <w:tcBorders>
              <w:top w:val="nil"/>
              <w:left w:val="single" w:sz="4" w:space="0" w:color="auto"/>
              <w:bottom w:val="single" w:sz="4" w:space="0" w:color="auto"/>
              <w:right w:val="single" w:sz="4" w:space="0" w:color="auto"/>
            </w:tcBorders>
            <w:shd w:val="clear" w:color="000000" w:fill="FFFFFF"/>
          </w:tcPr>
          <w:p w:rsidR="00C4690D" w:rsidRPr="00A725E1" w:rsidRDefault="00C4690D" w:rsidP="00C4690D">
            <w:pPr>
              <w:ind w:firstLineChars="100" w:firstLine="181"/>
              <w:jc w:val="center"/>
              <w:rPr>
                <w:rFonts w:ascii="Verdana" w:eastAsia="Times New Roman" w:hAnsi="Verdana" w:cs="Times New Roman"/>
                <w:b/>
                <w:bCs/>
                <w:color w:val="000000"/>
                <w:sz w:val="18"/>
                <w:szCs w:val="18"/>
                <w:lang w:val="en-GB" w:eastAsia="en-GB"/>
              </w:rPr>
            </w:pPr>
            <w:r>
              <w:rPr>
                <w:rFonts w:ascii="Verdana" w:eastAsia="Times New Roman" w:hAnsi="Verdana" w:cs="Times New Roman"/>
                <w:b/>
                <w:bCs/>
                <w:color w:val="000000"/>
                <w:sz w:val="18"/>
                <w:szCs w:val="18"/>
                <w:lang w:val="en-GB" w:eastAsia="en-GB"/>
              </w:rPr>
              <w:t>£m</w:t>
            </w:r>
          </w:p>
        </w:tc>
      </w:tr>
      <w:tr w:rsidR="00C4690D" w:rsidRPr="00F87184" w:rsidTr="00EA146B">
        <w:trPr>
          <w:trHeight w:val="247"/>
        </w:trPr>
        <w:tc>
          <w:tcPr>
            <w:tcW w:w="1622" w:type="dxa"/>
            <w:tcBorders>
              <w:top w:val="nil"/>
              <w:left w:val="single" w:sz="4" w:space="0" w:color="auto"/>
              <w:bottom w:val="nil"/>
              <w:right w:val="nil"/>
            </w:tcBorders>
            <w:shd w:val="clear" w:color="000000" w:fill="FFFFFF"/>
          </w:tcPr>
          <w:p w:rsidR="00C4690D" w:rsidRPr="00A725E1" w:rsidRDefault="00C4690D" w:rsidP="00C4690D">
            <w:pPr>
              <w:ind w:firstLineChars="100" w:firstLine="181"/>
              <w:jc w:val="right"/>
              <w:rPr>
                <w:rFonts w:ascii="Verdana" w:eastAsia="Times New Roman" w:hAnsi="Verdana" w:cs="Times New Roman"/>
                <w:b/>
                <w:bCs/>
                <w:color w:val="000000"/>
                <w:sz w:val="18"/>
                <w:szCs w:val="18"/>
                <w:lang w:val="en-GB" w:eastAsia="en-GB"/>
              </w:rPr>
            </w:pPr>
            <w:r>
              <w:rPr>
                <w:rFonts w:ascii="Verdana" w:eastAsia="Times New Roman" w:hAnsi="Verdana" w:cs="Times New Roman"/>
                <w:b/>
                <w:bCs/>
                <w:color w:val="000000"/>
                <w:sz w:val="18"/>
                <w:szCs w:val="18"/>
                <w:lang w:val="en-GB" w:eastAsia="en-GB"/>
              </w:rPr>
              <w:t>245.5</w:t>
            </w:r>
          </w:p>
        </w:tc>
        <w:tc>
          <w:tcPr>
            <w:tcW w:w="5749" w:type="dxa"/>
            <w:tcBorders>
              <w:top w:val="nil"/>
              <w:left w:val="single" w:sz="4" w:space="0" w:color="auto"/>
              <w:bottom w:val="nil"/>
              <w:right w:val="nil"/>
            </w:tcBorders>
            <w:shd w:val="clear" w:color="000000" w:fill="FFFFFF"/>
            <w:noWrap/>
            <w:vAlign w:val="center"/>
            <w:hideMark/>
          </w:tcPr>
          <w:p w:rsidR="00C4690D" w:rsidRPr="00A725E1" w:rsidRDefault="00C4690D" w:rsidP="00F87184">
            <w:pPr>
              <w:ind w:firstLineChars="100" w:firstLine="181"/>
              <w:rPr>
                <w:rFonts w:ascii="Verdana" w:eastAsia="Times New Roman" w:hAnsi="Verdana" w:cs="Times New Roman"/>
                <w:b/>
                <w:bCs/>
                <w:color w:val="000000"/>
                <w:sz w:val="18"/>
                <w:szCs w:val="18"/>
                <w:lang w:val="en-GB" w:eastAsia="en-GB"/>
              </w:rPr>
            </w:pPr>
            <w:r w:rsidRPr="00A725E1">
              <w:rPr>
                <w:rFonts w:ascii="Verdana" w:eastAsia="Times New Roman" w:hAnsi="Verdana" w:cs="Times New Roman"/>
                <w:b/>
                <w:bCs/>
                <w:color w:val="000000"/>
                <w:sz w:val="18"/>
                <w:szCs w:val="18"/>
                <w:lang w:val="en-GB" w:eastAsia="en-GB"/>
              </w:rPr>
              <w:t>Cost of Services</w:t>
            </w:r>
          </w:p>
        </w:tc>
        <w:tc>
          <w:tcPr>
            <w:tcW w:w="1621" w:type="dxa"/>
            <w:tcBorders>
              <w:top w:val="nil"/>
              <w:left w:val="single" w:sz="4" w:space="0" w:color="auto"/>
              <w:bottom w:val="nil"/>
              <w:right w:val="single" w:sz="4" w:space="0" w:color="auto"/>
            </w:tcBorders>
            <w:shd w:val="clear" w:color="000000" w:fill="FFFFFF"/>
          </w:tcPr>
          <w:p w:rsidR="00C4690D" w:rsidRPr="00C4690D" w:rsidRDefault="00C4690D">
            <w:pPr>
              <w:ind w:firstLineChars="100" w:firstLine="181"/>
              <w:jc w:val="right"/>
              <w:rPr>
                <w:rFonts w:ascii="Verdana" w:eastAsia="Times New Roman" w:hAnsi="Verdana" w:cs="Times New Roman"/>
                <w:b/>
                <w:color w:val="000000"/>
                <w:sz w:val="18"/>
                <w:szCs w:val="18"/>
                <w:lang w:val="en-GB" w:eastAsia="en-GB"/>
              </w:rPr>
            </w:pPr>
            <w:r w:rsidRPr="00C4690D">
              <w:rPr>
                <w:rFonts w:ascii="Verdana" w:eastAsia="Times New Roman" w:hAnsi="Verdana" w:cs="Times New Roman"/>
                <w:b/>
                <w:color w:val="000000"/>
                <w:sz w:val="18"/>
                <w:szCs w:val="18"/>
                <w:lang w:val="en-GB" w:eastAsia="en-GB"/>
              </w:rPr>
              <w:t>2</w:t>
            </w:r>
            <w:r w:rsidR="00745D0C">
              <w:rPr>
                <w:rFonts w:ascii="Verdana" w:eastAsia="Times New Roman" w:hAnsi="Verdana" w:cs="Times New Roman"/>
                <w:b/>
                <w:color w:val="000000"/>
                <w:sz w:val="18"/>
                <w:szCs w:val="18"/>
                <w:lang w:val="en-GB" w:eastAsia="en-GB"/>
              </w:rPr>
              <w:t>60</w:t>
            </w:r>
            <w:r w:rsidRPr="00C4690D">
              <w:rPr>
                <w:rFonts w:ascii="Verdana" w:eastAsia="Times New Roman" w:hAnsi="Verdana" w:cs="Times New Roman"/>
                <w:b/>
                <w:color w:val="000000"/>
                <w:sz w:val="18"/>
                <w:szCs w:val="18"/>
                <w:lang w:val="en-GB" w:eastAsia="en-GB"/>
              </w:rPr>
              <w:t>.</w:t>
            </w:r>
            <w:r w:rsidR="00745D0C">
              <w:rPr>
                <w:rFonts w:ascii="Verdana" w:eastAsia="Times New Roman" w:hAnsi="Verdana" w:cs="Times New Roman"/>
                <w:b/>
                <w:color w:val="000000"/>
                <w:sz w:val="18"/>
                <w:szCs w:val="18"/>
                <w:lang w:val="en-GB" w:eastAsia="en-GB"/>
              </w:rPr>
              <w:t>8</w:t>
            </w:r>
          </w:p>
        </w:tc>
      </w:tr>
      <w:tr w:rsidR="00C4690D" w:rsidRPr="00F87184" w:rsidTr="00EA146B">
        <w:trPr>
          <w:trHeight w:val="247"/>
        </w:trPr>
        <w:tc>
          <w:tcPr>
            <w:tcW w:w="1622" w:type="dxa"/>
            <w:tcBorders>
              <w:top w:val="nil"/>
              <w:left w:val="single" w:sz="4" w:space="0" w:color="auto"/>
              <w:bottom w:val="nil"/>
              <w:right w:val="nil"/>
            </w:tcBorders>
            <w:shd w:val="clear" w:color="000000" w:fill="FFFFFF"/>
          </w:tcPr>
          <w:p w:rsidR="00C4690D" w:rsidRPr="00A725E1" w:rsidRDefault="00C4690D" w:rsidP="00C4690D">
            <w:pPr>
              <w:ind w:firstLineChars="100" w:firstLine="181"/>
              <w:jc w:val="right"/>
              <w:rPr>
                <w:rFonts w:ascii="Verdana" w:eastAsia="Times New Roman" w:hAnsi="Verdana" w:cs="Times New Roman"/>
                <w:b/>
                <w:bCs/>
                <w:color w:val="000000"/>
                <w:sz w:val="18"/>
                <w:szCs w:val="18"/>
                <w:lang w:val="en-GB" w:eastAsia="en-GB"/>
              </w:rPr>
            </w:pPr>
          </w:p>
        </w:tc>
        <w:tc>
          <w:tcPr>
            <w:tcW w:w="5749" w:type="dxa"/>
            <w:tcBorders>
              <w:top w:val="nil"/>
              <w:left w:val="single" w:sz="4" w:space="0" w:color="auto"/>
              <w:bottom w:val="nil"/>
              <w:right w:val="nil"/>
            </w:tcBorders>
            <w:shd w:val="clear" w:color="000000" w:fill="FFFFFF"/>
            <w:noWrap/>
            <w:vAlign w:val="center"/>
            <w:hideMark/>
          </w:tcPr>
          <w:p w:rsidR="00C4690D" w:rsidRPr="00A725E1" w:rsidRDefault="00C4690D" w:rsidP="00F87184">
            <w:pPr>
              <w:ind w:firstLineChars="100" w:firstLine="181"/>
              <w:rPr>
                <w:rFonts w:ascii="Verdana" w:eastAsia="Times New Roman" w:hAnsi="Verdana" w:cs="Times New Roman"/>
                <w:b/>
                <w:bCs/>
                <w:color w:val="000000"/>
                <w:sz w:val="18"/>
                <w:szCs w:val="18"/>
                <w:lang w:val="en-GB" w:eastAsia="en-GB"/>
              </w:rPr>
            </w:pPr>
            <w:r w:rsidRPr="00A725E1">
              <w:rPr>
                <w:rFonts w:ascii="Verdana" w:eastAsia="Times New Roman" w:hAnsi="Verdana" w:cs="Times New Roman"/>
                <w:b/>
                <w:bCs/>
                <w:color w:val="000000"/>
                <w:sz w:val="18"/>
                <w:szCs w:val="18"/>
                <w:lang w:val="en-GB" w:eastAsia="en-GB"/>
              </w:rPr>
              <w:t>Other Operating Expenditure</w:t>
            </w:r>
          </w:p>
        </w:tc>
        <w:tc>
          <w:tcPr>
            <w:tcW w:w="1621" w:type="dxa"/>
            <w:tcBorders>
              <w:top w:val="nil"/>
              <w:left w:val="single" w:sz="4" w:space="0" w:color="auto"/>
              <w:bottom w:val="nil"/>
              <w:right w:val="single" w:sz="4" w:space="0" w:color="auto"/>
            </w:tcBorders>
            <w:shd w:val="clear" w:color="000000" w:fill="FFFFFF"/>
          </w:tcPr>
          <w:p w:rsidR="00C4690D" w:rsidRPr="00A725E1" w:rsidRDefault="00C4690D" w:rsidP="00F87184">
            <w:pPr>
              <w:ind w:firstLineChars="100" w:firstLine="180"/>
              <w:jc w:val="right"/>
              <w:rPr>
                <w:rFonts w:ascii="Verdana" w:eastAsia="Times New Roman" w:hAnsi="Verdana" w:cs="Times New Roman"/>
                <w:color w:val="000000"/>
                <w:sz w:val="18"/>
                <w:szCs w:val="18"/>
                <w:lang w:val="en-GB" w:eastAsia="en-GB"/>
              </w:rPr>
            </w:pPr>
          </w:p>
        </w:tc>
      </w:tr>
      <w:tr w:rsidR="00C4690D" w:rsidRPr="00F87184" w:rsidTr="00EA146B">
        <w:trPr>
          <w:trHeight w:val="247"/>
        </w:trPr>
        <w:tc>
          <w:tcPr>
            <w:tcW w:w="1622" w:type="dxa"/>
            <w:tcBorders>
              <w:top w:val="nil"/>
              <w:left w:val="single" w:sz="4" w:space="0" w:color="auto"/>
              <w:bottom w:val="nil"/>
              <w:right w:val="nil"/>
            </w:tcBorders>
            <w:shd w:val="clear" w:color="000000" w:fill="FFFFFF"/>
          </w:tcPr>
          <w:p w:rsidR="00C4690D" w:rsidRPr="00A725E1" w:rsidRDefault="00C4690D" w:rsidP="00C4690D">
            <w:pPr>
              <w:ind w:firstLineChars="100" w:firstLine="180"/>
              <w:jc w:val="right"/>
              <w:rPr>
                <w:rFonts w:ascii="Verdana" w:eastAsia="Times New Roman" w:hAnsi="Verdana" w:cs="Times New Roman"/>
                <w:color w:val="000000"/>
                <w:sz w:val="18"/>
                <w:szCs w:val="18"/>
                <w:lang w:val="en-GB" w:eastAsia="en-GB"/>
              </w:rPr>
            </w:pPr>
            <w:r>
              <w:rPr>
                <w:rFonts w:ascii="Verdana" w:eastAsia="Times New Roman" w:hAnsi="Verdana" w:cs="Times New Roman"/>
                <w:color w:val="000000"/>
                <w:sz w:val="18"/>
                <w:szCs w:val="18"/>
                <w:lang w:val="en-GB" w:eastAsia="en-GB"/>
              </w:rPr>
              <w:t>0.5</w:t>
            </w:r>
          </w:p>
        </w:tc>
        <w:tc>
          <w:tcPr>
            <w:tcW w:w="5749" w:type="dxa"/>
            <w:tcBorders>
              <w:top w:val="nil"/>
              <w:left w:val="single" w:sz="4" w:space="0" w:color="auto"/>
              <w:bottom w:val="nil"/>
              <w:right w:val="nil"/>
            </w:tcBorders>
            <w:shd w:val="clear" w:color="000000" w:fill="FFFFFF"/>
            <w:noWrap/>
            <w:vAlign w:val="center"/>
            <w:hideMark/>
          </w:tcPr>
          <w:p w:rsidR="00C4690D" w:rsidRPr="00A725E1" w:rsidRDefault="00C4690D" w:rsidP="00F87184">
            <w:pPr>
              <w:ind w:firstLineChars="100" w:firstLine="180"/>
              <w:rPr>
                <w:rFonts w:ascii="Verdana" w:eastAsia="Times New Roman" w:hAnsi="Verdana" w:cs="Times New Roman"/>
                <w:color w:val="000000"/>
                <w:sz w:val="18"/>
                <w:szCs w:val="18"/>
                <w:lang w:val="en-GB" w:eastAsia="en-GB"/>
              </w:rPr>
            </w:pPr>
            <w:r w:rsidRPr="00A725E1">
              <w:rPr>
                <w:rFonts w:ascii="Verdana" w:eastAsia="Times New Roman" w:hAnsi="Verdana" w:cs="Times New Roman"/>
                <w:color w:val="000000"/>
                <w:sz w:val="18"/>
                <w:szCs w:val="18"/>
                <w:lang w:val="en-GB" w:eastAsia="en-GB"/>
              </w:rPr>
              <w:t>Levies</w:t>
            </w:r>
          </w:p>
        </w:tc>
        <w:tc>
          <w:tcPr>
            <w:tcW w:w="1621" w:type="dxa"/>
            <w:tcBorders>
              <w:top w:val="nil"/>
              <w:left w:val="single" w:sz="4" w:space="0" w:color="auto"/>
              <w:bottom w:val="nil"/>
              <w:right w:val="single" w:sz="4" w:space="0" w:color="auto"/>
            </w:tcBorders>
            <w:shd w:val="clear" w:color="000000" w:fill="FFFFFF"/>
          </w:tcPr>
          <w:p w:rsidR="00C4690D" w:rsidRPr="00A725E1" w:rsidRDefault="00C4690D" w:rsidP="00F87184">
            <w:pPr>
              <w:ind w:firstLineChars="100" w:firstLine="180"/>
              <w:jc w:val="right"/>
              <w:rPr>
                <w:rFonts w:ascii="Verdana" w:eastAsia="Times New Roman" w:hAnsi="Verdana" w:cs="Times New Roman"/>
                <w:color w:val="000000"/>
                <w:sz w:val="18"/>
                <w:szCs w:val="18"/>
                <w:lang w:val="en-GB" w:eastAsia="en-GB"/>
              </w:rPr>
            </w:pPr>
            <w:r>
              <w:rPr>
                <w:rFonts w:ascii="Verdana" w:eastAsia="Times New Roman" w:hAnsi="Verdana" w:cs="Times New Roman"/>
                <w:color w:val="000000"/>
                <w:sz w:val="18"/>
                <w:szCs w:val="18"/>
                <w:lang w:val="en-GB" w:eastAsia="en-GB"/>
              </w:rPr>
              <w:t>0.5</w:t>
            </w:r>
          </w:p>
        </w:tc>
      </w:tr>
      <w:tr w:rsidR="00C4690D" w:rsidRPr="00F87184" w:rsidTr="00EA146B">
        <w:trPr>
          <w:trHeight w:val="247"/>
        </w:trPr>
        <w:tc>
          <w:tcPr>
            <w:tcW w:w="1622" w:type="dxa"/>
            <w:tcBorders>
              <w:top w:val="nil"/>
              <w:left w:val="single" w:sz="4" w:space="0" w:color="auto"/>
              <w:bottom w:val="nil"/>
              <w:right w:val="nil"/>
            </w:tcBorders>
            <w:shd w:val="clear" w:color="000000" w:fill="FFFFFF"/>
          </w:tcPr>
          <w:p w:rsidR="00C4690D" w:rsidRPr="00A725E1" w:rsidRDefault="00C4690D" w:rsidP="00C4690D">
            <w:pPr>
              <w:ind w:firstLineChars="100" w:firstLine="180"/>
              <w:jc w:val="right"/>
              <w:rPr>
                <w:rFonts w:ascii="Verdana" w:eastAsia="Times New Roman" w:hAnsi="Verdana" w:cs="Times New Roman"/>
                <w:color w:val="000000"/>
                <w:sz w:val="18"/>
                <w:szCs w:val="18"/>
                <w:lang w:val="en-GB" w:eastAsia="en-GB"/>
              </w:rPr>
            </w:pPr>
            <w:r>
              <w:rPr>
                <w:rFonts w:ascii="Verdana" w:eastAsia="Times New Roman" w:hAnsi="Verdana" w:cs="Times New Roman"/>
                <w:color w:val="000000"/>
                <w:sz w:val="18"/>
                <w:szCs w:val="18"/>
                <w:lang w:val="en-GB" w:eastAsia="en-GB"/>
              </w:rPr>
              <w:t>(154.0)</w:t>
            </w:r>
          </w:p>
        </w:tc>
        <w:tc>
          <w:tcPr>
            <w:tcW w:w="5749" w:type="dxa"/>
            <w:tcBorders>
              <w:top w:val="nil"/>
              <w:left w:val="single" w:sz="4" w:space="0" w:color="auto"/>
              <w:bottom w:val="nil"/>
              <w:right w:val="nil"/>
            </w:tcBorders>
            <w:shd w:val="clear" w:color="000000" w:fill="FFFFFF"/>
            <w:noWrap/>
            <w:vAlign w:val="center"/>
            <w:hideMark/>
          </w:tcPr>
          <w:p w:rsidR="00C4690D" w:rsidRPr="00A725E1" w:rsidRDefault="00C4690D" w:rsidP="00F87184">
            <w:pPr>
              <w:ind w:firstLineChars="100" w:firstLine="180"/>
              <w:rPr>
                <w:rFonts w:ascii="Verdana" w:eastAsia="Times New Roman" w:hAnsi="Verdana" w:cs="Times New Roman"/>
                <w:color w:val="000000"/>
                <w:sz w:val="18"/>
                <w:szCs w:val="18"/>
                <w:lang w:val="en-GB" w:eastAsia="en-GB"/>
              </w:rPr>
            </w:pPr>
            <w:r w:rsidRPr="00A725E1">
              <w:rPr>
                <w:rFonts w:ascii="Verdana" w:eastAsia="Times New Roman" w:hAnsi="Verdana" w:cs="Times New Roman"/>
                <w:color w:val="000000"/>
                <w:sz w:val="18"/>
                <w:szCs w:val="18"/>
                <w:lang w:val="en-GB" w:eastAsia="en-GB"/>
              </w:rPr>
              <w:t>Intra-Group Funding</w:t>
            </w:r>
          </w:p>
        </w:tc>
        <w:tc>
          <w:tcPr>
            <w:tcW w:w="1621" w:type="dxa"/>
            <w:tcBorders>
              <w:top w:val="nil"/>
              <w:left w:val="single" w:sz="4" w:space="0" w:color="auto"/>
              <w:bottom w:val="nil"/>
              <w:right w:val="single" w:sz="4" w:space="0" w:color="auto"/>
            </w:tcBorders>
            <w:shd w:val="clear" w:color="000000" w:fill="FFFFFF"/>
          </w:tcPr>
          <w:p w:rsidR="00C4690D" w:rsidRPr="00A725E1" w:rsidRDefault="00C4690D" w:rsidP="00F87184">
            <w:pPr>
              <w:ind w:firstLineChars="100" w:firstLine="180"/>
              <w:jc w:val="right"/>
              <w:rPr>
                <w:rFonts w:ascii="Verdana" w:eastAsia="Times New Roman" w:hAnsi="Verdana" w:cs="Times New Roman"/>
                <w:color w:val="000000"/>
                <w:sz w:val="18"/>
                <w:szCs w:val="18"/>
                <w:lang w:val="en-GB" w:eastAsia="en-GB"/>
              </w:rPr>
            </w:pPr>
            <w:r>
              <w:rPr>
                <w:rFonts w:ascii="Verdana" w:eastAsia="Times New Roman" w:hAnsi="Verdana" w:cs="Times New Roman"/>
                <w:color w:val="000000"/>
                <w:sz w:val="18"/>
                <w:szCs w:val="18"/>
                <w:lang w:val="en-GB" w:eastAsia="en-GB"/>
              </w:rPr>
              <w:t>(251.3)</w:t>
            </w:r>
          </w:p>
        </w:tc>
      </w:tr>
      <w:tr w:rsidR="00C4690D" w:rsidRPr="00F87184" w:rsidTr="00EA146B">
        <w:trPr>
          <w:trHeight w:val="247"/>
        </w:trPr>
        <w:tc>
          <w:tcPr>
            <w:tcW w:w="1622" w:type="dxa"/>
            <w:tcBorders>
              <w:top w:val="nil"/>
              <w:left w:val="single" w:sz="4" w:space="0" w:color="auto"/>
              <w:bottom w:val="nil"/>
              <w:right w:val="nil"/>
            </w:tcBorders>
            <w:shd w:val="clear" w:color="000000" w:fill="FFFFFF"/>
          </w:tcPr>
          <w:p w:rsidR="00C4690D" w:rsidRPr="00A725E1" w:rsidRDefault="00C4690D" w:rsidP="00C4690D">
            <w:pPr>
              <w:ind w:firstLineChars="100" w:firstLine="181"/>
              <w:jc w:val="right"/>
              <w:rPr>
                <w:rFonts w:ascii="Verdana" w:eastAsia="Times New Roman" w:hAnsi="Verdana" w:cs="Times New Roman"/>
                <w:b/>
                <w:bCs/>
                <w:color w:val="000000"/>
                <w:sz w:val="18"/>
                <w:szCs w:val="18"/>
                <w:lang w:val="en-GB" w:eastAsia="en-GB"/>
              </w:rPr>
            </w:pPr>
          </w:p>
        </w:tc>
        <w:tc>
          <w:tcPr>
            <w:tcW w:w="5749" w:type="dxa"/>
            <w:tcBorders>
              <w:top w:val="nil"/>
              <w:left w:val="single" w:sz="4" w:space="0" w:color="auto"/>
              <w:bottom w:val="nil"/>
              <w:right w:val="nil"/>
            </w:tcBorders>
            <w:shd w:val="clear" w:color="000000" w:fill="FFFFFF"/>
            <w:noWrap/>
            <w:vAlign w:val="center"/>
            <w:hideMark/>
          </w:tcPr>
          <w:p w:rsidR="00C4690D" w:rsidRPr="00A725E1" w:rsidRDefault="00C4690D" w:rsidP="00F87184">
            <w:pPr>
              <w:ind w:firstLineChars="100" w:firstLine="181"/>
              <w:rPr>
                <w:rFonts w:ascii="Verdana" w:eastAsia="Times New Roman" w:hAnsi="Verdana" w:cs="Times New Roman"/>
                <w:b/>
                <w:bCs/>
                <w:color w:val="000000"/>
                <w:sz w:val="18"/>
                <w:szCs w:val="18"/>
                <w:lang w:val="en-GB" w:eastAsia="en-GB"/>
              </w:rPr>
            </w:pPr>
            <w:r w:rsidRPr="00A725E1">
              <w:rPr>
                <w:rFonts w:ascii="Verdana" w:eastAsia="Times New Roman" w:hAnsi="Verdana" w:cs="Times New Roman"/>
                <w:b/>
                <w:bCs/>
                <w:color w:val="000000"/>
                <w:sz w:val="18"/>
                <w:szCs w:val="18"/>
                <w:lang w:val="en-GB" w:eastAsia="en-GB"/>
              </w:rPr>
              <w:t>Financing and Investment Income &amp; Expenditure</w:t>
            </w:r>
          </w:p>
        </w:tc>
        <w:tc>
          <w:tcPr>
            <w:tcW w:w="1621" w:type="dxa"/>
            <w:tcBorders>
              <w:top w:val="nil"/>
              <w:left w:val="single" w:sz="4" w:space="0" w:color="auto"/>
              <w:bottom w:val="nil"/>
              <w:right w:val="single" w:sz="4" w:space="0" w:color="auto"/>
            </w:tcBorders>
            <w:shd w:val="clear" w:color="000000" w:fill="FFFFFF"/>
          </w:tcPr>
          <w:p w:rsidR="00C4690D" w:rsidRPr="00A725E1" w:rsidRDefault="00C4690D" w:rsidP="00F87184">
            <w:pPr>
              <w:ind w:firstLineChars="100" w:firstLine="180"/>
              <w:jc w:val="right"/>
              <w:rPr>
                <w:rFonts w:ascii="Verdana" w:eastAsia="Times New Roman" w:hAnsi="Verdana" w:cs="Times New Roman"/>
                <w:color w:val="000000"/>
                <w:sz w:val="18"/>
                <w:szCs w:val="18"/>
                <w:lang w:val="en-GB" w:eastAsia="en-GB"/>
              </w:rPr>
            </w:pPr>
          </w:p>
        </w:tc>
      </w:tr>
      <w:tr w:rsidR="00C4690D" w:rsidRPr="00F87184" w:rsidTr="00EA146B">
        <w:trPr>
          <w:trHeight w:val="247"/>
        </w:trPr>
        <w:tc>
          <w:tcPr>
            <w:tcW w:w="1622" w:type="dxa"/>
            <w:tcBorders>
              <w:top w:val="nil"/>
              <w:left w:val="single" w:sz="4" w:space="0" w:color="auto"/>
              <w:bottom w:val="nil"/>
              <w:right w:val="nil"/>
            </w:tcBorders>
            <w:shd w:val="clear" w:color="000000" w:fill="FFFFFF"/>
          </w:tcPr>
          <w:p w:rsidR="00C4690D" w:rsidRPr="00A725E1" w:rsidRDefault="00C4690D" w:rsidP="00C4690D">
            <w:pPr>
              <w:ind w:firstLineChars="100" w:firstLine="180"/>
              <w:jc w:val="right"/>
              <w:rPr>
                <w:rFonts w:ascii="Verdana" w:eastAsia="Times New Roman" w:hAnsi="Verdana" w:cs="Times New Roman"/>
                <w:color w:val="000000"/>
                <w:sz w:val="18"/>
                <w:szCs w:val="18"/>
                <w:lang w:val="en-GB" w:eastAsia="en-GB"/>
              </w:rPr>
            </w:pPr>
            <w:r>
              <w:rPr>
                <w:rFonts w:ascii="Verdana" w:eastAsia="Times New Roman" w:hAnsi="Verdana" w:cs="Times New Roman"/>
                <w:color w:val="000000"/>
                <w:sz w:val="18"/>
                <w:szCs w:val="18"/>
                <w:lang w:val="en-GB" w:eastAsia="en-GB"/>
              </w:rPr>
              <w:t>49.4</w:t>
            </w:r>
          </w:p>
        </w:tc>
        <w:tc>
          <w:tcPr>
            <w:tcW w:w="5749" w:type="dxa"/>
            <w:tcBorders>
              <w:top w:val="nil"/>
              <w:left w:val="single" w:sz="4" w:space="0" w:color="auto"/>
              <w:bottom w:val="nil"/>
              <w:right w:val="nil"/>
            </w:tcBorders>
            <w:shd w:val="clear" w:color="000000" w:fill="FFFFFF"/>
            <w:noWrap/>
            <w:vAlign w:val="center"/>
            <w:hideMark/>
          </w:tcPr>
          <w:p w:rsidR="00C4690D" w:rsidRPr="00A725E1" w:rsidRDefault="00C4690D" w:rsidP="00F87184">
            <w:pPr>
              <w:ind w:firstLineChars="100" w:firstLine="180"/>
              <w:rPr>
                <w:rFonts w:ascii="Verdana" w:eastAsia="Times New Roman" w:hAnsi="Verdana" w:cs="Times New Roman"/>
                <w:color w:val="000000"/>
                <w:sz w:val="18"/>
                <w:szCs w:val="18"/>
                <w:lang w:val="en-GB" w:eastAsia="en-GB"/>
              </w:rPr>
            </w:pPr>
            <w:r w:rsidRPr="00A725E1">
              <w:rPr>
                <w:rFonts w:ascii="Verdana" w:eastAsia="Times New Roman" w:hAnsi="Verdana" w:cs="Times New Roman"/>
                <w:color w:val="000000"/>
                <w:sz w:val="18"/>
                <w:szCs w:val="18"/>
                <w:lang w:val="en-GB" w:eastAsia="en-GB"/>
              </w:rPr>
              <w:t>Pension Interest Cost</w:t>
            </w:r>
          </w:p>
        </w:tc>
        <w:tc>
          <w:tcPr>
            <w:tcW w:w="1621" w:type="dxa"/>
            <w:tcBorders>
              <w:top w:val="nil"/>
              <w:left w:val="single" w:sz="4" w:space="0" w:color="auto"/>
              <w:bottom w:val="nil"/>
              <w:right w:val="single" w:sz="4" w:space="0" w:color="auto"/>
            </w:tcBorders>
            <w:shd w:val="clear" w:color="000000" w:fill="FFFFFF"/>
          </w:tcPr>
          <w:p w:rsidR="00C4690D" w:rsidRPr="00A725E1" w:rsidRDefault="00C4690D" w:rsidP="00F87184">
            <w:pPr>
              <w:ind w:firstLineChars="100" w:firstLine="180"/>
              <w:jc w:val="right"/>
              <w:rPr>
                <w:rFonts w:ascii="Verdana" w:eastAsia="Times New Roman" w:hAnsi="Verdana" w:cs="Times New Roman"/>
                <w:color w:val="000000"/>
                <w:sz w:val="18"/>
                <w:szCs w:val="18"/>
                <w:lang w:val="en-GB" w:eastAsia="en-GB"/>
              </w:rPr>
            </w:pPr>
            <w:r>
              <w:rPr>
                <w:rFonts w:ascii="Verdana" w:eastAsia="Times New Roman" w:hAnsi="Verdana" w:cs="Times New Roman"/>
                <w:color w:val="000000"/>
                <w:sz w:val="18"/>
                <w:szCs w:val="18"/>
                <w:lang w:val="en-GB" w:eastAsia="en-GB"/>
              </w:rPr>
              <w:t>53.</w:t>
            </w:r>
            <w:r w:rsidR="00745D0C">
              <w:rPr>
                <w:rFonts w:ascii="Verdana" w:eastAsia="Times New Roman" w:hAnsi="Verdana" w:cs="Times New Roman"/>
                <w:color w:val="000000"/>
                <w:sz w:val="18"/>
                <w:szCs w:val="18"/>
                <w:lang w:val="en-GB" w:eastAsia="en-GB"/>
              </w:rPr>
              <w:t>1</w:t>
            </w:r>
          </w:p>
        </w:tc>
      </w:tr>
      <w:tr w:rsidR="00C4690D" w:rsidRPr="00F87184" w:rsidTr="00EA146B">
        <w:trPr>
          <w:trHeight w:val="247"/>
        </w:trPr>
        <w:tc>
          <w:tcPr>
            <w:tcW w:w="1622" w:type="dxa"/>
            <w:tcBorders>
              <w:top w:val="nil"/>
              <w:left w:val="single" w:sz="4" w:space="0" w:color="auto"/>
              <w:bottom w:val="nil"/>
              <w:right w:val="nil"/>
            </w:tcBorders>
            <w:shd w:val="clear" w:color="000000" w:fill="FFFFFF"/>
          </w:tcPr>
          <w:p w:rsidR="00C4690D" w:rsidRPr="00A725E1" w:rsidRDefault="00C4690D" w:rsidP="00C4690D">
            <w:pPr>
              <w:ind w:firstLineChars="100" w:firstLine="181"/>
              <w:jc w:val="right"/>
              <w:rPr>
                <w:rFonts w:ascii="Verdana" w:eastAsia="Times New Roman" w:hAnsi="Verdana" w:cs="Times New Roman"/>
                <w:b/>
                <w:bCs/>
                <w:color w:val="000000"/>
                <w:sz w:val="18"/>
                <w:szCs w:val="18"/>
                <w:lang w:val="en-GB" w:eastAsia="en-GB"/>
              </w:rPr>
            </w:pPr>
          </w:p>
        </w:tc>
        <w:tc>
          <w:tcPr>
            <w:tcW w:w="5749" w:type="dxa"/>
            <w:tcBorders>
              <w:top w:val="nil"/>
              <w:left w:val="single" w:sz="4" w:space="0" w:color="auto"/>
              <w:bottom w:val="nil"/>
              <w:right w:val="nil"/>
            </w:tcBorders>
            <w:shd w:val="clear" w:color="000000" w:fill="FFFFFF"/>
            <w:noWrap/>
            <w:vAlign w:val="center"/>
            <w:hideMark/>
          </w:tcPr>
          <w:p w:rsidR="00C4690D" w:rsidRPr="00A725E1" w:rsidRDefault="00C4690D" w:rsidP="00F87184">
            <w:pPr>
              <w:ind w:firstLineChars="100" w:firstLine="181"/>
              <w:rPr>
                <w:rFonts w:ascii="Verdana" w:eastAsia="Times New Roman" w:hAnsi="Verdana" w:cs="Times New Roman"/>
                <w:b/>
                <w:bCs/>
                <w:color w:val="000000"/>
                <w:sz w:val="18"/>
                <w:szCs w:val="18"/>
                <w:lang w:val="en-GB" w:eastAsia="en-GB"/>
              </w:rPr>
            </w:pPr>
            <w:r w:rsidRPr="00A725E1">
              <w:rPr>
                <w:rFonts w:ascii="Verdana" w:eastAsia="Times New Roman" w:hAnsi="Verdana" w:cs="Times New Roman"/>
                <w:b/>
                <w:bCs/>
                <w:color w:val="000000"/>
                <w:sz w:val="18"/>
                <w:szCs w:val="18"/>
                <w:lang w:val="en-GB" w:eastAsia="en-GB"/>
              </w:rPr>
              <w:t>Other Comprehensive Income and Expenditure</w:t>
            </w:r>
          </w:p>
        </w:tc>
        <w:tc>
          <w:tcPr>
            <w:tcW w:w="1621" w:type="dxa"/>
            <w:tcBorders>
              <w:top w:val="nil"/>
              <w:left w:val="single" w:sz="4" w:space="0" w:color="auto"/>
              <w:bottom w:val="nil"/>
              <w:right w:val="single" w:sz="4" w:space="0" w:color="auto"/>
            </w:tcBorders>
            <w:shd w:val="clear" w:color="000000" w:fill="FFFFFF"/>
          </w:tcPr>
          <w:p w:rsidR="00C4690D" w:rsidRPr="00A725E1" w:rsidRDefault="00C4690D" w:rsidP="00F87184">
            <w:pPr>
              <w:ind w:firstLineChars="100" w:firstLine="180"/>
              <w:jc w:val="right"/>
              <w:rPr>
                <w:rFonts w:ascii="Verdana" w:eastAsia="Times New Roman" w:hAnsi="Verdana" w:cs="Times New Roman"/>
                <w:color w:val="000000"/>
                <w:sz w:val="18"/>
                <w:szCs w:val="18"/>
                <w:lang w:val="en-GB" w:eastAsia="en-GB"/>
              </w:rPr>
            </w:pPr>
          </w:p>
        </w:tc>
      </w:tr>
      <w:tr w:rsidR="00C4690D" w:rsidRPr="00F87184" w:rsidTr="00EA146B">
        <w:trPr>
          <w:trHeight w:val="247"/>
        </w:trPr>
        <w:tc>
          <w:tcPr>
            <w:tcW w:w="1622" w:type="dxa"/>
            <w:tcBorders>
              <w:top w:val="nil"/>
              <w:left w:val="single" w:sz="4" w:space="0" w:color="auto"/>
              <w:bottom w:val="nil"/>
              <w:right w:val="nil"/>
            </w:tcBorders>
            <w:shd w:val="clear" w:color="000000" w:fill="FFFFFF"/>
          </w:tcPr>
          <w:p w:rsidR="00C4690D" w:rsidRPr="00A725E1" w:rsidRDefault="00C4690D" w:rsidP="00C4690D">
            <w:pPr>
              <w:ind w:firstLineChars="100" w:firstLine="180"/>
              <w:jc w:val="right"/>
              <w:rPr>
                <w:rFonts w:ascii="Verdana" w:eastAsia="Times New Roman" w:hAnsi="Verdana" w:cs="Times New Roman"/>
                <w:color w:val="000000"/>
                <w:sz w:val="18"/>
                <w:szCs w:val="18"/>
                <w:lang w:val="en-GB" w:eastAsia="en-GB"/>
              </w:rPr>
            </w:pPr>
            <w:r>
              <w:rPr>
                <w:rFonts w:ascii="Verdana" w:eastAsia="Times New Roman" w:hAnsi="Verdana" w:cs="Times New Roman"/>
                <w:color w:val="000000"/>
                <w:sz w:val="18"/>
                <w:szCs w:val="18"/>
                <w:lang w:val="en-GB" w:eastAsia="en-GB"/>
              </w:rPr>
              <w:t>87.6</w:t>
            </w:r>
          </w:p>
        </w:tc>
        <w:tc>
          <w:tcPr>
            <w:tcW w:w="5749" w:type="dxa"/>
            <w:tcBorders>
              <w:top w:val="nil"/>
              <w:left w:val="single" w:sz="4" w:space="0" w:color="auto"/>
              <w:bottom w:val="nil"/>
              <w:right w:val="single" w:sz="4" w:space="0" w:color="auto"/>
            </w:tcBorders>
            <w:shd w:val="clear" w:color="000000" w:fill="FFFFFF"/>
            <w:noWrap/>
            <w:vAlign w:val="center"/>
            <w:hideMark/>
          </w:tcPr>
          <w:p w:rsidR="00C4690D" w:rsidRPr="00A725E1" w:rsidRDefault="00C4690D" w:rsidP="00F87184">
            <w:pPr>
              <w:ind w:firstLineChars="100" w:firstLine="180"/>
              <w:rPr>
                <w:rFonts w:ascii="Verdana" w:eastAsia="Times New Roman" w:hAnsi="Verdana" w:cs="Times New Roman"/>
                <w:color w:val="000000"/>
                <w:sz w:val="18"/>
                <w:szCs w:val="18"/>
                <w:lang w:val="en-GB" w:eastAsia="en-GB"/>
              </w:rPr>
            </w:pPr>
            <w:r w:rsidRPr="00A725E1">
              <w:rPr>
                <w:rFonts w:ascii="Verdana" w:eastAsia="Times New Roman" w:hAnsi="Verdana" w:cs="Times New Roman"/>
                <w:color w:val="000000"/>
                <w:sz w:val="18"/>
                <w:szCs w:val="18"/>
                <w:lang w:val="en-GB" w:eastAsia="en-GB"/>
              </w:rPr>
              <w:t>Re-measurement of the net defined benefit liability/asset</w:t>
            </w:r>
          </w:p>
        </w:tc>
        <w:tc>
          <w:tcPr>
            <w:tcW w:w="1621" w:type="dxa"/>
            <w:tcBorders>
              <w:top w:val="nil"/>
              <w:left w:val="single" w:sz="4" w:space="0" w:color="auto"/>
              <w:bottom w:val="single" w:sz="4" w:space="0" w:color="auto"/>
              <w:right w:val="single" w:sz="4" w:space="0" w:color="auto"/>
            </w:tcBorders>
            <w:shd w:val="clear" w:color="000000" w:fill="FFFFFF"/>
          </w:tcPr>
          <w:p w:rsidR="00C4690D" w:rsidRPr="00A725E1" w:rsidRDefault="00C4690D">
            <w:pPr>
              <w:ind w:firstLineChars="100" w:firstLine="180"/>
              <w:jc w:val="right"/>
              <w:rPr>
                <w:rFonts w:ascii="Verdana" w:eastAsia="Times New Roman" w:hAnsi="Verdana" w:cs="Times New Roman"/>
                <w:color w:val="000000"/>
                <w:sz w:val="18"/>
                <w:szCs w:val="18"/>
                <w:lang w:val="en-GB" w:eastAsia="en-GB"/>
              </w:rPr>
            </w:pPr>
            <w:r>
              <w:rPr>
                <w:rFonts w:ascii="Verdana" w:eastAsia="Times New Roman" w:hAnsi="Verdana" w:cs="Times New Roman"/>
                <w:color w:val="000000"/>
                <w:sz w:val="18"/>
                <w:szCs w:val="18"/>
                <w:lang w:val="en-GB" w:eastAsia="en-GB"/>
              </w:rPr>
              <w:t>(19</w:t>
            </w:r>
            <w:r w:rsidR="00745D0C">
              <w:rPr>
                <w:rFonts w:ascii="Verdana" w:eastAsia="Times New Roman" w:hAnsi="Verdana" w:cs="Times New Roman"/>
                <w:color w:val="000000"/>
                <w:sz w:val="18"/>
                <w:szCs w:val="18"/>
                <w:lang w:val="en-GB" w:eastAsia="en-GB"/>
              </w:rPr>
              <w:t>3.3</w:t>
            </w:r>
            <w:r>
              <w:rPr>
                <w:rFonts w:ascii="Verdana" w:eastAsia="Times New Roman" w:hAnsi="Verdana" w:cs="Times New Roman"/>
                <w:color w:val="000000"/>
                <w:sz w:val="18"/>
                <w:szCs w:val="18"/>
                <w:lang w:val="en-GB" w:eastAsia="en-GB"/>
              </w:rPr>
              <w:t>)</w:t>
            </w:r>
          </w:p>
        </w:tc>
      </w:tr>
      <w:tr w:rsidR="00C4690D" w:rsidRPr="00F87184" w:rsidTr="00EA146B">
        <w:trPr>
          <w:trHeight w:val="34"/>
        </w:trPr>
        <w:tc>
          <w:tcPr>
            <w:tcW w:w="1622" w:type="dxa"/>
            <w:tcBorders>
              <w:top w:val="single" w:sz="4" w:space="0" w:color="auto"/>
              <w:left w:val="single" w:sz="4" w:space="0" w:color="auto"/>
              <w:bottom w:val="single" w:sz="4" w:space="0" w:color="auto"/>
              <w:right w:val="single" w:sz="4" w:space="0" w:color="auto"/>
            </w:tcBorders>
            <w:shd w:val="clear" w:color="000000" w:fill="FFFFFF"/>
          </w:tcPr>
          <w:p w:rsidR="00C4690D" w:rsidRPr="00C4690D" w:rsidRDefault="00C4690D" w:rsidP="00C4690D">
            <w:pPr>
              <w:ind w:firstLineChars="100" w:firstLine="181"/>
              <w:jc w:val="right"/>
              <w:rPr>
                <w:rFonts w:ascii="Verdana" w:eastAsia="Times New Roman" w:hAnsi="Verdana" w:cs="Times New Roman"/>
                <w:b/>
                <w:color w:val="000000"/>
                <w:sz w:val="18"/>
                <w:szCs w:val="18"/>
                <w:lang w:val="en-GB" w:eastAsia="en-GB"/>
              </w:rPr>
            </w:pPr>
            <w:r w:rsidRPr="00C4690D">
              <w:rPr>
                <w:rFonts w:ascii="Verdana" w:eastAsia="Times New Roman" w:hAnsi="Verdana" w:cs="Times New Roman"/>
                <w:b/>
                <w:color w:val="000000"/>
                <w:sz w:val="18"/>
                <w:szCs w:val="18"/>
                <w:lang w:val="en-GB" w:eastAsia="en-GB"/>
              </w:rPr>
              <w:t>229.0</w:t>
            </w:r>
          </w:p>
        </w:tc>
        <w:tc>
          <w:tcPr>
            <w:tcW w:w="57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690D" w:rsidRPr="00C4690D" w:rsidRDefault="00C4690D" w:rsidP="00F87184">
            <w:pPr>
              <w:ind w:firstLineChars="100" w:firstLine="181"/>
              <w:rPr>
                <w:rFonts w:ascii="Verdana" w:eastAsia="Times New Roman" w:hAnsi="Verdana" w:cs="Times New Roman"/>
                <w:b/>
                <w:color w:val="000000"/>
                <w:sz w:val="18"/>
                <w:szCs w:val="18"/>
                <w:lang w:val="en-GB" w:eastAsia="en-GB"/>
              </w:rPr>
            </w:pPr>
            <w:r w:rsidRPr="00C4690D">
              <w:rPr>
                <w:rFonts w:ascii="Verdana" w:eastAsia="Times New Roman" w:hAnsi="Verdana" w:cs="Times New Roman"/>
                <w:b/>
                <w:color w:val="000000"/>
                <w:sz w:val="18"/>
                <w:szCs w:val="18"/>
                <w:lang w:val="en-GB" w:eastAsia="en-GB"/>
              </w:rPr>
              <w:t>Total Comprehensive Income and Expenditure</w:t>
            </w:r>
          </w:p>
        </w:tc>
        <w:tc>
          <w:tcPr>
            <w:tcW w:w="1621" w:type="dxa"/>
            <w:tcBorders>
              <w:top w:val="single" w:sz="4" w:space="0" w:color="auto"/>
              <w:left w:val="nil"/>
              <w:bottom w:val="single" w:sz="4" w:space="0" w:color="auto"/>
              <w:right w:val="single" w:sz="4" w:space="0" w:color="auto"/>
            </w:tcBorders>
            <w:shd w:val="clear" w:color="000000" w:fill="FFFFFF"/>
          </w:tcPr>
          <w:p w:rsidR="00C4690D" w:rsidRPr="00C4690D" w:rsidRDefault="00AA2A89" w:rsidP="00C4690D">
            <w:pPr>
              <w:ind w:firstLineChars="100" w:firstLine="181"/>
              <w:jc w:val="right"/>
              <w:rPr>
                <w:rFonts w:ascii="Verdana" w:eastAsia="Times New Roman" w:hAnsi="Verdana" w:cs="Times New Roman"/>
                <w:b/>
                <w:color w:val="000000"/>
                <w:sz w:val="18"/>
                <w:szCs w:val="18"/>
                <w:lang w:val="en-GB" w:eastAsia="en-GB"/>
              </w:rPr>
            </w:pPr>
            <w:r>
              <w:rPr>
                <w:rFonts w:ascii="Verdana" w:eastAsia="Times New Roman" w:hAnsi="Verdana" w:cs="Times New Roman"/>
                <w:b/>
                <w:color w:val="000000"/>
                <w:sz w:val="18"/>
                <w:szCs w:val="18"/>
                <w:lang w:val="en-GB" w:eastAsia="en-GB"/>
              </w:rPr>
              <w:t>(1</w:t>
            </w:r>
            <w:r w:rsidR="00745D0C">
              <w:rPr>
                <w:rFonts w:ascii="Verdana" w:eastAsia="Times New Roman" w:hAnsi="Verdana" w:cs="Times New Roman"/>
                <w:b/>
                <w:color w:val="000000"/>
                <w:sz w:val="18"/>
                <w:szCs w:val="18"/>
                <w:lang w:val="en-GB" w:eastAsia="en-GB"/>
              </w:rPr>
              <w:t>30.2</w:t>
            </w:r>
            <w:r w:rsidR="00C4690D">
              <w:rPr>
                <w:rFonts w:ascii="Verdana" w:eastAsia="Times New Roman" w:hAnsi="Verdana" w:cs="Times New Roman"/>
                <w:b/>
                <w:color w:val="000000"/>
                <w:sz w:val="18"/>
                <w:szCs w:val="18"/>
                <w:lang w:val="en-GB" w:eastAsia="en-GB"/>
              </w:rPr>
              <w:t>)</w:t>
            </w:r>
          </w:p>
        </w:tc>
      </w:tr>
    </w:tbl>
    <w:p w:rsidR="00F227D9" w:rsidRPr="00F52015" w:rsidRDefault="00F227D9" w:rsidP="00F227D9">
      <w:pPr>
        <w:pStyle w:val="Normal0"/>
        <w:jc w:val="both"/>
        <w:rPr>
          <w:rFonts w:ascii="Verdana" w:eastAsia="Times New Roman" w:hAnsi="Verdana" w:cs="Arial"/>
          <w:sz w:val="22"/>
          <w:szCs w:val="22"/>
          <w:lang w:val="en-GB" w:eastAsia="en-GB"/>
        </w:rPr>
      </w:pPr>
    </w:p>
    <w:p w:rsidR="00F227D9" w:rsidRPr="00F52015" w:rsidRDefault="00F227D9" w:rsidP="00F227D9">
      <w:pPr>
        <w:pStyle w:val="Normal0"/>
        <w:jc w:val="both"/>
        <w:rPr>
          <w:rFonts w:ascii="Verdana" w:eastAsia="Times New Roman" w:hAnsi="Verdana" w:cs="Arial"/>
          <w:b/>
          <w:sz w:val="22"/>
          <w:szCs w:val="22"/>
          <w:lang w:val="en-GB" w:eastAsia="en-GB"/>
        </w:rPr>
      </w:pPr>
      <w:r w:rsidRPr="00F52015">
        <w:rPr>
          <w:rFonts w:ascii="Verdana" w:eastAsia="Times New Roman" w:hAnsi="Verdana" w:cs="Arial"/>
          <w:b/>
          <w:sz w:val="22"/>
          <w:szCs w:val="22"/>
          <w:lang w:val="en-GB" w:eastAsia="en-GB"/>
        </w:rPr>
        <w:t xml:space="preserve">Capital Expenditure Budget </w:t>
      </w:r>
    </w:p>
    <w:p w:rsidR="00F227D9" w:rsidRPr="00F52015" w:rsidRDefault="00F227D9" w:rsidP="00F227D9">
      <w:pPr>
        <w:pStyle w:val="Normal0"/>
        <w:jc w:val="both"/>
        <w:rPr>
          <w:rFonts w:ascii="Verdana" w:eastAsia="Times New Roman" w:hAnsi="Verdana" w:cs="Arial"/>
          <w:b/>
          <w:sz w:val="22"/>
          <w:szCs w:val="22"/>
          <w:lang w:val="en-GB" w:eastAsia="en-GB"/>
        </w:rPr>
      </w:pPr>
    </w:p>
    <w:p w:rsidR="00F52015" w:rsidRPr="00364531" w:rsidRDefault="00F52015" w:rsidP="00F52015">
      <w:pPr>
        <w:jc w:val="both"/>
        <w:rPr>
          <w:rFonts w:ascii="Verdana" w:hAnsi="Verdana" w:cs="Arial"/>
          <w:sz w:val="22"/>
          <w:szCs w:val="22"/>
        </w:rPr>
      </w:pPr>
      <w:r w:rsidRPr="00364531">
        <w:rPr>
          <w:rFonts w:ascii="Verdana" w:hAnsi="Verdana" w:cs="Arial"/>
          <w:sz w:val="22"/>
          <w:szCs w:val="22"/>
        </w:rPr>
        <w:t>The capital and investment programme is designed to support business enablement and change projects to promote new ways of working and efficient use of resources. Current investment plans include provision for the approved estates strategy, fleet replacement programme and in-car technology development, ICT infrastructure and improvement plans further development of mobile policing and implementation of a new finance and HR system via the new Enterprise Resource Planning (ERP) system for Sussex, Surrey and Thames Valley Police.</w:t>
      </w:r>
    </w:p>
    <w:p w:rsidR="00F52015" w:rsidRPr="00364531" w:rsidRDefault="00F52015" w:rsidP="00F52015">
      <w:pPr>
        <w:jc w:val="both"/>
        <w:rPr>
          <w:rFonts w:ascii="Verdana" w:hAnsi="Verdana" w:cs="Arial"/>
          <w:sz w:val="22"/>
          <w:szCs w:val="22"/>
        </w:rPr>
      </w:pPr>
    </w:p>
    <w:p w:rsidR="00F52015" w:rsidRPr="00364531" w:rsidRDefault="00F52015" w:rsidP="00F52015">
      <w:pPr>
        <w:jc w:val="both"/>
        <w:rPr>
          <w:rFonts w:ascii="Verdana" w:hAnsi="Verdana" w:cs="Arial"/>
          <w:sz w:val="22"/>
          <w:szCs w:val="22"/>
        </w:rPr>
      </w:pPr>
      <w:r w:rsidRPr="00364531">
        <w:rPr>
          <w:rFonts w:ascii="Verdana" w:hAnsi="Verdana" w:cs="Arial"/>
          <w:sz w:val="22"/>
          <w:szCs w:val="22"/>
        </w:rPr>
        <w:t>The Chief Constable receives a budget from the PCC for day-to-day management and running of the estate on behalf of the Surrey Police Group. The Police and Crime Commissioner retain ownership of all assets and therefore all assets are included on the Balance Sheet of the PCC and Group accounts but not the accounts of the Chief Constable.</w:t>
      </w:r>
    </w:p>
    <w:p w:rsidR="00F52015" w:rsidRPr="00364531" w:rsidRDefault="00F52015" w:rsidP="00F52015">
      <w:pPr>
        <w:jc w:val="both"/>
        <w:rPr>
          <w:rFonts w:ascii="Verdana" w:hAnsi="Verdana" w:cs="Arial"/>
          <w:sz w:val="22"/>
          <w:szCs w:val="22"/>
        </w:rPr>
      </w:pPr>
    </w:p>
    <w:p w:rsidR="007C1A0A" w:rsidRPr="007C1A0A" w:rsidRDefault="007C1A0A" w:rsidP="007C1A0A">
      <w:pPr>
        <w:jc w:val="both"/>
        <w:rPr>
          <w:rFonts w:ascii="Verdana" w:hAnsi="Verdana"/>
          <w:sz w:val="22"/>
          <w:szCs w:val="22"/>
        </w:rPr>
      </w:pPr>
      <w:r w:rsidRPr="007C1A0A">
        <w:rPr>
          <w:rFonts w:ascii="Verdana" w:hAnsi="Verdana"/>
          <w:sz w:val="22"/>
          <w:szCs w:val="22"/>
        </w:rPr>
        <w:t>The capital budget for 2019/20 was first approved by the PCC in February 2019 at £22.8m including capital slippage from 2018/19. The force runs a flexible programme managing schemes over a rolling 2 year period enabling work to be brought forward or deferred. During the year agreed budget changes, known as virements, resulted in a revised capital budget of £20.7m.</w:t>
      </w:r>
    </w:p>
    <w:p w:rsidR="007C1A0A" w:rsidRPr="007C1A0A" w:rsidRDefault="007C1A0A" w:rsidP="007C1A0A">
      <w:pPr>
        <w:rPr>
          <w:rFonts w:ascii="Verdana" w:hAnsi="Verdana"/>
          <w:sz w:val="22"/>
          <w:szCs w:val="22"/>
        </w:rPr>
      </w:pPr>
    </w:p>
    <w:p w:rsidR="007C1A0A" w:rsidRPr="007C1A0A" w:rsidRDefault="007C1A0A" w:rsidP="007C1A0A">
      <w:pPr>
        <w:rPr>
          <w:rFonts w:ascii="Verdana" w:hAnsi="Verdana"/>
          <w:sz w:val="22"/>
          <w:szCs w:val="22"/>
        </w:rPr>
      </w:pPr>
      <w:r w:rsidRPr="007C1A0A">
        <w:rPr>
          <w:rFonts w:ascii="Verdana" w:hAnsi="Verdana"/>
          <w:sz w:val="22"/>
          <w:szCs w:val="22"/>
        </w:rPr>
        <w:t>Actual expenditure for the year against the final revised 2019/20 Capital and Investment budget of £20.7m was £9.4m as set out below.</w:t>
      </w:r>
    </w:p>
    <w:p w:rsidR="007C1A0A" w:rsidRPr="007C1A0A" w:rsidRDefault="007C1A0A" w:rsidP="007C1A0A">
      <w:pPr>
        <w:rPr>
          <w:rFonts w:ascii="Verdana" w:hAnsi="Verdana"/>
          <w:sz w:val="22"/>
          <w:szCs w:val="22"/>
        </w:rPr>
      </w:pPr>
    </w:p>
    <w:tbl>
      <w:tblPr>
        <w:tblW w:w="6092" w:type="dxa"/>
        <w:tblInd w:w="2165" w:type="dxa"/>
        <w:tblLook w:val="04A0" w:firstRow="1" w:lastRow="0" w:firstColumn="1" w:lastColumn="0" w:noHBand="0" w:noVBand="1"/>
      </w:tblPr>
      <w:tblGrid>
        <w:gridCol w:w="2091"/>
        <w:gridCol w:w="900"/>
        <w:gridCol w:w="1250"/>
        <w:gridCol w:w="1004"/>
        <w:gridCol w:w="1048"/>
      </w:tblGrid>
      <w:tr w:rsidR="007C1A0A" w:rsidRPr="007C1A0A" w:rsidTr="00664CC3">
        <w:trPr>
          <w:trHeight w:val="205"/>
        </w:trPr>
        <w:tc>
          <w:tcPr>
            <w:tcW w:w="609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1A0A" w:rsidRPr="00736E5C" w:rsidRDefault="007C1A0A" w:rsidP="00736E5C">
            <w:pPr>
              <w:jc w:val="center"/>
              <w:rPr>
                <w:rFonts w:ascii="Verdana" w:hAnsi="Verdana"/>
                <w:b/>
                <w:sz w:val="22"/>
                <w:szCs w:val="22"/>
              </w:rPr>
            </w:pPr>
            <w:r w:rsidRPr="00736E5C">
              <w:rPr>
                <w:rFonts w:ascii="Verdana" w:hAnsi="Verdana"/>
                <w:b/>
                <w:sz w:val="22"/>
                <w:szCs w:val="22"/>
              </w:rPr>
              <w:t>CAPITAL BUDGET OUTTURN 2019/20</w:t>
            </w:r>
          </w:p>
        </w:tc>
      </w:tr>
      <w:tr w:rsidR="007C1A0A" w:rsidRPr="007C1A0A" w:rsidTr="00664CC3">
        <w:trPr>
          <w:trHeight w:val="442"/>
        </w:trPr>
        <w:tc>
          <w:tcPr>
            <w:tcW w:w="2091" w:type="dxa"/>
            <w:tcBorders>
              <w:top w:val="nil"/>
              <w:left w:val="single" w:sz="4" w:space="0" w:color="auto"/>
              <w:bottom w:val="nil"/>
              <w:right w:val="nil"/>
            </w:tcBorders>
            <w:shd w:val="clear" w:color="auto" w:fill="auto"/>
            <w:noWrap/>
            <w:vAlign w:val="bottom"/>
            <w:hideMark/>
          </w:tcPr>
          <w:p w:rsidR="007C1A0A" w:rsidRPr="007C1A0A" w:rsidRDefault="007C1A0A" w:rsidP="007C1A0A">
            <w:pPr>
              <w:rPr>
                <w:rFonts w:ascii="Verdana" w:hAnsi="Verdana"/>
                <w:sz w:val="22"/>
                <w:szCs w:val="22"/>
              </w:rPr>
            </w:pPr>
            <w:r w:rsidRPr="007C1A0A">
              <w:rPr>
                <w:rFonts w:ascii="Verdana" w:hAnsi="Verdana"/>
                <w:sz w:val="22"/>
                <w:szCs w:val="22"/>
              </w:rPr>
              <w:t> </w:t>
            </w:r>
          </w:p>
        </w:tc>
        <w:tc>
          <w:tcPr>
            <w:tcW w:w="805" w:type="dxa"/>
            <w:tcBorders>
              <w:top w:val="nil"/>
              <w:left w:val="single" w:sz="4" w:space="0" w:color="auto"/>
              <w:bottom w:val="nil"/>
              <w:right w:val="nil"/>
            </w:tcBorders>
            <w:shd w:val="clear" w:color="auto" w:fill="auto"/>
            <w:noWrap/>
            <w:vAlign w:val="bottom"/>
            <w:hideMark/>
          </w:tcPr>
          <w:p w:rsidR="007C1A0A" w:rsidRPr="007C1A0A" w:rsidRDefault="007C1A0A" w:rsidP="00736E5C">
            <w:pPr>
              <w:jc w:val="center"/>
              <w:rPr>
                <w:rFonts w:ascii="Verdana" w:hAnsi="Verdana"/>
                <w:sz w:val="22"/>
                <w:szCs w:val="22"/>
              </w:rPr>
            </w:pPr>
            <w:r w:rsidRPr="007C1A0A">
              <w:rPr>
                <w:rFonts w:ascii="Verdana" w:hAnsi="Verdana"/>
                <w:sz w:val="22"/>
                <w:szCs w:val="22"/>
              </w:rPr>
              <w:t>Actual</w:t>
            </w:r>
          </w:p>
        </w:tc>
        <w:tc>
          <w:tcPr>
            <w:tcW w:w="1250" w:type="dxa"/>
            <w:tcBorders>
              <w:top w:val="nil"/>
              <w:left w:val="single" w:sz="4" w:space="0" w:color="auto"/>
              <w:bottom w:val="nil"/>
              <w:right w:val="single" w:sz="4" w:space="0" w:color="auto"/>
            </w:tcBorders>
            <w:shd w:val="clear" w:color="auto" w:fill="auto"/>
            <w:vAlign w:val="bottom"/>
            <w:hideMark/>
          </w:tcPr>
          <w:p w:rsidR="007C1A0A" w:rsidRPr="007C1A0A" w:rsidRDefault="007C1A0A" w:rsidP="00736E5C">
            <w:pPr>
              <w:jc w:val="center"/>
              <w:rPr>
                <w:rFonts w:ascii="Verdana" w:hAnsi="Verdana"/>
                <w:sz w:val="22"/>
                <w:szCs w:val="22"/>
              </w:rPr>
            </w:pPr>
            <w:r w:rsidRPr="007C1A0A">
              <w:rPr>
                <w:rFonts w:ascii="Verdana" w:hAnsi="Verdana"/>
                <w:sz w:val="22"/>
                <w:szCs w:val="22"/>
              </w:rPr>
              <w:t>Revised Budget</w:t>
            </w:r>
          </w:p>
        </w:tc>
        <w:tc>
          <w:tcPr>
            <w:tcW w:w="1944" w:type="dxa"/>
            <w:gridSpan w:val="2"/>
            <w:tcBorders>
              <w:top w:val="single" w:sz="4" w:space="0" w:color="auto"/>
              <w:left w:val="nil"/>
              <w:bottom w:val="single" w:sz="4" w:space="0" w:color="auto"/>
              <w:right w:val="single" w:sz="4" w:space="0" w:color="000000"/>
            </w:tcBorders>
            <w:shd w:val="clear" w:color="auto" w:fill="auto"/>
            <w:vAlign w:val="bottom"/>
            <w:hideMark/>
          </w:tcPr>
          <w:p w:rsidR="007C1A0A" w:rsidRPr="007C1A0A" w:rsidRDefault="007C1A0A" w:rsidP="00736E5C">
            <w:pPr>
              <w:jc w:val="center"/>
              <w:rPr>
                <w:rFonts w:ascii="Verdana" w:hAnsi="Verdana"/>
                <w:sz w:val="22"/>
                <w:szCs w:val="22"/>
              </w:rPr>
            </w:pPr>
            <w:r w:rsidRPr="007C1A0A">
              <w:rPr>
                <w:rFonts w:ascii="Verdana" w:hAnsi="Verdana"/>
                <w:sz w:val="22"/>
                <w:szCs w:val="22"/>
              </w:rPr>
              <w:t>Variance over/ (under)spend</w:t>
            </w:r>
          </w:p>
        </w:tc>
      </w:tr>
      <w:tr w:rsidR="007C1A0A" w:rsidRPr="007C1A0A" w:rsidTr="00664CC3">
        <w:trPr>
          <w:trHeight w:val="275"/>
        </w:trPr>
        <w:tc>
          <w:tcPr>
            <w:tcW w:w="2091" w:type="dxa"/>
            <w:tcBorders>
              <w:top w:val="nil"/>
              <w:left w:val="single" w:sz="4" w:space="0" w:color="auto"/>
              <w:bottom w:val="single" w:sz="4" w:space="0" w:color="auto"/>
              <w:right w:val="nil"/>
            </w:tcBorders>
            <w:shd w:val="clear" w:color="auto" w:fill="auto"/>
            <w:noWrap/>
            <w:vAlign w:val="center"/>
            <w:hideMark/>
          </w:tcPr>
          <w:p w:rsidR="007C1A0A" w:rsidRPr="007C1A0A" w:rsidRDefault="007C1A0A" w:rsidP="007C1A0A">
            <w:pPr>
              <w:rPr>
                <w:rFonts w:ascii="Verdana" w:hAnsi="Verdana"/>
                <w:sz w:val="22"/>
                <w:szCs w:val="22"/>
              </w:rPr>
            </w:pPr>
            <w:r w:rsidRPr="007C1A0A">
              <w:rPr>
                <w:rFonts w:ascii="Verdana" w:hAnsi="Verdana"/>
                <w:sz w:val="22"/>
                <w:szCs w:val="22"/>
              </w:rPr>
              <w:t> </w:t>
            </w:r>
          </w:p>
        </w:tc>
        <w:tc>
          <w:tcPr>
            <w:tcW w:w="805" w:type="dxa"/>
            <w:tcBorders>
              <w:top w:val="nil"/>
              <w:left w:val="single" w:sz="4" w:space="0" w:color="auto"/>
              <w:bottom w:val="single" w:sz="4" w:space="0" w:color="auto"/>
              <w:right w:val="nil"/>
            </w:tcBorders>
            <w:shd w:val="clear" w:color="auto" w:fill="auto"/>
            <w:noWrap/>
            <w:vAlign w:val="center"/>
            <w:hideMark/>
          </w:tcPr>
          <w:p w:rsidR="007C1A0A" w:rsidRPr="007C1A0A" w:rsidRDefault="007C1A0A" w:rsidP="00736E5C">
            <w:pPr>
              <w:jc w:val="center"/>
              <w:rPr>
                <w:rFonts w:ascii="Verdana" w:hAnsi="Verdana"/>
                <w:sz w:val="22"/>
                <w:szCs w:val="22"/>
              </w:rPr>
            </w:pPr>
            <w:r w:rsidRPr="007C1A0A">
              <w:rPr>
                <w:rFonts w:ascii="Verdana" w:hAnsi="Verdana"/>
                <w:sz w:val="22"/>
                <w:szCs w:val="22"/>
              </w:rPr>
              <w:t>£m</w:t>
            </w:r>
          </w:p>
        </w:tc>
        <w:tc>
          <w:tcPr>
            <w:tcW w:w="1250" w:type="dxa"/>
            <w:tcBorders>
              <w:top w:val="nil"/>
              <w:left w:val="single" w:sz="4" w:space="0" w:color="auto"/>
              <w:bottom w:val="single" w:sz="4" w:space="0" w:color="auto"/>
              <w:right w:val="single" w:sz="4" w:space="0" w:color="auto"/>
            </w:tcBorders>
            <w:shd w:val="clear" w:color="auto" w:fill="auto"/>
            <w:noWrap/>
            <w:vAlign w:val="center"/>
            <w:hideMark/>
          </w:tcPr>
          <w:p w:rsidR="007C1A0A" w:rsidRPr="007C1A0A" w:rsidRDefault="007C1A0A" w:rsidP="00736E5C">
            <w:pPr>
              <w:jc w:val="center"/>
              <w:rPr>
                <w:rFonts w:ascii="Verdana" w:hAnsi="Verdana"/>
                <w:sz w:val="22"/>
                <w:szCs w:val="22"/>
              </w:rPr>
            </w:pPr>
            <w:r w:rsidRPr="007C1A0A">
              <w:rPr>
                <w:rFonts w:ascii="Verdana" w:hAnsi="Verdana"/>
                <w:sz w:val="22"/>
                <w:szCs w:val="22"/>
              </w:rPr>
              <w:t>£m</w:t>
            </w:r>
          </w:p>
        </w:tc>
        <w:tc>
          <w:tcPr>
            <w:tcW w:w="927" w:type="dxa"/>
            <w:tcBorders>
              <w:top w:val="nil"/>
              <w:left w:val="nil"/>
              <w:bottom w:val="nil"/>
              <w:right w:val="nil"/>
            </w:tcBorders>
            <w:shd w:val="clear" w:color="auto" w:fill="auto"/>
            <w:vAlign w:val="center"/>
            <w:hideMark/>
          </w:tcPr>
          <w:p w:rsidR="007C1A0A" w:rsidRPr="007C1A0A" w:rsidRDefault="007C1A0A" w:rsidP="00736E5C">
            <w:pPr>
              <w:jc w:val="center"/>
              <w:rPr>
                <w:rFonts w:ascii="Verdana" w:hAnsi="Verdana"/>
                <w:sz w:val="22"/>
                <w:szCs w:val="22"/>
              </w:rPr>
            </w:pPr>
            <w:r w:rsidRPr="007C1A0A">
              <w:rPr>
                <w:rFonts w:ascii="Verdana" w:hAnsi="Verdana"/>
                <w:sz w:val="22"/>
                <w:szCs w:val="22"/>
              </w:rPr>
              <w:t>£m</w:t>
            </w:r>
          </w:p>
        </w:tc>
        <w:tc>
          <w:tcPr>
            <w:tcW w:w="1017" w:type="dxa"/>
            <w:tcBorders>
              <w:top w:val="nil"/>
              <w:left w:val="single" w:sz="4" w:space="0" w:color="auto"/>
              <w:bottom w:val="single" w:sz="4" w:space="0" w:color="auto"/>
              <w:right w:val="single" w:sz="4" w:space="0" w:color="auto"/>
            </w:tcBorders>
            <w:shd w:val="clear" w:color="auto" w:fill="auto"/>
            <w:vAlign w:val="center"/>
            <w:hideMark/>
          </w:tcPr>
          <w:p w:rsidR="007C1A0A" w:rsidRPr="007C1A0A" w:rsidRDefault="007C1A0A" w:rsidP="00736E5C">
            <w:pPr>
              <w:jc w:val="center"/>
              <w:rPr>
                <w:rFonts w:ascii="Verdana" w:hAnsi="Verdana"/>
                <w:sz w:val="22"/>
                <w:szCs w:val="22"/>
              </w:rPr>
            </w:pPr>
            <w:r w:rsidRPr="007C1A0A">
              <w:rPr>
                <w:rFonts w:ascii="Verdana" w:hAnsi="Verdana"/>
                <w:sz w:val="22"/>
                <w:szCs w:val="22"/>
              </w:rPr>
              <w:t>%</w:t>
            </w:r>
          </w:p>
        </w:tc>
      </w:tr>
      <w:tr w:rsidR="007C1A0A" w:rsidRPr="007C1A0A" w:rsidTr="00664CC3">
        <w:trPr>
          <w:trHeight w:val="275"/>
        </w:trPr>
        <w:tc>
          <w:tcPr>
            <w:tcW w:w="2091" w:type="dxa"/>
            <w:tcBorders>
              <w:top w:val="nil"/>
              <w:left w:val="single" w:sz="4" w:space="0" w:color="auto"/>
              <w:bottom w:val="nil"/>
              <w:right w:val="nil"/>
            </w:tcBorders>
            <w:shd w:val="clear" w:color="auto" w:fill="auto"/>
            <w:noWrap/>
            <w:vAlign w:val="center"/>
            <w:hideMark/>
          </w:tcPr>
          <w:p w:rsidR="007C1A0A" w:rsidRPr="007C1A0A" w:rsidRDefault="007C1A0A" w:rsidP="007C1A0A">
            <w:pPr>
              <w:rPr>
                <w:rFonts w:ascii="Verdana" w:hAnsi="Verdana"/>
                <w:sz w:val="22"/>
                <w:szCs w:val="22"/>
              </w:rPr>
            </w:pPr>
            <w:r w:rsidRPr="007C1A0A">
              <w:rPr>
                <w:rFonts w:ascii="Verdana" w:hAnsi="Verdana"/>
                <w:sz w:val="22"/>
                <w:szCs w:val="22"/>
              </w:rPr>
              <w:t>IT Strategy</w:t>
            </w:r>
          </w:p>
        </w:tc>
        <w:tc>
          <w:tcPr>
            <w:tcW w:w="805" w:type="dxa"/>
            <w:tcBorders>
              <w:top w:val="nil"/>
              <w:left w:val="single" w:sz="4" w:space="0" w:color="auto"/>
              <w:bottom w:val="nil"/>
              <w:right w:val="single" w:sz="4" w:space="0" w:color="auto"/>
            </w:tcBorders>
            <w:shd w:val="clear" w:color="auto" w:fill="auto"/>
            <w:noWrap/>
            <w:vAlign w:val="center"/>
            <w:hideMark/>
          </w:tcPr>
          <w:p w:rsidR="007C1A0A" w:rsidRPr="007C1A0A" w:rsidRDefault="007C1A0A" w:rsidP="007C1A0A">
            <w:pPr>
              <w:jc w:val="right"/>
              <w:rPr>
                <w:rFonts w:ascii="Verdana" w:hAnsi="Verdana"/>
                <w:sz w:val="22"/>
                <w:szCs w:val="22"/>
              </w:rPr>
            </w:pPr>
            <w:r w:rsidRPr="007C1A0A">
              <w:rPr>
                <w:rFonts w:ascii="Verdana" w:hAnsi="Verdana"/>
                <w:sz w:val="22"/>
                <w:szCs w:val="22"/>
              </w:rPr>
              <w:t xml:space="preserve">1.0 </w:t>
            </w:r>
          </w:p>
        </w:tc>
        <w:tc>
          <w:tcPr>
            <w:tcW w:w="1250" w:type="dxa"/>
            <w:tcBorders>
              <w:top w:val="nil"/>
              <w:left w:val="nil"/>
              <w:bottom w:val="nil"/>
              <w:right w:val="nil"/>
            </w:tcBorders>
            <w:shd w:val="clear" w:color="auto" w:fill="auto"/>
            <w:noWrap/>
            <w:vAlign w:val="center"/>
            <w:hideMark/>
          </w:tcPr>
          <w:p w:rsidR="007C1A0A" w:rsidRPr="007C1A0A" w:rsidRDefault="007C1A0A" w:rsidP="007C1A0A">
            <w:pPr>
              <w:jc w:val="right"/>
              <w:rPr>
                <w:rFonts w:ascii="Verdana" w:hAnsi="Verdana"/>
                <w:sz w:val="22"/>
                <w:szCs w:val="22"/>
              </w:rPr>
            </w:pPr>
            <w:r w:rsidRPr="007C1A0A">
              <w:rPr>
                <w:rFonts w:ascii="Verdana" w:hAnsi="Verdana"/>
                <w:sz w:val="22"/>
                <w:szCs w:val="22"/>
              </w:rPr>
              <w:t xml:space="preserve">5.1 </w:t>
            </w:r>
          </w:p>
        </w:tc>
        <w:tc>
          <w:tcPr>
            <w:tcW w:w="927" w:type="dxa"/>
            <w:tcBorders>
              <w:top w:val="single" w:sz="4" w:space="0" w:color="auto"/>
              <w:left w:val="single" w:sz="4" w:space="0" w:color="auto"/>
              <w:bottom w:val="nil"/>
              <w:right w:val="single" w:sz="4" w:space="0" w:color="auto"/>
            </w:tcBorders>
            <w:shd w:val="clear" w:color="auto" w:fill="auto"/>
            <w:noWrap/>
            <w:vAlign w:val="center"/>
            <w:hideMark/>
          </w:tcPr>
          <w:p w:rsidR="007C1A0A" w:rsidRPr="007C1A0A" w:rsidRDefault="007C1A0A" w:rsidP="00AA2A89">
            <w:pPr>
              <w:jc w:val="right"/>
              <w:rPr>
                <w:rFonts w:ascii="Verdana" w:hAnsi="Verdana"/>
                <w:sz w:val="22"/>
                <w:szCs w:val="22"/>
              </w:rPr>
            </w:pPr>
            <w:r w:rsidRPr="007C1A0A">
              <w:rPr>
                <w:rFonts w:ascii="Verdana" w:hAnsi="Verdana"/>
                <w:sz w:val="22"/>
                <w:szCs w:val="22"/>
              </w:rPr>
              <w:t xml:space="preserve">(4.1) </w:t>
            </w:r>
          </w:p>
        </w:tc>
        <w:tc>
          <w:tcPr>
            <w:tcW w:w="1017" w:type="dxa"/>
            <w:tcBorders>
              <w:top w:val="nil"/>
              <w:left w:val="nil"/>
              <w:bottom w:val="nil"/>
              <w:right w:val="single" w:sz="4" w:space="0" w:color="auto"/>
            </w:tcBorders>
            <w:shd w:val="clear" w:color="auto" w:fill="auto"/>
            <w:noWrap/>
            <w:vAlign w:val="center"/>
            <w:hideMark/>
          </w:tcPr>
          <w:p w:rsidR="007C1A0A" w:rsidRPr="007C1A0A" w:rsidRDefault="007C1A0A" w:rsidP="00AA2A89">
            <w:pPr>
              <w:jc w:val="right"/>
              <w:rPr>
                <w:rFonts w:ascii="Verdana" w:hAnsi="Verdana"/>
                <w:sz w:val="22"/>
                <w:szCs w:val="22"/>
              </w:rPr>
            </w:pPr>
            <w:r w:rsidRPr="007C1A0A">
              <w:rPr>
                <w:rFonts w:ascii="Verdana" w:hAnsi="Verdana"/>
                <w:sz w:val="22"/>
                <w:szCs w:val="22"/>
              </w:rPr>
              <w:t>(80%)</w:t>
            </w:r>
          </w:p>
        </w:tc>
      </w:tr>
      <w:tr w:rsidR="007C1A0A" w:rsidRPr="007C1A0A" w:rsidTr="00664CC3">
        <w:trPr>
          <w:trHeight w:val="275"/>
        </w:trPr>
        <w:tc>
          <w:tcPr>
            <w:tcW w:w="2091" w:type="dxa"/>
            <w:tcBorders>
              <w:top w:val="nil"/>
              <w:left w:val="single" w:sz="4" w:space="0" w:color="auto"/>
              <w:bottom w:val="nil"/>
              <w:right w:val="nil"/>
            </w:tcBorders>
            <w:shd w:val="clear" w:color="auto" w:fill="auto"/>
            <w:noWrap/>
            <w:vAlign w:val="center"/>
            <w:hideMark/>
          </w:tcPr>
          <w:p w:rsidR="007C1A0A" w:rsidRPr="007C1A0A" w:rsidRDefault="007C1A0A" w:rsidP="007C1A0A">
            <w:pPr>
              <w:rPr>
                <w:rFonts w:ascii="Verdana" w:hAnsi="Verdana"/>
                <w:sz w:val="22"/>
                <w:szCs w:val="22"/>
              </w:rPr>
            </w:pPr>
            <w:r w:rsidRPr="007C1A0A">
              <w:rPr>
                <w:rFonts w:ascii="Verdana" w:hAnsi="Verdana"/>
                <w:sz w:val="22"/>
                <w:szCs w:val="22"/>
              </w:rPr>
              <w:t>Fleet Strategy</w:t>
            </w:r>
          </w:p>
        </w:tc>
        <w:tc>
          <w:tcPr>
            <w:tcW w:w="805" w:type="dxa"/>
            <w:tcBorders>
              <w:top w:val="nil"/>
              <w:left w:val="single" w:sz="4" w:space="0" w:color="auto"/>
              <w:bottom w:val="nil"/>
              <w:right w:val="single" w:sz="4" w:space="0" w:color="auto"/>
            </w:tcBorders>
            <w:shd w:val="clear" w:color="auto" w:fill="auto"/>
            <w:noWrap/>
            <w:vAlign w:val="center"/>
            <w:hideMark/>
          </w:tcPr>
          <w:p w:rsidR="007C1A0A" w:rsidRPr="007C1A0A" w:rsidRDefault="007C1A0A" w:rsidP="007C1A0A">
            <w:pPr>
              <w:jc w:val="right"/>
              <w:rPr>
                <w:rFonts w:ascii="Verdana" w:hAnsi="Verdana"/>
                <w:sz w:val="22"/>
                <w:szCs w:val="22"/>
              </w:rPr>
            </w:pPr>
            <w:r w:rsidRPr="007C1A0A">
              <w:rPr>
                <w:rFonts w:ascii="Verdana" w:hAnsi="Verdana"/>
                <w:sz w:val="22"/>
                <w:szCs w:val="22"/>
              </w:rPr>
              <w:t xml:space="preserve">3.6 </w:t>
            </w:r>
          </w:p>
        </w:tc>
        <w:tc>
          <w:tcPr>
            <w:tcW w:w="1250" w:type="dxa"/>
            <w:tcBorders>
              <w:top w:val="nil"/>
              <w:left w:val="nil"/>
              <w:bottom w:val="nil"/>
              <w:right w:val="nil"/>
            </w:tcBorders>
            <w:shd w:val="clear" w:color="auto" w:fill="auto"/>
            <w:noWrap/>
            <w:vAlign w:val="center"/>
            <w:hideMark/>
          </w:tcPr>
          <w:p w:rsidR="007C1A0A" w:rsidRPr="007C1A0A" w:rsidRDefault="007C1A0A" w:rsidP="007C1A0A">
            <w:pPr>
              <w:jc w:val="right"/>
              <w:rPr>
                <w:rFonts w:ascii="Verdana" w:hAnsi="Verdana"/>
                <w:sz w:val="22"/>
                <w:szCs w:val="22"/>
              </w:rPr>
            </w:pPr>
            <w:r w:rsidRPr="007C1A0A">
              <w:rPr>
                <w:rFonts w:ascii="Verdana" w:hAnsi="Verdana"/>
                <w:sz w:val="22"/>
                <w:szCs w:val="22"/>
              </w:rPr>
              <w:t xml:space="preserve">3.8 </w:t>
            </w:r>
          </w:p>
        </w:tc>
        <w:tc>
          <w:tcPr>
            <w:tcW w:w="927" w:type="dxa"/>
            <w:tcBorders>
              <w:top w:val="nil"/>
              <w:left w:val="single" w:sz="4" w:space="0" w:color="auto"/>
              <w:bottom w:val="nil"/>
              <w:right w:val="single" w:sz="4" w:space="0" w:color="auto"/>
            </w:tcBorders>
            <w:shd w:val="clear" w:color="auto" w:fill="auto"/>
            <w:noWrap/>
            <w:vAlign w:val="center"/>
            <w:hideMark/>
          </w:tcPr>
          <w:p w:rsidR="007C1A0A" w:rsidRPr="007C1A0A" w:rsidRDefault="007C1A0A" w:rsidP="00AA2A89">
            <w:pPr>
              <w:jc w:val="right"/>
              <w:rPr>
                <w:rFonts w:ascii="Verdana" w:hAnsi="Verdana"/>
                <w:sz w:val="22"/>
                <w:szCs w:val="22"/>
              </w:rPr>
            </w:pPr>
            <w:r w:rsidRPr="007C1A0A">
              <w:rPr>
                <w:rFonts w:ascii="Verdana" w:hAnsi="Verdana"/>
                <w:sz w:val="22"/>
                <w:szCs w:val="22"/>
              </w:rPr>
              <w:t xml:space="preserve">(0.2) </w:t>
            </w:r>
          </w:p>
        </w:tc>
        <w:tc>
          <w:tcPr>
            <w:tcW w:w="1017" w:type="dxa"/>
            <w:tcBorders>
              <w:top w:val="nil"/>
              <w:left w:val="nil"/>
              <w:bottom w:val="nil"/>
              <w:right w:val="single" w:sz="4" w:space="0" w:color="auto"/>
            </w:tcBorders>
            <w:shd w:val="clear" w:color="auto" w:fill="auto"/>
            <w:noWrap/>
            <w:vAlign w:val="center"/>
            <w:hideMark/>
          </w:tcPr>
          <w:p w:rsidR="007C1A0A" w:rsidRPr="007C1A0A" w:rsidRDefault="007C1A0A" w:rsidP="00AA2A89">
            <w:pPr>
              <w:jc w:val="right"/>
              <w:rPr>
                <w:rFonts w:ascii="Verdana" w:hAnsi="Verdana"/>
                <w:sz w:val="22"/>
                <w:szCs w:val="22"/>
              </w:rPr>
            </w:pPr>
            <w:r w:rsidRPr="007C1A0A">
              <w:rPr>
                <w:rFonts w:ascii="Verdana" w:hAnsi="Verdana"/>
                <w:sz w:val="22"/>
                <w:szCs w:val="22"/>
              </w:rPr>
              <w:t>(5%)</w:t>
            </w:r>
          </w:p>
        </w:tc>
      </w:tr>
      <w:tr w:rsidR="007C1A0A" w:rsidRPr="007C1A0A" w:rsidTr="00664CC3">
        <w:trPr>
          <w:trHeight w:val="275"/>
        </w:trPr>
        <w:tc>
          <w:tcPr>
            <w:tcW w:w="2091" w:type="dxa"/>
            <w:tcBorders>
              <w:top w:val="nil"/>
              <w:left w:val="single" w:sz="4" w:space="0" w:color="auto"/>
              <w:bottom w:val="nil"/>
              <w:right w:val="nil"/>
            </w:tcBorders>
            <w:shd w:val="clear" w:color="auto" w:fill="auto"/>
            <w:noWrap/>
            <w:vAlign w:val="center"/>
            <w:hideMark/>
          </w:tcPr>
          <w:p w:rsidR="007C1A0A" w:rsidRPr="007C1A0A" w:rsidRDefault="007C1A0A" w:rsidP="007C1A0A">
            <w:pPr>
              <w:rPr>
                <w:rFonts w:ascii="Verdana" w:hAnsi="Verdana"/>
                <w:sz w:val="22"/>
                <w:szCs w:val="22"/>
              </w:rPr>
            </w:pPr>
            <w:r w:rsidRPr="007C1A0A">
              <w:rPr>
                <w:rFonts w:ascii="Verdana" w:hAnsi="Verdana"/>
                <w:sz w:val="22"/>
                <w:szCs w:val="22"/>
              </w:rPr>
              <w:t>Estates Strategy</w:t>
            </w:r>
          </w:p>
        </w:tc>
        <w:tc>
          <w:tcPr>
            <w:tcW w:w="805" w:type="dxa"/>
            <w:tcBorders>
              <w:top w:val="nil"/>
              <w:left w:val="single" w:sz="4" w:space="0" w:color="auto"/>
              <w:bottom w:val="nil"/>
              <w:right w:val="single" w:sz="4" w:space="0" w:color="auto"/>
            </w:tcBorders>
            <w:shd w:val="clear" w:color="auto" w:fill="auto"/>
            <w:noWrap/>
            <w:vAlign w:val="center"/>
            <w:hideMark/>
          </w:tcPr>
          <w:p w:rsidR="007C1A0A" w:rsidRPr="007C1A0A" w:rsidRDefault="007C1A0A" w:rsidP="007C1A0A">
            <w:pPr>
              <w:jc w:val="right"/>
              <w:rPr>
                <w:rFonts w:ascii="Verdana" w:hAnsi="Verdana"/>
                <w:sz w:val="22"/>
                <w:szCs w:val="22"/>
              </w:rPr>
            </w:pPr>
            <w:r w:rsidRPr="007C1A0A">
              <w:rPr>
                <w:rFonts w:ascii="Verdana" w:hAnsi="Verdana"/>
                <w:sz w:val="22"/>
                <w:szCs w:val="22"/>
              </w:rPr>
              <w:t xml:space="preserve">1.7 </w:t>
            </w:r>
          </w:p>
        </w:tc>
        <w:tc>
          <w:tcPr>
            <w:tcW w:w="1250" w:type="dxa"/>
            <w:tcBorders>
              <w:top w:val="nil"/>
              <w:left w:val="nil"/>
              <w:bottom w:val="nil"/>
              <w:right w:val="nil"/>
            </w:tcBorders>
            <w:shd w:val="clear" w:color="auto" w:fill="auto"/>
            <w:noWrap/>
            <w:vAlign w:val="center"/>
            <w:hideMark/>
          </w:tcPr>
          <w:p w:rsidR="007C1A0A" w:rsidRPr="007C1A0A" w:rsidRDefault="007C1A0A" w:rsidP="007C1A0A">
            <w:pPr>
              <w:jc w:val="right"/>
              <w:rPr>
                <w:rFonts w:ascii="Verdana" w:hAnsi="Verdana"/>
                <w:sz w:val="22"/>
                <w:szCs w:val="22"/>
              </w:rPr>
            </w:pPr>
            <w:r w:rsidRPr="007C1A0A">
              <w:rPr>
                <w:rFonts w:ascii="Verdana" w:hAnsi="Verdana"/>
                <w:sz w:val="22"/>
                <w:szCs w:val="22"/>
              </w:rPr>
              <w:t xml:space="preserve">5.8 </w:t>
            </w:r>
          </w:p>
        </w:tc>
        <w:tc>
          <w:tcPr>
            <w:tcW w:w="927" w:type="dxa"/>
            <w:tcBorders>
              <w:top w:val="nil"/>
              <w:left w:val="single" w:sz="4" w:space="0" w:color="auto"/>
              <w:bottom w:val="nil"/>
              <w:right w:val="single" w:sz="4" w:space="0" w:color="auto"/>
            </w:tcBorders>
            <w:shd w:val="clear" w:color="auto" w:fill="auto"/>
            <w:noWrap/>
            <w:vAlign w:val="center"/>
            <w:hideMark/>
          </w:tcPr>
          <w:p w:rsidR="007C1A0A" w:rsidRPr="007C1A0A" w:rsidRDefault="007C1A0A" w:rsidP="00AA2A89">
            <w:pPr>
              <w:jc w:val="right"/>
              <w:rPr>
                <w:rFonts w:ascii="Verdana" w:hAnsi="Verdana"/>
                <w:sz w:val="22"/>
                <w:szCs w:val="22"/>
              </w:rPr>
            </w:pPr>
            <w:r w:rsidRPr="007C1A0A">
              <w:rPr>
                <w:rFonts w:ascii="Verdana" w:hAnsi="Verdana"/>
                <w:sz w:val="22"/>
                <w:szCs w:val="22"/>
              </w:rPr>
              <w:t xml:space="preserve">(4.1) </w:t>
            </w:r>
          </w:p>
        </w:tc>
        <w:tc>
          <w:tcPr>
            <w:tcW w:w="1017" w:type="dxa"/>
            <w:tcBorders>
              <w:top w:val="nil"/>
              <w:left w:val="nil"/>
              <w:bottom w:val="nil"/>
              <w:right w:val="single" w:sz="4" w:space="0" w:color="auto"/>
            </w:tcBorders>
            <w:shd w:val="clear" w:color="auto" w:fill="auto"/>
            <w:noWrap/>
            <w:vAlign w:val="center"/>
            <w:hideMark/>
          </w:tcPr>
          <w:p w:rsidR="007C1A0A" w:rsidRPr="007C1A0A" w:rsidRDefault="007C1A0A" w:rsidP="00AA2A89">
            <w:pPr>
              <w:jc w:val="right"/>
              <w:rPr>
                <w:rFonts w:ascii="Verdana" w:hAnsi="Verdana"/>
                <w:sz w:val="22"/>
                <w:szCs w:val="22"/>
              </w:rPr>
            </w:pPr>
            <w:r w:rsidRPr="007C1A0A">
              <w:rPr>
                <w:rFonts w:ascii="Verdana" w:hAnsi="Verdana"/>
                <w:sz w:val="22"/>
                <w:szCs w:val="22"/>
              </w:rPr>
              <w:t>(71%)</w:t>
            </w:r>
          </w:p>
        </w:tc>
      </w:tr>
      <w:tr w:rsidR="007C1A0A" w:rsidRPr="007C1A0A" w:rsidTr="00664CC3">
        <w:trPr>
          <w:trHeight w:val="275"/>
        </w:trPr>
        <w:tc>
          <w:tcPr>
            <w:tcW w:w="2091" w:type="dxa"/>
            <w:tcBorders>
              <w:top w:val="nil"/>
              <w:left w:val="single" w:sz="4" w:space="0" w:color="auto"/>
              <w:bottom w:val="nil"/>
              <w:right w:val="nil"/>
            </w:tcBorders>
            <w:shd w:val="clear" w:color="auto" w:fill="auto"/>
            <w:noWrap/>
            <w:vAlign w:val="center"/>
            <w:hideMark/>
          </w:tcPr>
          <w:p w:rsidR="007C1A0A" w:rsidRPr="007C1A0A" w:rsidRDefault="007C1A0A" w:rsidP="007C1A0A">
            <w:pPr>
              <w:rPr>
                <w:rFonts w:ascii="Verdana" w:hAnsi="Verdana"/>
                <w:sz w:val="22"/>
                <w:szCs w:val="22"/>
              </w:rPr>
            </w:pPr>
            <w:r w:rsidRPr="007C1A0A">
              <w:rPr>
                <w:rFonts w:ascii="Verdana" w:hAnsi="Verdana"/>
                <w:sz w:val="22"/>
                <w:szCs w:val="22"/>
              </w:rPr>
              <w:t>Local Policing</w:t>
            </w:r>
          </w:p>
        </w:tc>
        <w:tc>
          <w:tcPr>
            <w:tcW w:w="805" w:type="dxa"/>
            <w:tcBorders>
              <w:top w:val="nil"/>
              <w:left w:val="single" w:sz="4" w:space="0" w:color="auto"/>
              <w:bottom w:val="nil"/>
              <w:right w:val="single" w:sz="4" w:space="0" w:color="auto"/>
            </w:tcBorders>
            <w:shd w:val="clear" w:color="auto" w:fill="auto"/>
            <w:noWrap/>
            <w:vAlign w:val="center"/>
            <w:hideMark/>
          </w:tcPr>
          <w:p w:rsidR="007C1A0A" w:rsidRPr="007C1A0A" w:rsidRDefault="007C1A0A" w:rsidP="007C1A0A">
            <w:pPr>
              <w:jc w:val="right"/>
              <w:rPr>
                <w:rFonts w:ascii="Verdana" w:hAnsi="Verdana"/>
                <w:sz w:val="22"/>
                <w:szCs w:val="22"/>
              </w:rPr>
            </w:pPr>
            <w:r w:rsidRPr="007C1A0A">
              <w:rPr>
                <w:rFonts w:ascii="Verdana" w:hAnsi="Verdana"/>
                <w:sz w:val="22"/>
                <w:szCs w:val="22"/>
              </w:rPr>
              <w:t xml:space="preserve">1.2 </w:t>
            </w:r>
          </w:p>
        </w:tc>
        <w:tc>
          <w:tcPr>
            <w:tcW w:w="1250" w:type="dxa"/>
            <w:tcBorders>
              <w:top w:val="nil"/>
              <w:left w:val="nil"/>
              <w:bottom w:val="nil"/>
              <w:right w:val="nil"/>
            </w:tcBorders>
            <w:shd w:val="clear" w:color="auto" w:fill="auto"/>
            <w:noWrap/>
            <w:vAlign w:val="center"/>
            <w:hideMark/>
          </w:tcPr>
          <w:p w:rsidR="007C1A0A" w:rsidRPr="007C1A0A" w:rsidRDefault="007C1A0A" w:rsidP="007C1A0A">
            <w:pPr>
              <w:jc w:val="right"/>
              <w:rPr>
                <w:rFonts w:ascii="Verdana" w:hAnsi="Verdana"/>
                <w:sz w:val="22"/>
                <w:szCs w:val="22"/>
              </w:rPr>
            </w:pPr>
            <w:r w:rsidRPr="007C1A0A">
              <w:rPr>
                <w:rFonts w:ascii="Verdana" w:hAnsi="Verdana"/>
                <w:sz w:val="22"/>
                <w:szCs w:val="22"/>
              </w:rPr>
              <w:t xml:space="preserve">3.2 </w:t>
            </w:r>
          </w:p>
        </w:tc>
        <w:tc>
          <w:tcPr>
            <w:tcW w:w="927" w:type="dxa"/>
            <w:tcBorders>
              <w:top w:val="nil"/>
              <w:left w:val="single" w:sz="4" w:space="0" w:color="auto"/>
              <w:bottom w:val="nil"/>
              <w:right w:val="single" w:sz="4" w:space="0" w:color="auto"/>
            </w:tcBorders>
            <w:shd w:val="clear" w:color="auto" w:fill="auto"/>
            <w:noWrap/>
            <w:vAlign w:val="center"/>
            <w:hideMark/>
          </w:tcPr>
          <w:p w:rsidR="007C1A0A" w:rsidRPr="007C1A0A" w:rsidRDefault="007C1A0A" w:rsidP="00AA2A89">
            <w:pPr>
              <w:jc w:val="right"/>
              <w:rPr>
                <w:rFonts w:ascii="Verdana" w:hAnsi="Verdana"/>
                <w:sz w:val="22"/>
                <w:szCs w:val="22"/>
              </w:rPr>
            </w:pPr>
            <w:r w:rsidRPr="007C1A0A">
              <w:rPr>
                <w:rFonts w:ascii="Verdana" w:hAnsi="Verdana"/>
                <w:sz w:val="22"/>
                <w:szCs w:val="22"/>
              </w:rPr>
              <w:t xml:space="preserve">(2.0) </w:t>
            </w:r>
          </w:p>
        </w:tc>
        <w:tc>
          <w:tcPr>
            <w:tcW w:w="1017" w:type="dxa"/>
            <w:tcBorders>
              <w:top w:val="nil"/>
              <w:left w:val="nil"/>
              <w:bottom w:val="nil"/>
              <w:right w:val="single" w:sz="4" w:space="0" w:color="auto"/>
            </w:tcBorders>
            <w:shd w:val="clear" w:color="auto" w:fill="auto"/>
            <w:noWrap/>
            <w:vAlign w:val="center"/>
            <w:hideMark/>
          </w:tcPr>
          <w:p w:rsidR="007C1A0A" w:rsidRPr="007C1A0A" w:rsidRDefault="007C1A0A" w:rsidP="00AA2A89">
            <w:pPr>
              <w:jc w:val="right"/>
              <w:rPr>
                <w:rFonts w:ascii="Verdana" w:hAnsi="Verdana"/>
                <w:sz w:val="22"/>
                <w:szCs w:val="22"/>
              </w:rPr>
            </w:pPr>
            <w:r w:rsidRPr="007C1A0A">
              <w:rPr>
                <w:rFonts w:ascii="Verdana" w:hAnsi="Verdana"/>
                <w:sz w:val="22"/>
                <w:szCs w:val="22"/>
              </w:rPr>
              <w:t>(63%)</w:t>
            </w:r>
          </w:p>
        </w:tc>
      </w:tr>
      <w:tr w:rsidR="007C1A0A" w:rsidRPr="007C1A0A" w:rsidTr="00664CC3">
        <w:trPr>
          <w:trHeight w:val="275"/>
        </w:trPr>
        <w:tc>
          <w:tcPr>
            <w:tcW w:w="2091" w:type="dxa"/>
            <w:tcBorders>
              <w:top w:val="nil"/>
              <w:left w:val="single" w:sz="4" w:space="0" w:color="auto"/>
              <w:bottom w:val="nil"/>
              <w:right w:val="nil"/>
            </w:tcBorders>
            <w:shd w:val="clear" w:color="auto" w:fill="auto"/>
            <w:noWrap/>
            <w:vAlign w:val="center"/>
            <w:hideMark/>
          </w:tcPr>
          <w:p w:rsidR="007C1A0A" w:rsidRPr="007C1A0A" w:rsidRDefault="007C1A0A" w:rsidP="007C1A0A">
            <w:pPr>
              <w:rPr>
                <w:rFonts w:ascii="Verdana" w:hAnsi="Verdana"/>
                <w:sz w:val="22"/>
                <w:szCs w:val="22"/>
              </w:rPr>
            </w:pPr>
            <w:r w:rsidRPr="007C1A0A">
              <w:rPr>
                <w:rFonts w:ascii="Verdana" w:hAnsi="Verdana"/>
                <w:sz w:val="22"/>
                <w:szCs w:val="22"/>
              </w:rPr>
              <w:t>Specialist Crime</w:t>
            </w:r>
          </w:p>
        </w:tc>
        <w:tc>
          <w:tcPr>
            <w:tcW w:w="805" w:type="dxa"/>
            <w:tcBorders>
              <w:top w:val="nil"/>
              <w:left w:val="single" w:sz="4" w:space="0" w:color="auto"/>
              <w:bottom w:val="nil"/>
              <w:right w:val="single" w:sz="4" w:space="0" w:color="auto"/>
            </w:tcBorders>
            <w:shd w:val="clear" w:color="auto" w:fill="auto"/>
            <w:noWrap/>
            <w:vAlign w:val="center"/>
            <w:hideMark/>
          </w:tcPr>
          <w:p w:rsidR="007C1A0A" w:rsidRPr="007C1A0A" w:rsidRDefault="007C1A0A" w:rsidP="007C1A0A">
            <w:pPr>
              <w:jc w:val="right"/>
              <w:rPr>
                <w:rFonts w:ascii="Verdana" w:hAnsi="Verdana"/>
                <w:sz w:val="22"/>
                <w:szCs w:val="22"/>
              </w:rPr>
            </w:pPr>
            <w:r w:rsidRPr="007C1A0A">
              <w:rPr>
                <w:rFonts w:ascii="Verdana" w:hAnsi="Verdana"/>
                <w:sz w:val="22"/>
                <w:szCs w:val="22"/>
              </w:rPr>
              <w:t xml:space="preserve">1.2 </w:t>
            </w:r>
          </w:p>
        </w:tc>
        <w:tc>
          <w:tcPr>
            <w:tcW w:w="1250" w:type="dxa"/>
            <w:tcBorders>
              <w:top w:val="nil"/>
              <w:left w:val="nil"/>
              <w:bottom w:val="nil"/>
              <w:right w:val="nil"/>
            </w:tcBorders>
            <w:shd w:val="clear" w:color="auto" w:fill="auto"/>
            <w:noWrap/>
            <w:vAlign w:val="center"/>
            <w:hideMark/>
          </w:tcPr>
          <w:p w:rsidR="007C1A0A" w:rsidRPr="007C1A0A" w:rsidRDefault="007C1A0A" w:rsidP="007C1A0A">
            <w:pPr>
              <w:jc w:val="right"/>
              <w:rPr>
                <w:rFonts w:ascii="Verdana" w:hAnsi="Verdana"/>
                <w:sz w:val="22"/>
                <w:szCs w:val="22"/>
              </w:rPr>
            </w:pPr>
            <w:r w:rsidRPr="007C1A0A">
              <w:rPr>
                <w:rFonts w:ascii="Verdana" w:hAnsi="Verdana"/>
                <w:sz w:val="22"/>
                <w:szCs w:val="22"/>
              </w:rPr>
              <w:t xml:space="preserve">1.7 </w:t>
            </w:r>
          </w:p>
        </w:tc>
        <w:tc>
          <w:tcPr>
            <w:tcW w:w="927" w:type="dxa"/>
            <w:tcBorders>
              <w:top w:val="nil"/>
              <w:left w:val="single" w:sz="4" w:space="0" w:color="auto"/>
              <w:bottom w:val="nil"/>
              <w:right w:val="single" w:sz="4" w:space="0" w:color="auto"/>
            </w:tcBorders>
            <w:shd w:val="clear" w:color="auto" w:fill="auto"/>
            <w:noWrap/>
            <w:vAlign w:val="center"/>
            <w:hideMark/>
          </w:tcPr>
          <w:p w:rsidR="007C1A0A" w:rsidRPr="007C1A0A" w:rsidRDefault="007C1A0A" w:rsidP="00AA2A89">
            <w:pPr>
              <w:jc w:val="right"/>
              <w:rPr>
                <w:rFonts w:ascii="Verdana" w:hAnsi="Verdana"/>
                <w:sz w:val="22"/>
                <w:szCs w:val="22"/>
              </w:rPr>
            </w:pPr>
            <w:r w:rsidRPr="007C1A0A">
              <w:rPr>
                <w:rFonts w:ascii="Verdana" w:hAnsi="Verdana"/>
                <w:sz w:val="22"/>
                <w:szCs w:val="22"/>
              </w:rPr>
              <w:t xml:space="preserve">(0.5) </w:t>
            </w:r>
          </w:p>
        </w:tc>
        <w:tc>
          <w:tcPr>
            <w:tcW w:w="1017" w:type="dxa"/>
            <w:tcBorders>
              <w:top w:val="nil"/>
              <w:left w:val="nil"/>
              <w:bottom w:val="nil"/>
              <w:right w:val="single" w:sz="4" w:space="0" w:color="auto"/>
            </w:tcBorders>
            <w:shd w:val="clear" w:color="auto" w:fill="auto"/>
            <w:noWrap/>
            <w:vAlign w:val="center"/>
            <w:hideMark/>
          </w:tcPr>
          <w:p w:rsidR="007C1A0A" w:rsidRPr="007C1A0A" w:rsidRDefault="007C1A0A" w:rsidP="00AA2A89">
            <w:pPr>
              <w:jc w:val="right"/>
              <w:rPr>
                <w:rFonts w:ascii="Verdana" w:hAnsi="Verdana"/>
                <w:sz w:val="22"/>
                <w:szCs w:val="22"/>
              </w:rPr>
            </w:pPr>
            <w:r w:rsidRPr="007C1A0A">
              <w:rPr>
                <w:rFonts w:ascii="Verdana" w:hAnsi="Verdana"/>
                <w:sz w:val="22"/>
                <w:szCs w:val="22"/>
              </w:rPr>
              <w:t>(29%)</w:t>
            </w:r>
          </w:p>
        </w:tc>
      </w:tr>
      <w:tr w:rsidR="007C1A0A" w:rsidRPr="007C1A0A" w:rsidTr="00664CC3">
        <w:trPr>
          <w:trHeight w:val="275"/>
        </w:trPr>
        <w:tc>
          <w:tcPr>
            <w:tcW w:w="2091" w:type="dxa"/>
            <w:tcBorders>
              <w:top w:val="nil"/>
              <w:left w:val="single" w:sz="4" w:space="0" w:color="auto"/>
              <w:bottom w:val="single" w:sz="4" w:space="0" w:color="auto"/>
              <w:right w:val="nil"/>
            </w:tcBorders>
            <w:shd w:val="clear" w:color="auto" w:fill="auto"/>
            <w:noWrap/>
            <w:vAlign w:val="center"/>
            <w:hideMark/>
          </w:tcPr>
          <w:p w:rsidR="007C1A0A" w:rsidRPr="007C1A0A" w:rsidRDefault="007C1A0A" w:rsidP="007C1A0A">
            <w:pPr>
              <w:rPr>
                <w:rFonts w:ascii="Verdana" w:hAnsi="Verdana"/>
                <w:sz w:val="22"/>
                <w:szCs w:val="22"/>
              </w:rPr>
            </w:pPr>
            <w:r w:rsidRPr="007C1A0A">
              <w:rPr>
                <w:rFonts w:ascii="Verdana" w:hAnsi="Verdana"/>
                <w:sz w:val="22"/>
                <w:szCs w:val="22"/>
              </w:rPr>
              <w:t>Operations</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C1A0A" w:rsidRPr="007C1A0A" w:rsidRDefault="007C1A0A" w:rsidP="007C1A0A">
            <w:pPr>
              <w:jc w:val="right"/>
              <w:rPr>
                <w:rFonts w:ascii="Verdana" w:hAnsi="Verdana"/>
                <w:sz w:val="22"/>
                <w:szCs w:val="22"/>
              </w:rPr>
            </w:pPr>
            <w:r w:rsidRPr="007C1A0A">
              <w:rPr>
                <w:rFonts w:ascii="Verdana" w:hAnsi="Verdana"/>
                <w:sz w:val="22"/>
                <w:szCs w:val="22"/>
              </w:rPr>
              <w:t xml:space="preserve">0.7 </w:t>
            </w:r>
          </w:p>
        </w:tc>
        <w:tc>
          <w:tcPr>
            <w:tcW w:w="1250" w:type="dxa"/>
            <w:tcBorders>
              <w:top w:val="nil"/>
              <w:left w:val="nil"/>
              <w:bottom w:val="single" w:sz="4" w:space="0" w:color="auto"/>
              <w:right w:val="nil"/>
            </w:tcBorders>
            <w:shd w:val="clear" w:color="auto" w:fill="auto"/>
            <w:noWrap/>
            <w:vAlign w:val="center"/>
            <w:hideMark/>
          </w:tcPr>
          <w:p w:rsidR="007C1A0A" w:rsidRPr="007C1A0A" w:rsidRDefault="007C1A0A" w:rsidP="007C1A0A">
            <w:pPr>
              <w:jc w:val="right"/>
              <w:rPr>
                <w:rFonts w:ascii="Verdana" w:hAnsi="Verdana"/>
                <w:sz w:val="22"/>
                <w:szCs w:val="22"/>
              </w:rPr>
            </w:pPr>
            <w:r w:rsidRPr="007C1A0A">
              <w:rPr>
                <w:rFonts w:ascii="Verdana" w:hAnsi="Verdana"/>
                <w:sz w:val="22"/>
                <w:szCs w:val="22"/>
              </w:rPr>
              <w:t xml:space="preserve">1.1 </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7C1A0A" w:rsidRPr="007C1A0A" w:rsidRDefault="007C1A0A" w:rsidP="00AA2A89">
            <w:pPr>
              <w:jc w:val="right"/>
              <w:rPr>
                <w:rFonts w:ascii="Verdana" w:hAnsi="Verdana"/>
                <w:sz w:val="22"/>
                <w:szCs w:val="22"/>
              </w:rPr>
            </w:pPr>
            <w:r w:rsidRPr="007C1A0A">
              <w:rPr>
                <w:rFonts w:ascii="Verdana" w:hAnsi="Verdana"/>
                <w:sz w:val="22"/>
                <w:szCs w:val="22"/>
              </w:rPr>
              <w:t xml:space="preserve">(0.4) </w:t>
            </w:r>
          </w:p>
        </w:tc>
        <w:tc>
          <w:tcPr>
            <w:tcW w:w="1017" w:type="dxa"/>
            <w:tcBorders>
              <w:top w:val="nil"/>
              <w:left w:val="nil"/>
              <w:bottom w:val="nil"/>
              <w:right w:val="single" w:sz="4" w:space="0" w:color="auto"/>
            </w:tcBorders>
            <w:shd w:val="clear" w:color="auto" w:fill="auto"/>
            <w:noWrap/>
            <w:vAlign w:val="center"/>
            <w:hideMark/>
          </w:tcPr>
          <w:p w:rsidR="007C1A0A" w:rsidRPr="007C1A0A" w:rsidRDefault="007C1A0A" w:rsidP="00AA2A89">
            <w:pPr>
              <w:jc w:val="right"/>
              <w:rPr>
                <w:rFonts w:ascii="Verdana" w:hAnsi="Verdana"/>
                <w:sz w:val="22"/>
                <w:szCs w:val="22"/>
              </w:rPr>
            </w:pPr>
            <w:r w:rsidRPr="007C1A0A">
              <w:rPr>
                <w:rFonts w:ascii="Verdana" w:hAnsi="Verdana"/>
                <w:sz w:val="22"/>
                <w:szCs w:val="22"/>
              </w:rPr>
              <w:t>(36%)</w:t>
            </w:r>
          </w:p>
        </w:tc>
      </w:tr>
      <w:tr w:rsidR="007C1A0A" w:rsidRPr="007C1A0A" w:rsidTr="00664CC3">
        <w:trPr>
          <w:trHeight w:val="275"/>
        </w:trPr>
        <w:tc>
          <w:tcPr>
            <w:tcW w:w="2091" w:type="dxa"/>
            <w:tcBorders>
              <w:top w:val="nil"/>
              <w:left w:val="single" w:sz="4" w:space="0" w:color="auto"/>
              <w:bottom w:val="single" w:sz="4" w:space="0" w:color="auto"/>
              <w:right w:val="nil"/>
            </w:tcBorders>
            <w:shd w:val="clear" w:color="auto" w:fill="auto"/>
            <w:noWrap/>
            <w:vAlign w:val="center"/>
            <w:hideMark/>
          </w:tcPr>
          <w:p w:rsidR="007C1A0A" w:rsidRPr="00736E5C" w:rsidRDefault="007C1A0A" w:rsidP="007C1A0A">
            <w:pPr>
              <w:rPr>
                <w:rFonts w:ascii="Verdana" w:hAnsi="Verdana"/>
                <w:b/>
                <w:sz w:val="22"/>
                <w:szCs w:val="22"/>
              </w:rPr>
            </w:pPr>
            <w:r w:rsidRPr="00736E5C">
              <w:rPr>
                <w:rFonts w:ascii="Verdana" w:hAnsi="Verdana"/>
                <w:b/>
                <w:sz w:val="22"/>
                <w:szCs w:val="22"/>
              </w:rPr>
              <w:t>Total</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7C1A0A" w:rsidRPr="00736E5C" w:rsidRDefault="007C1A0A" w:rsidP="007C1A0A">
            <w:pPr>
              <w:jc w:val="right"/>
              <w:rPr>
                <w:rFonts w:ascii="Verdana" w:hAnsi="Verdana"/>
                <w:b/>
                <w:sz w:val="22"/>
                <w:szCs w:val="22"/>
              </w:rPr>
            </w:pPr>
            <w:r w:rsidRPr="00736E5C">
              <w:rPr>
                <w:rFonts w:ascii="Verdana" w:hAnsi="Verdana"/>
                <w:b/>
                <w:sz w:val="22"/>
                <w:szCs w:val="22"/>
              </w:rPr>
              <w:t xml:space="preserve">9.4 </w:t>
            </w:r>
          </w:p>
        </w:tc>
        <w:tc>
          <w:tcPr>
            <w:tcW w:w="1250" w:type="dxa"/>
            <w:tcBorders>
              <w:top w:val="nil"/>
              <w:left w:val="nil"/>
              <w:bottom w:val="single" w:sz="4" w:space="0" w:color="auto"/>
              <w:right w:val="nil"/>
            </w:tcBorders>
            <w:shd w:val="clear" w:color="auto" w:fill="auto"/>
            <w:noWrap/>
            <w:vAlign w:val="center"/>
            <w:hideMark/>
          </w:tcPr>
          <w:p w:rsidR="007C1A0A" w:rsidRPr="00736E5C" w:rsidRDefault="007C1A0A" w:rsidP="007C1A0A">
            <w:pPr>
              <w:jc w:val="right"/>
              <w:rPr>
                <w:rFonts w:ascii="Verdana" w:hAnsi="Verdana"/>
                <w:b/>
                <w:sz w:val="22"/>
                <w:szCs w:val="22"/>
              </w:rPr>
            </w:pPr>
            <w:r w:rsidRPr="00736E5C">
              <w:rPr>
                <w:rFonts w:ascii="Verdana" w:hAnsi="Verdana"/>
                <w:b/>
                <w:sz w:val="22"/>
                <w:szCs w:val="22"/>
              </w:rPr>
              <w:t xml:space="preserve">20.7 </w:t>
            </w:r>
          </w:p>
        </w:tc>
        <w:tc>
          <w:tcPr>
            <w:tcW w:w="927" w:type="dxa"/>
            <w:tcBorders>
              <w:top w:val="nil"/>
              <w:left w:val="single" w:sz="4" w:space="0" w:color="auto"/>
              <w:bottom w:val="single" w:sz="4" w:space="0" w:color="auto"/>
              <w:right w:val="single" w:sz="4" w:space="0" w:color="auto"/>
            </w:tcBorders>
            <w:shd w:val="clear" w:color="auto" w:fill="auto"/>
            <w:noWrap/>
            <w:vAlign w:val="center"/>
            <w:hideMark/>
          </w:tcPr>
          <w:p w:rsidR="007C1A0A" w:rsidRPr="00736E5C" w:rsidRDefault="007C1A0A" w:rsidP="00AA2A89">
            <w:pPr>
              <w:jc w:val="right"/>
              <w:rPr>
                <w:rFonts w:ascii="Verdana" w:hAnsi="Verdana"/>
                <w:b/>
                <w:sz w:val="22"/>
                <w:szCs w:val="22"/>
              </w:rPr>
            </w:pPr>
            <w:r w:rsidRPr="00736E5C">
              <w:rPr>
                <w:rFonts w:ascii="Verdana" w:hAnsi="Verdana"/>
                <w:b/>
                <w:sz w:val="22"/>
                <w:szCs w:val="22"/>
              </w:rPr>
              <w:t xml:space="preserve">(11.3) </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7C1A0A" w:rsidRPr="00736E5C" w:rsidRDefault="007C1A0A" w:rsidP="00AA2A89">
            <w:pPr>
              <w:jc w:val="right"/>
              <w:rPr>
                <w:rFonts w:ascii="Verdana" w:hAnsi="Verdana"/>
                <w:b/>
                <w:sz w:val="22"/>
                <w:szCs w:val="22"/>
              </w:rPr>
            </w:pPr>
            <w:r w:rsidRPr="00736E5C">
              <w:rPr>
                <w:rFonts w:ascii="Verdana" w:hAnsi="Verdana"/>
                <w:b/>
                <w:sz w:val="22"/>
                <w:szCs w:val="22"/>
              </w:rPr>
              <w:t>(55%)</w:t>
            </w:r>
          </w:p>
        </w:tc>
      </w:tr>
    </w:tbl>
    <w:p w:rsidR="00F227D9" w:rsidRPr="00943794" w:rsidRDefault="00F227D9" w:rsidP="00F227D9">
      <w:pPr>
        <w:pStyle w:val="Normal0"/>
        <w:jc w:val="center"/>
        <w:rPr>
          <w:rFonts w:ascii="Verdana" w:eastAsia="Times New Roman" w:hAnsi="Verdana" w:cs="Arial"/>
          <w:sz w:val="22"/>
          <w:szCs w:val="22"/>
          <w:highlight w:val="yellow"/>
          <w:lang w:val="en-GB" w:eastAsia="en-GB"/>
        </w:rPr>
      </w:pPr>
    </w:p>
    <w:p w:rsidR="00F227D9" w:rsidRPr="00F52015" w:rsidRDefault="00F227D9" w:rsidP="00F227D9">
      <w:pPr>
        <w:pStyle w:val="Normal0"/>
        <w:jc w:val="both"/>
        <w:rPr>
          <w:rFonts w:ascii="Verdana" w:eastAsia="Times New Roman" w:hAnsi="Verdana" w:cs="Arial"/>
          <w:b/>
          <w:sz w:val="22"/>
          <w:szCs w:val="22"/>
          <w:lang w:val="en-GB" w:eastAsia="en-GB"/>
        </w:rPr>
      </w:pPr>
      <w:r w:rsidRPr="00F52015">
        <w:rPr>
          <w:rFonts w:ascii="Verdana" w:eastAsia="Times New Roman" w:hAnsi="Verdana" w:cs="Arial"/>
          <w:b/>
          <w:sz w:val="22"/>
          <w:szCs w:val="22"/>
          <w:lang w:val="en-GB" w:eastAsia="en-GB"/>
        </w:rPr>
        <w:t>Balance Sheet</w:t>
      </w:r>
    </w:p>
    <w:p w:rsidR="00F227D9" w:rsidRPr="00F52015" w:rsidRDefault="00F227D9" w:rsidP="00F227D9">
      <w:pPr>
        <w:pStyle w:val="Normal0"/>
        <w:rPr>
          <w:rFonts w:ascii="Verdana" w:eastAsia="Times New Roman" w:hAnsi="Verdana" w:cs="Arial"/>
          <w:sz w:val="22"/>
          <w:szCs w:val="22"/>
          <w:lang w:val="en-GB" w:eastAsia="en-GB"/>
        </w:rPr>
      </w:pPr>
    </w:p>
    <w:p w:rsidR="00F227D9" w:rsidRDefault="00F227D9" w:rsidP="00F227D9">
      <w:pPr>
        <w:pStyle w:val="Normal0"/>
        <w:rPr>
          <w:rFonts w:ascii="Verdana" w:eastAsia="Times New Roman" w:hAnsi="Verdana" w:cs="Arial"/>
          <w:sz w:val="22"/>
          <w:szCs w:val="22"/>
          <w:lang w:val="en-GB" w:eastAsia="en-GB"/>
        </w:rPr>
      </w:pPr>
      <w:r w:rsidRPr="00F52015">
        <w:rPr>
          <w:rFonts w:ascii="Verdana" w:eastAsia="Times New Roman" w:hAnsi="Verdana" w:cs="Arial"/>
          <w:sz w:val="22"/>
          <w:szCs w:val="22"/>
          <w:lang w:val="en-GB" w:eastAsia="en-GB"/>
        </w:rPr>
        <w:t>The balance sheet shows the value of the recognised assets and liabilities. The net liabilities are matched by the reserves held.</w:t>
      </w:r>
    </w:p>
    <w:p w:rsidR="00F52015" w:rsidRPr="00F52015" w:rsidRDefault="00F52015" w:rsidP="00F227D9">
      <w:pPr>
        <w:pStyle w:val="Normal0"/>
        <w:rPr>
          <w:rFonts w:ascii="Verdana" w:eastAsia="Times New Roman" w:hAnsi="Verdana" w:cs="Arial"/>
          <w:sz w:val="22"/>
          <w:szCs w:val="22"/>
          <w:lang w:val="en-GB" w:eastAsia="en-GB"/>
        </w:rPr>
      </w:pPr>
    </w:p>
    <w:tbl>
      <w:tblPr>
        <w:tblW w:w="7895" w:type="dxa"/>
        <w:tblInd w:w="1450" w:type="dxa"/>
        <w:tblLook w:val="04A0" w:firstRow="1" w:lastRow="0" w:firstColumn="1" w:lastColumn="0" w:noHBand="0" w:noVBand="1"/>
      </w:tblPr>
      <w:tblGrid>
        <w:gridCol w:w="3397"/>
        <w:gridCol w:w="1593"/>
        <w:gridCol w:w="1701"/>
        <w:gridCol w:w="1226"/>
      </w:tblGrid>
      <w:tr w:rsidR="00F52015" w:rsidRPr="001549C7" w:rsidTr="00F52015">
        <w:trPr>
          <w:trHeight w:val="360"/>
        </w:trPr>
        <w:tc>
          <w:tcPr>
            <w:tcW w:w="7895"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52015" w:rsidRPr="00736E5C" w:rsidRDefault="00F52015" w:rsidP="00F52015">
            <w:pPr>
              <w:jc w:val="center"/>
              <w:rPr>
                <w:rFonts w:ascii="Calibri" w:hAnsi="Calibri"/>
                <w:b/>
                <w:color w:val="000000"/>
                <w:sz w:val="22"/>
                <w:szCs w:val="22"/>
              </w:rPr>
            </w:pPr>
            <w:r w:rsidRPr="00736E5C">
              <w:rPr>
                <w:rFonts w:ascii="Calibri" w:hAnsi="Calibri"/>
                <w:b/>
                <w:color w:val="000000"/>
                <w:sz w:val="22"/>
                <w:szCs w:val="22"/>
              </w:rPr>
              <w:t>Chief Constable's Balance Sheet</w:t>
            </w:r>
          </w:p>
        </w:tc>
      </w:tr>
      <w:tr w:rsidR="00F52015" w:rsidRPr="001549C7" w:rsidTr="00F52015">
        <w:trPr>
          <w:trHeight w:val="554"/>
        </w:trPr>
        <w:tc>
          <w:tcPr>
            <w:tcW w:w="3397" w:type="dxa"/>
            <w:tcBorders>
              <w:top w:val="nil"/>
              <w:left w:val="single" w:sz="4" w:space="0" w:color="auto"/>
              <w:bottom w:val="single" w:sz="4" w:space="0" w:color="auto"/>
              <w:right w:val="nil"/>
            </w:tcBorders>
            <w:shd w:val="clear" w:color="000000" w:fill="FFFFFF"/>
            <w:noWrap/>
            <w:vAlign w:val="bottom"/>
            <w:hideMark/>
          </w:tcPr>
          <w:p w:rsidR="00F52015" w:rsidRPr="001549C7" w:rsidRDefault="00F52015" w:rsidP="00F52015">
            <w:pPr>
              <w:rPr>
                <w:rFonts w:ascii="Calibri" w:hAnsi="Calibri"/>
                <w:color w:val="000000"/>
                <w:sz w:val="22"/>
                <w:szCs w:val="22"/>
              </w:rPr>
            </w:pPr>
            <w:r w:rsidRPr="001549C7">
              <w:rPr>
                <w:rFonts w:ascii="Calibri" w:hAnsi="Calibri"/>
                <w:color w:val="000000"/>
                <w:sz w:val="22"/>
                <w:szCs w:val="22"/>
              </w:rPr>
              <w:t> </w:t>
            </w:r>
          </w:p>
        </w:tc>
        <w:tc>
          <w:tcPr>
            <w:tcW w:w="1593" w:type="dxa"/>
            <w:tcBorders>
              <w:top w:val="nil"/>
              <w:left w:val="single" w:sz="4" w:space="0" w:color="auto"/>
              <w:bottom w:val="single" w:sz="4" w:space="0" w:color="auto"/>
              <w:right w:val="nil"/>
            </w:tcBorders>
            <w:shd w:val="clear" w:color="000000" w:fill="FFFFFF"/>
            <w:vAlign w:val="bottom"/>
            <w:hideMark/>
          </w:tcPr>
          <w:p w:rsidR="00F52015" w:rsidRPr="00736E5C" w:rsidRDefault="00F52015" w:rsidP="00F52015">
            <w:pPr>
              <w:jc w:val="center"/>
              <w:rPr>
                <w:rFonts w:ascii="Calibri" w:hAnsi="Calibri"/>
                <w:b/>
                <w:color w:val="000000"/>
                <w:sz w:val="22"/>
                <w:szCs w:val="22"/>
              </w:rPr>
            </w:pPr>
            <w:r w:rsidRPr="00736E5C">
              <w:rPr>
                <w:rFonts w:ascii="Calibri" w:hAnsi="Calibri"/>
                <w:b/>
                <w:color w:val="000000"/>
                <w:sz w:val="22"/>
                <w:szCs w:val="22"/>
              </w:rPr>
              <w:t>31 March 2020</w:t>
            </w:r>
          </w:p>
          <w:p w:rsidR="00F52015" w:rsidRPr="001549C7" w:rsidRDefault="00F52015" w:rsidP="00F52015">
            <w:pPr>
              <w:jc w:val="center"/>
              <w:rPr>
                <w:rFonts w:ascii="Calibri" w:hAnsi="Calibri"/>
                <w:color w:val="000000"/>
                <w:sz w:val="22"/>
                <w:szCs w:val="22"/>
              </w:rPr>
            </w:pPr>
            <w:r w:rsidRPr="00736E5C">
              <w:rPr>
                <w:rFonts w:ascii="Calibri" w:hAnsi="Calibri"/>
                <w:b/>
                <w:color w:val="000000"/>
                <w:sz w:val="22"/>
                <w:szCs w:val="22"/>
              </w:rPr>
              <w:t xml:space="preserve">      £m</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rsidR="00F52015" w:rsidRPr="00736E5C" w:rsidRDefault="00F52015" w:rsidP="00F52015">
            <w:pPr>
              <w:jc w:val="center"/>
              <w:rPr>
                <w:rFonts w:ascii="Calibri" w:hAnsi="Calibri"/>
                <w:b/>
                <w:color w:val="000000"/>
                <w:sz w:val="22"/>
                <w:szCs w:val="22"/>
              </w:rPr>
            </w:pPr>
            <w:r w:rsidRPr="00736E5C">
              <w:rPr>
                <w:rFonts w:ascii="Calibri" w:hAnsi="Calibri"/>
                <w:b/>
                <w:color w:val="000000"/>
                <w:sz w:val="22"/>
                <w:szCs w:val="22"/>
              </w:rPr>
              <w:t>31 March 2019      £m</w:t>
            </w:r>
          </w:p>
        </w:tc>
        <w:tc>
          <w:tcPr>
            <w:tcW w:w="1204" w:type="dxa"/>
            <w:tcBorders>
              <w:top w:val="nil"/>
              <w:left w:val="nil"/>
              <w:bottom w:val="single" w:sz="4" w:space="0" w:color="auto"/>
              <w:right w:val="single" w:sz="4" w:space="0" w:color="auto"/>
            </w:tcBorders>
            <w:shd w:val="clear" w:color="000000" w:fill="FFFFFF"/>
            <w:vAlign w:val="bottom"/>
            <w:hideMark/>
          </w:tcPr>
          <w:p w:rsidR="00F52015" w:rsidRPr="00736E5C" w:rsidRDefault="00F52015" w:rsidP="00F52015">
            <w:pPr>
              <w:jc w:val="center"/>
              <w:rPr>
                <w:rFonts w:ascii="Calibri" w:hAnsi="Calibri"/>
                <w:b/>
                <w:color w:val="000000"/>
                <w:sz w:val="22"/>
                <w:szCs w:val="22"/>
              </w:rPr>
            </w:pPr>
            <w:r w:rsidRPr="00736E5C">
              <w:rPr>
                <w:rFonts w:ascii="Calibri" w:hAnsi="Calibri"/>
                <w:b/>
                <w:color w:val="000000"/>
                <w:sz w:val="22"/>
                <w:szCs w:val="22"/>
              </w:rPr>
              <w:t>Movement £m</w:t>
            </w:r>
          </w:p>
        </w:tc>
      </w:tr>
      <w:tr w:rsidR="00F52015" w:rsidRPr="001549C7" w:rsidTr="00F52015">
        <w:trPr>
          <w:trHeight w:val="277"/>
        </w:trPr>
        <w:tc>
          <w:tcPr>
            <w:tcW w:w="3397" w:type="dxa"/>
            <w:tcBorders>
              <w:top w:val="nil"/>
              <w:left w:val="single" w:sz="4" w:space="0" w:color="auto"/>
              <w:bottom w:val="nil"/>
              <w:right w:val="nil"/>
            </w:tcBorders>
            <w:shd w:val="clear" w:color="000000" w:fill="FFFFFF"/>
            <w:noWrap/>
            <w:vAlign w:val="center"/>
            <w:hideMark/>
          </w:tcPr>
          <w:p w:rsidR="00F52015" w:rsidRPr="001549C7" w:rsidRDefault="00F52015" w:rsidP="00F52015">
            <w:pPr>
              <w:ind w:firstLineChars="100" w:firstLine="220"/>
              <w:rPr>
                <w:rFonts w:ascii="Calibri" w:hAnsi="Calibri"/>
                <w:color w:val="000000"/>
                <w:sz w:val="22"/>
                <w:szCs w:val="22"/>
              </w:rPr>
            </w:pPr>
            <w:r w:rsidRPr="001549C7">
              <w:rPr>
                <w:rFonts w:ascii="Calibri" w:hAnsi="Calibri"/>
                <w:color w:val="000000"/>
                <w:sz w:val="22"/>
                <w:szCs w:val="22"/>
              </w:rPr>
              <w:t xml:space="preserve">Current Assets </w:t>
            </w:r>
          </w:p>
        </w:tc>
        <w:tc>
          <w:tcPr>
            <w:tcW w:w="1593" w:type="dxa"/>
            <w:tcBorders>
              <w:top w:val="nil"/>
              <w:left w:val="single" w:sz="4" w:space="0" w:color="auto"/>
              <w:bottom w:val="nil"/>
              <w:right w:val="nil"/>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0.1</w:t>
            </w:r>
          </w:p>
        </w:tc>
        <w:tc>
          <w:tcPr>
            <w:tcW w:w="1701" w:type="dxa"/>
            <w:tcBorders>
              <w:top w:val="nil"/>
              <w:left w:val="single" w:sz="4" w:space="0" w:color="auto"/>
              <w:bottom w:val="nil"/>
              <w:right w:val="single" w:sz="4" w:space="0" w:color="auto"/>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0.1</w:t>
            </w:r>
          </w:p>
        </w:tc>
        <w:tc>
          <w:tcPr>
            <w:tcW w:w="1204" w:type="dxa"/>
            <w:tcBorders>
              <w:top w:val="nil"/>
              <w:left w:val="nil"/>
              <w:bottom w:val="nil"/>
              <w:right w:val="single" w:sz="4" w:space="0" w:color="auto"/>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0.0</w:t>
            </w:r>
          </w:p>
        </w:tc>
      </w:tr>
      <w:tr w:rsidR="00F52015" w:rsidRPr="001549C7" w:rsidTr="00F52015">
        <w:trPr>
          <w:trHeight w:val="277"/>
        </w:trPr>
        <w:tc>
          <w:tcPr>
            <w:tcW w:w="3397" w:type="dxa"/>
            <w:tcBorders>
              <w:top w:val="nil"/>
              <w:left w:val="single" w:sz="4" w:space="0" w:color="auto"/>
              <w:bottom w:val="nil"/>
              <w:right w:val="nil"/>
            </w:tcBorders>
            <w:shd w:val="clear" w:color="000000" w:fill="FFFFFF"/>
            <w:noWrap/>
            <w:vAlign w:val="center"/>
            <w:hideMark/>
          </w:tcPr>
          <w:p w:rsidR="00F52015" w:rsidRPr="001549C7" w:rsidRDefault="00F52015" w:rsidP="00F52015">
            <w:pPr>
              <w:ind w:firstLineChars="100" w:firstLine="220"/>
              <w:rPr>
                <w:rFonts w:ascii="Calibri" w:hAnsi="Calibri"/>
                <w:color w:val="000000"/>
                <w:sz w:val="22"/>
                <w:szCs w:val="22"/>
              </w:rPr>
            </w:pPr>
            <w:r w:rsidRPr="001549C7">
              <w:rPr>
                <w:rFonts w:ascii="Calibri" w:hAnsi="Calibri"/>
                <w:color w:val="000000"/>
                <w:sz w:val="22"/>
                <w:szCs w:val="22"/>
              </w:rPr>
              <w:t>Current Liabilities</w:t>
            </w:r>
          </w:p>
        </w:tc>
        <w:tc>
          <w:tcPr>
            <w:tcW w:w="1593" w:type="dxa"/>
            <w:tcBorders>
              <w:top w:val="nil"/>
              <w:left w:val="single" w:sz="4" w:space="0" w:color="auto"/>
              <w:bottom w:val="nil"/>
              <w:right w:val="nil"/>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(1.2)</w:t>
            </w:r>
          </w:p>
        </w:tc>
        <w:tc>
          <w:tcPr>
            <w:tcW w:w="1701" w:type="dxa"/>
            <w:tcBorders>
              <w:top w:val="nil"/>
              <w:left w:val="single" w:sz="4" w:space="0" w:color="auto"/>
              <w:bottom w:val="nil"/>
              <w:right w:val="single" w:sz="4" w:space="0" w:color="auto"/>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(1.0)</w:t>
            </w:r>
          </w:p>
        </w:tc>
        <w:tc>
          <w:tcPr>
            <w:tcW w:w="1204" w:type="dxa"/>
            <w:tcBorders>
              <w:top w:val="nil"/>
              <w:left w:val="nil"/>
              <w:bottom w:val="nil"/>
              <w:right w:val="single" w:sz="4" w:space="0" w:color="auto"/>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(0.2)</w:t>
            </w:r>
          </w:p>
        </w:tc>
      </w:tr>
      <w:tr w:rsidR="00F52015" w:rsidRPr="001549C7" w:rsidTr="00F52015">
        <w:trPr>
          <w:trHeight w:val="277"/>
        </w:trPr>
        <w:tc>
          <w:tcPr>
            <w:tcW w:w="3397" w:type="dxa"/>
            <w:tcBorders>
              <w:top w:val="nil"/>
              <w:left w:val="single" w:sz="4" w:space="0" w:color="auto"/>
              <w:bottom w:val="nil"/>
              <w:right w:val="nil"/>
            </w:tcBorders>
            <w:shd w:val="clear" w:color="000000" w:fill="FFFFFF"/>
            <w:noWrap/>
            <w:vAlign w:val="center"/>
            <w:hideMark/>
          </w:tcPr>
          <w:p w:rsidR="00F52015" w:rsidRPr="001549C7" w:rsidRDefault="00F52015" w:rsidP="00F52015">
            <w:pPr>
              <w:ind w:firstLineChars="100" w:firstLine="220"/>
              <w:rPr>
                <w:rFonts w:ascii="Calibri" w:hAnsi="Calibri"/>
                <w:color w:val="000000"/>
                <w:sz w:val="22"/>
                <w:szCs w:val="22"/>
              </w:rPr>
            </w:pPr>
            <w:r w:rsidRPr="001549C7">
              <w:rPr>
                <w:rFonts w:ascii="Calibri" w:hAnsi="Calibri"/>
                <w:color w:val="000000"/>
                <w:sz w:val="22"/>
                <w:szCs w:val="22"/>
              </w:rPr>
              <w:t>Long term Liabilities</w:t>
            </w:r>
          </w:p>
        </w:tc>
        <w:tc>
          <w:tcPr>
            <w:tcW w:w="1593" w:type="dxa"/>
            <w:tcBorders>
              <w:top w:val="nil"/>
              <w:left w:val="single" w:sz="4" w:space="0" w:color="auto"/>
              <w:bottom w:val="nil"/>
              <w:right w:val="nil"/>
            </w:tcBorders>
            <w:shd w:val="clear" w:color="000000" w:fill="FFFFFF"/>
            <w:noWrap/>
            <w:vAlign w:val="center"/>
            <w:hideMark/>
          </w:tcPr>
          <w:p w:rsidR="00F52015" w:rsidRPr="001549C7" w:rsidRDefault="00F52015">
            <w:pPr>
              <w:ind w:firstLineChars="100" w:firstLine="220"/>
              <w:jc w:val="right"/>
              <w:rPr>
                <w:rFonts w:ascii="Calibri" w:hAnsi="Calibri"/>
                <w:color w:val="000000"/>
                <w:sz w:val="22"/>
                <w:szCs w:val="22"/>
              </w:rPr>
            </w:pPr>
            <w:r w:rsidRPr="001549C7">
              <w:rPr>
                <w:rFonts w:ascii="Calibri" w:hAnsi="Calibri"/>
                <w:color w:val="000000"/>
                <w:sz w:val="22"/>
                <w:szCs w:val="22"/>
              </w:rPr>
              <w:t>(2</w:t>
            </w:r>
            <w:r w:rsidR="00745D0C">
              <w:rPr>
                <w:rFonts w:ascii="Calibri" w:hAnsi="Calibri"/>
                <w:color w:val="000000"/>
                <w:sz w:val="22"/>
                <w:szCs w:val="22"/>
              </w:rPr>
              <w:t>,</w:t>
            </w:r>
            <w:r w:rsidRPr="001549C7">
              <w:rPr>
                <w:rFonts w:ascii="Calibri" w:hAnsi="Calibri"/>
                <w:color w:val="000000"/>
                <w:sz w:val="22"/>
                <w:szCs w:val="22"/>
              </w:rPr>
              <w:t>0</w:t>
            </w:r>
            <w:r w:rsidR="00745D0C">
              <w:rPr>
                <w:rFonts w:ascii="Calibri" w:hAnsi="Calibri"/>
                <w:color w:val="000000"/>
                <w:sz w:val="22"/>
                <w:szCs w:val="22"/>
              </w:rPr>
              <w:t>26</w:t>
            </w:r>
            <w:r w:rsidRPr="001549C7">
              <w:rPr>
                <w:rFonts w:ascii="Calibri" w:hAnsi="Calibri"/>
                <w:color w:val="000000"/>
                <w:sz w:val="22"/>
                <w:szCs w:val="22"/>
              </w:rPr>
              <w:t>.</w:t>
            </w:r>
            <w:r w:rsidR="00D13754">
              <w:rPr>
                <w:rFonts w:ascii="Calibri" w:hAnsi="Calibri"/>
                <w:color w:val="000000"/>
                <w:sz w:val="22"/>
                <w:szCs w:val="22"/>
              </w:rPr>
              <w:t>5</w:t>
            </w:r>
            <w:r w:rsidRPr="001549C7">
              <w:rPr>
                <w:rFonts w:ascii="Calibri" w:hAnsi="Calibri"/>
                <w:color w:val="000000"/>
                <w:sz w:val="22"/>
                <w:szCs w:val="22"/>
              </w:rPr>
              <w:t>)</w:t>
            </w:r>
          </w:p>
        </w:tc>
        <w:tc>
          <w:tcPr>
            <w:tcW w:w="1701" w:type="dxa"/>
            <w:tcBorders>
              <w:top w:val="nil"/>
              <w:left w:val="single" w:sz="4" w:space="0" w:color="auto"/>
              <w:bottom w:val="nil"/>
              <w:right w:val="single" w:sz="4" w:space="0" w:color="auto"/>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(2,156.9)</w:t>
            </w:r>
          </w:p>
        </w:tc>
        <w:tc>
          <w:tcPr>
            <w:tcW w:w="1204" w:type="dxa"/>
            <w:tcBorders>
              <w:top w:val="nil"/>
              <w:left w:val="nil"/>
              <w:bottom w:val="nil"/>
              <w:right w:val="single" w:sz="4" w:space="0" w:color="auto"/>
            </w:tcBorders>
            <w:shd w:val="clear" w:color="000000" w:fill="FFFFFF"/>
            <w:noWrap/>
            <w:vAlign w:val="center"/>
            <w:hideMark/>
          </w:tcPr>
          <w:p w:rsidR="00F52015" w:rsidRPr="001549C7" w:rsidRDefault="00F52015">
            <w:pPr>
              <w:ind w:firstLineChars="100" w:firstLine="220"/>
              <w:jc w:val="right"/>
              <w:rPr>
                <w:rFonts w:ascii="Calibri" w:hAnsi="Calibri"/>
                <w:color w:val="000000"/>
                <w:sz w:val="22"/>
                <w:szCs w:val="22"/>
              </w:rPr>
            </w:pPr>
            <w:r w:rsidRPr="001549C7">
              <w:rPr>
                <w:rFonts w:ascii="Calibri" w:hAnsi="Calibri"/>
                <w:color w:val="000000"/>
                <w:sz w:val="22"/>
                <w:szCs w:val="22"/>
              </w:rPr>
              <w:t>1</w:t>
            </w:r>
            <w:r w:rsidR="00745D0C">
              <w:rPr>
                <w:rFonts w:ascii="Calibri" w:hAnsi="Calibri"/>
                <w:color w:val="000000"/>
                <w:sz w:val="22"/>
                <w:szCs w:val="22"/>
              </w:rPr>
              <w:t>30</w:t>
            </w:r>
            <w:r w:rsidRPr="001549C7">
              <w:rPr>
                <w:rFonts w:ascii="Calibri" w:hAnsi="Calibri"/>
                <w:color w:val="000000"/>
                <w:sz w:val="22"/>
                <w:szCs w:val="22"/>
              </w:rPr>
              <w:t>.</w:t>
            </w:r>
            <w:r w:rsidR="00D13754">
              <w:rPr>
                <w:rFonts w:ascii="Calibri" w:hAnsi="Calibri"/>
                <w:color w:val="000000"/>
                <w:sz w:val="22"/>
                <w:szCs w:val="22"/>
              </w:rPr>
              <w:t>4</w:t>
            </w:r>
          </w:p>
        </w:tc>
      </w:tr>
      <w:tr w:rsidR="00F52015" w:rsidRPr="001549C7" w:rsidTr="00F52015">
        <w:trPr>
          <w:trHeight w:val="291"/>
        </w:trPr>
        <w:tc>
          <w:tcPr>
            <w:tcW w:w="3397" w:type="dxa"/>
            <w:tcBorders>
              <w:top w:val="nil"/>
              <w:left w:val="single" w:sz="4" w:space="0" w:color="auto"/>
              <w:bottom w:val="nil"/>
              <w:right w:val="nil"/>
            </w:tcBorders>
            <w:shd w:val="clear" w:color="000000" w:fill="FFFFFF"/>
            <w:noWrap/>
            <w:vAlign w:val="bottom"/>
            <w:hideMark/>
          </w:tcPr>
          <w:p w:rsidR="00F52015" w:rsidRPr="001549C7" w:rsidRDefault="00F52015" w:rsidP="00F52015">
            <w:pPr>
              <w:ind w:firstLineChars="100" w:firstLine="220"/>
              <w:rPr>
                <w:rFonts w:ascii="Calibri" w:hAnsi="Calibri"/>
                <w:color w:val="000000"/>
                <w:sz w:val="22"/>
                <w:szCs w:val="22"/>
              </w:rPr>
            </w:pPr>
            <w:r w:rsidRPr="001549C7">
              <w:rPr>
                <w:rFonts w:ascii="Calibri" w:hAnsi="Calibri"/>
                <w:color w:val="000000"/>
                <w:sz w:val="22"/>
                <w:szCs w:val="22"/>
              </w:rPr>
              <w:t>Net Liabilities</w:t>
            </w:r>
          </w:p>
        </w:tc>
        <w:tc>
          <w:tcPr>
            <w:tcW w:w="1593" w:type="dxa"/>
            <w:tcBorders>
              <w:top w:val="single" w:sz="4" w:space="0" w:color="auto"/>
              <w:left w:val="single" w:sz="4" w:space="0" w:color="auto"/>
              <w:bottom w:val="double" w:sz="6" w:space="0" w:color="auto"/>
              <w:right w:val="nil"/>
            </w:tcBorders>
            <w:shd w:val="clear" w:color="000000" w:fill="FFFFFF"/>
            <w:noWrap/>
            <w:vAlign w:val="bottom"/>
            <w:hideMark/>
          </w:tcPr>
          <w:p w:rsidR="00F52015" w:rsidRPr="001549C7" w:rsidRDefault="00F52015">
            <w:pPr>
              <w:ind w:firstLineChars="100" w:firstLine="220"/>
              <w:jc w:val="right"/>
              <w:rPr>
                <w:rFonts w:ascii="Calibri" w:hAnsi="Calibri"/>
                <w:color w:val="000000"/>
                <w:sz w:val="22"/>
                <w:szCs w:val="22"/>
              </w:rPr>
            </w:pPr>
            <w:r w:rsidRPr="001549C7">
              <w:rPr>
                <w:rFonts w:ascii="Calibri" w:hAnsi="Calibri"/>
                <w:color w:val="000000"/>
                <w:sz w:val="22"/>
                <w:szCs w:val="22"/>
              </w:rPr>
              <w:t>(2,0</w:t>
            </w:r>
            <w:r w:rsidR="00745D0C">
              <w:rPr>
                <w:rFonts w:ascii="Calibri" w:hAnsi="Calibri"/>
                <w:color w:val="000000"/>
                <w:sz w:val="22"/>
                <w:szCs w:val="22"/>
              </w:rPr>
              <w:t>27</w:t>
            </w:r>
            <w:r w:rsidRPr="001549C7">
              <w:rPr>
                <w:rFonts w:ascii="Calibri" w:hAnsi="Calibri"/>
                <w:color w:val="000000"/>
                <w:sz w:val="22"/>
                <w:szCs w:val="22"/>
              </w:rPr>
              <w:t>.</w:t>
            </w:r>
            <w:r w:rsidR="00745D0C">
              <w:rPr>
                <w:rFonts w:ascii="Calibri" w:hAnsi="Calibri"/>
                <w:color w:val="000000"/>
                <w:sz w:val="22"/>
                <w:szCs w:val="22"/>
              </w:rPr>
              <w:t>6</w:t>
            </w:r>
            <w:r w:rsidRPr="001549C7">
              <w:rPr>
                <w:rFonts w:ascii="Calibri" w:hAnsi="Calibri"/>
                <w:color w:val="000000"/>
                <w:sz w:val="22"/>
                <w:szCs w:val="22"/>
              </w:rPr>
              <w:t>)</w:t>
            </w:r>
          </w:p>
        </w:tc>
        <w:tc>
          <w:tcPr>
            <w:tcW w:w="1701" w:type="dxa"/>
            <w:tcBorders>
              <w:top w:val="single" w:sz="4" w:space="0" w:color="auto"/>
              <w:left w:val="single" w:sz="4" w:space="0" w:color="auto"/>
              <w:bottom w:val="double" w:sz="6" w:space="0" w:color="auto"/>
              <w:right w:val="single" w:sz="4" w:space="0" w:color="auto"/>
            </w:tcBorders>
            <w:shd w:val="clear" w:color="000000" w:fill="FFFFFF"/>
            <w:noWrap/>
            <w:vAlign w:val="bottom"/>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(2,157.8)</w:t>
            </w:r>
          </w:p>
        </w:tc>
        <w:tc>
          <w:tcPr>
            <w:tcW w:w="1204" w:type="dxa"/>
            <w:tcBorders>
              <w:top w:val="single" w:sz="4" w:space="0" w:color="auto"/>
              <w:left w:val="nil"/>
              <w:bottom w:val="double" w:sz="6" w:space="0" w:color="auto"/>
              <w:right w:val="single" w:sz="4" w:space="0" w:color="auto"/>
            </w:tcBorders>
            <w:shd w:val="clear" w:color="000000" w:fill="FFFFFF"/>
            <w:noWrap/>
            <w:vAlign w:val="bottom"/>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1</w:t>
            </w:r>
            <w:r w:rsidR="00D13754">
              <w:rPr>
                <w:rFonts w:ascii="Calibri" w:hAnsi="Calibri"/>
                <w:color w:val="000000"/>
                <w:sz w:val="22"/>
                <w:szCs w:val="22"/>
              </w:rPr>
              <w:t>30.2</w:t>
            </w:r>
          </w:p>
        </w:tc>
      </w:tr>
      <w:tr w:rsidR="00F52015" w:rsidRPr="001549C7" w:rsidTr="00F52015">
        <w:trPr>
          <w:trHeight w:val="55"/>
        </w:trPr>
        <w:tc>
          <w:tcPr>
            <w:tcW w:w="3397" w:type="dxa"/>
            <w:tcBorders>
              <w:top w:val="nil"/>
              <w:left w:val="single" w:sz="4" w:space="0" w:color="auto"/>
              <w:bottom w:val="nil"/>
              <w:right w:val="nil"/>
            </w:tcBorders>
            <w:shd w:val="clear" w:color="000000" w:fill="FFFFFF"/>
            <w:noWrap/>
            <w:vAlign w:val="center"/>
            <w:hideMark/>
          </w:tcPr>
          <w:p w:rsidR="00F52015" w:rsidRPr="001549C7" w:rsidRDefault="00F52015" w:rsidP="00F52015">
            <w:pPr>
              <w:ind w:firstLineChars="100" w:firstLine="220"/>
              <w:rPr>
                <w:rFonts w:ascii="Calibri" w:hAnsi="Calibri"/>
                <w:color w:val="000000"/>
                <w:sz w:val="22"/>
                <w:szCs w:val="22"/>
              </w:rPr>
            </w:pPr>
            <w:r w:rsidRPr="001549C7">
              <w:rPr>
                <w:rFonts w:ascii="Calibri" w:hAnsi="Calibri"/>
                <w:color w:val="000000"/>
                <w:sz w:val="22"/>
                <w:szCs w:val="22"/>
              </w:rPr>
              <w:t> </w:t>
            </w:r>
          </w:p>
        </w:tc>
        <w:tc>
          <w:tcPr>
            <w:tcW w:w="1593" w:type="dxa"/>
            <w:tcBorders>
              <w:top w:val="nil"/>
              <w:left w:val="single" w:sz="4" w:space="0" w:color="auto"/>
              <w:bottom w:val="nil"/>
              <w:right w:val="nil"/>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 </w:t>
            </w:r>
          </w:p>
        </w:tc>
        <w:tc>
          <w:tcPr>
            <w:tcW w:w="1701" w:type="dxa"/>
            <w:tcBorders>
              <w:top w:val="nil"/>
              <w:left w:val="single" w:sz="4" w:space="0" w:color="auto"/>
              <w:bottom w:val="nil"/>
              <w:right w:val="single" w:sz="4" w:space="0" w:color="auto"/>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 </w:t>
            </w:r>
          </w:p>
        </w:tc>
        <w:tc>
          <w:tcPr>
            <w:tcW w:w="1204" w:type="dxa"/>
            <w:tcBorders>
              <w:top w:val="nil"/>
              <w:left w:val="nil"/>
              <w:bottom w:val="nil"/>
              <w:right w:val="single" w:sz="4" w:space="0" w:color="auto"/>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 </w:t>
            </w:r>
          </w:p>
        </w:tc>
      </w:tr>
      <w:tr w:rsidR="00F52015" w:rsidRPr="001549C7" w:rsidTr="00F52015">
        <w:trPr>
          <w:trHeight w:val="277"/>
        </w:trPr>
        <w:tc>
          <w:tcPr>
            <w:tcW w:w="3397" w:type="dxa"/>
            <w:tcBorders>
              <w:top w:val="nil"/>
              <w:left w:val="single" w:sz="4" w:space="0" w:color="auto"/>
              <w:bottom w:val="nil"/>
              <w:right w:val="nil"/>
            </w:tcBorders>
            <w:shd w:val="clear" w:color="000000" w:fill="FFFFFF"/>
            <w:noWrap/>
            <w:vAlign w:val="bottom"/>
            <w:hideMark/>
          </w:tcPr>
          <w:p w:rsidR="00F52015" w:rsidRPr="001549C7" w:rsidRDefault="00F52015" w:rsidP="00F52015">
            <w:pPr>
              <w:ind w:firstLineChars="100" w:firstLine="220"/>
              <w:rPr>
                <w:rFonts w:ascii="Calibri" w:hAnsi="Calibri"/>
                <w:color w:val="000000"/>
                <w:sz w:val="22"/>
                <w:szCs w:val="22"/>
              </w:rPr>
            </w:pPr>
            <w:r w:rsidRPr="001549C7">
              <w:rPr>
                <w:rFonts w:ascii="Calibri" w:hAnsi="Calibri"/>
                <w:color w:val="000000"/>
                <w:sz w:val="22"/>
                <w:szCs w:val="22"/>
              </w:rPr>
              <w:t>Financed by</w:t>
            </w:r>
          </w:p>
        </w:tc>
        <w:tc>
          <w:tcPr>
            <w:tcW w:w="1593" w:type="dxa"/>
            <w:tcBorders>
              <w:top w:val="nil"/>
              <w:left w:val="single" w:sz="4" w:space="0" w:color="auto"/>
              <w:bottom w:val="nil"/>
              <w:right w:val="nil"/>
            </w:tcBorders>
            <w:shd w:val="clear" w:color="000000" w:fill="FFFFFF"/>
            <w:noWrap/>
            <w:vAlign w:val="bottom"/>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 </w:t>
            </w:r>
          </w:p>
        </w:tc>
        <w:tc>
          <w:tcPr>
            <w:tcW w:w="1701" w:type="dxa"/>
            <w:tcBorders>
              <w:top w:val="nil"/>
              <w:left w:val="single" w:sz="4" w:space="0" w:color="auto"/>
              <w:bottom w:val="nil"/>
              <w:right w:val="single" w:sz="4" w:space="0" w:color="auto"/>
            </w:tcBorders>
            <w:shd w:val="clear" w:color="000000" w:fill="FFFFFF"/>
            <w:noWrap/>
            <w:vAlign w:val="bottom"/>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 </w:t>
            </w:r>
          </w:p>
        </w:tc>
        <w:tc>
          <w:tcPr>
            <w:tcW w:w="1204" w:type="dxa"/>
            <w:tcBorders>
              <w:top w:val="nil"/>
              <w:left w:val="nil"/>
              <w:bottom w:val="nil"/>
              <w:right w:val="single" w:sz="4" w:space="0" w:color="auto"/>
            </w:tcBorders>
            <w:shd w:val="clear" w:color="000000" w:fill="FFFFFF"/>
            <w:noWrap/>
            <w:vAlign w:val="bottom"/>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 </w:t>
            </w:r>
          </w:p>
        </w:tc>
      </w:tr>
      <w:tr w:rsidR="00F52015" w:rsidRPr="001549C7" w:rsidTr="00F52015">
        <w:trPr>
          <w:trHeight w:val="277"/>
        </w:trPr>
        <w:tc>
          <w:tcPr>
            <w:tcW w:w="3397" w:type="dxa"/>
            <w:tcBorders>
              <w:top w:val="nil"/>
              <w:left w:val="single" w:sz="4" w:space="0" w:color="auto"/>
              <w:bottom w:val="nil"/>
              <w:right w:val="nil"/>
            </w:tcBorders>
            <w:shd w:val="clear" w:color="000000" w:fill="FFFFFF"/>
            <w:noWrap/>
            <w:vAlign w:val="center"/>
            <w:hideMark/>
          </w:tcPr>
          <w:p w:rsidR="00F52015" w:rsidRPr="001549C7" w:rsidRDefault="00F52015" w:rsidP="00F52015">
            <w:pPr>
              <w:ind w:firstLineChars="100" w:firstLine="220"/>
              <w:rPr>
                <w:rFonts w:ascii="Calibri" w:hAnsi="Calibri"/>
                <w:color w:val="000000"/>
                <w:sz w:val="22"/>
                <w:szCs w:val="22"/>
              </w:rPr>
            </w:pPr>
            <w:r w:rsidRPr="001549C7">
              <w:rPr>
                <w:rFonts w:ascii="Calibri" w:hAnsi="Calibri"/>
                <w:color w:val="000000"/>
                <w:sz w:val="22"/>
                <w:szCs w:val="22"/>
              </w:rPr>
              <w:t>Pensions Reserves</w:t>
            </w:r>
          </w:p>
        </w:tc>
        <w:tc>
          <w:tcPr>
            <w:tcW w:w="1593" w:type="dxa"/>
            <w:tcBorders>
              <w:top w:val="nil"/>
              <w:left w:val="single" w:sz="4" w:space="0" w:color="auto"/>
              <w:bottom w:val="nil"/>
              <w:right w:val="nil"/>
            </w:tcBorders>
            <w:shd w:val="clear" w:color="000000" w:fill="FFFFFF"/>
            <w:noWrap/>
            <w:vAlign w:val="center"/>
            <w:hideMark/>
          </w:tcPr>
          <w:p w:rsidR="00F52015" w:rsidRPr="001549C7" w:rsidRDefault="00F52015">
            <w:pPr>
              <w:ind w:firstLineChars="100" w:firstLine="220"/>
              <w:jc w:val="right"/>
              <w:rPr>
                <w:rFonts w:ascii="Calibri" w:hAnsi="Calibri"/>
                <w:color w:val="000000"/>
                <w:sz w:val="22"/>
                <w:szCs w:val="22"/>
              </w:rPr>
            </w:pPr>
            <w:r w:rsidRPr="001549C7">
              <w:rPr>
                <w:rFonts w:ascii="Calibri" w:hAnsi="Calibri"/>
                <w:color w:val="000000"/>
                <w:sz w:val="22"/>
                <w:szCs w:val="22"/>
              </w:rPr>
              <w:t>(2,0</w:t>
            </w:r>
            <w:r w:rsidR="00745D0C">
              <w:rPr>
                <w:rFonts w:ascii="Calibri" w:hAnsi="Calibri"/>
                <w:color w:val="000000"/>
                <w:sz w:val="22"/>
                <w:szCs w:val="22"/>
              </w:rPr>
              <w:t>26</w:t>
            </w:r>
            <w:r w:rsidRPr="001549C7">
              <w:rPr>
                <w:rFonts w:ascii="Calibri" w:hAnsi="Calibri"/>
                <w:color w:val="000000"/>
                <w:sz w:val="22"/>
                <w:szCs w:val="22"/>
              </w:rPr>
              <w:t>.</w:t>
            </w:r>
            <w:r w:rsidR="00745D0C">
              <w:rPr>
                <w:rFonts w:ascii="Calibri" w:hAnsi="Calibri"/>
                <w:color w:val="000000"/>
                <w:sz w:val="22"/>
                <w:szCs w:val="22"/>
              </w:rPr>
              <w:t>5</w:t>
            </w:r>
            <w:r w:rsidRPr="001549C7">
              <w:rPr>
                <w:rFonts w:ascii="Calibri" w:hAnsi="Calibri"/>
                <w:color w:val="000000"/>
                <w:sz w:val="22"/>
                <w:szCs w:val="22"/>
              </w:rPr>
              <w:t>)</w:t>
            </w:r>
          </w:p>
        </w:tc>
        <w:tc>
          <w:tcPr>
            <w:tcW w:w="1701" w:type="dxa"/>
            <w:tcBorders>
              <w:top w:val="nil"/>
              <w:left w:val="single" w:sz="4" w:space="0" w:color="auto"/>
              <w:bottom w:val="nil"/>
              <w:right w:val="single" w:sz="4" w:space="0" w:color="auto"/>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(2,156.9)</w:t>
            </w:r>
          </w:p>
        </w:tc>
        <w:tc>
          <w:tcPr>
            <w:tcW w:w="1204" w:type="dxa"/>
            <w:tcBorders>
              <w:top w:val="nil"/>
              <w:left w:val="nil"/>
              <w:bottom w:val="nil"/>
              <w:right w:val="single" w:sz="4" w:space="0" w:color="auto"/>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1</w:t>
            </w:r>
            <w:r w:rsidR="00D13754">
              <w:rPr>
                <w:rFonts w:ascii="Calibri" w:hAnsi="Calibri"/>
                <w:color w:val="000000"/>
                <w:sz w:val="22"/>
                <w:szCs w:val="22"/>
              </w:rPr>
              <w:t>30.4</w:t>
            </w:r>
          </w:p>
        </w:tc>
      </w:tr>
      <w:tr w:rsidR="00F52015" w:rsidRPr="001549C7" w:rsidTr="00F52015">
        <w:trPr>
          <w:trHeight w:val="277"/>
        </w:trPr>
        <w:tc>
          <w:tcPr>
            <w:tcW w:w="3397" w:type="dxa"/>
            <w:tcBorders>
              <w:top w:val="nil"/>
              <w:left w:val="single" w:sz="4" w:space="0" w:color="auto"/>
              <w:bottom w:val="nil"/>
              <w:right w:val="nil"/>
            </w:tcBorders>
            <w:shd w:val="clear" w:color="000000" w:fill="FFFFFF"/>
            <w:noWrap/>
            <w:vAlign w:val="center"/>
            <w:hideMark/>
          </w:tcPr>
          <w:p w:rsidR="00F52015" w:rsidRPr="001549C7" w:rsidRDefault="00F52015" w:rsidP="00F52015">
            <w:pPr>
              <w:ind w:firstLineChars="100" w:firstLine="220"/>
              <w:rPr>
                <w:rFonts w:ascii="Calibri" w:hAnsi="Calibri"/>
                <w:color w:val="000000"/>
                <w:sz w:val="22"/>
                <w:szCs w:val="22"/>
              </w:rPr>
            </w:pPr>
            <w:r w:rsidRPr="001549C7">
              <w:rPr>
                <w:rFonts w:ascii="Calibri" w:hAnsi="Calibri"/>
                <w:color w:val="000000"/>
                <w:sz w:val="22"/>
                <w:szCs w:val="22"/>
              </w:rPr>
              <w:t>Accumulated Absences Account</w:t>
            </w:r>
          </w:p>
        </w:tc>
        <w:tc>
          <w:tcPr>
            <w:tcW w:w="1593" w:type="dxa"/>
            <w:tcBorders>
              <w:top w:val="nil"/>
              <w:left w:val="single" w:sz="4" w:space="0" w:color="auto"/>
              <w:bottom w:val="nil"/>
              <w:right w:val="nil"/>
            </w:tcBorders>
            <w:shd w:val="clear" w:color="000000" w:fill="FFFFFF"/>
            <w:noWrap/>
            <w:vAlign w:val="center"/>
            <w:hideMark/>
          </w:tcPr>
          <w:p w:rsidR="00F52015" w:rsidRPr="001549C7" w:rsidRDefault="00F52015">
            <w:pPr>
              <w:ind w:firstLineChars="100" w:firstLine="220"/>
              <w:jc w:val="right"/>
              <w:rPr>
                <w:rFonts w:ascii="Calibri" w:hAnsi="Calibri"/>
                <w:color w:val="000000"/>
                <w:sz w:val="22"/>
                <w:szCs w:val="22"/>
              </w:rPr>
            </w:pPr>
            <w:r w:rsidRPr="001549C7">
              <w:rPr>
                <w:rFonts w:ascii="Calibri" w:hAnsi="Calibri"/>
                <w:color w:val="000000"/>
                <w:sz w:val="22"/>
                <w:szCs w:val="22"/>
              </w:rPr>
              <w:t>(</w:t>
            </w:r>
            <w:r w:rsidR="00745D0C">
              <w:rPr>
                <w:rFonts w:ascii="Calibri" w:hAnsi="Calibri"/>
                <w:color w:val="000000"/>
                <w:sz w:val="22"/>
                <w:szCs w:val="22"/>
              </w:rPr>
              <w:t>1.1</w:t>
            </w:r>
            <w:r w:rsidRPr="001549C7">
              <w:rPr>
                <w:rFonts w:ascii="Calibri" w:hAnsi="Calibri"/>
                <w:color w:val="000000"/>
                <w:sz w:val="22"/>
                <w:szCs w:val="22"/>
              </w:rPr>
              <w:t>)</w:t>
            </w:r>
          </w:p>
        </w:tc>
        <w:tc>
          <w:tcPr>
            <w:tcW w:w="1701" w:type="dxa"/>
            <w:tcBorders>
              <w:top w:val="nil"/>
              <w:left w:val="single" w:sz="4" w:space="0" w:color="auto"/>
              <w:bottom w:val="nil"/>
              <w:right w:val="single" w:sz="4" w:space="0" w:color="auto"/>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(0.9)</w:t>
            </w:r>
          </w:p>
        </w:tc>
        <w:tc>
          <w:tcPr>
            <w:tcW w:w="1204" w:type="dxa"/>
            <w:tcBorders>
              <w:top w:val="nil"/>
              <w:left w:val="nil"/>
              <w:bottom w:val="nil"/>
              <w:right w:val="single" w:sz="4" w:space="0" w:color="auto"/>
            </w:tcBorders>
            <w:shd w:val="clear" w:color="000000" w:fill="FFFFFF"/>
            <w:noWrap/>
            <w:vAlign w:val="center"/>
            <w:hideMark/>
          </w:tcPr>
          <w:p w:rsidR="00F52015" w:rsidRPr="001549C7" w:rsidRDefault="00F52015" w:rsidP="00F52015">
            <w:pPr>
              <w:ind w:firstLineChars="100" w:firstLine="220"/>
              <w:jc w:val="right"/>
              <w:rPr>
                <w:rFonts w:ascii="Calibri" w:hAnsi="Calibri"/>
                <w:color w:val="000000"/>
                <w:sz w:val="22"/>
                <w:szCs w:val="22"/>
              </w:rPr>
            </w:pPr>
            <w:r w:rsidRPr="001549C7">
              <w:rPr>
                <w:rFonts w:ascii="Calibri" w:hAnsi="Calibri"/>
                <w:color w:val="000000"/>
                <w:sz w:val="22"/>
                <w:szCs w:val="22"/>
              </w:rPr>
              <w:t>(0.2)</w:t>
            </w:r>
          </w:p>
        </w:tc>
      </w:tr>
      <w:tr w:rsidR="00F52015" w:rsidRPr="001549C7" w:rsidTr="00F52015">
        <w:trPr>
          <w:trHeight w:val="291"/>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2015" w:rsidRPr="00736E5C" w:rsidRDefault="00F52015" w:rsidP="00F52015">
            <w:pPr>
              <w:ind w:firstLineChars="100" w:firstLine="221"/>
              <w:rPr>
                <w:rFonts w:ascii="Calibri" w:hAnsi="Calibri"/>
                <w:b/>
                <w:color w:val="000000"/>
                <w:sz w:val="22"/>
                <w:szCs w:val="22"/>
              </w:rPr>
            </w:pPr>
            <w:r w:rsidRPr="00736E5C">
              <w:rPr>
                <w:rFonts w:ascii="Calibri" w:hAnsi="Calibri"/>
                <w:b/>
                <w:color w:val="000000"/>
                <w:sz w:val="22"/>
                <w:szCs w:val="22"/>
              </w:rPr>
              <w:t>Total Reserves</w:t>
            </w:r>
          </w:p>
        </w:tc>
        <w:tc>
          <w:tcPr>
            <w:tcW w:w="1593" w:type="dxa"/>
            <w:tcBorders>
              <w:top w:val="single" w:sz="4" w:space="0" w:color="auto"/>
              <w:left w:val="nil"/>
              <w:bottom w:val="double" w:sz="6" w:space="0" w:color="auto"/>
              <w:right w:val="nil"/>
            </w:tcBorders>
            <w:shd w:val="clear" w:color="000000" w:fill="FFFFFF"/>
            <w:noWrap/>
            <w:vAlign w:val="bottom"/>
            <w:hideMark/>
          </w:tcPr>
          <w:p w:rsidR="00F52015" w:rsidRPr="00736E5C" w:rsidRDefault="00F52015">
            <w:pPr>
              <w:ind w:firstLineChars="100" w:firstLine="221"/>
              <w:jc w:val="right"/>
              <w:rPr>
                <w:rFonts w:ascii="Calibri" w:hAnsi="Calibri"/>
                <w:b/>
                <w:color w:val="000000"/>
                <w:sz w:val="22"/>
                <w:szCs w:val="22"/>
              </w:rPr>
            </w:pPr>
            <w:r w:rsidRPr="00736E5C">
              <w:rPr>
                <w:rFonts w:ascii="Calibri" w:hAnsi="Calibri"/>
                <w:b/>
                <w:color w:val="000000"/>
                <w:sz w:val="22"/>
                <w:szCs w:val="22"/>
              </w:rPr>
              <w:t>(2,0</w:t>
            </w:r>
            <w:r w:rsidR="00745D0C">
              <w:rPr>
                <w:rFonts w:ascii="Calibri" w:hAnsi="Calibri"/>
                <w:b/>
                <w:color w:val="000000"/>
                <w:sz w:val="22"/>
                <w:szCs w:val="22"/>
              </w:rPr>
              <w:t>27</w:t>
            </w:r>
            <w:r w:rsidRPr="00736E5C">
              <w:rPr>
                <w:rFonts w:ascii="Calibri" w:hAnsi="Calibri"/>
                <w:b/>
                <w:color w:val="000000"/>
                <w:sz w:val="22"/>
                <w:szCs w:val="22"/>
              </w:rPr>
              <w:t>.</w:t>
            </w:r>
            <w:r w:rsidR="00745D0C">
              <w:rPr>
                <w:rFonts w:ascii="Calibri" w:hAnsi="Calibri"/>
                <w:b/>
                <w:color w:val="000000"/>
                <w:sz w:val="22"/>
                <w:szCs w:val="22"/>
              </w:rPr>
              <w:t>6</w:t>
            </w:r>
            <w:r w:rsidRPr="00736E5C">
              <w:rPr>
                <w:rFonts w:ascii="Calibri" w:hAnsi="Calibri"/>
                <w:b/>
                <w:color w:val="000000"/>
                <w:sz w:val="22"/>
                <w:szCs w:val="22"/>
              </w:rPr>
              <w:t>)</w:t>
            </w:r>
          </w:p>
        </w:tc>
        <w:tc>
          <w:tcPr>
            <w:tcW w:w="1701" w:type="dxa"/>
            <w:tcBorders>
              <w:top w:val="single" w:sz="4" w:space="0" w:color="auto"/>
              <w:left w:val="single" w:sz="4" w:space="0" w:color="auto"/>
              <w:bottom w:val="double" w:sz="6" w:space="0" w:color="auto"/>
              <w:right w:val="single" w:sz="4" w:space="0" w:color="auto"/>
            </w:tcBorders>
            <w:shd w:val="clear" w:color="000000" w:fill="FFFFFF"/>
            <w:noWrap/>
            <w:vAlign w:val="bottom"/>
            <w:hideMark/>
          </w:tcPr>
          <w:p w:rsidR="00F52015" w:rsidRPr="00736E5C" w:rsidRDefault="00F52015" w:rsidP="00F52015">
            <w:pPr>
              <w:ind w:firstLineChars="100" w:firstLine="221"/>
              <w:jc w:val="right"/>
              <w:rPr>
                <w:rFonts w:ascii="Calibri" w:hAnsi="Calibri"/>
                <w:b/>
                <w:color w:val="000000"/>
                <w:sz w:val="22"/>
                <w:szCs w:val="22"/>
              </w:rPr>
            </w:pPr>
            <w:r w:rsidRPr="00736E5C">
              <w:rPr>
                <w:rFonts w:ascii="Calibri" w:hAnsi="Calibri"/>
                <w:b/>
                <w:color w:val="000000"/>
                <w:sz w:val="22"/>
                <w:szCs w:val="22"/>
              </w:rPr>
              <w:t>(2,157.8)</w:t>
            </w:r>
          </w:p>
        </w:tc>
        <w:tc>
          <w:tcPr>
            <w:tcW w:w="1204" w:type="dxa"/>
            <w:tcBorders>
              <w:top w:val="single" w:sz="4" w:space="0" w:color="auto"/>
              <w:left w:val="nil"/>
              <w:bottom w:val="double" w:sz="6" w:space="0" w:color="auto"/>
              <w:right w:val="single" w:sz="4" w:space="0" w:color="auto"/>
            </w:tcBorders>
            <w:shd w:val="clear" w:color="000000" w:fill="FFFFFF"/>
            <w:noWrap/>
            <w:vAlign w:val="bottom"/>
            <w:hideMark/>
          </w:tcPr>
          <w:p w:rsidR="00F52015" w:rsidRPr="00736E5C" w:rsidRDefault="00D13754" w:rsidP="00F52015">
            <w:pPr>
              <w:ind w:firstLineChars="100" w:firstLine="221"/>
              <w:jc w:val="right"/>
              <w:rPr>
                <w:rFonts w:ascii="Calibri" w:hAnsi="Calibri"/>
                <w:b/>
                <w:color w:val="000000"/>
                <w:sz w:val="22"/>
                <w:szCs w:val="22"/>
              </w:rPr>
            </w:pPr>
            <w:r>
              <w:rPr>
                <w:rFonts w:ascii="Calibri" w:hAnsi="Calibri"/>
                <w:b/>
                <w:color w:val="000000"/>
                <w:sz w:val="22"/>
                <w:szCs w:val="22"/>
              </w:rPr>
              <w:t>130.2</w:t>
            </w:r>
          </w:p>
        </w:tc>
      </w:tr>
    </w:tbl>
    <w:p w:rsidR="00A16BF1" w:rsidRDefault="00A16BF1" w:rsidP="00DF5955">
      <w:pPr>
        <w:jc w:val="both"/>
        <w:rPr>
          <w:rFonts w:ascii="Verdana" w:hAnsi="Verdana" w:cs="Arial"/>
          <w:sz w:val="22"/>
          <w:szCs w:val="22"/>
        </w:rPr>
      </w:pPr>
    </w:p>
    <w:p w:rsidR="00DF5955" w:rsidRPr="00505681" w:rsidRDefault="00DF5955" w:rsidP="00DF5955">
      <w:pPr>
        <w:jc w:val="both"/>
        <w:rPr>
          <w:rFonts w:ascii="Verdana" w:hAnsi="Verdana" w:cs="Arial"/>
          <w:sz w:val="22"/>
          <w:szCs w:val="22"/>
        </w:rPr>
      </w:pPr>
      <w:r w:rsidRPr="00505681">
        <w:rPr>
          <w:rFonts w:ascii="Verdana" w:hAnsi="Verdana" w:cs="Arial"/>
          <w:sz w:val="22"/>
          <w:szCs w:val="22"/>
        </w:rPr>
        <w:t>The movement between years was £100.9m. This is predominantly due to an increase in the long term pension liability of £101.1m as a result of the annual actuarial review and changes in assumptions used to estimate future pension cost (due to decreasing bond yields and higher projected pension costs). The only other minor movement relates to the Accumulated Absences accrual provision.</w:t>
      </w:r>
    </w:p>
    <w:p w:rsidR="00F227D9" w:rsidRPr="00DF5955" w:rsidRDefault="00F227D9" w:rsidP="00F227D9">
      <w:pPr>
        <w:pStyle w:val="Normal0"/>
        <w:rPr>
          <w:rFonts w:ascii="Verdana" w:eastAsia="Times New Roman" w:hAnsi="Verdana" w:cs="Arial"/>
          <w:sz w:val="22"/>
          <w:szCs w:val="22"/>
          <w:lang w:val="en-GB" w:eastAsia="en-GB"/>
        </w:rPr>
      </w:pPr>
    </w:p>
    <w:p w:rsidR="00F227D9" w:rsidRPr="00DF5955" w:rsidRDefault="00F227D9" w:rsidP="00F227D9">
      <w:pPr>
        <w:pStyle w:val="Normal0"/>
        <w:rPr>
          <w:rFonts w:ascii="Verdana" w:eastAsia="Times New Roman" w:hAnsi="Verdana" w:cs="Arial"/>
          <w:sz w:val="22"/>
          <w:szCs w:val="22"/>
          <w:lang w:val="en-GB" w:eastAsia="en-GB"/>
        </w:rPr>
      </w:pPr>
    </w:p>
    <w:p w:rsidR="00F227D9" w:rsidRPr="00DF5955" w:rsidRDefault="00F227D9" w:rsidP="00F227D9">
      <w:pPr>
        <w:pStyle w:val="Style1"/>
        <w:numPr>
          <w:ilvl w:val="0"/>
          <w:numId w:val="11"/>
        </w:numPr>
        <w:ind w:left="0" w:firstLine="360"/>
        <w:rPr>
          <w:rFonts w:ascii="Verdana" w:hAnsi="Verdana"/>
          <w:sz w:val="22"/>
          <w:szCs w:val="22"/>
          <w:lang w:val="en-GB" w:eastAsia="en-GB"/>
        </w:rPr>
      </w:pPr>
      <w:r w:rsidRPr="00DF5955">
        <w:rPr>
          <w:rFonts w:ascii="Verdana" w:hAnsi="Verdana"/>
          <w:sz w:val="22"/>
          <w:szCs w:val="22"/>
          <w:lang w:val="en-GB" w:eastAsia="en-GB"/>
        </w:rPr>
        <w:t>Employee Pension Schemes</w:t>
      </w:r>
    </w:p>
    <w:p w:rsidR="00F227D9" w:rsidRPr="00DF5955" w:rsidRDefault="00F227D9" w:rsidP="00F227D9">
      <w:pPr>
        <w:pStyle w:val="Normal0"/>
        <w:jc w:val="both"/>
        <w:rPr>
          <w:rFonts w:ascii="Verdana" w:eastAsia="Times New Roman" w:hAnsi="Verdana" w:cs="Arial"/>
          <w:sz w:val="22"/>
          <w:szCs w:val="22"/>
          <w:lang w:val="en-GB" w:eastAsia="en-GB"/>
        </w:rPr>
      </w:pPr>
    </w:p>
    <w:p w:rsidR="00A16BF1" w:rsidRDefault="00DF5955" w:rsidP="00DF5955">
      <w:pPr>
        <w:jc w:val="both"/>
        <w:rPr>
          <w:rFonts w:ascii="Verdana" w:hAnsi="Verdana" w:cs="Arial"/>
          <w:sz w:val="22"/>
          <w:szCs w:val="22"/>
        </w:rPr>
      </w:pPr>
      <w:r w:rsidRPr="007F5CD6">
        <w:rPr>
          <w:rFonts w:ascii="Verdana" w:hAnsi="Verdana" w:cs="Arial"/>
          <w:sz w:val="22"/>
          <w:szCs w:val="22"/>
        </w:rPr>
        <w:t>The Chief Constable operates separate pension schemes for Police Officers and Police Staff. Police Staff can join the</w:t>
      </w:r>
      <w:r w:rsidR="00A16BF1">
        <w:rPr>
          <w:rFonts w:ascii="Verdana" w:hAnsi="Verdana" w:cs="Arial"/>
          <w:sz w:val="22"/>
          <w:szCs w:val="22"/>
        </w:rPr>
        <w:t xml:space="preserve"> Local Government Pension Scheme (LGPS) and police officers can join the </w:t>
      </w:r>
      <w:r w:rsidRPr="007F5CD6">
        <w:rPr>
          <w:rFonts w:ascii="Verdana" w:hAnsi="Verdana" w:cs="Arial"/>
          <w:sz w:val="22"/>
          <w:szCs w:val="22"/>
        </w:rPr>
        <w:t xml:space="preserve">Police Pension Scheme. They are both defined benefit schemes but differ in their operation. A fuller explanation is provided in the Notes to the Financial Statements. </w:t>
      </w:r>
    </w:p>
    <w:p w:rsidR="00A16BF1" w:rsidRDefault="00A16BF1" w:rsidP="00DF5955">
      <w:pPr>
        <w:jc w:val="both"/>
        <w:rPr>
          <w:rFonts w:ascii="Verdana" w:hAnsi="Verdana" w:cs="Arial"/>
          <w:sz w:val="22"/>
          <w:szCs w:val="22"/>
        </w:rPr>
      </w:pPr>
    </w:p>
    <w:p w:rsidR="00A16BF1" w:rsidRDefault="00DF5955" w:rsidP="00DF5955">
      <w:pPr>
        <w:jc w:val="both"/>
        <w:rPr>
          <w:rFonts w:ascii="Verdana" w:hAnsi="Verdana" w:cs="Arial"/>
          <w:sz w:val="22"/>
          <w:szCs w:val="22"/>
        </w:rPr>
      </w:pPr>
      <w:r w:rsidRPr="007F5CD6">
        <w:rPr>
          <w:rFonts w:ascii="Verdana" w:hAnsi="Verdana" w:cs="Arial"/>
          <w:sz w:val="22"/>
          <w:szCs w:val="22"/>
        </w:rPr>
        <w:t xml:space="preserve">Although benefits from these schemes will not be payable until an officer or staff member retires, the Chief Constable and PCC Group is required to disclose this </w:t>
      </w:r>
      <w:r w:rsidR="00A16BF1">
        <w:rPr>
          <w:rFonts w:ascii="Verdana" w:hAnsi="Verdana" w:cs="Arial"/>
          <w:sz w:val="22"/>
          <w:szCs w:val="22"/>
        </w:rPr>
        <w:t xml:space="preserve">future </w:t>
      </w:r>
      <w:r w:rsidRPr="007F5CD6">
        <w:rPr>
          <w:rFonts w:ascii="Verdana" w:hAnsi="Verdana" w:cs="Arial"/>
          <w:sz w:val="22"/>
          <w:szCs w:val="22"/>
        </w:rPr>
        <w:t xml:space="preserve">commitment based on the full cost calculated based on the time employees become eligible to retire. This future net liability and annual current cost are calculated by an independent actuary in accordance with International Standards (IAS19). </w:t>
      </w:r>
    </w:p>
    <w:p w:rsidR="00A16BF1" w:rsidRDefault="00A16BF1" w:rsidP="00DF5955">
      <w:pPr>
        <w:jc w:val="both"/>
        <w:rPr>
          <w:rFonts w:ascii="Verdana" w:hAnsi="Verdana" w:cs="Arial"/>
          <w:sz w:val="22"/>
          <w:szCs w:val="22"/>
        </w:rPr>
      </w:pPr>
    </w:p>
    <w:p w:rsidR="00DF5955" w:rsidRPr="007F5CD6" w:rsidRDefault="00DF5955" w:rsidP="00DF5955">
      <w:pPr>
        <w:jc w:val="both"/>
        <w:rPr>
          <w:rFonts w:ascii="Verdana" w:hAnsi="Verdana" w:cs="Arial"/>
          <w:sz w:val="22"/>
          <w:szCs w:val="22"/>
        </w:rPr>
      </w:pPr>
      <w:r w:rsidRPr="007F5CD6">
        <w:rPr>
          <w:rFonts w:ascii="Verdana" w:hAnsi="Verdana" w:cs="Arial"/>
          <w:sz w:val="22"/>
          <w:szCs w:val="22"/>
        </w:rPr>
        <w:t>Accounting for this commitment has a substantial impact on the net worth of the Balance Sheet, resulting in a negative reserves on the Balance Sheet totalling £2,0</w:t>
      </w:r>
      <w:r w:rsidR="00D54BAF">
        <w:rPr>
          <w:rFonts w:ascii="Verdana" w:hAnsi="Verdana" w:cs="Arial"/>
          <w:sz w:val="22"/>
          <w:szCs w:val="22"/>
        </w:rPr>
        <w:t>27</w:t>
      </w:r>
      <w:r w:rsidRPr="007F5CD6">
        <w:rPr>
          <w:rFonts w:ascii="Verdana" w:hAnsi="Verdana" w:cs="Arial"/>
          <w:sz w:val="22"/>
          <w:szCs w:val="22"/>
        </w:rPr>
        <w:t>.</w:t>
      </w:r>
      <w:r w:rsidR="00D54BAF">
        <w:rPr>
          <w:rFonts w:ascii="Verdana" w:hAnsi="Verdana" w:cs="Arial"/>
          <w:sz w:val="22"/>
          <w:szCs w:val="22"/>
        </w:rPr>
        <w:t>6</w:t>
      </w:r>
      <w:r w:rsidRPr="007F5CD6">
        <w:rPr>
          <w:rFonts w:ascii="Verdana" w:hAnsi="Verdana" w:cs="Arial"/>
          <w:sz w:val="22"/>
          <w:szCs w:val="22"/>
        </w:rPr>
        <w:t xml:space="preserve">m (2018/19 £2,157.8m). The police </w:t>
      </w:r>
      <w:r w:rsidR="00D54BAF">
        <w:rPr>
          <w:rFonts w:ascii="Verdana" w:hAnsi="Verdana" w:cs="Arial"/>
          <w:sz w:val="22"/>
          <w:szCs w:val="22"/>
        </w:rPr>
        <w:t xml:space="preserve">officer </w:t>
      </w:r>
      <w:r w:rsidRPr="007F5CD6">
        <w:rPr>
          <w:rFonts w:ascii="Verdana" w:hAnsi="Verdana" w:cs="Arial"/>
          <w:sz w:val="22"/>
          <w:szCs w:val="22"/>
        </w:rPr>
        <w:t>pension scheme has the majority share of the deficit at £</w:t>
      </w:r>
      <w:r w:rsidR="00D54BAF">
        <w:rPr>
          <w:rFonts w:ascii="Verdana" w:hAnsi="Verdana" w:cs="Arial"/>
          <w:sz w:val="22"/>
          <w:szCs w:val="22"/>
        </w:rPr>
        <w:t>1,896.1</w:t>
      </w:r>
      <w:r w:rsidRPr="007F5CD6">
        <w:rPr>
          <w:rFonts w:ascii="Verdana" w:hAnsi="Verdana" w:cs="Arial"/>
          <w:sz w:val="22"/>
          <w:szCs w:val="22"/>
        </w:rPr>
        <w:t>m (2018/19 £</w:t>
      </w:r>
      <w:r w:rsidR="00D54BAF">
        <w:rPr>
          <w:rFonts w:ascii="Verdana" w:hAnsi="Verdana" w:cs="Arial"/>
          <w:sz w:val="22"/>
          <w:szCs w:val="22"/>
        </w:rPr>
        <w:t>1,988.1</w:t>
      </w:r>
      <w:r w:rsidR="000438B0">
        <w:rPr>
          <w:rFonts w:ascii="Verdana" w:hAnsi="Verdana" w:cs="Arial"/>
          <w:sz w:val="22"/>
          <w:szCs w:val="22"/>
        </w:rPr>
        <w:t>m</w:t>
      </w:r>
      <w:r w:rsidRPr="007F5CD6">
        <w:rPr>
          <w:rFonts w:ascii="Verdana" w:hAnsi="Verdana" w:cs="Arial"/>
          <w:sz w:val="22"/>
          <w:szCs w:val="22"/>
        </w:rPr>
        <w:t>). Statutory arrangements are in place to fund this deficit which means the Chief Constable maintains a healthy financial position and can continue to operate on a going concern basis.</w:t>
      </w:r>
    </w:p>
    <w:p w:rsidR="00DF5955" w:rsidRPr="00E93B08" w:rsidRDefault="00DF5955" w:rsidP="00DF5955">
      <w:pPr>
        <w:jc w:val="both"/>
        <w:rPr>
          <w:rFonts w:ascii="Verdana" w:hAnsi="Verdana" w:cs="Arial"/>
          <w:sz w:val="22"/>
          <w:szCs w:val="22"/>
          <w:highlight w:val="yellow"/>
        </w:rPr>
      </w:pPr>
    </w:p>
    <w:p w:rsidR="00A16BF1" w:rsidRPr="00A16BF1" w:rsidRDefault="00A16BF1" w:rsidP="00A16BF1">
      <w:pPr>
        <w:jc w:val="both"/>
        <w:rPr>
          <w:rFonts w:ascii="Verdana" w:hAnsi="Verdana"/>
          <w:sz w:val="22"/>
          <w:szCs w:val="22"/>
        </w:rPr>
      </w:pPr>
      <w:r w:rsidRPr="00A16BF1">
        <w:rPr>
          <w:rFonts w:ascii="Verdana" w:hAnsi="Verdana"/>
          <w:sz w:val="22"/>
          <w:szCs w:val="22"/>
        </w:rPr>
        <w:t xml:space="preserve">The value of the Police Staff pension scheme is assessed triennially and the employer’s contribution is adjusted in line with the actuary’s recommendations. The latest triennial </w:t>
      </w:r>
      <w:r w:rsidRPr="00A16BF1">
        <w:rPr>
          <w:rFonts w:ascii="Verdana" w:hAnsi="Verdana"/>
          <w:color w:val="000000"/>
          <w:sz w:val="22"/>
          <w:szCs w:val="22"/>
        </w:rPr>
        <w:t>valuation</w:t>
      </w:r>
      <w:r w:rsidRPr="00A16BF1">
        <w:rPr>
          <w:rFonts w:ascii="Verdana" w:hAnsi="Verdana"/>
          <w:sz w:val="22"/>
          <w:szCs w:val="22"/>
        </w:rPr>
        <w:t xml:space="preserve"> completed in April 2019 resulted in employer’s contributions being increased from 14.5% with an additional payment of £2.587m in 2019/20 to 16.5% from April 2020 until March 2023 with additional payments of £1.842m, £1.902m and 1.964m for the years ended March 2021, 2022 and 2023 respectively. The additional payments to the pension fund are to repay the deficit, known as the additional monetary amount. </w:t>
      </w:r>
    </w:p>
    <w:p w:rsidR="00A16BF1" w:rsidRPr="00A16BF1" w:rsidRDefault="00A16BF1" w:rsidP="00A16BF1">
      <w:pPr>
        <w:jc w:val="both"/>
        <w:rPr>
          <w:rFonts w:ascii="Verdana" w:hAnsi="Verdana"/>
          <w:sz w:val="22"/>
          <w:szCs w:val="22"/>
        </w:rPr>
      </w:pPr>
    </w:p>
    <w:p w:rsidR="00A16BF1" w:rsidRPr="00A16BF1" w:rsidRDefault="00A16BF1" w:rsidP="00A16BF1">
      <w:pPr>
        <w:jc w:val="both"/>
        <w:rPr>
          <w:rFonts w:ascii="Verdana" w:hAnsi="Verdana"/>
          <w:sz w:val="22"/>
          <w:szCs w:val="22"/>
        </w:rPr>
      </w:pPr>
      <w:r w:rsidRPr="00A16BF1">
        <w:rPr>
          <w:rFonts w:ascii="Verdana" w:hAnsi="Verdana"/>
          <w:sz w:val="22"/>
          <w:szCs w:val="22"/>
        </w:rPr>
        <w:t xml:space="preserve">For the police officers pension fund the employer’s contribution rate for the 2019/20 year was set at 31.0%. In 2019/20 costs in excess of the employer’s contribution were met by the Home Office by way of the Pension Top-Up Grant and an additional grant of £2.0m.   </w:t>
      </w:r>
    </w:p>
    <w:p w:rsidR="00DF5955" w:rsidRDefault="00DF5955" w:rsidP="00F227D9">
      <w:pPr>
        <w:pStyle w:val="Normal0"/>
        <w:jc w:val="both"/>
        <w:rPr>
          <w:rFonts w:ascii="Verdana" w:eastAsia="Times New Roman" w:hAnsi="Verdana" w:cs="Arial"/>
          <w:sz w:val="22"/>
          <w:szCs w:val="22"/>
          <w:highlight w:val="yellow"/>
          <w:lang w:val="en-GB" w:eastAsia="en-GB"/>
        </w:rPr>
      </w:pPr>
    </w:p>
    <w:p w:rsidR="00F227D9" w:rsidRPr="00943794" w:rsidRDefault="00F227D9" w:rsidP="00F227D9">
      <w:pPr>
        <w:pStyle w:val="Normal0"/>
        <w:jc w:val="both"/>
        <w:rPr>
          <w:rFonts w:ascii="Verdana" w:eastAsia="Times New Roman" w:hAnsi="Verdana" w:cs="Arial"/>
          <w:sz w:val="22"/>
          <w:szCs w:val="22"/>
          <w:highlight w:val="yellow"/>
          <w:lang w:val="en-GB" w:eastAsia="en-GB"/>
        </w:rPr>
      </w:pPr>
    </w:p>
    <w:p w:rsidR="00F227D9" w:rsidRPr="00927BDD" w:rsidRDefault="00F227D9" w:rsidP="00F227D9">
      <w:pPr>
        <w:pStyle w:val="Style1"/>
        <w:numPr>
          <w:ilvl w:val="0"/>
          <w:numId w:val="11"/>
        </w:numPr>
        <w:rPr>
          <w:rFonts w:ascii="Verdana" w:hAnsi="Verdana"/>
          <w:sz w:val="22"/>
          <w:szCs w:val="22"/>
          <w:lang w:val="en-GB" w:eastAsia="en-GB"/>
        </w:rPr>
      </w:pPr>
      <w:r w:rsidRPr="00927BDD">
        <w:rPr>
          <w:rFonts w:ascii="Verdana" w:hAnsi="Verdana"/>
          <w:sz w:val="22"/>
          <w:szCs w:val="22"/>
          <w:lang w:val="en-GB" w:eastAsia="en-GB"/>
        </w:rPr>
        <w:t>Further Information</w:t>
      </w:r>
    </w:p>
    <w:p w:rsidR="00F227D9" w:rsidRPr="00927BDD" w:rsidRDefault="00F227D9" w:rsidP="00F227D9">
      <w:pPr>
        <w:pStyle w:val="Style1"/>
        <w:numPr>
          <w:ilvl w:val="0"/>
          <w:numId w:val="0"/>
        </w:numPr>
        <w:ind w:left="1080" w:hanging="360"/>
        <w:rPr>
          <w:rFonts w:ascii="Verdana" w:hAnsi="Verdana"/>
          <w:sz w:val="22"/>
          <w:szCs w:val="22"/>
          <w:lang w:val="en-GB" w:eastAsia="en-GB"/>
        </w:rPr>
      </w:pPr>
    </w:p>
    <w:p w:rsidR="00927BDD" w:rsidRPr="00BC6980" w:rsidRDefault="00927BDD" w:rsidP="00927BDD">
      <w:pPr>
        <w:jc w:val="both"/>
        <w:rPr>
          <w:rFonts w:ascii="Verdana" w:hAnsi="Verdana" w:cs="Arial"/>
          <w:sz w:val="22"/>
          <w:szCs w:val="22"/>
        </w:rPr>
      </w:pPr>
      <w:r w:rsidRPr="00927BDD">
        <w:rPr>
          <w:rFonts w:ascii="Verdana" w:hAnsi="Verdana" w:cs="Arial"/>
          <w:sz w:val="22"/>
          <w:szCs w:val="22"/>
        </w:rPr>
        <w:t>Surrey Police continues to undertake significant change activity through the Policing Together programme with Sussex Police, and also</w:t>
      </w:r>
      <w:r w:rsidRPr="00BC6980">
        <w:rPr>
          <w:rFonts w:ascii="Verdana" w:hAnsi="Verdana" w:cs="Arial"/>
          <w:sz w:val="22"/>
          <w:szCs w:val="22"/>
        </w:rPr>
        <w:t xml:space="preserve"> with other forces in the South-East region, in order to meet financial challenges, increase resilience and improve service delivery. The full savings programme and budget reductions for 2019/20 totalled £2.8m and is shown by portfolio in the chart below.</w:t>
      </w:r>
    </w:p>
    <w:p w:rsidR="00927BDD" w:rsidRDefault="00927BDD" w:rsidP="00F227D9">
      <w:pPr>
        <w:pStyle w:val="Normal0"/>
        <w:jc w:val="both"/>
        <w:rPr>
          <w:rFonts w:ascii="Verdana" w:eastAsia="Times New Roman" w:hAnsi="Verdana" w:cs="Arial"/>
          <w:sz w:val="22"/>
          <w:szCs w:val="22"/>
          <w:highlight w:val="yellow"/>
          <w:lang w:val="en-GB" w:eastAsia="en-GB"/>
        </w:rPr>
      </w:pPr>
    </w:p>
    <w:p w:rsidR="00F227D9" w:rsidRPr="00943794" w:rsidRDefault="00DD578C" w:rsidP="00927BDD">
      <w:pPr>
        <w:pStyle w:val="Normal0"/>
        <w:jc w:val="center"/>
        <w:rPr>
          <w:rFonts w:ascii="Verdana" w:eastAsia="Times New Roman" w:hAnsi="Verdana" w:cs="Arial"/>
          <w:sz w:val="22"/>
          <w:szCs w:val="22"/>
          <w:highlight w:val="yellow"/>
          <w:lang w:val="en-GB" w:eastAsia="en-GB"/>
        </w:rPr>
      </w:pPr>
      <w:r>
        <w:rPr>
          <w:noProof/>
          <w:lang w:val="en-GB" w:eastAsia="en-GB"/>
        </w:rPr>
        <w:drawing>
          <wp:inline distT="0" distB="0" distL="0" distR="0" wp14:anchorId="50C1BE8F" wp14:editId="616BB6E0">
            <wp:extent cx="4824413" cy="3409950"/>
            <wp:effectExtent l="0" t="0" r="146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27D9" w:rsidRPr="00943794" w:rsidRDefault="00F227D9" w:rsidP="00F227D9">
      <w:pPr>
        <w:pStyle w:val="Normal0"/>
        <w:jc w:val="center"/>
        <w:rPr>
          <w:rFonts w:ascii="Verdana" w:eastAsia="Times New Roman" w:hAnsi="Verdana" w:cs="Arial"/>
          <w:sz w:val="22"/>
          <w:szCs w:val="22"/>
          <w:highlight w:val="yellow"/>
          <w:lang w:val="en-GB" w:eastAsia="en-GB"/>
        </w:rPr>
      </w:pPr>
    </w:p>
    <w:p w:rsidR="00F227D9" w:rsidRPr="00943794" w:rsidRDefault="00F227D9" w:rsidP="00F227D9">
      <w:pPr>
        <w:pStyle w:val="Normal0"/>
        <w:jc w:val="both"/>
        <w:rPr>
          <w:rFonts w:ascii="Verdana" w:eastAsia="Times New Roman" w:hAnsi="Verdana" w:cs="Arial"/>
          <w:sz w:val="22"/>
          <w:szCs w:val="22"/>
          <w:highlight w:val="yellow"/>
          <w:lang w:val="en-GB" w:eastAsia="en-GB"/>
        </w:rPr>
      </w:pPr>
    </w:p>
    <w:p w:rsidR="00406EFB" w:rsidRPr="00406EFB" w:rsidRDefault="00406EFB" w:rsidP="00406EFB">
      <w:pPr>
        <w:jc w:val="both"/>
        <w:rPr>
          <w:rFonts w:ascii="Verdana" w:hAnsi="Verdana"/>
          <w:sz w:val="22"/>
          <w:szCs w:val="22"/>
        </w:rPr>
      </w:pPr>
      <w:r w:rsidRPr="00406EFB">
        <w:rPr>
          <w:rFonts w:ascii="Verdana" w:hAnsi="Verdana"/>
          <w:sz w:val="22"/>
          <w:szCs w:val="22"/>
        </w:rPr>
        <w:t xml:space="preserve">Within the organisation we continue to develop innovative working practices to maximise our efficiency. This includes investing in better Body Worn Video technology, managing digital evidence and sharing information more effectively. </w:t>
      </w:r>
    </w:p>
    <w:p w:rsidR="00406EFB" w:rsidRPr="00406EFB" w:rsidRDefault="00406EFB" w:rsidP="00406EFB">
      <w:pPr>
        <w:jc w:val="both"/>
        <w:rPr>
          <w:rFonts w:ascii="Verdana" w:hAnsi="Verdana"/>
          <w:sz w:val="22"/>
          <w:szCs w:val="22"/>
        </w:rPr>
      </w:pPr>
    </w:p>
    <w:p w:rsidR="00406EFB" w:rsidRPr="00406EFB" w:rsidRDefault="00406EFB" w:rsidP="00406EFB">
      <w:pPr>
        <w:jc w:val="both"/>
        <w:rPr>
          <w:rFonts w:ascii="Verdana" w:hAnsi="Verdana"/>
          <w:sz w:val="22"/>
          <w:szCs w:val="22"/>
          <w:lang w:val="en-GB"/>
        </w:rPr>
      </w:pPr>
      <w:r w:rsidRPr="00406EFB">
        <w:rPr>
          <w:rFonts w:ascii="Verdana" w:hAnsi="Verdana"/>
          <w:sz w:val="22"/>
          <w:szCs w:val="22"/>
          <w:lang w:val="en-GB"/>
        </w:rPr>
        <w:t>We are monitoring the effectiveness of our digital investments and have, for example, seen huge benefits to officers using Mobile Data Terminals (MDTs) while out in the community.  We are equipping all employees with the right skills and tools to work in a modern way, whilst they face increasingly complex policing challenges, and provide increased visibility and reassurance to the community.  </w:t>
      </w:r>
    </w:p>
    <w:p w:rsidR="00406EFB" w:rsidRPr="00406EFB" w:rsidRDefault="00406EFB" w:rsidP="00406EFB">
      <w:pPr>
        <w:jc w:val="both"/>
        <w:rPr>
          <w:rFonts w:ascii="Verdana" w:hAnsi="Verdana"/>
          <w:sz w:val="22"/>
          <w:szCs w:val="22"/>
          <w:lang w:val="en-GB"/>
        </w:rPr>
      </w:pPr>
    </w:p>
    <w:p w:rsidR="00406EFB" w:rsidRPr="00406EFB" w:rsidRDefault="00406EFB" w:rsidP="00406EFB">
      <w:pPr>
        <w:jc w:val="both"/>
        <w:rPr>
          <w:rFonts w:ascii="Verdana" w:hAnsi="Verdana"/>
          <w:sz w:val="22"/>
          <w:szCs w:val="22"/>
          <w:lang w:val="en-GB"/>
        </w:rPr>
      </w:pPr>
      <w:r w:rsidRPr="00406EFB">
        <w:rPr>
          <w:rFonts w:ascii="Verdana" w:hAnsi="Verdana"/>
          <w:sz w:val="22"/>
          <w:szCs w:val="22"/>
          <w:lang w:val="en-GB"/>
        </w:rPr>
        <w:t>With further investment we can further strengthen our position – prevent more crimes, catch more criminals, protect more victims, solve more crimes and keep Surrey even safer.</w:t>
      </w:r>
    </w:p>
    <w:p w:rsidR="00406EFB" w:rsidRPr="00406EFB" w:rsidRDefault="00406EFB" w:rsidP="00406EFB">
      <w:pPr>
        <w:jc w:val="both"/>
        <w:rPr>
          <w:rFonts w:ascii="Verdana" w:hAnsi="Verdana"/>
          <w:sz w:val="22"/>
          <w:szCs w:val="22"/>
          <w:lang w:val="en-GB"/>
        </w:rPr>
      </w:pPr>
    </w:p>
    <w:p w:rsidR="00406EFB" w:rsidRPr="00406EFB" w:rsidRDefault="00406EFB" w:rsidP="00406EFB">
      <w:pPr>
        <w:spacing w:after="160" w:line="259" w:lineRule="auto"/>
        <w:jc w:val="both"/>
        <w:rPr>
          <w:rFonts w:ascii="Verdana" w:eastAsia="Calibri" w:hAnsi="Verdana" w:cs="Times New Roman"/>
          <w:sz w:val="22"/>
          <w:szCs w:val="22"/>
          <w:lang w:val="en-GB"/>
        </w:rPr>
      </w:pPr>
      <w:r w:rsidRPr="00406EFB">
        <w:rPr>
          <w:rFonts w:ascii="Verdana" w:eastAsia="Calibri" w:hAnsi="Verdana" w:cs="Times New Roman"/>
          <w:sz w:val="22"/>
          <w:szCs w:val="22"/>
          <w:lang w:val="en-GB"/>
        </w:rPr>
        <w:t>Recently, new operating models were implemented for the Specialist Crime Capabilities Programme and Operations command to provide further savings and interoperability, whilst maintaining resilience and providing an effective service to the public of both forces.</w:t>
      </w:r>
    </w:p>
    <w:p w:rsidR="00406EFB" w:rsidRPr="00406EFB" w:rsidRDefault="00406EFB" w:rsidP="00406EFB">
      <w:pPr>
        <w:spacing w:after="160" w:line="259" w:lineRule="auto"/>
        <w:jc w:val="both"/>
        <w:rPr>
          <w:rFonts w:ascii="Verdana" w:eastAsia="Calibri" w:hAnsi="Verdana" w:cs="Times New Roman"/>
          <w:sz w:val="22"/>
          <w:szCs w:val="22"/>
          <w:lang w:val="en-GB"/>
        </w:rPr>
      </w:pPr>
      <w:r w:rsidRPr="00406EFB">
        <w:rPr>
          <w:rFonts w:ascii="Verdana" w:eastAsia="Calibri" w:hAnsi="Verdana" w:cs="Times New Roman"/>
          <w:sz w:val="22"/>
          <w:szCs w:val="22"/>
          <w:lang w:val="en-GB"/>
        </w:rPr>
        <w:t xml:space="preserve">A single Change Delivery function for Surrey and Sussex ensure that both Forces are well positioned to deliver their change strategies on an individual, bilateral and regional basis. A Digital Division will work on five key priorities: Mobile Data, Niche, Public Facing Digital Services (Community Messaging, Online Crime Reporting and Track My Crime), Body Worn Video and the Joint Intranet. Whilst the Force has used Mobile Data devices for a number of years, a rolling programme focusses on updating these devices and enhancing their capabilities through </w:t>
      </w:r>
      <w:r w:rsidRPr="00406EFB">
        <w:rPr>
          <w:rFonts w:ascii="Verdana" w:eastAsia="Calibri" w:hAnsi="Verdana" w:cs="Times New Roman"/>
          <w:sz w:val="22"/>
          <w:szCs w:val="22"/>
          <w:lang w:val="en-GB"/>
        </w:rPr>
        <w:lastRenderedPageBreak/>
        <w:t>additional interfaces. The Digital Division will also work towards supporting investigations which have increasing requirements for digital capabilities.</w:t>
      </w:r>
    </w:p>
    <w:p w:rsidR="00406EFB" w:rsidRDefault="00406EFB" w:rsidP="00406EFB">
      <w:pPr>
        <w:pStyle w:val="Normal0"/>
        <w:jc w:val="both"/>
        <w:rPr>
          <w:rFonts w:ascii="Verdana" w:eastAsia="Calibri" w:hAnsi="Verdana" w:cs="Times New Roman"/>
          <w:sz w:val="22"/>
          <w:szCs w:val="22"/>
          <w:lang w:val="en-GB"/>
        </w:rPr>
      </w:pPr>
      <w:r w:rsidRPr="00406EFB">
        <w:rPr>
          <w:rFonts w:ascii="Verdana" w:eastAsia="Calibri" w:hAnsi="Verdana" w:cs="Times New Roman"/>
          <w:sz w:val="22"/>
          <w:szCs w:val="22"/>
          <w:lang w:val="en-GB"/>
        </w:rPr>
        <w:t>The majority of services within the Support Services functions are collaborated including; Procurement, Insurance, Transport, People Services, Information &amp; Communication Technology, and Finance. Further work is ongoing to develop a Shared Business Service Centre along with the implementation of the new Enterprise Resource Planning (ERP).</w:t>
      </w:r>
    </w:p>
    <w:p w:rsidR="00406EFB" w:rsidRDefault="00406EFB" w:rsidP="00406EFB">
      <w:pPr>
        <w:pStyle w:val="Normal0"/>
        <w:jc w:val="both"/>
        <w:rPr>
          <w:rStyle w:val="Strong"/>
          <w:rFonts w:ascii="Verdana" w:eastAsia="Times New Roman" w:hAnsi="Verdana" w:cs="Times New Roman"/>
          <w:b w:val="0"/>
          <w:sz w:val="22"/>
          <w:szCs w:val="22"/>
          <w:highlight w:val="yellow"/>
          <w:lang w:val="en-GB" w:eastAsia="en-GB"/>
        </w:rPr>
      </w:pPr>
    </w:p>
    <w:p w:rsidR="00406EFB" w:rsidRPr="00406EFB" w:rsidRDefault="00406EFB" w:rsidP="00406EFB">
      <w:pPr>
        <w:jc w:val="both"/>
        <w:rPr>
          <w:rFonts w:ascii="Verdana" w:hAnsi="Verdana"/>
          <w:sz w:val="22"/>
          <w:szCs w:val="22"/>
          <w:lang w:val="en-GB"/>
        </w:rPr>
      </w:pPr>
      <w:r w:rsidRPr="00406EFB">
        <w:rPr>
          <w:rFonts w:ascii="Verdana" w:hAnsi="Verdana"/>
          <w:sz w:val="22"/>
          <w:szCs w:val="22"/>
          <w:lang w:val="en-GB"/>
        </w:rPr>
        <w:t>Surrey Police and Sussex Police are leading on a new project to address the risk posed by the seizure and retention of cryptocurrency, involving cyber-crime and insurance teams. Facilities teams are trialling the use of tablet devices for recording compliance checks across the police estate. Insurance and transport teams have implemented a new electronic Driver Management System for recording driver records.</w:t>
      </w:r>
    </w:p>
    <w:p w:rsidR="00406EFB" w:rsidRDefault="00406EFB" w:rsidP="00F227D9">
      <w:pPr>
        <w:pStyle w:val="Normal0"/>
        <w:jc w:val="both"/>
        <w:rPr>
          <w:rStyle w:val="Strong"/>
          <w:rFonts w:ascii="Verdana" w:eastAsia="Times New Roman" w:hAnsi="Verdana" w:cs="Times New Roman"/>
          <w:b w:val="0"/>
          <w:sz w:val="22"/>
          <w:szCs w:val="22"/>
          <w:lang w:val="en-GB" w:eastAsia="en-GB"/>
        </w:rPr>
      </w:pPr>
    </w:p>
    <w:p w:rsidR="00406EFB" w:rsidRDefault="00406EFB" w:rsidP="00F227D9">
      <w:pPr>
        <w:pStyle w:val="Normal0"/>
        <w:jc w:val="both"/>
        <w:rPr>
          <w:rStyle w:val="Strong"/>
          <w:rFonts w:ascii="Verdana" w:eastAsia="Times New Roman" w:hAnsi="Verdana" w:cs="Times New Roman"/>
          <w:b w:val="0"/>
          <w:sz w:val="22"/>
          <w:szCs w:val="22"/>
          <w:lang w:val="en-GB" w:eastAsia="en-GB"/>
        </w:rPr>
      </w:pPr>
      <w:r>
        <w:rPr>
          <w:rStyle w:val="Strong"/>
          <w:rFonts w:ascii="Verdana" w:eastAsia="Times New Roman" w:hAnsi="Verdana" w:cs="Times New Roman"/>
          <w:b w:val="0"/>
          <w:sz w:val="22"/>
          <w:szCs w:val="22"/>
          <w:lang w:val="en-GB" w:eastAsia="en-GB"/>
        </w:rPr>
        <w:t>Surrey Police are committed to continuous improvement in their arrangements for programme, project and financial management as demonstrated through a number of key initiatives and programmes, including;</w:t>
      </w:r>
    </w:p>
    <w:p w:rsidR="00406EFB" w:rsidRPr="00DE3AB2" w:rsidRDefault="00406EFB" w:rsidP="00F227D9">
      <w:pPr>
        <w:pStyle w:val="Normal0"/>
        <w:jc w:val="both"/>
        <w:rPr>
          <w:rStyle w:val="Strong"/>
          <w:rFonts w:ascii="Verdana" w:eastAsia="Times New Roman" w:hAnsi="Verdana" w:cs="Times New Roman"/>
          <w:b w:val="0"/>
          <w:sz w:val="22"/>
          <w:szCs w:val="22"/>
          <w:lang w:val="en-GB" w:eastAsia="en-GB"/>
        </w:rPr>
      </w:pPr>
    </w:p>
    <w:p w:rsidR="00406EFB" w:rsidRPr="00406EFB" w:rsidRDefault="00406EFB" w:rsidP="00406EFB">
      <w:pPr>
        <w:jc w:val="both"/>
        <w:rPr>
          <w:rFonts w:ascii="Verdana" w:hAnsi="Verdana"/>
          <w:sz w:val="22"/>
          <w:szCs w:val="22"/>
          <w:lang w:val="en-GB"/>
        </w:rPr>
      </w:pPr>
      <w:r w:rsidRPr="00406EFB">
        <w:rPr>
          <w:rFonts w:ascii="Verdana" w:hAnsi="Verdana"/>
          <w:b/>
          <w:sz w:val="22"/>
          <w:szCs w:val="22"/>
          <w:lang w:val="en-GB"/>
        </w:rPr>
        <w:t>Financial Excellence:</w:t>
      </w:r>
      <w:r w:rsidRPr="00406EFB">
        <w:rPr>
          <w:rFonts w:ascii="Verdana" w:hAnsi="Verdana"/>
          <w:sz w:val="22"/>
          <w:szCs w:val="22"/>
          <w:lang w:val="en-GB"/>
        </w:rPr>
        <w:t xml:space="preserve"> Surrey Police is one of only 3 forces nationally to have piloted the national Chartered Institute of Public Finance and Accountancy’s “Achieving Finance Excellence in Policing” programme. So far, this has included implementation of accounts closure software to enable code compliant production of statutory financial statements more promptly, development of Finance Business Partners, and an independent review of financial management arrangements.</w:t>
      </w:r>
    </w:p>
    <w:p w:rsidR="00F227D9" w:rsidRDefault="00F227D9" w:rsidP="00F227D9">
      <w:pPr>
        <w:pStyle w:val="Normal0"/>
        <w:jc w:val="both"/>
        <w:rPr>
          <w:rStyle w:val="Strong"/>
          <w:rFonts w:ascii="Verdana" w:eastAsia="Times New Roman" w:hAnsi="Verdana" w:cs="Times New Roman"/>
          <w:b w:val="0"/>
          <w:sz w:val="22"/>
          <w:szCs w:val="22"/>
          <w:highlight w:val="yellow"/>
          <w:lang w:val="en-GB" w:eastAsia="en-GB"/>
        </w:rPr>
      </w:pPr>
    </w:p>
    <w:p w:rsidR="00406EFB" w:rsidRPr="00406EFB" w:rsidRDefault="00406EFB" w:rsidP="00406EFB">
      <w:pPr>
        <w:jc w:val="both"/>
        <w:rPr>
          <w:rFonts w:ascii="Verdana" w:hAnsi="Verdana"/>
          <w:sz w:val="22"/>
          <w:szCs w:val="22"/>
          <w:lang w:val="en-GB"/>
        </w:rPr>
      </w:pPr>
      <w:r w:rsidRPr="00406EFB">
        <w:rPr>
          <w:rFonts w:ascii="Verdana" w:hAnsi="Verdana"/>
          <w:b/>
          <w:sz w:val="22"/>
          <w:szCs w:val="22"/>
          <w:lang w:val="en-GB"/>
        </w:rPr>
        <w:t>New Enterprise Resource Planning Solution (Equip):</w:t>
      </w:r>
      <w:r w:rsidRPr="00406EFB">
        <w:rPr>
          <w:rFonts w:ascii="Verdana" w:hAnsi="Verdana"/>
          <w:sz w:val="22"/>
          <w:szCs w:val="22"/>
          <w:lang w:val="en-GB"/>
        </w:rPr>
        <w:t xml:space="preserve"> Surrey Police is also currently implementing a new Enterprise Resource Planning (ERP) solution with Sussex Police and Thames Valley Police. This system is planned to bring improvements to all three forces and enable consistency, better information for managing and decision making – for teams and individuals. The planned programme implementation has encountered a two year delay and a subsequent increase in the costs of implementation. A number of corrective management interventions were carried out and the Chief Constables are undertook a bespoke and detailed contractual, commercial and technical review to provide assurance of implementation dates and project costs. In line with our governance arrangements the three Chief Constables present their plans and recommendations to the PCCs for scrutiny and approval and the final decisions will be published. The internal costs incurred by Surrey during 2019/20 were £1.9m and the total cost incurred by Surrey is £5.7m to the end of 2019/20.</w:t>
      </w:r>
    </w:p>
    <w:p w:rsidR="00406EFB" w:rsidRPr="00406EFB" w:rsidRDefault="00406EFB" w:rsidP="00406EFB">
      <w:pPr>
        <w:jc w:val="both"/>
        <w:rPr>
          <w:rFonts w:ascii="Verdana" w:hAnsi="Verdana"/>
          <w:sz w:val="22"/>
          <w:szCs w:val="22"/>
          <w:lang w:val="en-GB"/>
        </w:rPr>
      </w:pPr>
    </w:p>
    <w:p w:rsidR="00406EFB" w:rsidRPr="00406EFB" w:rsidRDefault="00406EFB" w:rsidP="00406EFB">
      <w:pPr>
        <w:jc w:val="both"/>
        <w:rPr>
          <w:rFonts w:ascii="Verdana" w:hAnsi="Verdana"/>
          <w:iCs/>
          <w:sz w:val="22"/>
          <w:szCs w:val="22"/>
        </w:rPr>
      </w:pPr>
      <w:r w:rsidRPr="00406EFB">
        <w:rPr>
          <w:rFonts w:ascii="Verdana" w:hAnsi="Verdana"/>
          <w:sz w:val="22"/>
          <w:szCs w:val="22"/>
          <w:lang w:val="en-GB"/>
        </w:rPr>
        <w:t>Regional collaboration continues with five police forces (Thames Valley, Hampshire, Sussex, Surrey and Kent) working together on counter terrorism and tackling serious and organised crime. This is governed by a joint regional oversight board which the five PCCs chair in rotation. During the year development also started on a Western Hub for the South East Regional Organised Crime Unit.</w:t>
      </w:r>
    </w:p>
    <w:p w:rsidR="00406EFB" w:rsidRPr="00406EFB" w:rsidRDefault="00406EFB" w:rsidP="00406EFB">
      <w:pPr>
        <w:jc w:val="both"/>
        <w:rPr>
          <w:rFonts w:ascii="Verdana" w:hAnsi="Verdana"/>
          <w:sz w:val="22"/>
          <w:szCs w:val="22"/>
        </w:rPr>
      </w:pPr>
    </w:p>
    <w:p w:rsidR="00406EFB" w:rsidRPr="00406EFB" w:rsidRDefault="00406EFB" w:rsidP="00406EFB">
      <w:pPr>
        <w:jc w:val="both"/>
        <w:rPr>
          <w:rFonts w:ascii="Verdana" w:hAnsi="Verdana"/>
          <w:sz w:val="22"/>
          <w:szCs w:val="22"/>
        </w:rPr>
      </w:pPr>
      <w:r w:rsidRPr="00406EFB">
        <w:rPr>
          <w:rFonts w:ascii="Verdana" w:hAnsi="Verdana"/>
          <w:sz w:val="22"/>
          <w:szCs w:val="22"/>
        </w:rPr>
        <w:t xml:space="preserve">The site for a new Force headquarters was purchased last year and will see a new operational HQ based out of Leatherhead. The project is expected to take at least four to five years to complete, including plans to dispose of current outdated and costly buildings and creating a modern and cost-effective estate that will allow the Force to meet the challenges of modern policing.  </w:t>
      </w:r>
    </w:p>
    <w:p w:rsidR="00406EFB" w:rsidRPr="00406EFB" w:rsidRDefault="00406EFB" w:rsidP="00406EFB">
      <w:pPr>
        <w:jc w:val="both"/>
        <w:rPr>
          <w:rFonts w:ascii="Verdana" w:hAnsi="Verdana"/>
          <w:sz w:val="22"/>
          <w:szCs w:val="22"/>
        </w:rPr>
      </w:pPr>
    </w:p>
    <w:p w:rsidR="00406EFB" w:rsidRDefault="00406EFB" w:rsidP="00406EFB">
      <w:pPr>
        <w:pStyle w:val="Normal0"/>
        <w:jc w:val="both"/>
        <w:rPr>
          <w:rStyle w:val="Strong"/>
          <w:rFonts w:ascii="Verdana" w:eastAsia="Times New Roman" w:hAnsi="Verdana" w:cs="Times New Roman"/>
          <w:b w:val="0"/>
          <w:sz w:val="22"/>
          <w:szCs w:val="22"/>
          <w:highlight w:val="yellow"/>
          <w:lang w:val="en-GB" w:eastAsia="en-GB"/>
        </w:rPr>
      </w:pPr>
      <w:r w:rsidRPr="00406EFB">
        <w:rPr>
          <w:rFonts w:ascii="Verdana" w:hAnsi="Verdana"/>
          <w:sz w:val="22"/>
          <w:szCs w:val="22"/>
        </w:rPr>
        <w:t xml:space="preserve">All police forces are inspected by Her Majesty’s Inspectorate of Constabulary and Fire &amp; Rescue Services (HMICFRS) and Surrey Police was rated overall as good for effectiveness, efficiency and legitimacy. HMICFS noted the extent to which the force is effective at reducing crime and keeping people safe is good. The force was found to be outstanding at preventing crime and </w:t>
      </w:r>
      <w:r w:rsidRPr="00406EFB">
        <w:rPr>
          <w:rFonts w:ascii="Verdana" w:hAnsi="Verdana"/>
          <w:sz w:val="22"/>
          <w:szCs w:val="22"/>
        </w:rPr>
        <w:lastRenderedPageBreak/>
        <w:t>anti-social behaviour, engaging well with its communities and partner organisations to understand and solve neighbourhood problems and working effectively with partners to identify and protect vulnerable people. HMICFRS noted the extent to which the force treats the public and its workforce is also good and that room for improvement was noted in the extent to which the force operates efficiently and sustainably.</w:t>
      </w:r>
    </w:p>
    <w:p w:rsidR="00406EFB" w:rsidRDefault="00406EFB" w:rsidP="00F227D9">
      <w:pPr>
        <w:pStyle w:val="Normal0"/>
        <w:jc w:val="both"/>
        <w:rPr>
          <w:rStyle w:val="Strong"/>
          <w:rFonts w:ascii="Verdana" w:eastAsia="Times New Roman" w:hAnsi="Verdana" w:cs="Times New Roman"/>
          <w:b w:val="0"/>
          <w:sz w:val="22"/>
          <w:szCs w:val="22"/>
          <w:highlight w:val="yellow"/>
          <w:lang w:val="en-GB" w:eastAsia="en-GB"/>
        </w:rPr>
      </w:pPr>
    </w:p>
    <w:p w:rsidR="00F227D9" w:rsidRPr="00CC67D1" w:rsidRDefault="00F227D9" w:rsidP="00F227D9">
      <w:pPr>
        <w:pStyle w:val="Normal0"/>
        <w:jc w:val="both"/>
        <w:rPr>
          <w:rFonts w:ascii="Verdana" w:eastAsia="Times New Roman" w:hAnsi="Verdana" w:cs="Arial"/>
          <w:color w:val="282828"/>
          <w:sz w:val="22"/>
          <w:szCs w:val="22"/>
          <w:lang w:val="en-GB" w:eastAsia="en-GB"/>
        </w:rPr>
      </w:pPr>
    </w:p>
    <w:p w:rsidR="00F227D9" w:rsidRPr="00CC67D1" w:rsidRDefault="00F227D9" w:rsidP="00F227D9">
      <w:pPr>
        <w:pStyle w:val="Style1"/>
        <w:numPr>
          <w:ilvl w:val="0"/>
          <w:numId w:val="11"/>
        </w:numPr>
        <w:rPr>
          <w:rFonts w:ascii="Verdana" w:hAnsi="Verdana"/>
          <w:sz w:val="22"/>
          <w:szCs w:val="22"/>
          <w:lang w:val="en-GB" w:eastAsia="en-GB"/>
        </w:rPr>
      </w:pPr>
      <w:r w:rsidRPr="00CC67D1">
        <w:rPr>
          <w:rFonts w:ascii="Verdana" w:hAnsi="Verdana"/>
          <w:sz w:val="22"/>
          <w:szCs w:val="22"/>
          <w:lang w:val="en-GB" w:eastAsia="en-GB"/>
        </w:rPr>
        <w:t>Financial Outlook</w:t>
      </w:r>
    </w:p>
    <w:p w:rsidR="00F227D9" w:rsidRPr="00CC67D1" w:rsidRDefault="00F227D9" w:rsidP="00F227D9">
      <w:pPr>
        <w:pStyle w:val="Style1"/>
        <w:numPr>
          <w:ilvl w:val="0"/>
          <w:numId w:val="0"/>
        </w:numPr>
        <w:ind w:left="720"/>
        <w:rPr>
          <w:rFonts w:ascii="Verdana" w:hAnsi="Verdana"/>
          <w:sz w:val="22"/>
          <w:szCs w:val="22"/>
          <w:lang w:val="en-GB" w:eastAsia="en-GB"/>
        </w:rPr>
      </w:pPr>
    </w:p>
    <w:p w:rsidR="00F227D9" w:rsidRPr="00CC67D1" w:rsidRDefault="00F227D9" w:rsidP="00F227D9">
      <w:pPr>
        <w:pStyle w:val="Normal0"/>
        <w:jc w:val="both"/>
        <w:rPr>
          <w:rFonts w:ascii="Verdana" w:eastAsia="Times New Roman" w:hAnsi="Verdana" w:cs="Arial"/>
          <w:sz w:val="22"/>
          <w:szCs w:val="22"/>
          <w:lang w:val="en-GB" w:eastAsia="en-GB"/>
        </w:rPr>
      </w:pPr>
      <w:r w:rsidRPr="00CC67D1">
        <w:rPr>
          <w:rFonts w:ascii="Verdana" w:eastAsia="Times New Roman" w:hAnsi="Verdana" w:cs="Arial"/>
          <w:sz w:val="22"/>
          <w:szCs w:val="22"/>
          <w:lang w:val="en-GB" w:eastAsia="en-GB"/>
        </w:rPr>
        <w:t>The financial statements are prepared on the assumption that the legal entity of the Chief Constable of Surrey Police is a going concern, meaning that it will continue to operate for the foreseeable future and will be able to realise assets and discharge liabilities in the normal course of operations.</w:t>
      </w:r>
    </w:p>
    <w:p w:rsidR="00F227D9" w:rsidRPr="00943794" w:rsidRDefault="00F227D9" w:rsidP="00F227D9">
      <w:pPr>
        <w:pStyle w:val="Normal0"/>
        <w:jc w:val="both"/>
        <w:rPr>
          <w:rFonts w:ascii="Verdana" w:eastAsia="Times New Roman" w:hAnsi="Verdana" w:cs="Arial"/>
          <w:sz w:val="22"/>
          <w:szCs w:val="22"/>
          <w:highlight w:val="yellow"/>
          <w:lang w:val="en-GB" w:eastAsia="en-GB"/>
        </w:rPr>
      </w:pPr>
    </w:p>
    <w:p w:rsidR="00F227D9" w:rsidRPr="00CC67D1" w:rsidRDefault="00F227D9" w:rsidP="00F227D9">
      <w:pPr>
        <w:pStyle w:val="Normal0"/>
        <w:jc w:val="both"/>
        <w:rPr>
          <w:rFonts w:ascii="Verdana" w:eastAsia="Times New Roman" w:hAnsi="Verdana" w:cs="Arial"/>
          <w:sz w:val="22"/>
          <w:szCs w:val="22"/>
          <w:lang w:val="en-GB" w:eastAsia="en-GB"/>
        </w:rPr>
      </w:pPr>
      <w:r w:rsidRPr="00CC67D1">
        <w:rPr>
          <w:rFonts w:ascii="Verdana" w:eastAsia="Times New Roman" w:hAnsi="Verdana" w:cs="Arial"/>
          <w:sz w:val="22"/>
          <w:szCs w:val="22"/>
          <w:lang w:val="en-GB" w:eastAsia="en-GB"/>
        </w:rPr>
        <w:t>The key accounting concept of a going concern assumes that an organisation, its functions and services will continue in operational existence for the foreseeable future. Where this is not the case, particular care will be needed in the valuation of assets. An ability to apply the going concern concept can have a fundamental impact on the financial statements.</w:t>
      </w:r>
    </w:p>
    <w:p w:rsidR="00F227D9" w:rsidRPr="00CC67D1" w:rsidRDefault="00F227D9" w:rsidP="00F227D9">
      <w:pPr>
        <w:pStyle w:val="Normal0"/>
        <w:jc w:val="both"/>
        <w:rPr>
          <w:rFonts w:ascii="Verdana" w:eastAsia="Times New Roman" w:hAnsi="Verdana" w:cs="Arial"/>
          <w:sz w:val="22"/>
          <w:szCs w:val="22"/>
          <w:lang w:val="en-GB" w:eastAsia="en-GB"/>
        </w:rPr>
      </w:pPr>
    </w:p>
    <w:p w:rsidR="00F227D9" w:rsidRPr="00CC67D1" w:rsidRDefault="00F227D9" w:rsidP="00F227D9">
      <w:pPr>
        <w:pStyle w:val="Normal0"/>
        <w:jc w:val="both"/>
        <w:rPr>
          <w:rFonts w:ascii="Verdana" w:eastAsia="Times New Roman" w:hAnsi="Verdana" w:cs="Arial"/>
          <w:sz w:val="22"/>
          <w:szCs w:val="22"/>
          <w:lang w:val="en-GB" w:eastAsia="en-GB"/>
        </w:rPr>
      </w:pPr>
      <w:r w:rsidRPr="00CC67D1">
        <w:rPr>
          <w:rFonts w:ascii="Verdana" w:eastAsia="Times New Roman" w:hAnsi="Verdana" w:cs="Arial"/>
          <w:sz w:val="22"/>
          <w:szCs w:val="22"/>
          <w:lang w:val="en-GB" w:eastAsia="en-GB"/>
        </w:rPr>
        <w:t>The Local Government Accounting Code makes it clear that government changes should not be seen as having a detrimental impact on the Chief Constable continuing as a going concern. In addition to this a policing body cannot be created or dissolved without statutory prescription, and accordingly must prepare their financial statements on a going concern basis of accounting.</w:t>
      </w:r>
    </w:p>
    <w:p w:rsidR="00F227D9" w:rsidRPr="00CC67D1" w:rsidRDefault="00F227D9" w:rsidP="00F227D9">
      <w:pPr>
        <w:pStyle w:val="Normal0"/>
        <w:autoSpaceDE w:val="0"/>
        <w:autoSpaceDN w:val="0"/>
        <w:adjustRightInd w:val="0"/>
        <w:jc w:val="both"/>
        <w:rPr>
          <w:rFonts w:ascii="Verdana" w:eastAsia="Times New Roman" w:hAnsi="Verdana" w:cs="Arial"/>
          <w:sz w:val="22"/>
          <w:szCs w:val="22"/>
          <w:lang w:val="en-GB" w:eastAsia="en-GB"/>
        </w:rPr>
      </w:pPr>
    </w:p>
    <w:p w:rsidR="00F227D9" w:rsidRPr="00CC67D1" w:rsidRDefault="00F227D9" w:rsidP="00F227D9">
      <w:pPr>
        <w:pStyle w:val="Normal0"/>
        <w:autoSpaceDE w:val="0"/>
        <w:autoSpaceDN w:val="0"/>
        <w:adjustRightInd w:val="0"/>
        <w:jc w:val="both"/>
        <w:rPr>
          <w:rFonts w:ascii="Verdana" w:eastAsia="Times New Roman" w:hAnsi="Verdana" w:cs="Arial"/>
          <w:sz w:val="22"/>
          <w:szCs w:val="22"/>
          <w:lang w:val="en-GB" w:eastAsia="en-GB"/>
        </w:rPr>
      </w:pPr>
      <w:r w:rsidRPr="00CC67D1">
        <w:rPr>
          <w:rFonts w:ascii="Verdana" w:eastAsia="Times New Roman" w:hAnsi="Verdana" w:cs="Arial"/>
          <w:sz w:val="22"/>
          <w:szCs w:val="22"/>
          <w:lang w:val="en-GB" w:eastAsia="en-GB"/>
        </w:rPr>
        <w:t xml:space="preserve">Unusable reserves on the balance sheet include the large negative pension reserve which is mainly due to the police pension schemes being unfunded i.e. with no fund assets to offset future liabilities when existing police officers have all retired. The statutory arrangements for funding the liability mean that the Chief Constable’s financial position remains sound. </w:t>
      </w:r>
    </w:p>
    <w:p w:rsidR="00F227D9" w:rsidRPr="00CC67D1" w:rsidRDefault="00F227D9" w:rsidP="00F227D9">
      <w:pPr>
        <w:pStyle w:val="Normal0"/>
        <w:autoSpaceDE w:val="0"/>
        <w:autoSpaceDN w:val="0"/>
        <w:adjustRightInd w:val="0"/>
        <w:jc w:val="both"/>
        <w:rPr>
          <w:rFonts w:ascii="Verdana" w:eastAsia="Times New Roman" w:hAnsi="Verdana" w:cs="Arial"/>
          <w:sz w:val="22"/>
          <w:szCs w:val="22"/>
          <w:lang w:val="en-GB" w:eastAsia="en-GB"/>
        </w:rPr>
      </w:pPr>
    </w:p>
    <w:p w:rsidR="00F227D9" w:rsidRPr="00CC67D1" w:rsidRDefault="00F227D9" w:rsidP="00F227D9">
      <w:pPr>
        <w:pStyle w:val="Normal0"/>
        <w:autoSpaceDE w:val="0"/>
        <w:autoSpaceDN w:val="0"/>
        <w:adjustRightInd w:val="0"/>
        <w:jc w:val="both"/>
        <w:rPr>
          <w:rFonts w:ascii="Verdana" w:eastAsia="Times New Roman" w:hAnsi="Verdana" w:cs="Arial"/>
          <w:sz w:val="22"/>
          <w:szCs w:val="22"/>
          <w:lang w:val="en-GB" w:eastAsia="en-GB"/>
        </w:rPr>
      </w:pPr>
      <w:r w:rsidRPr="00CC67D1">
        <w:rPr>
          <w:rFonts w:ascii="Verdana" w:eastAsia="Times New Roman" w:hAnsi="Verdana" w:cs="Times New Roman"/>
          <w:sz w:val="22"/>
          <w:szCs w:val="22"/>
          <w:lang w:val="en-GB" w:eastAsia="en-GB"/>
        </w:rPr>
        <w:t>Usable reserves are a key part of budget setting and financial planning, such reserves are held by the PCC, with the general reserves strategy being to maintain a balance that does not fall below 3% of the budget. A number of earmarked revenue reserves are also held for specific purposes or activities. The use of general reserves assists in financial planning to mitigate any short term predicted funding gaps.</w:t>
      </w:r>
    </w:p>
    <w:p w:rsidR="00F227D9" w:rsidRPr="00CC67D1" w:rsidRDefault="00F227D9" w:rsidP="00F227D9">
      <w:pPr>
        <w:pStyle w:val="Normal0"/>
        <w:jc w:val="both"/>
        <w:rPr>
          <w:rFonts w:ascii="Verdana" w:eastAsia="Times New Roman" w:hAnsi="Verdana" w:cs="Arial"/>
          <w:sz w:val="22"/>
          <w:szCs w:val="22"/>
          <w:lang w:val="en-GB" w:eastAsia="en-GB"/>
        </w:rPr>
      </w:pPr>
    </w:p>
    <w:p w:rsidR="00F227D9" w:rsidRPr="00CC67D1" w:rsidRDefault="00F227D9" w:rsidP="00F227D9">
      <w:pPr>
        <w:pStyle w:val="Normal0"/>
        <w:jc w:val="both"/>
        <w:rPr>
          <w:rFonts w:ascii="Verdana" w:eastAsia="Times New Roman" w:hAnsi="Verdana" w:cs="Arial"/>
          <w:sz w:val="22"/>
          <w:szCs w:val="22"/>
          <w:lang w:val="en-GB" w:eastAsia="en-GB"/>
        </w:rPr>
      </w:pPr>
      <w:r w:rsidRPr="00CC67D1">
        <w:rPr>
          <w:rFonts w:ascii="Verdana" w:eastAsia="Times New Roman" w:hAnsi="Verdana" w:cs="Arial"/>
          <w:sz w:val="22"/>
          <w:szCs w:val="22"/>
          <w:lang w:val="en-GB" w:eastAsia="en-GB"/>
        </w:rPr>
        <w:t xml:space="preserve">The financial resilience and sustainability of the Force is monitored by the production and review of the Medium Term Financial Plan (MTFP). The MTFP supports the Force Business Plan incorporating all known financial and business assumptions along with developing a number of planning scenarios for consideration by the Chief Officer Group. </w:t>
      </w:r>
    </w:p>
    <w:p w:rsidR="00F227D9" w:rsidRDefault="00F227D9" w:rsidP="00F227D9">
      <w:pPr>
        <w:pStyle w:val="Normal0"/>
        <w:jc w:val="both"/>
        <w:rPr>
          <w:rFonts w:ascii="Verdana" w:eastAsia="Times New Roman" w:hAnsi="Verdana" w:cs="Arial"/>
          <w:sz w:val="22"/>
          <w:szCs w:val="22"/>
          <w:highlight w:val="yellow"/>
          <w:lang w:val="en-GB" w:eastAsia="en-GB"/>
        </w:rPr>
      </w:pPr>
    </w:p>
    <w:p w:rsidR="00CC67D1" w:rsidRPr="003D2925" w:rsidRDefault="00CC67D1" w:rsidP="00F227D9">
      <w:pPr>
        <w:pStyle w:val="Normal0"/>
        <w:jc w:val="both"/>
        <w:rPr>
          <w:rFonts w:ascii="Verdana" w:eastAsia="Times New Roman" w:hAnsi="Verdana" w:cs="Arial"/>
          <w:sz w:val="22"/>
          <w:szCs w:val="22"/>
          <w:lang w:val="en-GB" w:eastAsia="en-GB"/>
        </w:rPr>
      </w:pPr>
      <w:r w:rsidRPr="00F26A03">
        <w:rPr>
          <w:rFonts w:ascii="Verdana" w:hAnsi="Verdana"/>
          <w:sz w:val="22"/>
          <w:szCs w:val="22"/>
        </w:rPr>
        <w:t xml:space="preserve">The annual revenue budget for 2020/21 was set by the PCC at £250.0m (2019/20 £235.1m) of which the </w:t>
      </w:r>
      <w:r w:rsidRPr="003D2925">
        <w:rPr>
          <w:rFonts w:ascii="Verdana" w:hAnsi="Verdana"/>
          <w:sz w:val="22"/>
          <w:szCs w:val="22"/>
        </w:rPr>
        <w:t>Chief Constable’s budget amounted to £247.9m (2018/19 £212.6m).</w:t>
      </w:r>
      <w:r w:rsidR="002829E7" w:rsidRPr="003D2925">
        <w:rPr>
          <w:rFonts w:ascii="Verdana" w:hAnsi="Verdana"/>
          <w:sz w:val="22"/>
          <w:szCs w:val="22"/>
        </w:rPr>
        <w:t xml:space="preserve"> In 2020/21, the force will receive extra funding for an extra 78 police officers as part of the government’s programme to increase numbers nationally by 20,000 over the next three years. This will further boosted </w:t>
      </w:r>
      <w:r w:rsidR="002829E7" w:rsidRPr="0074769D">
        <w:rPr>
          <w:rFonts w:ascii="Verdana" w:hAnsi="Verdana"/>
          <w:sz w:val="22"/>
          <w:szCs w:val="22"/>
        </w:rPr>
        <w:t>by</w:t>
      </w:r>
      <w:r w:rsidR="003D2925" w:rsidRPr="0074769D">
        <w:rPr>
          <w:rFonts w:ascii="Verdana" w:hAnsi="Verdana"/>
          <w:sz w:val="22"/>
          <w:szCs w:val="22"/>
        </w:rPr>
        <w:t xml:space="preserve"> the</w:t>
      </w:r>
      <w:r w:rsidR="002829E7" w:rsidRPr="0074769D">
        <w:rPr>
          <w:rFonts w:ascii="Verdana" w:hAnsi="Verdana"/>
          <w:sz w:val="22"/>
          <w:szCs w:val="22"/>
        </w:rPr>
        <w:t xml:space="preserve"> 3.8% rise in </w:t>
      </w:r>
      <w:r w:rsidR="003D2925" w:rsidRPr="0074769D">
        <w:rPr>
          <w:rFonts w:ascii="Verdana" w:hAnsi="Verdana"/>
          <w:sz w:val="22"/>
          <w:szCs w:val="22"/>
        </w:rPr>
        <w:t>this year’s council tax precept allowing Surrey Police to recruit a further 26 officers and</w:t>
      </w:r>
      <w:r w:rsidR="003D2925" w:rsidRPr="003D2925">
        <w:rPr>
          <w:rFonts w:ascii="Verdana" w:hAnsi="Verdana"/>
          <w:sz w:val="22"/>
          <w:szCs w:val="22"/>
        </w:rPr>
        <w:t xml:space="preserve"> 52 police support staff.</w:t>
      </w:r>
    </w:p>
    <w:p w:rsidR="00CC67D1" w:rsidRPr="003D2925" w:rsidRDefault="00CC67D1" w:rsidP="00F227D9">
      <w:pPr>
        <w:pStyle w:val="Normal0"/>
        <w:jc w:val="both"/>
        <w:rPr>
          <w:rFonts w:ascii="Verdana" w:eastAsia="Times New Roman" w:hAnsi="Verdana" w:cs="Arial"/>
          <w:sz w:val="22"/>
          <w:szCs w:val="22"/>
          <w:lang w:val="en-GB" w:eastAsia="en-GB"/>
        </w:rPr>
      </w:pPr>
    </w:p>
    <w:p w:rsidR="00CC67D1" w:rsidRPr="00661521" w:rsidRDefault="00CC67D1" w:rsidP="00F227D9">
      <w:pPr>
        <w:pStyle w:val="Normal0"/>
        <w:jc w:val="both"/>
        <w:rPr>
          <w:rFonts w:ascii="Verdana" w:eastAsia="Times New Roman" w:hAnsi="Verdana" w:cs="Arial"/>
          <w:sz w:val="22"/>
          <w:szCs w:val="22"/>
          <w:highlight w:val="yellow"/>
          <w:lang w:val="en-GB" w:eastAsia="en-GB"/>
        </w:rPr>
      </w:pPr>
      <w:r w:rsidRPr="00CC67D1">
        <w:rPr>
          <w:rFonts w:ascii="Verdana" w:eastAsia="Times New Roman" w:hAnsi="Verdana" w:cs="Arial"/>
          <w:sz w:val="22"/>
          <w:szCs w:val="22"/>
          <w:lang w:val="en-GB" w:eastAsia="en-GB"/>
        </w:rPr>
        <w:t xml:space="preserve">Details of the PCC’s plans for revenue and capital expenditure in 2020/21 budget can be found in the Surrey Police and Crime Commissioner’s Precept Setting proposal. Whilst the annual budget is agreed by the PCC it is scrutinised by the Police and Crime Panel before a final decision is made. Copies of the documents can be obtained from the Office of the Police and Crime </w:t>
      </w:r>
      <w:r w:rsidRPr="00CC67D1">
        <w:rPr>
          <w:rFonts w:ascii="Verdana" w:eastAsia="Times New Roman" w:hAnsi="Verdana" w:cs="Arial"/>
          <w:sz w:val="22"/>
          <w:szCs w:val="22"/>
          <w:lang w:val="en-GB" w:eastAsia="en-GB"/>
        </w:rPr>
        <w:lastRenderedPageBreak/>
        <w:t>Commissioner for Surrey by telephoning: 01483 630200, or from the website at www.surrey-</w:t>
      </w:r>
      <w:r w:rsidRPr="00661521">
        <w:rPr>
          <w:rFonts w:ascii="Verdana" w:eastAsia="Times New Roman" w:hAnsi="Verdana" w:cs="Arial"/>
          <w:sz w:val="22"/>
          <w:szCs w:val="22"/>
          <w:lang w:val="en-GB" w:eastAsia="en-GB"/>
        </w:rPr>
        <w:t>pcc.gov.uk.</w:t>
      </w:r>
    </w:p>
    <w:p w:rsidR="00661521" w:rsidRPr="00661521" w:rsidRDefault="00661521" w:rsidP="00661521">
      <w:pPr>
        <w:jc w:val="both"/>
        <w:rPr>
          <w:rFonts w:ascii="Verdana" w:hAnsi="Verdana"/>
          <w:sz w:val="22"/>
          <w:szCs w:val="22"/>
        </w:rPr>
      </w:pPr>
    </w:p>
    <w:p w:rsidR="00661521" w:rsidRPr="00661521" w:rsidRDefault="00661521" w:rsidP="00661521">
      <w:pPr>
        <w:jc w:val="both"/>
        <w:rPr>
          <w:rFonts w:ascii="Verdana" w:hAnsi="Verdana"/>
          <w:sz w:val="22"/>
          <w:szCs w:val="22"/>
        </w:rPr>
      </w:pPr>
      <w:r w:rsidRPr="00661521">
        <w:rPr>
          <w:rFonts w:ascii="Verdana" w:hAnsi="Verdana"/>
          <w:sz w:val="22"/>
          <w:szCs w:val="22"/>
        </w:rPr>
        <w:t xml:space="preserve">If you have any questions, comments or suggestions about these financial statements please contact us using the following email address: </w:t>
      </w:r>
      <w:hyperlink r:id="rId15" w:history="1">
        <w:r w:rsidRPr="00661521">
          <w:rPr>
            <w:rStyle w:val="Hyperlink"/>
            <w:rFonts w:ascii="Verdana" w:hAnsi="Verdana"/>
            <w:sz w:val="22"/>
            <w:szCs w:val="22"/>
          </w:rPr>
          <w:t>CorporateFinance@Surrey.pnn.police.uk</w:t>
        </w:r>
      </w:hyperlink>
      <w:r w:rsidRPr="00661521">
        <w:rPr>
          <w:rFonts w:ascii="Verdana" w:hAnsi="Verdana"/>
          <w:sz w:val="22"/>
          <w:szCs w:val="22"/>
        </w:rPr>
        <w:t>.</w:t>
      </w:r>
    </w:p>
    <w:p w:rsidR="00F227D9" w:rsidRPr="00661521" w:rsidRDefault="00F227D9" w:rsidP="00F227D9">
      <w:pPr>
        <w:pStyle w:val="Normal0"/>
        <w:jc w:val="both"/>
        <w:rPr>
          <w:rFonts w:ascii="Verdana" w:eastAsia="Times New Roman" w:hAnsi="Verdana" w:cs="Arial"/>
          <w:sz w:val="22"/>
          <w:szCs w:val="22"/>
          <w:highlight w:val="yellow"/>
          <w:lang w:val="en-GB" w:eastAsia="en-GB"/>
        </w:rPr>
      </w:pPr>
    </w:p>
    <w:p w:rsidR="00F227D9" w:rsidRPr="00661521" w:rsidRDefault="00F227D9" w:rsidP="00F227D9">
      <w:pPr>
        <w:pStyle w:val="Normal0"/>
        <w:jc w:val="both"/>
        <w:rPr>
          <w:rFonts w:ascii="Verdana" w:eastAsia="Times New Roman" w:hAnsi="Verdana" w:cs="Arial"/>
          <w:b/>
          <w:sz w:val="22"/>
          <w:szCs w:val="22"/>
          <w:highlight w:val="yellow"/>
          <w:lang w:val="en-GB" w:eastAsia="en-GB"/>
        </w:rPr>
      </w:pPr>
    </w:p>
    <w:p w:rsidR="00F227D9" w:rsidRPr="00661521" w:rsidRDefault="00F227D9" w:rsidP="00F227D9">
      <w:pPr>
        <w:pStyle w:val="Normal0"/>
        <w:jc w:val="both"/>
        <w:rPr>
          <w:rFonts w:ascii="Verdana" w:eastAsia="Times New Roman" w:hAnsi="Verdana" w:cs="Arial"/>
          <w:b/>
          <w:sz w:val="22"/>
          <w:szCs w:val="22"/>
          <w:highlight w:val="yellow"/>
          <w:lang w:val="en-GB" w:eastAsia="en-GB"/>
        </w:rPr>
      </w:pPr>
    </w:p>
    <w:p w:rsidR="00F227D9" w:rsidRPr="00943794" w:rsidRDefault="00F227D9" w:rsidP="00F227D9">
      <w:pPr>
        <w:pStyle w:val="Normal0"/>
        <w:jc w:val="both"/>
        <w:rPr>
          <w:rFonts w:ascii="Verdana" w:eastAsia="Times New Roman" w:hAnsi="Verdana" w:cs="Arial"/>
          <w:b/>
          <w:sz w:val="22"/>
          <w:szCs w:val="22"/>
          <w:highlight w:val="yellow"/>
          <w:lang w:val="en-GB" w:eastAsia="en-GB"/>
        </w:rPr>
      </w:pPr>
    </w:p>
    <w:p w:rsidR="00F227D9" w:rsidRPr="00CC67D1" w:rsidRDefault="00F227D9" w:rsidP="00F227D9">
      <w:pPr>
        <w:pStyle w:val="Normal0"/>
        <w:jc w:val="both"/>
        <w:rPr>
          <w:rFonts w:ascii="Verdana" w:eastAsia="Times New Roman" w:hAnsi="Verdana" w:cs="Arial"/>
          <w:b/>
          <w:sz w:val="22"/>
          <w:szCs w:val="22"/>
          <w:lang w:val="en-GB" w:eastAsia="en-GB"/>
        </w:rPr>
      </w:pPr>
    </w:p>
    <w:p w:rsidR="00F227D9" w:rsidRPr="00CC67D1" w:rsidRDefault="00F227D9" w:rsidP="00F227D9">
      <w:pPr>
        <w:pStyle w:val="Normal0"/>
        <w:jc w:val="both"/>
        <w:rPr>
          <w:rFonts w:ascii="Verdana" w:eastAsia="Times New Roman" w:hAnsi="Verdana" w:cs="Arial"/>
          <w:b/>
          <w:sz w:val="22"/>
          <w:szCs w:val="22"/>
          <w:lang w:val="en-GB" w:eastAsia="en-GB"/>
        </w:rPr>
      </w:pPr>
    </w:p>
    <w:p w:rsidR="00F227D9" w:rsidRPr="00CC67D1" w:rsidRDefault="00F227D9" w:rsidP="00F227D9">
      <w:pPr>
        <w:pStyle w:val="Normal0"/>
        <w:jc w:val="both"/>
        <w:rPr>
          <w:rFonts w:ascii="Verdana" w:eastAsia="Times New Roman" w:hAnsi="Verdana" w:cs="Arial"/>
          <w:b/>
          <w:sz w:val="22"/>
          <w:szCs w:val="22"/>
          <w:lang w:val="en-GB" w:eastAsia="en-GB"/>
        </w:rPr>
      </w:pPr>
    </w:p>
    <w:p w:rsidR="00F227D9" w:rsidRPr="003F16E2" w:rsidRDefault="003F16E2" w:rsidP="00F227D9">
      <w:pPr>
        <w:pStyle w:val="Normal0"/>
        <w:jc w:val="both"/>
        <w:rPr>
          <w:rFonts w:ascii="Verdana" w:eastAsia="Times New Roman" w:hAnsi="Verdana" w:cs="Arial"/>
          <w:sz w:val="22"/>
          <w:szCs w:val="22"/>
          <w:lang w:val="en-GB" w:eastAsia="en-GB"/>
        </w:rPr>
      </w:pPr>
      <w:r>
        <w:rPr>
          <w:rFonts w:ascii="Verdana" w:eastAsia="Times New Roman" w:hAnsi="Verdana" w:cs="Arial"/>
          <w:b/>
          <w:sz w:val="22"/>
          <w:szCs w:val="22"/>
          <w:lang w:val="en-GB" w:eastAsia="en-GB"/>
        </w:rPr>
        <w:t>Peter Gillett</w:t>
      </w:r>
      <w:r w:rsidR="00F227D9" w:rsidRPr="00CC67D1">
        <w:rPr>
          <w:rFonts w:ascii="Verdana" w:eastAsia="Times New Roman" w:hAnsi="Verdana" w:cs="Arial"/>
          <w:b/>
          <w:sz w:val="22"/>
          <w:szCs w:val="22"/>
          <w:lang w:val="en-GB" w:eastAsia="en-GB"/>
        </w:rPr>
        <w:t xml:space="preserve"> </w:t>
      </w:r>
      <w:r w:rsidR="00F227D9" w:rsidRPr="003F16E2">
        <w:rPr>
          <w:rFonts w:ascii="Verdana" w:eastAsia="Times New Roman" w:hAnsi="Verdana" w:cs="Arial"/>
          <w:sz w:val="22"/>
          <w:szCs w:val="22"/>
          <w:lang w:val="en-GB" w:eastAsia="en-GB"/>
        </w:rPr>
        <w:t>CPFA</w:t>
      </w:r>
    </w:p>
    <w:p w:rsidR="003F16E2" w:rsidRDefault="003F16E2" w:rsidP="00F227D9">
      <w:pPr>
        <w:pStyle w:val="Normal0"/>
        <w:jc w:val="both"/>
        <w:rPr>
          <w:rFonts w:ascii="Verdana" w:eastAsia="Times New Roman" w:hAnsi="Verdana" w:cs="Arial"/>
          <w:sz w:val="22"/>
          <w:szCs w:val="22"/>
          <w:lang w:val="en-GB" w:eastAsia="en-GB"/>
        </w:rPr>
      </w:pPr>
    </w:p>
    <w:p w:rsidR="00D54BAF" w:rsidRDefault="00F227D9" w:rsidP="00F227D9">
      <w:pPr>
        <w:pStyle w:val="Normal0"/>
        <w:jc w:val="both"/>
        <w:rPr>
          <w:rFonts w:ascii="Verdana" w:eastAsia="Times New Roman" w:hAnsi="Verdana" w:cs="Arial"/>
          <w:sz w:val="22"/>
          <w:szCs w:val="22"/>
          <w:lang w:val="en-GB" w:eastAsia="en-GB"/>
        </w:rPr>
      </w:pPr>
      <w:r w:rsidRPr="003F16E2">
        <w:rPr>
          <w:rFonts w:ascii="Verdana" w:eastAsia="Times New Roman" w:hAnsi="Verdana" w:cs="Arial"/>
          <w:sz w:val="22"/>
          <w:szCs w:val="22"/>
          <w:lang w:val="en-GB" w:eastAsia="en-GB"/>
        </w:rPr>
        <w:t>Executive Director of Commercial and Financ</w:t>
      </w:r>
      <w:r w:rsidR="00B60B19">
        <w:rPr>
          <w:rFonts w:ascii="Verdana" w:eastAsia="Times New Roman" w:hAnsi="Verdana" w:cs="Arial"/>
          <w:sz w:val="22"/>
          <w:szCs w:val="22"/>
          <w:lang w:val="en-GB" w:eastAsia="en-GB"/>
        </w:rPr>
        <w:t>e</w:t>
      </w:r>
      <w:r w:rsidRPr="003F16E2">
        <w:rPr>
          <w:rFonts w:ascii="Verdana" w:eastAsia="Times New Roman" w:hAnsi="Verdana" w:cs="Arial"/>
          <w:sz w:val="22"/>
          <w:szCs w:val="22"/>
          <w:lang w:val="en-GB" w:eastAsia="en-GB"/>
        </w:rPr>
        <w:t xml:space="preserve"> Services</w:t>
      </w:r>
      <w:r w:rsidR="00D54BAF">
        <w:rPr>
          <w:rFonts w:ascii="Verdana" w:eastAsia="Times New Roman" w:hAnsi="Verdana" w:cs="Arial"/>
          <w:sz w:val="22"/>
          <w:szCs w:val="22"/>
          <w:lang w:val="en-GB" w:eastAsia="en-GB"/>
        </w:rPr>
        <w:t xml:space="preserve">, </w:t>
      </w:r>
    </w:p>
    <w:p w:rsidR="00F227D9" w:rsidRDefault="00D54BAF" w:rsidP="00F227D9">
      <w:pPr>
        <w:pStyle w:val="Normal0"/>
        <w:jc w:val="both"/>
        <w:rPr>
          <w:rFonts w:ascii="Verdana" w:eastAsia="Times New Roman" w:hAnsi="Verdana" w:cs="Arial"/>
          <w:sz w:val="22"/>
          <w:szCs w:val="22"/>
          <w:lang w:val="en-GB" w:eastAsia="en-GB"/>
        </w:rPr>
      </w:pPr>
      <w:r>
        <w:rPr>
          <w:rFonts w:ascii="Verdana" w:eastAsia="Times New Roman" w:hAnsi="Verdana" w:cs="Arial"/>
          <w:sz w:val="22"/>
          <w:szCs w:val="22"/>
          <w:lang w:val="en-GB" w:eastAsia="en-GB"/>
        </w:rPr>
        <w:t>Chief Finance Officer to the Chief Constable of Surrey</w:t>
      </w:r>
    </w:p>
    <w:p w:rsidR="0076589E" w:rsidRDefault="0076589E" w:rsidP="00F227D9">
      <w:pPr>
        <w:pStyle w:val="Normal0"/>
        <w:jc w:val="both"/>
        <w:rPr>
          <w:rFonts w:ascii="Verdana" w:eastAsia="Times New Roman" w:hAnsi="Verdana" w:cs="Arial"/>
          <w:sz w:val="22"/>
          <w:szCs w:val="22"/>
          <w:lang w:val="en-GB" w:eastAsia="en-GB"/>
        </w:rPr>
      </w:pPr>
    </w:p>
    <w:p w:rsidR="0076589E" w:rsidRDefault="0076589E" w:rsidP="00F227D9">
      <w:pPr>
        <w:pStyle w:val="Normal0"/>
        <w:jc w:val="both"/>
        <w:rPr>
          <w:rFonts w:ascii="Verdana" w:eastAsia="Times New Roman" w:hAnsi="Verdana" w:cs="Arial"/>
          <w:sz w:val="22"/>
          <w:szCs w:val="22"/>
          <w:lang w:val="en-GB" w:eastAsia="en-GB"/>
        </w:rPr>
      </w:pPr>
      <w:r>
        <w:rPr>
          <w:rFonts w:ascii="Verdana" w:eastAsia="Times New Roman" w:hAnsi="Verdana" w:cs="Arial"/>
          <w:sz w:val="22"/>
          <w:szCs w:val="22"/>
          <w:lang w:val="en-GB" w:eastAsia="en-GB"/>
        </w:rPr>
        <w:t>Date:</w:t>
      </w:r>
    </w:p>
    <w:p w:rsidR="0076589E" w:rsidRPr="003F16E2" w:rsidRDefault="0076589E" w:rsidP="00F227D9">
      <w:pPr>
        <w:pStyle w:val="Normal0"/>
        <w:jc w:val="both"/>
        <w:rPr>
          <w:rFonts w:ascii="Verdana" w:eastAsia="Times New Roman" w:hAnsi="Verdana" w:cs="Arial"/>
          <w:sz w:val="22"/>
          <w:szCs w:val="22"/>
          <w:lang w:val="en-GB" w:eastAsia="en-GB"/>
        </w:rPr>
      </w:pPr>
    </w:p>
    <w:p w:rsidR="00F227D9" w:rsidRPr="00CC67D1" w:rsidRDefault="00F227D9" w:rsidP="00F227D9">
      <w:pPr>
        <w:pStyle w:val="Normal0"/>
        <w:jc w:val="both"/>
        <w:rPr>
          <w:rFonts w:ascii="Verdana" w:eastAsia="Times New Roman" w:hAnsi="Verdana" w:cs="Arial"/>
          <w:b/>
          <w:sz w:val="22"/>
          <w:szCs w:val="22"/>
          <w:lang w:val="en-GB" w:eastAsia="en-GB"/>
        </w:rPr>
      </w:pPr>
      <w:r w:rsidRPr="00CC67D1">
        <w:rPr>
          <w:rFonts w:ascii="Verdana" w:eastAsia="Times New Roman" w:hAnsi="Verdana" w:cs="Arial"/>
          <w:b/>
          <w:sz w:val="22"/>
          <w:szCs w:val="22"/>
          <w:lang w:val="en-GB" w:eastAsia="en-GB"/>
        </w:rPr>
        <w:t xml:space="preserve">        </w:t>
      </w:r>
      <w:r w:rsidRPr="00CC67D1">
        <w:rPr>
          <w:rFonts w:ascii="Verdana" w:eastAsia="Times New Roman" w:hAnsi="Verdana" w:cs="Arial"/>
          <w:b/>
          <w:sz w:val="22"/>
          <w:szCs w:val="22"/>
          <w:lang w:val="en-GB" w:eastAsia="en-GB"/>
        </w:rPr>
        <w:tab/>
        <w:t xml:space="preserve">             </w:t>
      </w:r>
      <w:r w:rsidRPr="00CC67D1">
        <w:rPr>
          <w:rFonts w:ascii="Verdana" w:eastAsia="Times New Roman" w:hAnsi="Verdana" w:cs="Arial"/>
          <w:b/>
          <w:sz w:val="22"/>
          <w:szCs w:val="22"/>
          <w:lang w:val="en-GB" w:eastAsia="en-GB"/>
        </w:rPr>
        <w:tab/>
      </w:r>
      <w:r w:rsidRPr="00CC67D1">
        <w:rPr>
          <w:rFonts w:ascii="Verdana" w:eastAsia="Times New Roman" w:hAnsi="Verdana" w:cs="Arial"/>
          <w:b/>
          <w:sz w:val="22"/>
          <w:szCs w:val="22"/>
          <w:lang w:val="en-GB" w:eastAsia="en-GB"/>
        </w:rPr>
        <w:tab/>
      </w:r>
    </w:p>
    <w:p w:rsidR="00F227D9" w:rsidRPr="00E5283C" w:rsidRDefault="00F227D9" w:rsidP="00F227D9">
      <w:pPr>
        <w:pStyle w:val="Normal0"/>
        <w:jc w:val="both"/>
        <w:rPr>
          <w:rFonts w:ascii="Verdana" w:eastAsia="Times New Roman" w:hAnsi="Verdana" w:cs="Arial"/>
          <w:b/>
          <w:sz w:val="22"/>
          <w:szCs w:val="22"/>
          <w:lang w:val="en-GB" w:eastAsia="en-GB"/>
        </w:rPr>
        <w:sectPr w:rsidR="00F227D9" w:rsidRPr="00E5283C" w:rsidSect="00F227D9">
          <w:pgSz w:w="11900" w:h="16840"/>
          <w:pgMar w:top="720" w:right="720" w:bottom="720" w:left="720" w:header="708" w:footer="708" w:gutter="0"/>
          <w:cols w:space="708"/>
          <w:docGrid w:linePitch="360"/>
        </w:sectPr>
      </w:pPr>
      <w:r w:rsidRPr="00E5283C">
        <w:rPr>
          <w:rFonts w:ascii="Verdana" w:eastAsia="Times New Roman" w:hAnsi="Verdana" w:cs="Arial"/>
          <w:b/>
          <w:sz w:val="22"/>
          <w:szCs w:val="22"/>
          <w:lang w:val="en-GB" w:eastAsia="en-GB"/>
        </w:rPr>
        <w:t xml:space="preserve"> </w:t>
      </w:r>
    </w:p>
    <w:p w:rsidR="00F227D9" w:rsidRPr="00C22B7B" w:rsidRDefault="00F227D9" w:rsidP="00F227D9">
      <w:pPr>
        <w:pStyle w:val="Heading1"/>
      </w:pPr>
      <w:bookmarkStart w:id="2" w:name="_Toc55900972"/>
      <w:r w:rsidRPr="00C22B7B">
        <w:lastRenderedPageBreak/>
        <w:t>External Auditor’s Report</w:t>
      </w:r>
      <w:bookmarkEnd w:id="2"/>
    </w:p>
    <w:p w:rsidR="003F16E2" w:rsidRDefault="003F16E2">
      <w:pPr>
        <w:pStyle w:val="Normal0"/>
        <w:rPr>
          <w:rFonts w:ascii="Verdana" w:eastAsia="Calibri" w:hAnsi="Verdana" w:cs="Times New Roman"/>
        </w:rPr>
      </w:pPr>
    </w:p>
    <w:p w:rsidR="00F227D9" w:rsidRPr="00C22B7B" w:rsidRDefault="00F227D9">
      <w:pPr>
        <w:pStyle w:val="Normal0"/>
        <w:rPr>
          <w:rFonts w:ascii="Verdana" w:hAnsi="Verdana" w:cs="Times New Roman"/>
        </w:rPr>
        <w:sectPr w:rsidR="00F227D9" w:rsidRPr="00C22B7B" w:rsidSect="00F227D9">
          <w:pgSz w:w="11900" w:h="16840"/>
          <w:pgMar w:top="1440" w:right="1440" w:bottom="1440" w:left="1440" w:header="708" w:footer="708" w:gutter="0"/>
          <w:cols w:space="708"/>
          <w:docGrid w:linePitch="360"/>
        </w:sectPr>
      </w:pPr>
      <w:r w:rsidRPr="00C22B7B">
        <w:rPr>
          <w:rFonts w:ascii="Verdana" w:eastAsia="Calibri" w:hAnsi="Verdana" w:cs="Times New Roman"/>
        </w:rPr>
        <w:t>Page left intentionally blank for the External Audit Report</w:t>
      </w:r>
    </w:p>
    <w:p w:rsidR="00F227D9" w:rsidRPr="00DA37C3" w:rsidRDefault="00F227D9" w:rsidP="00F227D9">
      <w:pPr>
        <w:pStyle w:val="Heading1"/>
        <w:rPr>
          <w:lang w:val="en-GB" w:eastAsia="en-GB"/>
        </w:rPr>
      </w:pPr>
      <w:bookmarkStart w:id="3" w:name="_Toc55900973"/>
      <w:r w:rsidRPr="00DA37C3">
        <w:rPr>
          <w:lang w:val="en-GB" w:eastAsia="en-GB"/>
        </w:rPr>
        <w:lastRenderedPageBreak/>
        <w:t>Statement of Responsibilities</w:t>
      </w:r>
      <w:bookmarkEnd w:id="3"/>
    </w:p>
    <w:p w:rsidR="00F227D9" w:rsidRPr="005F1E68" w:rsidRDefault="00F227D9" w:rsidP="00F227D9">
      <w:pPr>
        <w:pStyle w:val="Normal0"/>
        <w:jc w:val="both"/>
        <w:rPr>
          <w:rFonts w:ascii="Verdana" w:eastAsia="Times New Roman" w:hAnsi="Verdana" w:cs="Arial"/>
          <w:b/>
          <w:sz w:val="22"/>
          <w:szCs w:val="22"/>
          <w:lang w:val="en-GB" w:eastAsia="en-GB"/>
        </w:rPr>
      </w:pPr>
    </w:p>
    <w:p w:rsidR="00F227D9" w:rsidRPr="005F1E68" w:rsidRDefault="00F227D9" w:rsidP="00F227D9">
      <w:pPr>
        <w:pStyle w:val="Normal0"/>
        <w:jc w:val="both"/>
        <w:rPr>
          <w:rFonts w:ascii="Verdana" w:eastAsia="Times New Roman" w:hAnsi="Verdana" w:cs="Arial"/>
          <w:b/>
          <w:sz w:val="22"/>
          <w:szCs w:val="22"/>
          <w:lang w:val="en-GB" w:eastAsia="en-GB"/>
        </w:rPr>
      </w:pPr>
      <w:r w:rsidRPr="005F1E68">
        <w:rPr>
          <w:rFonts w:ascii="Verdana" w:eastAsia="Times New Roman" w:hAnsi="Verdana" w:cs="Arial"/>
          <w:b/>
          <w:sz w:val="22"/>
          <w:szCs w:val="22"/>
          <w:lang w:val="en-GB" w:eastAsia="en-GB"/>
        </w:rPr>
        <w:t xml:space="preserve">Responsibilities of the Chief Constable </w:t>
      </w:r>
    </w:p>
    <w:p w:rsidR="00F227D9" w:rsidRPr="005F1E68" w:rsidRDefault="00F227D9" w:rsidP="00F227D9">
      <w:pPr>
        <w:pStyle w:val="Normal0"/>
        <w:jc w:val="both"/>
        <w:rPr>
          <w:rFonts w:ascii="Verdana" w:eastAsia="Times New Roman" w:hAnsi="Verdana" w:cs="Arial"/>
          <w:b/>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r w:rsidRPr="005F1E68">
        <w:rPr>
          <w:rFonts w:ascii="Verdana" w:eastAsia="Times New Roman" w:hAnsi="Verdana" w:cs="Arial"/>
          <w:sz w:val="22"/>
          <w:szCs w:val="22"/>
          <w:lang w:val="en-GB" w:eastAsia="en-GB"/>
        </w:rPr>
        <w:t>The Chief Constable is required:</w:t>
      </w: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ListParagraph"/>
        <w:numPr>
          <w:ilvl w:val="0"/>
          <w:numId w:val="5"/>
        </w:numPr>
        <w:jc w:val="both"/>
        <w:rPr>
          <w:rFonts w:ascii="Verdana" w:hAnsi="Verdana" w:cs="Arial"/>
          <w:sz w:val="22"/>
          <w:szCs w:val="22"/>
          <w:lang w:val="en-GB" w:eastAsia="en-GB"/>
        </w:rPr>
      </w:pPr>
      <w:r w:rsidRPr="005F1E68">
        <w:rPr>
          <w:rFonts w:ascii="Verdana" w:hAnsi="Verdana" w:cs="Arial"/>
          <w:sz w:val="22"/>
          <w:szCs w:val="22"/>
          <w:lang w:val="en-GB" w:eastAsia="en-GB"/>
        </w:rPr>
        <w:t>To make arrangements for the proper administration of the Force’s financial affairs and to ensure that one of its officers (the Chief Financial Officer) has the responsibility for the administration of those affairs.</w:t>
      </w: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ListParagraph"/>
        <w:numPr>
          <w:ilvl w:val="0"/>
          <w:numId w:val="5"/>
        </w:numPr>
        <w:jc w:val="both"/>
        <w:rPr>
          <w:rFonts w:ascii="Verdana" w:hAnsi="Verdana" w:cs="Arial"/>
          <w:sz w:val="22"/>
          <w:szCs w:val="22"/>
          <w:lang w:val="en-GB" w:eastAsia="en-GB"/>
        </w:rPr>
      </w:pPr>
      <w:r w:rsidRPr="005F1E68">
        <w:rPr>
          <w:rFonts w:ascii="Verdana" w:hAnsi="Verdana" w:cs="Arial"/>
          <w:sz w:val="22"/>
          <w:szCs w:val="22"/>
          <w:lang w:val="en-GB" w:eastAsia="en-GB"/>
        </w:rPr>
        <w:t>To manage its affairs to secure economic, efficient and effective use of resources and safeguard its assets.</w:t>
      </w:r>
    </w:p>
    <w:p w:rsidR="00F227D9" w:rsidRPr="005F1E68" w:rsidRDefault="00F227D9" w:rsidP="00F227D9">
      <w:pPr>
        <w:pStyle w:val="ListParagraph"/>
        <w:rPr>
          <w:rFonts w:ascii="Verdana" w:hAnsi="Verdana" w:cs="Arial"/>
          <w:sz w:val="22"/>
          <w:szCs w:val="22"/>
          <w:lang w:val="en-GB" w:eastAsia="en-GB"/>
        </w:rPr>
      </w:pPr>
    </w:p>
    <w:p w:rsidR="00F227D9" w:rsidRPr="005F1E68" w:rsidRDefault="00F227D9" w:rsidP="00F227D9">
      <w:pPr>
        <w:pStyle w:val="ListParagraph"/>
        <w:numPr>
          <w:ilvl w:val="0"/>
          <w:numId w:val="5"/>
        </w:numPr>
        <w:jc w:val="both"/>
        <w:rPr>
          <w:rFonts w:ascii="Verdana" w:hAnsi="Verdana" w:cs="Arial"/>
          <w:sz w:val="22"/>
          <w:szCs w:val="22"/>
          <w:lang w:val="en-GB" w:eastAsia="en-GB"/>
        </w:rPr>
      </w:pPr>
      <w:r w:rsidRPr="005F1E68">
        <w:rPr>
          <w:rFonts w:ascii="Verdana" w:hAnsi="Verdana" w:cs="Arial"/>
          <w:sz w:val="22"/>
          <w:szCs w:val="22"/>
          <w:lang w:val="en-GB" w:eastAsia="en-GB"/>
        </w:rPr>
        <w:t>To approve the Statement of Accounts.</w:t>
      </w:r>
    </w:p>
    <w:p w:rsidR="00F227D9" w:rsidRPr="005F1E68" w:rsidRDefault="00F227D9" w:rsidP="00F227D9">
      <w:pPr>
        <w:pStyle w:val="ListParagraph"/>
        <w:rPr>
          <w:rFonts w:ascii="Verdana"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p>
    <w:p w:rsidR="002A69A9" w:rsidRPr="005F1E68" w:rsidRDefault="002A69A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r w:rsidRPr="005F1E68">
        <w:rPr>
          <w:rFonts w:ascii="Verdana" w:eastAsia="Times New Roman" w:hAnsi="Verdana" w:cs="Arial"/>
          <w:sz w:val="22"/>
          <w:szCs w:val="22"/>
          <w:lang w:val="en-GB" w:eastAsia="en-GB"/>
        </w:rPr>
        <w:t>I approve these Statement of Accounts for the year ended 31 March 20</w:t>
      </w:r>
      <w:r>
        <w:rPr>
          <w:rFonts w:ascii="Verdana" w:eastAsia="Times New Roman" w:hAnsi="Verdana" w:cs="Arial"/>
          <w:sz w:val="22"/>
          <w:szCs w:val="22"/>
          <w:lang w:val="en-GB" w:eastAsia="en-GB"/>
        </w:rPr>
        <w:t>20</w:t>
      </w:r>
      <w:r w:rsidRPr="005F1E68">
        <w:rPr>
          <w:rFonts w:ascii="Verdana" w:eastAsia="Times New Roman" w:hAnsi="Verdana" w:cs="Arial"/>
          <w:sz w:val="22"/>
          <w:szCs w:val="22"/>
          <w:lang w:val="en-GB" w:eastAsia="en-GB"/>
        </w:rPr>
        <w:t>.</w:t>
      </w: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Default="00F227D9" w:rsidP="00F227D9">
      <w:pPr>
        <w:pStyle w:val="Normal0"/>
        <w:jc w:val="both"/>
        <w:rPr>
          <w:rFonts w:ascii="Verdana" w:eastAsia="Times New Roman" w:hAnsi="Verdana" w:cs="Arial"/>
          <w:sz w:val="22"/>
          <w:szCs w:val="22"/>
          <w:lang w:val="en-GB" w:eastAsia="en-GB"/>
        </w:rPr>
      </w:pPr>
    </w:p>
    <w:p w:rsidR="005E3587" w:rsidRPr="005F1E68" w:rsidRDefault="005E3587"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sz w:val="22"/>
          <w:szCs w:val="22"/>
          <w:lang w:val="en-GB" w:eastAsia="en-GB"/>
        </w:rPr>
      </w:pPr>
    </w:p>
    <w:p w:rsidR="00F227D9" w:rsidRDefault="00F227D9" w:rsidP="00F227D9">
      <w:pPr>
        <w:pStyle w:val="Normal0"/>
        <w:jc w:val="both"/>
        <w:rPr>
          <w:rFonts w:ascii="Verdana" w:eastAsia="Times New Roman" w:hAnsi="Verdana" w:cs="Arial"/>
          <w:sz w:val="22"/>
          <w:szCs w:val="22"/>
          <w:lang w:val="en-GB" w:eastAsia="en-GB"/>
        </w:rPr>
      </w:pPr>
    </w:p>
    <w:p w:rsidR="00744CE5" w:rsidRPr="005F1E68" w:rsidRDefault="00744CE5" w:rsidP="00F227D9">
      <w:pPr>
        <w:pStyle w:val="Normal0"/>
        <w:jc w:val="both"/>
        <w:rPr>
          <w:rFonts w:ascii="Verdana" w:eastAsia="Times New Roman" w:hAnsi="Verdana" w:cs="Arial"/>
          <w:sz w:val="22"/>
          <w:szCs w:val="22"/>
          <w:lang w:val="en-GB" w:eastAsia="en-GB"/>
        </w:rPr>
      </w:pPr>
    </w:p>
    <w:p w:rsidR="00F227D9" w:rsidRDefault="00F227D9" w:rsidP="00F227D9">
      <w:pPr>
        <w:pStyle w:val="Normal0"/>
        <w:jc w:val="both"/>
        <w:rPr>
          <w:rFonts w:ascii="Verdana" w:eastAsia="Times New Roman" w:hAnsi="Verdana" w:cs="Arial"/>
          <w:sz w:val="22"/>
          <w:szCs w:val="22"/>
          <w:lang w:val="en-GB" w:eastAsia="en-GB"/>
        </w:rPr>
      </w:pPr>
    </w:p>
    <w:p w:rsidR="00744CE5" w:rsidRPr="005F1E68" w:rsidRDefault="00744CE5" w:rsidP="00F227D9">
      <w:pPr>
        <w:pStyle w:val="Normal0"/>
        <w:jc w:val="both"/>
        <w:rPr>
          <w:rFonts w:ascii="Verdana" w:eastAsia="Times New Roman" w:hAnsi="Verdana" w:cs="Arial"/>
          <w:sz w:val="22"/>
          <w:szCs w:val="22"/>
          <w:lang w:val="en-GB" w:eastAsia="en-GB"/>
        </w:rPr>
      </w:pPr>
    </w:p>
    <w:p w:rsidR="00F227D9" w:rsidRPr="005F1E68" w:rsidRDefault="00F227D9" w:rsidP="00F227D9">
      <w:pPr>
        <w:pStyle w:val="Normal0"/>
        <w:jc w:val="both"/>
        <w:rPr>
          <w:rFonts w:ascii="Verdana" w:eastAsia="Times New Roman" w:hAnsi="Verdana" w:cs="Arial"/>
          <w:b/>
          <w:sz w:val="22"/>
          <w:szCs w:val="22"/>
          <w:lang w:val="en-GB" w:eastAsia="en-GB"/>
        </w:rPr>
      </w:pPr>
      <w:r w:rsidRPr="005F1E68">
        <w:rPr>
          <w:rFonts w:ascii="Verdana" w:eastAsia="Times New Roman" w:hAnsi="Verdana" w:cs="Arial"/>
          <w:b/>
          <w:sz w:val="22"/>
          <w:szCs w:val="22"/>
          <w:lang w:val="en-GB" w:eastAsia="en-GB"/>
        </w:rPr>
        <w:t>Gavin Stephens</w:t>
      </w:r>
    </w:p>
    <w:p w:rsidR="00F227D9" w:rsidRPr="005F1E68" w:rsidRDefault="00F227D9" w:rsidP="00F227D9">
      <w:pPr>
        <w:pStyle w:val="Normal0"/>
        <w:jc w:val="both"/>
        <w:rPr>
          <w:rFonts w:ascii="Verdana" w:eastAsia="Times New Roman" w:hAnsi="Verdana" w:cs="Arial"/>
          <w:sz w:val="22"/>
          <w:szCs w:val="22"/>
          <w:lang w:val="en-GB" w:eastAsia="en-GB"/>
        </w:rPr>
      </w:pPr>
      <w:r w:rsidRPr="005F1E68">
        <w:rPr>
          <w:rFonts w:ascii="Verdana" w:eastAsia="Times New Roman" w:hAnsi="Verdana" w:cs="Arial"/>
          <w:b/>
          <w:sz w:val="22"/>
          <w:szCs w:val="22"/>
          <w:lang w:val="en-GB" w:eastAsia="en-GB"/>
        </w:rPr>
        <w:t>Chief Constable of Surrey Police</w:t>
      </w:r>
    </w:p>
    <w:p w:rsidR="00F227D9" w:rsidRDefault="00F227D9" w:rsidP="00F227D9">
      <w:pPr>
        <w:pStyle w:val="Normal0"/>
        <w:jc w:val="both"/>
        <w:rPr>
          <w:rFonts w:ascii="Verdana" w:eastAsia="Times New Roman" w:hAnsi="Verdana" w:cs="Arial"/>
          <w:sz w:val="22"/>
          <w:szCs w:val="22"/>
          <w:lang w:val="en-GB" w:eastAsia="en-GB"/>
        </w:rPr>
      </w:pPr>
    </w:p>
    <w:p w:rsidR="00744CE5" w:rsidRDefault="00744CE5" w:rsidP="00F227D9">
      <w:pPr>
        <w:pStyle w:val="Normal0"/>
        <w:jc w:val="both"/>
        <w:rPr>
          <w:rFonts w:ascii="Verdana" w:eastAsia="Times New Roman" w:hAnsi="Verdana" w:cs="Arial"/>
          <w:sz w:val="22"/>
          <w:szCs w:val="22"/>
          <w:lang w:val="en-GB" w:eastAsia="en-GB"/>
        </w:rPr>
      </w:pPr>
    </w:p>
    <w:p w:rsidR="00744CE5" w:rsidRPr="005F1E68" w:rsidRDefault="00744CE5" w:rsidP="00F227D9">
      <w:pPr>
        <w:pStyle w:val="Normal0"/>
        <w:jc w:val="both"/>
        <w:rPr>
          <w:rFonts w:ascii="Verdana" w:eastAsia="Times New Roman" w:hAnsi="Verdana" w:cs="Arial"/>
          <w:sz w:val="22"/>
          <w:szCs w:val="22"/>
          <w:lang w:val="en-GB" w:eastAsia="en-GB"/>
        </w:rPr>
      </w:pPr>
    </w:p>
    <w:p w:rsidR="003F16E2" w:rsidRDefault="003F16E2" w:rsidP="00F227D9">
      <w:pPr>
        <w:pStyle w:val="Normal0"/>
        <w:jc w:val="both"/>
        <w:rPr>
          <w:rFonts w:ascii="Verdana" w:eastAsia="Times New Roman" w:hAnsi="Verdana" w:cs="Arial"/>
          <w:sz w:val="22"/>
          <w:szCs w:val="22"/>
          <w:lang w:val="en-GB" w:eastAsia="en-GB"/>
        </w:rPr>
      </w:pPr>
    </w:p>
    <w:p w:rsidR="00F227D9" w:rsidRDefault="00F227D9" w:rsidP="00EA146B">
      <w:pPr>
        <w:pStyle w:val="Normal0"/>
        <w:jc w:val="both"/>
        <w:rPr>
          <w:rFonts w:ascii="Verdana" w:eastAsia="Times New Roman" w:hAnsi="Verdana" w:cs="Arial"/>
          <w:b/>
          <w:sz w:val="22"/>
          <w:szCs w:val="22"/>
          <w:lang w:val="en-GB" w:eastAsia="en-GB"/>
        </w:rPr>
      </w:pPr>
      <w:r w:rsidRPr="005F1E68">
        <w:rPr>
          <w:rFonts w:ascii="Verdana" w:eastAsia="Times New Roman" w:hAnsi="Verdana" w:cs="Arial"/>
          <w:sz w:val="22"/>
          <w:szCs w:val="22"/>
          <w:lang w:val="en-GB" w:eastAsia="en-GB"/>
        </w:rPr>
        <w:t xml:space="preserve">Date:  </w:t>
      </w:r>
    </w:p>
    <w:p w:rsidR="00744CE5" w:rsidRDefault="00744CE5" w:rsidP="00F227D9">
      <w:pPr>
        <w:pStyle w:val="Normal0"/>
        <w:tabs>
          <w:tab w:val="left" w:pos="4536"/>
        </w:tabs>
        <w:ind w:right="237"/>
        <w:jc w:val="both"/>
        <w:rPr>
          <w:rFonts w:ascii="Verdana" w:eastAsia="Times New Roman" w:hAnsi="Verdana" w:cs="Arial"/>
          <w:b/>
          <w:sz w:val="22"/>
          <w:szCs w:val="22"/>
          <w:lang w:val="en-GB" w:eastAsia="en-GB"/>
        </w:rPr>
      </w:pPr>
    </w:p>
    <w:p w:rsidR="00744CE5" w:rsidRPr="005F1E68" w:rsidRDefault="00744CE5" w:rsidP="00F227D9">
      <w:pPr>
        <w:pStyle w:val="Normal0"/>
        <w:tabs>
          <w:tab w:val="left" w:pos="4536"/>
        </w:tabs>
        <w:ind w:right="237"/>
        <w:jc w:val="both"/>
        <w:rPr>
          <w:rFonts w:ascii="Verdana" w:eastAsia="Times New Roman" w:hAnsi="Verdana" w:cs="Arial"/>
          <w:b/>
          <w:sz w:val="22"/>
          <w:szCs w:val="22"/>
          <w:lang w:val="en-GB" w:eastAsia="en-GB"/>
        </w:rPr>
      </w:pPr>
    </w:p>
    <w:p w:rsidR="002A69A9" w:rsidRDefault="002A69A9" w:rsidP="00F227D9">
      <w:pPr>
        <w:pStyle w:val="Normal0"/>
        <w:tabs>
          <w:tab w:val="left" w:pos="4536"/>
        </w:tabs>
        <w:ind w:right="237"/>
        <w:jc w:val="both"/>
        <w:rPr>
          <w:rFonts w:ascii="Verdana" w:eastAsia="Times New Roman" w:hAnsi="Verdana" w:cs="Arial"/>
          <w:b/>
          <w:sz w:val="22"/>
          <w:szCs w:val="22"/>
          <w:lang w:val="en-GB" w:eastAsia="en-GB"/>
        </w:rPr>
      </w:pPr>
    </w:p>
    <w:p w:rsidR="00F227D9" w:rsidRPr="005F1E68" w:rsidRDefault="00F227D9" w:rsidP="00F227D9">
      <w:pPr>
        <w:pStyle w:val="Normal0"/>
        <w:tabs>
          <w:tab w:val="left" w:pos="4536"/>
        </w:tabs>
        <w:ind w:right="237"/>
        <w:jc w:val="both"/>
        <w:rPr>
          <w:rFonts w:ascii="Verdana" w:eastAsia="Times New Roman" w:hAnsi="Verdana" w:cs="Arial"/>
          <w:b/>
          <w:sz w:val="22"/>
          <w:szCs w:val="22"/>
          <w:lang w:val="en-GB" w:eastAsia="en-GB"/>
        </w:rPr>
      </w:pPr>
      <w:r w:rsidRPr="005F1E68">
        <w:rPr>
          <w:rFonts w:ascii="Verdana" w:eastAsia="Times New Roman" w:hAnsi="Verdana" w:cs="Arial"/>
          <w:b/>
          <w:sz w:val="22"/>
          <w:szCs w:val="22"/>
          <w:lang w:val="en-GB" w:eastAsia="en-GB"/>
        </w:rPr>
        <w:t>Responsibilities of the Chief Financial Officer</w:t>
      </w:r>
    </w:p>
    <w:p w:rsidR="00F227D9" w:rsidRPr="005F1E68" w:rsidRDefault="00F227D9" w:rsidP="00F227D9">
      <w:pPr>
        <w:pStyle w:val="Normal0"/>
        <w:tabs>
          <w:tab w:val="left" w:pos="4536"/>
        </w:tabs>
        <w:ind w:right="237"/>
        <w:jc w:val="both"/>
        <w:rPr>
          <w:rFonts w:ascii="Verdana" w:eastAsia="Times New Roman" w:hAnsi="Verdana" w:cs="Arial"/>
          <w:sz w:val="22"/>
          <w:szCs w:val="22"/>
          <w:lang w:val="en-GB" w:eastAsia="en-GB"/>
        </w:rPr>
      </w:pPr>
    </w:p>
    <w:p w:rsidR="00F227D9" w:rsidRPr="005F1E68" w:rsidRDefault="00F227D9" w:rsidP="00F227D9">
      <w:pPr>
        <w:pStyle w:val="Normal0"/>
        <w:tabs>
          <w:tab w:val="left" w:pos="4536"/>
        </w:tabs>
        <w:ind w:right="237"/>
        <w:jc w:val="both"/>
        <w:rPr>
          <w:rFonts w:ascii="Verdana" w:eastAsia="Times New Roman" w:hAnsi="Verdana" w:cs="Arial"/>
          <w:sz w:val="22"/>
          <w:szCs w:val="22"/>
          <w:lang w:val="en-GB" w:eastAsia="en-GB"/>
        </w:rPr>
      </w:pPr>
      <w:r w:rsidRPr="005F1E68">
        <w:rPr>
          <w:rFonts w:ascii="Verdana" w:eastAsia="Times New Roman" w:hAnsi="Verdana" w:cs="Arial"/>
          <w:sz w:val="22"/>
          <w:szCs w:val="22"/>
          <w:lang w:val="en-GB" w:eastAsia="en-GB"/>
        </w:rPr>
        <w:t>The Chief Financial Officer is responsible for</w:t>
      </w:r>
      <w:r w:rsidR="003F16E2">
        <w:rPr>
          <w:rFonts w:ascii="Verdana" w:eastAsia="Times New Roman" w:hAnsi="Verdana" w:cs="Arial"/>
          <w:sz w:val="22"/>
          <w:szCs w:val="22"/>
          <w:lang w:val="en-GB" w:eastAsia="en-GB"/>
        </w:rPr>
        <w:t xml:space="preserve"> </w:t>
      </w:r>
      <w:r w:rsidRPr="005F1E68">
        <w:rPr>
          <w:rFonts w:ascii="Verdana" w:eastAsia="Times New Roman" w:hAnsi="Verdana" w:cs="Arial"/>
          <w:sz w:val="22"/>
          <w:szCs w:val="22"/>
          <w:lang w:val="en-GB" w:eastAsia="en-GB"/>
        </w:rPr>
        <w:t>the preparation of the Force’s Statement of Accounts in accordance with proper practices as set out in the CIPFA/LASAAC Code of Practice on Local Authority Accounting in the United Kingdom (‘the Code’).</w:t>
      </w:r>
    </w:p>
    <w:p w:rsidR="00F227D9" w:rsidRPr="005F1E68" w:rsidRDefault="00F227D9" w:rsidP="00F227D9">
      <w:pPr>
        <w:pStyle w:val="Normal0"/>
        <w:tabs>
          <w:tab w:val="left" w:pos="4536"/>
        </w:tabs>
        <w:ind w:right="237"/>
        <w:jc w:val="both"/>
        <w:rPr>
          <w:rFonts w:ascii="Verdana" w:eastAsia="Times New Roman" w:hAnsi="Verdana" w:cs="Arial"/>
          <w:sz w:val="22"/>
          <w:szCs w:val="22"/>
          <w:lang w:val="en-GB" w:eastAsia="en-GB"/>
        </w:rPr>
      </w:pPr>
    </w:p>
    <w:p w:rsidR="00F227D9" w:rsidRPr="005F1E68" w:rsidRDefault="00F227D9" w:rsidP="00F227D9">
      <w:pPr>
        <w:pStyle w:val="Normal0"/>
        <w:tabs>
          <w:tab w:val="left" w:pos="4536"/>
        </w:tabs>
        <w:ind w:right="237"/>
        <w:jc w:val="both"/>
        <w:rPr>
          <w:rFonts w:ascii="Verdana" w:eastAsia="Times New Roman" w:hAnsi="Verdana" w:cs="Arial"/>
          <w:sz w:val="22"/>
          <w:szCs w:val="22"/>
          <w:lang w:val="en-GB" w:eastAsia="en-GB"/>
        </w:rPr>
      </w:pPr>
      <w:r w:rsidRPr="005F1E68">
        <w:rPr>
          <w:rFonts w:ascii="Verdana" w:eastAsia="Times New Roman" w:hAnsi="Verdana" w:cs="Arial"/>
          <w:sz w:val="22"/>
          <w:szCs w:val="22"/>
          <w:lang w:val="en-GB" w:eastAsia="en-GB"/>
        </w:rPr>
        <w:t>In preparing this Statement of Accounts, the Chief Financial Officer has:</w:t>
      </w:r>
    </w:p>
    <w:p w:rsidR="00F227D9" w:rsidRPr="005F1E68" w:rsidRDefault="00F227D9" w:rsidP="00F227D9">
      <w:pPr>
        <w:pStyle w:val="Normal0"/>
        <w:tabs>
          <w:tab w:val="left" w:pos="4536"/>
        </w:tabs>
        <w:ind w:right="237"/>
        <w:jc w:val="both"/>
        <w:rPr>
          <w:rFonts w:ascii="Verdana" w:eastAsia="Times New Roman" w:hAnsi="Verdana" w:cs="Arial"/>
          <w:sz w:val="22"/>
          <w:szCs w:val="22"/>
          <w:lang w:val="en-GB" w:eastAsia="en-GB"/>
        </w:rPr>
      </w:pPr>
    </w:p>
    <w:p w:rsidR="00F227D9" w:rsidRPr="005F1E68" w:rsidRDefault="00F227D9" w:rsidP="00F227D9">
      <w:pPr>
        <w:pStyle w:val="ListParagraph"/>
        <w:numPr>
          <w:ilvl w:val="0"/>
          <w:numId w:val="6"/>
        </w:numPr>
        <w:tabs>
          <w:tab w:val="left" w:pos="4536"/>
        </w:tabs>
        <w:ind w:right="237"/>
        <w:jc w:val="both"/>
        <w:rPr>
          <w:rFonts w:ascii="Verdana" w:hAnsi="Verdana" w:cs="Arial"/>
          <w:sz w:val="22"/>
          <w:szCs w:val="22"/>
          <w:lang w:val="en-GB" w:eastAsia="en-GB"/>
        </w:rPr>
      </w:pPr>
      <w:r w:rsidRPr="005F1E68">
        <w:rPr>
          <w:rFonts w:ascii="Verdana" w:hAnsi="Verdana" w:cs="Arial"/>
          <w:sz w:val="22"/>
          <w:szCs w:val="22"/>
          <w:lang w:val="en-GB" w:eastAsia="en-GB"/>
        </w:rPr>
        <w:t>Selected suitable accounting policies and then applied them consistently.</w:t>
      </w:r>
    </w:p>
    <w:p w:rsidR="00F227D9" w:rsidRPr="005F1E68" w:rsidRDefault="00F227D9" w:rsidP="00F227D9">
      <w:pPr>
        <w:pStyle w:val="Normal0"/>
        <w:tabs>
          <w:tab w:val="left" w:pos="4536"/>
        </w:tabs>
        <w:ind w:right="237"/>
        <w:jc w:val="both"/>
        <w:rPr>
          <w:rFonts w:ascii="Verdana" w:eastAsia="Times New Roman" w:hAnsi="Verdana" w:cs="Arial"/>
          <w:sz w:val="22"/>
          <w:szCs w:val="22"/>
          <w:lang w:val="en-GB" w:eastAsia="en-GB"/>
        </w:rPr>
      </w:pPr>
    </w:p>
    <w:p w:rsidR="00F227D9" w:rsidRPr="005F1E68" w:rsidRDefault="00F227D9" w:rsidP="00F227D9">
      <w:pPr>
        <w:pStyle w:val="ListParagraph"/>
        <w:numPr>
          <w:ilvl w:val="0"/>
          <w:numId w:val="6"/>
        </w:numPr>
        <w:tabs>
          <w:tab w:val="left" w:pos="4536"/>
        </w:tabs>
        <w:ind w:right="237"/>
        <w:jc w:val="both"/>
        <w:rPr>
          <w:rFonts w:ascii="Verdana" w:hAnsi="Verdana" w:cs="Arial"/>
          <w:sz w:val="22"/>
          <w:szCs w:val="22"/>
          <w:lang w:val="en-GB" w:eastAsia="en-GB"/>
        </w:rPr>
      </w:pPr>
      <w:r w:rsidRPr="005F1E68">
        <w:rPr>
          <w:rFonts w:ascii="Verdana" w:hAnsi="Verdana" w:cs="Arial"/>
          <w:sz w:val="22"/>
          <w:szCs w:val="22"/>
          <w:lang w:val="en-GB" w:eastAsia="en-GB"/>
        </w:rPr>
        <w:t>Made judgements and estimates that were reasonable and prudent.</w:t>
      </w:r>
    </w:p>
    <w:p w:rsidR="00F227D9" w:rsidRPr="005F1E68" w:rsidRDefault="00F227D9" w:rsidP="00F227D9">
      <w:pPr>
        <w:pStyle w:val="ListParagraph"/>
        <w:tabs>
          <w:tab w:val="left" w:pos="4536"/>
        </w:tabs>
        <w:ind w:right="237"/>
        <w:rPr>
          <w:rFonts w:ascii="Verdana" w:hAnsi="Verdana" w:cs="Arial"/>
          <w:sz w:val="22"/>
          <w:szCs w:val="22"/>
          <w:lang w:val="en-GB" w:eastAsia="en-GB"/>
        </w:rPr>
      </w:pPr>
    </w:p>
    <w:p w:rsidR="00F227D9" w:rsidRPr="005F1E68" w:rsidRDefault="00F227D9" w:rsidP="00F227D9">
      <w:pPr>
        <w:pStyle w:val="ListParagraph"/>
        <w:numPr>
          <w:ilvl w:val="0"/>
          <w:numId w:val="6"/>
        </w:numPr>
        <w:tabs>
          <w:tab w:val="left" w:pos="4536"/>
        </w:tabs>
        <w:ind w:right="237"/>
        <w:jc w:val="both"/>
        <w:rPr>
          <w:rFonts w:ascii="Verdana" w:hAnsi="Verdana" w:cs="Arial"/>
          <w:sz w:val="22"/>
          <w:szCs w:val="22"/>
          <w:lang w:val="en-GB" w:eastAsia="en-GB"/>
        </w:rPr>
      </w:pPr>
      <w:r w:rsidRPr="005F1E68">
        <w:rPr>
          <w:rFonts w:ascii="Verdana" w:hAnsi="Verdana" w:cs="Arial"/>
          <w:sz w:val="22"/>
          <w:szCs w:val="22"/>
          <w:lang w:val="en-GB" w:eastAsia="en-GB"/>
        </w:rPr>
        <w:t>Complied with the Code.</w:t>
      </w:r>
    </w:p>
    <w:p w:rsidR="00F227D9" w:rsidRPr="005F1E68" w:rsidRDefault="00F227D9" w:rsidP="00F227D9">
      <w:pPr>
        <w:pStyle w:val="ListParagraph"/>
        <w:tabs>
          <w:tab w:val="left" w:pos="4536"/>
        </w:tabs>
        <w:ind w:right="237"/>
        <w:rPr>
          <w:rFonts w:ascii="Verdana" w:hAnsi="Verdana" w:cs="Arial"/>
          <w:sz w:val="22"/>
          <w:szCs w:val="22"/>
          <w:lang w:val="en-GB" w:eastAsia="en-GB"/>
        </w:rPr>
      </w:pPr>
    </w:p>
    <w:p w:rsidR="00F227D9" w:rsidRPr="005F1E68" w:rsidRDefault="00F227D9" w:rsidP="00F227D9">
      <w:pPr>
        <w:pStyle w:val="ListParagraph"/>
        <w:numPr>
          <w:ilvl w:val="0"/>
          <w:numId w:val="6"/>
        </w:numPr>
        <w:tabs>
          <w:tab w:val="left" w:pos="4536"/>
        </w:tabs>
        <w:ind w:right="237"/>
        <w:jc w:val="both"/>
        <w:rPr>
          <w:rFonts w:ascii="Verdana" w:hAnsi="Verdana" w:cs="Arial"/>
          <w:sz w:val="22"/>
          <w:szCs w:val="22"/>
          <w:lang w:val="en-GB" w:eastAsia="en-GB"/>
        </w:rPr>
      </w:pPr>
      <w:r w:rsidRPr="005F1E68">
        <w:rPr>
          <w:rFonts w:ascii="Verdana" w:hAnsi="Verdana" w:cs="Arial"/>
          <w:sz w:val="22"/>
          <w:szCs w:val="22"/>
          <w:lang w:val="en-GB" w:eastAsia="en-GB"/>
        </w:rPr>
        <w:t>Kept proper accounting records which were up to date.</w:t>
      </w:r>
    </w:p>
    <w:p w:rsidR="00F227D9" w:rsidRPr="005F1E68" w:rsidRDefault="00F227D9" w:rsidP="00F227D9">
      <w:pPr>
        <w:pStyle w:val="ListParagraph"/>
        <w:tabs>
          <w:tab w:val="left" w:pos="4536"/>
        </w:tabs>
        <w:ind w:right="237"/>
        <w:rPr>
          <w:rFonts w:ascii="Verdana" w:hAnsi="Verdana" w:cs="Arial"/>
          <w:sz w:val="22"/>
          <w:szCs w:val="22"/>
          <w:lang w:val="en-GB" w:eastAsia="en-GB"/>
        </w:rPr>
      </w:pPr>
    </w:p>
    <w:p w:rsidR="00F227D9" w:rsidRPr="005F1E68" w:rsidRDefault="00F227D9" w:rsidP="00F227D9">
      <w:pPr>
        <w:pStyle w:val="ListParagraph"/>
        <w:numPr>
          <w:ilvl w:val="0"/>
          <w:numId w:val="6"/>
        </w:numPr>
        <w:tabs>
          <w:tab w:val="left" w:pos="4536"/>
        </w:tabs>
        <w:ind w:right="237"/>
        <w:jc w:val="both"/>
        <w:rPr>
          <w:rFonts w:ascii="Verdana" w:hAnsi="Verdana" w:cs="Arial"/>
          <w:sz w:val="22"/>
          <w:szCs w:val="22"/>
          <w:lang w:val="en-GB" w:eastAsia="en-GB"/>
        </w:rPr>
      </w:pPr>
      <w:r w:rsidRPr="005F1E68">
        <w:rPr>
          <w:rFonts w:ascii="Verdana" w:hAnsi="Verdana" w:cs="Arial"/>
          <w:sz w:val="22"/>
          <w:szCs w:val="22"/>
          <w:lang w:val="en-GB" w:eastAsia="en-GB"/>
        </w:rPr>
        <w:t xml:space="preserve">Taken reasonable steps for the prevention and detection of fraud and other irregularities. </w:t>
      </w:r>
    </w:p>
    <w:p w:rsidR="00F227D9" w:rsidRPr="005F1E68" w:rsidRDefault="00F227D9" w:rsidP="00F227D9">
      <w:pPr>
        <w:pStyle w:val="Normal0"/>
        <w:tabs>
          <w:tab w:val="left" w:pos="4536"/>
        </w:tabs>
        <w:ind w:right="237"/>
        <w:jc w:val="both"/>
        <w:rPr>
          <w:rFonts w:ascii="Verdana" w:eastAsia="Times New Roman" w:hAnsi="Verdana" w:cs="Arial"/>
          <w:sz w:val="22"/>
          <w:szCs w:val="22"/>
          <w:lang w:val="en-GB" w:eastAsia="en-GB"/>
        </w:rPr>
      </w:pPr>
    </w:p>
    <w:p w:rsidR="00F227D9" w:rsidRDefault="00F227D9" w:rsidP="00F227D9">
      <w:pPr>
        <w:pStyle w:val="Normal0"/>
        <w:tabs>
          <w:tab w:val="left" w:pos="4536"/>
        </w:tabs>
        <w:ind w:right="237"/>
        <w:jc w:val="both"/>
        <w:rPr>
          <w:rFonts w:ascii="Verdana" w:eastAsia="Times New Roman" w:hAnsi="Verdana" w:cs="Times New Roman"/>
          <w:noProof/>
          <w:sz w:val="22"/>
          <w:szCs w:val="22"/>
          <w:lang w:val="en-GB" w:eastAsia="en-GB"/>
        </w:rPr>
      </w:pPr>
      <w:r w:rsidRPr="005F1E68">
        <w:rPr>
          <w:rFonts w:ascii="Verdana" w:eastAsia="Times New Roman" w:hAnsi="Verdana" w:cs="Arial"/>
          <w:sz w:val="22"/>
          <w:szCs w:val="22"/>
          <w:lang w:val="en-GB" w:eastAsia="en-GB"/>
        </w:rPr>
        <w:t>I certify that the Statement of Accounts gives a true and fair view of the financial position of Surrey Police at the accounting date and the income and expenditure for the year ended 31 March 20</w:t>
      </w:r>
      <w:r>
        <w:rPr>
          <w:rFonts w:ascii="Verdana" w:eastAsia="Times New Roman" w:hAnsi="Verdana" w:cs="Arial"/>
          <w:sz w:val="22"/>
          <w:szCs w:val="22"/>
          <w:lang w:val="en-GB" w:eastAsia="en-GB"/>
        </w:rPr>
        <w:t>20</w:t>
      </w:r>
      <w:r w:rsidR="003F16E2">
        <w:rPr>
          <w:rFonts w:ascii="Verdana" w:eastAsia="Times New Roman" w:hAnsi="Verdana" w:cs="Arial"/>
          <w:sz w:val="22"/>
          <w:szCs w:val="22"/>
          <w:lang w:val="en-GB" w:eastAsia="en-GB"/>
        </w:rPr>
        <w:t xml:space="preserve">. </w:t>
      </w:r>
    </w:p>
    <w:p w:rsidR="00F227D9" w:rsidRDefault="00F227D9" w:rsidP="00F227D9">
      <w:pPr>
        <w:pStyle w:val="Normal0"/>
        <w:tabs>
          <w:tab w:val="left" w:pos="4536"/>
        </w:tabs>
        <w:ind w:right="237"/>
        <w:jc w:val="both"/>
        <w:rPr>
          <w:rFonts w:ascii="Verdana" w:eastAsia="Times New Roman" w:hAnsi="Verdana" w:cs="Times New Roman"/>
          <w:noProof/>
          <w:sz w:val="22"/>
          <w:szCs w:val="22"/>
          <w:lang w:val="en-GB" w:eastAsia="en-GB"/>
        </w:rPr>
      </w:pPr>
    </w:p>
    <w:p w:rsidR="00744CE5" w:rsidRDefault="00744CE5" w:rsidP="00F227D9">
      <w:pPr>
        <w:pStyle w:val="Normal0"/>
        <w:tabs>
          <w:tab w:val="left" w:pos="4536"/>
        </w:tabs>
        <w:ind w:right="237"/>
        <w:jc w:val="both"/>
        <w:rPr>
          <w:rFonts w:ascii="Verdana" w:eastAsia="Times New Roman" w:hAnsi="Verdana" w:cs="Times New Roman"/>
          <w:noProof/>
          <w:sz w:val="22"/>
          <w:szCs w:val="22"/>
          <w:lang w:val="en-GB" w:eastAsia="en-GB"/>
        </w:rPr>
      </w:pPr>
    </w:p>
    <w:p w:rsidR="00744CE5" w:rsidRDefault="00744CE5" w:rsidP="00F227D9">
      <w:pPr>
        <w:pStyle w:val="Normal0"/>
        <w:tabs>
          <w:tab w:val="left" w:pos="4536"/>
        </w:tabs>
        <w:ind w:right="237"/>
        <w:jc w:val="both"/>
        <w:rPr>
          <w:rFonts w:ascii="Verdana" w:eastAsia="Times New Roman" w:hAnsi="Verdana" w:cs="Times New Roman"/>
          <w:noProof/>
          <w:sz w:val="22"/>
          <w:szCs w:val="22"/>
          <w:lang w:val="en-GB" w:eastAsia="en-GB"/>
        </w:rPr>
      </w:pPr>
    </w:p>
    <w:p w:rsidR="002A69A9" w:rsidRDefault="002A69A9" w:rsidP="00F227D9">
      <w:pPr>
        <w:pStyle w:val="Normal0"/>
        <w:tabs>
          <w:tab w:val="left" w:pos="4536"/>
        </w:tabs>
        <w:ind w:right="237"/>
        <w:jc w:val="both"/>
        <w:rPr>
          <w:rFonts w:ascii="Verdana" w:eastAsia="Times New Roman" w:hAnsi="Verdana" w:cs="Times New Roman"/>
          <w:noProof/>
          <w:sz w:val="22"/>
          <w:szCs w:val="22"/>
          <w:lang w:val="en-GB" w:eastAsia="en-GB"/>
        </w:rPr>
      </w:pPr>
    </w:p>
    <w:p w:rsidR="002A69A9" w:rsidRDefault="002A69A9" w:rsidP="00F227D9">
      <w:pPr>
        <w:pStyle w:val="Normal0"/>
        <w:tabs>
          <w:tab w:val="left" w:pos="4536"/>
        </w:tabs>
        <w:ind w:right="237"/>
        <w:jc w:val="both"/>
        <w:rPr>
          <w:rFonts w:ascii="Verdana" w:eastAsia="Times New Roman" w:hAnsi="Verdana" w:cs="Times New Roman"/>
          <w:noProof/>
          <w:sz w:val="22"/>
          <w:szCs w:val="22"/>
          <w:lang w:val="en-GB" w:eastAsia="en-GB"/>
        </w:rPr>
      </w:pPr>
    </w:p>
    <w:p w:rsidR="00F227D9" w:rsidRPr="005F1E68" w:rsidRDefault="00F227D9" w:rsidP="00F227D9">
      <w:pPr>
        <w:pStyle w:val="Normal0"/>
        <w:ind w:right="237"/>
        <w:jc w:val="both"/>
        <w:rPr>
          <w:rFonts w:ascii="Verdana" w:eastAsia="Times New Roman" w:hAnsi="Verdana" w:cs="Arial"/>
          <w:b/>
          <w:sz w:val="22"/>
          <w:szCs w:val="22"/>
          <w:lang w:val="en-GB" w:eastAsia="en-GB"/>
        </w:rPr>
      </w:pPr>
    </w:p>
    <w:p w:rsidR="00F227D9" w:rsidRPr="005F1E68" w:rsidRDefault="00F227D9" w:rsidP="00F227D9">
      <w:pPr>
        <w:pStyle w:val="Normal0"/>
        <w:ind w:right="237"/>
        <w:jc w:val="both"/>
        <w:rPr>
          <w:rFonts w:ascii="Verdana" w:eastAsia="Times New Roman" w:hAnsi="Verdana" w:cs="Arial"/>
          <w:b/>
          <w:sz w:val="22"/>
          <w:szCs w:val="22"/>
          <w:lang w:val="en-GB" w:eastAsia="en-GB"/>
        </w:rPr>
      </w:pPr>
      <w:r w:rsidRPr="005F1E68">
        <w:rPr>
          <w:rFonts w:ascii="Verdana" w:eastAsia="Times New Roman" w:hAnsi="Verdana" w:cs="Arial"/>
          <w:b/>
          <w:sz w:val="22"/>
          <w:szCs w:val="22"/>
          <w:lang w:val="en-GB" w:eastAsia="en-GB"/>
        </w:rPr>
        <w:t>Peter Gillett</w:t>
      </w:r>
    </w:p>
    <w:p w:rsidR="00F227D9" w:rsidRPr="005F1E68" w:rsidRDefault="00F227D9" w:rsidP="00F227D9">
      <w:pPr>
        <w:pStyle w:val="Normal0"/>
        <w:ind w:right="237"/>
        <w:jc w:val="both"/>
        <w:rPr>
          <w:rFonts w:ascii="Verdana" w:eastAsia="Times New Roman" w:hAnsi="Verdana" w:cs="Arial"/>
          <w:b/>
          <w:sz w:val="22"/>
          <w:szCs w:val="22"/>
          <w:lang w:val="en-GB" w:eastAsia="en-GB"/>
        </w:rPr>
      </w:pPr>
      <w:r>
        <w:rPr>
          <w:rFonts w:ascii="Verdana" w:eastAsia="Times New Roman" w:hAnsi="Verdana" w:cs="Arial"/>
          <w:b/>
          <w:sz w:val="22"/>
          <w:szCs w:val="22"/>
          <w:lang w:val="en-GB" w:eastAsia="en-GB"/>
        </w:rPr>
        <w:t>Executive Dire</w:t>
      </w:r>
      <w:r w:rsidR="00B60B19">
        <w:rPr>
          <w:rFonts w:ascii="Verdana" w:eastAsia="Times New Roman" w:hAnsi="Verdana" w:cs="Arial"/>
          <w:b/>
          <w:sz w:val="22"/>
          <w:szCs w:val="22"/>
          <w:lang w:val="en-GB" w:eastAsia="en-GB"/>
        </w:rPr>
        <w:t>ctor of Commercial and Finance</w:t>
      </w:r>
      <w:r>
        <w:rPr>
          <w:rFonts w:ascii="Verdana" w:eastAsia="Times New Roman" w:hAnsi="Verdana" w:cs="Arial"/>
          <w:b/>
          <w:sz w:val="22"/>
          <w:szCs w:val="22"/>
          <w:lang w:val="en-GB" w:eastAsia="en-GB"/>
        </w:rPr>
        <w:t xml:space="preserve"> Services</w:t>
      </w:r>
      <w:r w:rsidR="00B60B19">
        <w:rPr>
          <w:rFonts w:ascii="Verdana" w:eastAsia="Times New Roman" w:hAnsi="Verdana" w:cs="Arial"/>
          <w:b/>
          <w:sz w:val="22"/>
          <w:szCs w:val="22"/>
          <w:lang w:val="en-GB" w:eastAsia="en-GB"/>
        </w:rPr>
        <w:t>, Chief Finance Officer</w:t>
      </w:r>
    </w:p>
    <w:p w:rsidR="00F227D9" w:rsidRPr="005F1E68" w:rsidRDefault="00F227D9" w:rsidP="00F227D9">
      <w:pPr>
        <w:pStyle w:val="Normal0"/>
        <w:ind w:right="237"/>
        <w:jc w:val="both"/>
        <w:rPr>
          <w:rFonts w:ascii="Verdana" w:eastAsia="Times New Roman" w:hAnsi="Verdana" w:cs="Arial"/>
          <w:sz w:val="22"/>
          <w:szCs w:val="22"/>
          <w:lang w:val="en-GB" w:eastAsia="en-GB"/>
        </w:rPr>
      </w:pPr>
    </w:p>
    <w:p w:rsidR="00744CE5" w:rsidRDefault="00744CE5" w:rsidP="00F227D9">
      <w:pPr>
        <w:pStyle w:val="Normal0"/>
        <w:ind w:right="237"/>
        <w:jc w:val="both"/>
        <w:rPr>
          <w:rFonts w:ascii="Verdana" w:eastAsia="Times New Roman" w:hAnsi="Verdana" w:cs="Arial"/>
          <w:sz w:val="22"/>
          <w:szCs w:val="22"/>
          <w:lang w:val="en-GB" w:eastAsia="en-GB"/>
        </w:rPr>
      </w:pPr>
    </w:p>
    <w:p w:rsidR="00F227D9" w:rsidRPr="005F1E68" w:rsidRDefault="00F227D9" w:rsidP="00F227D9">
      <w:pPr>
        <w:pStyle w:val="Normal0"/>
        <w:ind w:right="237"/>
        <w:jc w:val="both"/>
        <w:rPr>
          <w:rFonts w:ascii="Verdana" w:eastAsia="Times New Roman" w:hAnsi="Verdana" w:cs="Arial"/>
          <w:b/>
          <w:sz w:val="22"/>
          <w:szCs w:val="22"/>
          <w:lang w:val="en-GB" w:eastAsia="en-GB"/>
        </w:rPr>
        <w:sectPr w:rsidR="00F227D9" w:rsidRPr="005F1E68" w:rsidSect="00F227D9">
          <w:pgSz w:w="11900" w:h="16840"/>
          <w:pgMar w:top="720" w:right="720" w:bottom="720" w:left="720" w:header="709" w:footer="709" w:gutter="0"/>
          <w:cols w:num="2" w:space="708"/>
          <w:docGrid w:linePitch="360"/>
        </w:sectPr>
      </w:pPr>
      <w:r w:rsidRPr="005F1E68">
        <w:rPr>
          <w:rFonts w:ascii="Verdana" w:eastAsia="Times New Roman" w:hAnsi="Verdana" w:cs="Arial"/>
          <w:sz w:val="22"/>
          <w:szCs w:val="22"/>
          <w:lang w:val="en-GB" w:eastAsia="en-GB"/>
        </w:rPr>
        <w:t>Date:</w:t>
      </w:r>
    </w:p>
    <w:p w:rsidR="00F227D9" w:rsidRDefault="00F227D9">
      <w:pPr>
        <w:rPr>
          <w:rFonts w:ascii="Verdana" w:hAnsi="Verdana"/>
          <w:sz w:val="22"/>
          <w:szCs w:val="22"/>
          <w:lang w:val="en-AU"/>
        </w:rPr>
        <w:sectPr w:rsidR="00F227D9" w:rsidSect="00F227D9">
          <w:type w:val="continuous"/>
          <w:pgSz w:w="11900" w:h="16840"/>
          <w:pgMar w:top="1440" w:right="1440" w:bottom="1440" w:left="1440" w:header="708" w:footer="708" w:gutter="0"/>
          <w:cols w:space="708"/>
          <w:docGrid w:linePitch="360"/>
        </w:sectPr>
      </w:pPr>
    </w:p>
    <w:p w:rsidR="00DA4E8D" w:rsidRPr="00C22B7B" w:rsidRDefault="00DA4E8D" w:rsidP="00DA4E8D">
      <w:pPr>
        <w:pStyle w:val="Heading1"/>
      </w:pPr>
      <w:bookmarkStart w:id="4" w:name="_Toc55900974"/>
      <w:r>
        <w:lastRenderedPageBreak/>
        <w:t>Annual Governance Statement</w:t>
      </w:r>
      <w:bookmarkEnd w:id="4"/>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F227D9" w:rsidRDefault="00F227D9">
      <w:pPr>
        <w:rPr>
          <w:rFonts w:ascii="Verdana" w:hAnsi="Verdana"/>
          <w:sz w:val="22"/>
          <w:szCs w:val="22"/>
          <w:lang w:val="en-AU"/>
        </w:rPr>
      </w:pPr>
    </w:p>
    <w:p w:rsidR="00D835CC" w:rsidRDefault="00D835CC" w:rsidP="00D835CC"/>
    <w:p w:rsidR="00D835CC" w:rsidRDefault="00D835CC" w:rsidP="00D835CC"/>
    <w:p w:rsidR="00D835CC" w:rsidRDefault="00D835CC" w:rsidP="00D835CC">
      <w:pPr>
        <w:jc w:val="right"/>
      </w:pPr>
      <w:r w:rsidRPr="00BB4A4C">
        <w:rPr>
          <w:noProof/>
          <w:lang w:val="en-GB" w:eastAsia="en-GB"/>
        </w:rPr>
        <w:drawing>
          <wp:inline distT="0" distB="0" distL="0" distR="0">
            <wp:extent cx="1783080" cy="1935480"/>
            <wp:effectExtent l="0" t="0" r="7620" b="7620"/>
            <wp:docPr id="11" name="Picture 11" descr="SurreyCrest_Colou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reyCrest_Colour (0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3080" cy="1935480"/>
                    </a:xfrm>
                    <a:prstGeom prst="rect">
                      <a:avLst/>
                    </a:prstGeom>
                    <a:noFill/>
                    <a:ln>
                      <a:noFill/>
                    </a:ln>
                  </pic:spPr>
                </pic:pic>
              </a:graphicData>
            </a:graphic>
          </wp:inline>
        </w:drawing>
      </w:r>
    </w:p>
    <w:p w:rsidR="00D835CC" w:rsidRDefault="00D835CC" w:rsidP="00D835CC"/>
    <w:p w:rsidR="00D835CC" w:rsidRDefault="00D835CC" w:rsidP="00D835CC"/>
    <w:p w:rsidR="00D835CC" w:rsidRDefault="00D835CC" w:rsidP="00D835CC"/>
    <w:p w:rsidR="00D835CC" w:rsidRDefault="00D835CC" w:rsidP="00D835CC">
      <w:pPr>
        <w:rPr>
          <w:rFonts w:ascii="Calibri" w:hAnsi="Calibri"/>
        </w:rPr>
      </w:pPr>
    </w:p>
    <w:p w:rsidR="00D835CC" w:rsidRDefault="00D835CC" w:rsidP="00D835CC">
      <w:pPr>
        <w:rPr>
          <w:rFonts w:ascii="Calibri" w:hAnsi="Calibri"/>
        </w:rPr>
      </w:pPr>
    </w:p>
    <w:p w:rsidR="00D835CC" w:rsidRPr="00A35184" w:rsidRDefault="00D835CC" w:rsidP="00D835CC">
      <w:pPr>
        <w:pBdr>
          <w:top w:val="single" w:sz="4" w:space="1" w:color="auto"/>
        </w:pBdr>
        <w:rPr>
          <w:rFonts w:ascii="Calibri" w:hAnsi="Calibri"/>
          <w:color w:val="4472C4"/>
          <w:sz w:val="48"/>
          <w:szCs w:val="48"/>
        </w:rPr>
      </w:pPr>
      <w:r w:rsidRPr="00A35184">
        <w:rPr>
          <w:rFonts w:ascii="Calibri" w:hAnsi="Calibri"/>
          <w:color w:val="4472C4"/>
          <w:sz w:val="48"/>
          <w:szCs w:val="48"/>
        </w:rPr>
        <w:t>Su</w:t>
      </w:r>
      <w:r>
        <w:rPr>
          <w:rFonts w:ascii="Calibri" w:hAnsi="Calibri"/>
          <w:color w:val="4472C4"/>
          <w:sz w:val="48"/>
          <w:szCs w:val="48"/>
        </w:rPr>
        <w:t>rrey</w:t>
      </w:r>
      <w:r w:rsidRPr="00A35184">
        <w:rPr>
          <w:rFonts w:ascii="Calibri" w:hAnsi="Calibri"/>
          <w:color w:val="4472C4"/>
          <w:sz w:val="48"/>
          <w:szCs w:val="48"/>
        </w:rPr>
        <w:t xml:space="preserve"> Police </w:t>
      </w:r>
    </w:p>
    <w:p w:rsidR="00D835CC" w:rsidRPr="00A35184" w:rsidRDefault="00D835CC" w:rsidP="00D835CC">
      <w:pPr>
        <w:pBdr>
          <w:top w:val="single" w:sz="4" w:space="1" w:color="auto"/>
        </w:pBdr>
        <w:rPr>
          <w:rFonts w:ascii="Calibri" w:hAnsi="Calibri"/>
          <w:b/>
          <w:sz w:val="44"/>
          <w:szCs w:val="44"/>
        </w:rPr>
      </w:pPr>
      <w:r w:rsidRPr="00A35184">
        <w:rPr>
          <w:rFonts w:ascii="Calibri" w:hAnsi="Calibri"/>
          <w:b/>
          <w:color w:val="4472C4"/>
          <w:sz w:val="44"/>
          <w:szCs w:val="44"/>
        </w:rPr>
        <w:t>Chief Constable’s Annual Governance Statement</w:t>
      </w:r>
      <w:r>
        <w:rPr>
          <w:rFonts w:ascii="Calibri" w:hAnsi="Calibri"/>
          <w:color w:val="4472C4"/>
          <w:sz w:val="44"/>
          <w:szCs w:val="44"/>
        </w:rPr>
        <w:t xml:space="preserve"> 2019-20</w:t>
      </w:r>
    </w:p>
    <w:p w:rsidR="00D835CC" w:rsidRPr="00F42623" w:rsidRDefault="00D835CC" w:rsidP="00D835CC">
      <w:pPr>
        <w:pBdr>
          <w:bottom w:val="single" w:sz="4" w:space="1" w:color="auto"/>
        </w:pBdr>
        <w:jc w:val="both"/>
        <w:outlineLvl w:val="0"/>
        <w:rPr>
          <w:rFonts w:ascii="Calibri" w:hAnsi="Calibri"/>
          <w:b/>
          <w:u w:val="single"/>
        </w:rPr>
      </w:pPr>
    </w:p>
    <w:p w:rsidR="00D835CC" w:rsidRPr="006708B2" w:rsidRDefault="00D835CC" w:rsidP="00D835CC">
      <w:pPr>
        <w:jc w:val="both"/>
        <w:rPr>
          <w:b/>
          <w:sz w:val="22"/>
          <w:szCs w:val="22"/>
        </w:rPr>
      </w:pPr>
      <w:r>
        <w:rPr>
          <w:b/>
          <w:sz w:val="22"/>
          <w:szCs w:val="22"/>
        </w:rPr>
        <w:br w:type="page"/>
      </w:r>
    </w:p>
    <w:p w:rsidR="008A6FEA" w:rsidRPr="00481D6C" w:rsidRDefault="008A6FEA" w:rsidP="008A6FEA">
      <w:pPr>
        <w:shd w:val="clear" w:color="auto" w:fill="4472C4"/>
        <w:autoSpaceDE w:val="0"/>
        <w:jc w:val="both"/>
        <w:rPr>
          <w:rFonts w:ascii="Calibri" w:hAnsi="Calibri"/>
          <w:b/>
          <w:color w:val="FFFFFF"/>
          <w:sz w:val="22"/>
          <w:szCs w:val="22"/>
        </w:rPr>
      </w:pPr>
      <w:r>
        <w:rPr>
          <w:rFonts w:ascii="Calibri" w:hAnsi="Calibri"/>
          <w:b/>
          <w:color w:val="FFFFFF"/>
          <w:sz w:val="22"/>
          <w:szCs w:val="22"/>
        </w:rPr>
        <w:t>1</w:t>
      </w:r>
      <w:r w:rsidRPr="00481D6C">
        <w:rPr>
          <w:rFonts w:ascii="Calibri" w:hAnsi="Calibri"/>
          <w:b/>
          <w:color w:val="FFFFFF"/>
          <w:sz w:val="22"/>
          <w:szCs w:val="22"/>
        </w:rPr>
        <w:tab/>
      </w:r>
      <w:r>
        <w:rPr>
          <w:rFonts w:ascii="Calibri" w:hAnsi="Calibri"/>
          <w:b/>
          <w:color w:val="FFFFFF"/>
          <w:sz w:val="22"/>
          <w:szCs w:val="22"/>
        </w:rPr>
        <w:t>Introduction</w:t>
      </w:r>
    </w:p>
    <w:p w:rsidR="00D835CC" w:rsidRPr="000803AE" w:rsidRDefault="00D835CC" w:rsidP="00D835CC">
      <w:pPr>
        <w:autoSpaceDE w:val="0"/>
        <w:jc w:val="both"/>
        <w:rPr>
          <w:rFonts w:ascii="Calibri" w:hAnsi="Calibri"/>
          <w:b/>
          <w:sz w:val="22"/>
          <w:szCs w:val="22"/>
        </w:rPr>
      </w:pPr>
    </w:p>
    <w:p w:rsidR="00D835CC" w:rsidRPr="00E33AA6" w:rsidRDefault="008A6FEA" w:rsidP="008A6FEA">
      <w:pPr>
        <w:suppressAutoHyphens/>
        <w:autoSpaceDE w:val="0"/>
        <w:ind w:left="720" w:hanging="720"/>
        <w:jc w:val="both"/>
        <w:rPr>
          <w:rFonts w:ascii="Calibri" w:hAnsi="Calibri"/>
          <w:sz w:val="22"/>
          <w:szCs w:val="22"/>
        </w:rPr>
      </w:pPr>
      <w:r>
        <w:rPr>
          <w:rFonts w:ascii="Calibri" w:hAnsi="Calibri"/>
          <w:sz w:val="22"/>
          <w:szCs w:val="22"/>
        </w:rPr>
        <w:t>1.1</w:t>
      </w:r>
      <w:r>
        <w:rPr>
          <w:rFonts w:ascii="Calibri" w:hAnsi="Calibri"/>
          <w:sz w:val="22"/>
          <w:szCs w:val="22"/>
        </w:rPr>
        <w:tab/>
      </w:r>
      <w:r w:rsidR="00D835CC" w:rsidRPr="00E33AA6">
        <w:rPr>
          <w:rFonts w:ascii="Calibri" w:hAnsi="Calibri"/>
          <w:sz w:val="22"/>
          <w:szCs w:val="22"/>
        </w:rPr>
        <w:t>This annual governance statement sets out how Surrey Police has complied with the corporate governance framework set out in the Code of Corporate Governance for the Surrey Police and Crime Commissioner (PCC) and the Chief Constable</w:t>
      </w:r>
      <w:r w:rsidR="00D835CC" w:rsidRPr="00E33AA6">
        <w:rPr>
          <w:rStyle w:val="FootnoteReference"/>
          <w:rFonts w:ascii="Calibri" w:hAnsi="Calibri"/>
          <w:sz w:val="22"/>
          <w:szCs w:val="22"/>
        </w:rPr>
        <w:footnoteReference w:id="1"/>
      </w:r>
      <w:r w:rsidR="00D835CC" w:rsidRPr="00E33AA6">
        <w:rPr>
          <w:rFonts w:ascii="Calibri" w:hAnsi="Calibri"/>
          <w:sz w:val="22"/>
          <w:szCs w:val="22"/>
        </w:rPr>
        <w:t xml:space="preserve"> in place for the year ended 31 March 2020. It also details areas of improvement to further enhance governance arrangements that the force plans to progress during 2020-21.</w:t>
      </w:r>
    </w:p>
    <w:p w:rsidR="00D835CC" w:rsidRPr="00E33AA6" w:rsidRDefault="00D835CC" w:rsidP="00D835CC">
      <w:pPr>
        <w:autoSpaceDE w:val="0"/>
        <w:ind w:left="720"/>
        <w:jc w:val="both"/>
        <w:rPr>
          <w:rFonts w:ascii="Calibri" w:hAnsi="Calibri"/>
          <w:sz w:val="22"/>
          <w:szCs w:val="22"/>
        </w:rPr>
      </w:pPr>
      <w:r w:rsidRPr="00E33AA6">
        <w:rPr>
          <w:rFonts w:ascii="Calibri" w:hAnsi="Calibri"/>
          <w:sz w:val="22"/>
          <w:szCs w:val="22"/>
        </w:rPr>
        <w:t xml:space="preserve"> </w:t>
      </w:r>
    </w:p>
    <w:p w:rsidR="00D835CC" w:rsidRPr="00E33AA6" w:rsidRDefault="008A6FEA" w:rsidP="008A6FEA">
      <w:pPr>
        <w:suppressAutoHyphens/>
        <w:autoSpaceDE w:val="0"/>
        <w:ind w:left="720" w:hanging="720"/>
        <w:jc w:val="both"/>
        <w:rPr>
          <w:rFonts w:ascii="Calibri" w:hAnsi="Calibri"/>
          <w:sz w:val="22"/>
          <w:szCs w:val="22"/>
        </w:rPr>
      </w:pPr>
      <w:r>
        <w:rPr>
          <w:rFonts w:ascii="Calibri" w:hAnsi="Calibri"/>
          <w:sz w:val="22"/>
          <w:szCs w:val="22"/>
        </w:rPr>
        <w:t>1.2</w:t>
      </w:r>
      <w:r>
        <w:rPr>
          <w:rFonts w:ascii="Calibri" w:hAnsi="Calibri"/>
          <w:sz w:val="22"/>
          <w:szCs w:val="22"/>
        </w:rPr>
        <w:tab/>
      </w:r>
      <w:r w:rsidR="00D835CC" w:rsidRPr="00E33AA6">
        <w:rPr>
          <w:rFonts w:ascii="Calibri" w:hAnsi="Calibri"/>
          <w:sz w:val="22"/>
          <w:szCs w:val="22"/>
        </w:rPr>
        <w:t>It is designed to complement the annual governance statement of the Surrey PCC, to give the full picture of governance within Surrey Police and the Office of the PCC.</w:t>
      </w:r>
    </w:p>
    <w:p w:rsidR="00D835CC" w:rsidRPr="000803AE" w:rsidRDefault="00D835CC" w:rsidP="00D835CC">
      <w:pPr>
        <w:autoSpaceDE w:val="0"/>
        <w:jc w:val="both"/>
        <w:rPr>
          <w:rFonts w:ascii="Calibri" w:hAnsi="Calibri"/>
          <w:sz w:val="22"/>
          <w:szCs w:val="22"/>
        </w:rPr>
      </w:pPr>
    </w:p>
    <w:p w:rsidR="00D835CC" w:rsidRDefault="008A6FEA" w:rsidP="008A6FEA">
      <w:pPr>
        <w:suppressAutoHyphens/>
        <w:autoSpaceDE w:val="0"/>
        <w:ind w:left="720" w:hanging="720"/>
        <w:jc w:val="both"/>
        <w:rPr>
          <w:rFonts w:ascii="Calibri" w:hAnsi="Calibri"/>
          <w:sz w:val="22"/>
          <w:szCs w:val="22"/>
        </w:rPr>
      </w:pPr>
      <w:r>
        <w:rPr>
          <w:rFonts w:ascii="Calibri" w:hAnsi="Calibri"/>
          <w:sz w:val="22"/>
          <w:szCs w:val="22"/>
        </w:rPr>
        <w:t>1.3</w:t>
      </w:r>
      <w:r>
        <w:rPr>
          <w:rFonts w:ascii="Calibri" w:hAnsi="Calibri"/>
          <w:sz w:val="22"/>
          <w:szCs w:val="22"/>
        </w:rPr>
        <w:tab/>
      </w:r>
      <w:r w:rsidR="00D835CC" w:rsidRPr="000803AE">
        <w:rPr>
          <w:rFonts w:ascii="Calibri" w:hAnsi="Calibri"/>
          <w:sz w:val="22"/>
          <w:szCs w:val="22"/>
        </w:rPr>
        <w:t xml:space="preserve">This statement is informed by </w:t>
      </w:r>
      <w:r w:rsidR="00D835CC">
        <w:rPr>
          <w:rFonts w:ascii="Calibri" w:hAnsi="Calibri"/>
          <w:sz w:val="22"/>
          <w:szCs w:val="22"/>
        </w:rPr>
        <w:t xml:space="preserve">an annual review of governance arrangements with </w:t>
      </w:r>
      <w:r w:rsidR="00D835CC" w:rsidRPr="000803AE">
        <w:rPr>
          <w:rFonts w:ascii="Calibri" w:hAnsi="Calibri"/>
          <w:sz w:val="22"/>
          <w:szCs w:val="22"/>
        </w:rPr>
        <w:t xml:space="preserve">assurance on </w:t>
      </w:r>
      <w:r w:rsidR="00D835CC">
        <w:rPr>
          <w:rFonts w:ascii="Calibri" w:hAnsi="Calibri"/>
          <w:sz w:val="22"/>
          <w:szCs w:val="22"/>
        </w:rPr>
        <w:t xml:space="preserve">compliance with </w:t>
      </w:r>
      <w:r w:rsidR="00D835CC" w:rsidRPr="000803AE">
        <w:rPr>
          <w:rFonts w:ascii="Calibri" w:hAnsi="Calibri"/>
          <w:sz w:val="22"/>
          <w:szCs w:val="22"/>
        </w:rPr>
        <w:t>the seven</w:t>
      </w:r>
      <w:r w:rsidR="00D835CC">
        <w:rPr>
          <w:rFonts w:ascii="Calibri" w:hAnsi="Calibri"/>
          <w:sz w:val="22"/>
          <w:szCs w:val="22"/>
        </w:rPr>
        <w:t xml:space="preserve"> </w:t>
      </w:r>
      <w:r w:rsidR="00D835CC" w:rsidRPr="000803AE">
        <w:rPr>
          <w:rFonts w:ascii="Calibri" w:hAnsi="Calibri"/>
          <w:sz w:val="22"/>
          <w:szCs w:val="22"/>
        </w:rPr>
        <w:t>principles of the Code</w:t>
      </w:r>
      <w:r w:rsidR="00D835CC">
        <w:rPr>
          <w:rFonts w:ascii="Calibri" w:hAnsi="Calibri"/>
          <w:sz w:val="22"/>
          <w:szCs w:val="22"/>
        </w:rPr>
        <w:t xml:space="preserve"> of Corporate Governance, </w:t>
      </w:r>
      <w:r w:rsidR="00D835CC" w:rsidRPr="000803AE">
        <w:rPr>
          <w:rFonts w:ascii="Calibri" w:hAnsi="Calibri"/>
          <w:sz w:val="22"/>
          <w:szCs w:val="22"/>
        </w:rPr>
        <w:t>by on-going audit inspection</w:t>
      </w:r>
      <w:r w:rsidR="00D835CC">
        <w:rPr>
          <w:rFonts w:ascii="Calibri" w:hAnsi="Calibri"/>
          <w:sz w:val="22"/>
          <w:szCs w:val="22"/>
        </w:rPr>
        <w:t xml:space="preserve"> and external review</w:t>
      </w:r>
      <w:r w:rsidR="00D835CC" w:rsidRPr="000803AE">
        <w:rPr>
          <w:rFonts w:ascii="Calibri" w:hAnsi="Calibri"/>
          <w:sz w:val="22"/>
          <w:szCs w:val="22"/>
        </w:rPr>
        <w:t>.</w:t>
      </w:r>
    </w:p>
    <w:p w:rsidR="00D835CC" w:rsidRDefault="00D835CC" w:rsidP="00D835CC">
      <w:pPr>
        <w:autoSpaceDE w:val="0"/>
        <w:ind w:left="720"/>
        <w:jc w:val="both"/>
        <w:rPr>
          <w:rFonts w:ascii="Calibri" w:hAnsi="Calibri"/>
          <w:sz w:val="22"/>
          <w:szCs w:val="22"/>
        </w:rPr>
      </w:pPr>
    </w:p>
    <w:p w:rsidR="00D835CC" w:rsidRDefault="008A6FEA" w:rsidP="008A6FEA">
      <w:pPr>
        <w:suppressAutoHyphens/>
        <w:autoSpaceDE w:val="0"/>
        <w:ind w:left="720" w:hanging="720"/>
        <w:jc w:val="both"/>
        <w:rPr>
          <w:rFonts w:ascii="Calibri" w:hAnsi="Calibri"/>
          <w:sz w:val="22"/>
          <w:szCs w:val="22"/>
        </w:rPr>
      </w:pPr>
      <w:r>
        <w:rPr>
          <w:rFonts w:ascii="Calibri" w:hAnsi="Calibri"/>
          <w:sz w:val="22"/>
          <w:szCs w:val="22"/>
        </w:rPr>
        <w:t>1.4</w:t>
      </w:r>
      <w:r>
        <w:rPr>
          <w:rFonts w:ascii="Calibri" w:hAnsi="Calibri"/>
          <w:sz w:val="22"/>
          <w:szCs w:val="22"/>
        </w:rPr>
        <w:tab/>
      </w:r>
      <w:r w:rsidR="00D835CC" w:rsidRPr="002F4708">
        <w:rPr>
          <w:rFonts w:ascii="Calibri" w:hAnsi="Calibri"/>
          <w:sz w:val="22"/>
          <w:szCs w:val="22"/>
        </w:rPr>
        <w:t>Regulation 6(1)(a) of the Accounts and Audit Regulations 2015 require</w:t>
      </w:r>
      <w:r w:rsidR="00D835CC">
        <w:rPr>
          <w:rFonts w:ascii="Calibri" w:hAnsi="Calibri"/>
          <w:sz w:val="22"/>
          <w:szCs w:val="22"/>
        </w:rPr>
        <w:t>s</w:t>
      </w:r>
      <w:r w:rsidR="00D835CC" w:rsidRPr="002F4708">
        <w:rPr>
          <w:rFonts w:ascii="Calibri" w:hAnsi="Calibri"/>
          <w:sz w:val="22"/>
          <w:szCs w:val="22"/>
        </w:rPr>
        <w:t xml:space="preserve"> an authority to conduct a review at least once in a year of the effectiveness of its system of internal control and include a statement reporting on the review with any published Statement of Accounts (England).  This term ‘authority’ includes the Chief Constable and the Police and Crime Commissioner legal entities.  This requirement is reflected in the Code of Practice on Local Authority Accounting</w:t>
      </w:r>
      <w:r w:rsidR="00D835CC">
        <w:rPr>
          <w:rFonts w:ascii="Calibri" w:hAnsi="Calibri"/>
          <w:sz w:val="22"/>
          <w:szCs w:val="22"/>
        </w:rPr>
        <w:t xml:space="preserve"> in the United Kingdom 2019/20 published by the </w:t>
      </w:r>
      <w:r w:rsidR="00D835CC" w:rsidRPr="002F4708">
        <w:rPr>
          <w:rFonts w:ascii="Calibri" w:hAnsi="Calibri"/>
          <w:sz w:val="22"/>
          <w:szCs w:val="22"/>
        </w:rPr>
        <w:t xml:space="preserve">Chartered Institute of Public Finance &amp; Accountancy </w:t>
      </w:r>
      <w:r w:rsidR="00D835CC">
        <w:rPr>
          <w:rFonts w:ascii="Calibri" w:hAnsi="Calibri"/>
          <w:sz w:val="22"/>
          <w:szCs w:val="22"/>
        </w:rPr>
        <w:t>(</w:t>
      </w:r>
      <w:r w:rsidR="00D835CC" w:rsidRPr="002F4708">
        <w:rPr>
          <w:rFonts w:ascii="Calibri" w:hAnsi="Calibri"/>
          <w:sz w:val="22"/>
          <w:szCs w:val="22"/>
        </w:rPr>
        <w:t>CIPFA</w:t>
      </w:r>
      <w:r w:rsidR="00D835CC">
        <w:rPr>
          <w:rFonts w:ascii="Calibri" w:hAnsi="Calibri"/>
          <w:sz w:val="22"/>
          <w:szCs w:val="22"/>
        </w:rPr>
        <w:t>)</w:t>
      </w:r>
      <w:r w:rsidR="00D835CC" w:rsidRPr="002F4708">
        <w:rPr>
          <w:rFonts w:ascii="Calibri" w:hAnsi="Calibri"/>
          <w:sz w:val="22"/>
          <w:szCs w:val="22"/>
        </w:rPr>
        <w:t>.</w:t>
      </w:r>
    </w:p>
    <w:p w:rsidR="00D835CC" w:rsidRPr="006708B2" w:rsidRDefault="00D835CC" w:rsidP="00D835CC">
      <w:pPr>
        <w:jc w:val="both"/>
        <w:rPr>
          <w:b/>
          <w:sz w:val="22"/>
          <w:szCs w:val="22"/>
        </w:rPr>
      </w:pPr>
    </w:p>
    <w:p w:rsidR="008A6FEA" w:rsidRPr="002F4708" w:rsidRDefault="008A6FEA" w:rsidP="008A6FEA">
      <w:pPr>
        <w:shd w:val="clear" w:color="auto" w:fill="0070C0"/>
        <w:jc w:val="both"/>
        <w:rPr>
          <w:rFonts w:ascii="Calibri" w:hAnsi="Calibri"/>
          <w:b/>
          <w:color w:val="FFFFFF"/>
        </w:rPr>
      </w:pPr>
      <w:r>
        <w:rPr>
          <w:rFonts w:ascii="Calibri" w:hAnsi="Calibri"/>
          <w:b/>
          <w:color w:val="FFFFFF"/>
        </w:rPr>
        <w:t>2</w:t>
      </w:r>
      <w:r w:rsidRPr="00481D6C">
        <w:rPr>
          <w:rFonts w:ascii="Calibri" w:hAnsi="Calibri"/>
          <w:b/>
          <w:color w:val="FFFFFF"/>
        </w:rPr>
        <w:tab/>
      </w:r>
      <w:r>
        <w:rPr>
          <w:rFonts w:ascii="Calibri" w:hAnsi="Calibri"/>
          <w:b/>
          <w:color w:val="FFFFFF"/>
        </w:rPr>
        <w:t>In response to Covid-19</w:t>
      </w:r>
    </w:p>
    <w:p w:rsidR="00D835CC" w:rsidRPr="000803AE" w:rsidRDefault="00D835CC" w:rsidP="00D835CC">
      <w:pPr>
        <w:autoSpaceDE w:val="0"/>
        <w:jc w:val="both"/>
        <w:rPr>
          <w:rFonts w:ascii="Calibri" w:hAnsi="Calibri"/>
          <w:b/>
          <w:sz w:val="22"/>
          <w:szCs w:val="22"/>
        </w:rPr>
      </w:pPr>
    </w:p>
    <w:p w:rsidR="00D835CC" w:rsidRPr="007B63E0" w:rsidRDefault="00D835CC" w:rsidP="00D835CC">
      <w:pPr>
        <w:pStyle w:val="ListParagraph"/>
        <w:numPr>
          <w:ilvl w:val="0"/>
          <w:numId w:val="37"/>
        </w:numPr>
        <w:suppressAutoHyphens/>
        <w:autoSpaceDE w:val="0"/>
        <w:contextualSpacing w:val="0"/>
        <w:jc w:val="both"/>
        <w:rPr>
          <w:rFonts w:ascii="Calibri" w:hAnsi="Calibri"/>
          <w:vanish/>
          <w:sz w:val="22"/>
          <w:szCs w:val="22"/>
        </w:rPr>
      </w:pPr>
    </w:p>
    <w:p w:rsidR="00D835CC" w:rsidRPr="007B63E0" w:rsidRDefault="00D835CC" w:rsidP="00D835CC">
      <w:pPr>
        <w:pStyle w:val="ListParagraph"/>
        <w:numPr>
          <w:ilvl w:val="0"/>
          <w:numId w:val="37"/>
        </w:numPr>
        <w:suppressAutoHyphens/>
        <w:autoSpaceDE w:val="0"/>
        <w:contextualSpacing w:val="0"/>
        <w:jc w:val="both"/>
        <w:rPr>
          <w:rFonts w:ascii="Calibri" w:hAnsi="Calibri"/>
          <w:vanish/>
          <w:sz w:val="22"/>
          <w:szCs w:val="22"/>
        </w:rPr>
      </w:pPr>
    </w:p>
    <w:p w:rsidR="00D835CC" w:rsidRPr="001303B2" w:rsidRDefault="00D835CC" w:rsidP="00D835CC">
      <w:pPr>
        <w:numPr>
          <w:ilvl w:val="1"/>
          <w:numId w:val="37"/>
        </w:numPr>
        <w:suppressAutoHyphens/>
        <w:autoSpaceDE w:val="0"/>
        <w:jc w:val="both"/>
        <w:rPr>
          <w:rFonts w:ascii="Calibri" w:hAnsi="Calibri"/>
          <w:sz w:val="22"/>
          <w:szCs w:val="22"/>
        </w:rPr>
      </w:pPr>
      <w:r w:rsidRPr="001303B2">
        <w:rPr>
          <w:rFonts w:ascii="Calibri" w:hAnsi="Calibri"/>
          <w:sz w:val="22"/>
          <w:szCs w:val="22"/>
        </w:rPr>
        <w:t>The annual governance statement (AGS) needs to be current at the final date of publication which may be later than previous years due to the extended deadlines for statutory reporting for 2019-20. As a result of Covid-19, statutory deadlines for the draft AGS was extended from 31 July to 31 August 2020 with the final AGS (ideally post-audit) extended to 30 November 2020.</w:t>
      </w:r>
    </w:p>
    <w:p w:rsidR="00D835CC" w:rsidRPr="001303B2" w:rsidRDefault="00D835CC" w:rsidP="00D835CC">
      <w:pPr>
        <w:autoSpaceDE w:val="0"/>
        <w:ind w:left="720"/>
        <w:jc w:val="both"/>
        <w:rPr>
          <w:rFonts w:ascii="Calibri" w:hAnsi="Calibri"/>
          <w:sz w:val="22"/>
          <w:szCs w:val="22"/>
        </w:rPr>
      </w:pPr>
    </w:p>
    <w:p w:rsidR="00D835CC" w:rsidRPr="001303B2" w:rsidRDefault="00D835CC" w:rsidP="00D835CC">
      <w:pPr>
        <w:numPr>
          <w:ilvl w:val="1"/>
          <w:numId w:val="37"/>
        </w:numPr>
        <w:suppressAutoHyphens/>
        <w:autoSpaceDE w:val="0"/>
        <w:jc w:val="both"/>
        <w:rPr>
          <w:rFonts w:ascii="Calibri" w:hAnsi="Calibri"/>
          <w:sz w:val="22"/>
          <w:szCs w:val="22"/>
        </w:rPr>
      </w:pPr>
      <w:r w:rsidRPr="001303B2">
        <w:rPr>
          <w:rFonts w:ascii="Calibri" w:hAnsi="Calibri"/>
          <w:sz w:val="22"/>
          <w:szCs w:val="22"/>
        </w:rPr>
        <w:t>The AGS assesses governance in place during the 2019/20 financial year so the majority of the year will be unaffected by the Covid-19 coronavirus pandemic. However Covid-19 did impact on governance arrangements during March 2020 and represents a significant governance issue beyond 31 March 2020. The impact of Covid-19 on existing governance arrangements is under constant review through established risk monitoring processes. The Chief Constable is keeping under continuous review the impact of Covid-19 on the operation of the force and partner organisations.</w:t>
      </w:r>
    </w:p>
    <w:p w:rsidR="00D835CC" w:rsidRPr="001303B2" w:rsidRDefault="00D835CC" w:rsidP="00D835CC">
      <w:pPr>
        <w:autoSpaceDE w:val="0"/>
        <w:ind w:left="720"/>
        <w:jc w:val="both"/>
        <w:rPr>
          <w:rFonts w:ascii="Calibri" w:hAnsi="Calibri"/>
          <w:sz w:val="22"/>
          <w:szCs w:val="22"/>
        </w:rPr>
      </w:pPr>
    </w:p>
    <w:p w:rsidR="00D835CC" w:rsidRPr="001303B2" w:rsidRDefault="00D835CC" w:rsidP="00D835CC">
      <w:pPr>
        <w:numPr>
          <w:ilvl w:val="1"/>
          <w:numId w:val="37"/>
        </w:numPr>
        <w:suppressAutoHyphens/>
        <w:autoSpaceDE w:val="0"/>
        <w:jc w:val="both"/>
        <w:rPr>
          <w:rFonts w:ascii="Calibri" w:hAnsi="Calibri"/>
          <w:sz w:val="22"/>
          <w:szCs w:val="22"/>
        </w:rPr>
      </w:pPr>
      <w:r w:rsidRPr="001303B2">
        <w:rPr>
          <w:rFonts w:ascii="Calibri" w:hAnsi="Calibri"/>
          <w:sz w:val="22"/>
          <w:szCs w:val="22"/>
        </w:rPr>
        <w:t>As part of the Coronavirus Bill 2020 two new powers were given to the police:</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Powers Relating to Potentially Infectious Persons – Schedule 20</w:t>
      </w:r>
      <w:r>
        <w:rPr>
          <w:rFonts w:ascii="Calibri" w:hAnsi="Calibri"/>
          <w:sz w:val="22"/>
          <w:szCs w:val="22"/>
        </w:rPr>
        <w:t>;</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Powers to Issue Directions Relating to Events, Gathering and Premises – Schedule 21</w:t>
      </w:r>
    </w:p>
    <w:p w:rsidR="00D835CC" w:rsidRPr="001303B2" w:rsidRDefault="00D835CC" w:rsidP="00D835CC">
      <w:pPr>
        <w:ind w:left="720"/>
        <w:jc w:val="both"/>
        <w:rPr>
          <w:rFonts w:ascii="Calibri" w:hAnsi="Calibri"/>
          <w:sz w:val="22"/>
          <w:szCs w:val="22"/>
        </w:rPr>
      </w:pPr>
      <w:r w:rsidRPr="001303B2">
        <w:rPr>
          <w:rFonts w:ascii="Calibri" w:hAnsi="Calibri"/>
          <w:sz w:val="22"/>
          <w:szCs w:val="22"/>
        </w:rPr>
        <w:t xml:space="preserve">In </w:t>
      </w:r>
      <w:r>
        <w:rPr>
          <w:rFonts w:ascii="Calibri" w:hAnsi="Calibri"/>
          <w:sz w:val="22"/>
          <w:szCs w:val="22"/>
        </w:rPr>
        <w:t>Surrey</w:t>
      </w:r>
      <w:r w:rsidRPr="001303B2">
        <w:rPr>
          <w:rFonts w:ascii="Calibri" w:hAnsi="Calibri"/>
          <w:sz w:val="22"/>
          <w:szCs w:val="22"/>
        </w:rPr>
        <w:t xml:space="preserve"> Police these powers are used only on the express direction of specific individuals.</w:t>
      </w:r>
    </w:p>
    <w:p w:rsidR="00D835CC" w:rsidRPr="001303B2" w:rsidRDefault="00D835CC" w:rsidP="00D835CC">
      <w:pPr>
        <w:autoSpaceDE w:val="0"/>
        <w:jc w:val="both"/>
        <w:rPr>
          <w:rFonts w:ascii="Calibri" w:hAnsi="Calibri"/>
          <w:sz w:val="22"/>
          <w:szCs w:val="22"/>
        </w:rPr>
      </w:pPr>
    </w:p>
    <w:p w:rsidR="00D835CC" w:rsidRPr="001303B2" w:rsidRDefault="00D835CC" w:rsidP="00D835CC">
      <w:pPr>
        <w:numPr>
          <w:ilvl w:val="1"/>
          <w:numId w:val="37"/>
        </w:numPr>
        <w:suppressAutoHyphens/>
        <w:autoSpaceDE w:val="0"/>
        <w:jc w:val="both"/>
        <w:rPr>
          <w:rFonts w:ascii="Calibri" w:hAnsi="Calibri"/>
          <w:sz w:val="22"/>
          <w:szCs w:val="22"/>
        </w:rPr>
      </w:pPr>
      <w:r w:rsidRPr="001303B2">
        <w:rPr>
          <w:rFonts w:ascii="Calibri" w:hAnsi="Calibri"/>
          <w:sz w:val="22"/>
          <w:szCs w:val="22"/>
        </w:rPr>
        <w:t xml:space="preserve">Operation Apollo, a ‘gold command’ governance group, set up to respond to changes as they were publicly announced, maintained a robust control environment to capture issues, assess capacity and capability, manage stakeholder engagement, make decisions and coordinate the </w:t>
      </w:r>
      <w:r>
        <w:rPr>
          <w:rFonts w:ascii="Calibri" w:hAnsi="Calibri"/>
          <w:sz w:val="22"/>
          <w:szCs w:val="22"/>
        </w:rPr>
        <w:t>Surrey</w:t>
      </w:r>
      <w:r w:rsidRPr="001303B2">
        <w:rPr>
          <w:rFonts w:ascii="Calibri" w:hAnsi="Calibri"/>
          <w:sz w:val="22"/>
          <w:szCs w:val="22"/>
        </w:rPr>
        <w:t xml:space="preserve"> Police response to Covid-19. </w:t>
      </w:r>
    </w:p>
    <w:p w:rsidR="00D835CC" w:rsidRDefault="00D835CC" w:rsidP="00D835CC">
      <w:pPr>
        <w:pStyle w:val="ListParagraph"/>
        <w:rPr>
          <w:rFonts w:ascii="Calibri" w:hAnsi="Calibri"/>
          <w:sz w:val="22"/>
          <w:szCs w:val="22"/>
          <w:highlight w:val="yellow"/>
        </w:rPr>
      </w:pPr>
    </w:p>
    <w:p w:rsidR="00D835CC" w:rsidRPr="001303B2" w:rsidRDefault="00D835CC" w:rsidP="00D835CC">
      <w:pPr>
        <w:numPr>
          <w:ilvl w:val="1"/>
          <w:numId w:val="37"/>
        </w:numPr>
        <w:suppressAutoHyphens/>
        <w:autoSpaceDE w:val="0"/>
        <w:jc w:val="both"/>
        <w:rPr>
          <w:rFonts w:ascii="Calibri" w:hAnsi="Calibri"/>
          <w:sz w:val="22"/>
          <w:szCs w:val="22"/>
        </w:rPr>
      </w:pPr>
      <w:r w:rsidRPr="001303B2">
        <w:rPr>
          <w:rFonts w:ascii="Calibri" w:hAnsi="Calibri"/>
          <w:sz w:val="22"/>
          <w:szCs w:val="22"/>
        </w:rPr>
        <w:t xml:space="preserve">Extensive internal and external communications, managed via Operation Apollo issued the latest information and guidance to staff and officers daily to include; briefings, operational guidance, intelligence updates, personal guidance, line manager advice, staff impact and wellbeing resources. </w:t>
      </w:r>
    </w:p>
    <w:p w:rsidR="00D835CC" w:rsidRPr="001303B2" w:rsidRDefault="00D835CC" w:rsidP="00D835CC">
      <w:pPr>
        <w:pStyle w:val="ListParagraph"/>
        <w:rPr>
          <w:rFonts w:ascii="Calibri" w:hAnsi="Calibri"/>
          <w:sz w:val="22"/>
          <w:szCs w:val="22"/>
        </w:rPr>
      </w:pPr>
    </w:p>
    <w:p w:rsidR="00D835CC" w:rsidRPr="001303B2" w:rsidRDefault="00D835CC" w:rsidP="00D835CC">
      <w:pPr>
        <w:numPr>
          <w:ilvl w:val="1"/>
          <w:numId w:val="37"/>
        </w:numPr>
        <w:suppressAutoHyphens/>
        <w:autoSpaceDE w:val="0"/>
        <w:jc w:val="both"/>
        <w:rPr>
          <w:rFonts w:ascii="Calibri" w:hAnsi="Calibri"/>
          <w:sz w:val="22"/>
          <w:szCs w:val="22"/>
        </w:rPr>
      </w:pPr>
      <w:r w:rsidRPr="001303B2">
        <w:rPr>
          <w:rFonts w:ascii="Calibri" w:hAnsi="Calibri"/>
          <w:sz w:val="22"/>
          <w:szCs w:val="22"/>
        </w:rPr>
        <w:t>Activation of ‘social distancing’ policies and business continuity plans were invoked early on:</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Employees were instructed to avoid unnecessary travel and non-essential physical contact</w:t>
      </w:r>
      <w:r>
        <w:rPr>
          <w:rFonts w:ascii="Calibri" w:hAnsi="Calibri"/>
          <w:sz w:val="22"/>
          <w:szCs w:val="22"/>
        </w:rPr>
        <w:t>;</w:t>
      </w:r>
      <w:r w:rsidRPr="001303B2">
        <w:rPr>
          <w:rFonts w:ascii="Calibri" w:hAnsi="Calibri"/>
          <w:sz w:val="22"/>
          <w:szCs w:val="22"/>
        </w:rPr>
        <w:t xml:space="preserve"> </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Familiarity with PPE guidance promoted in recognition of inevitable physical contact in policing</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NHS hygiene advice made available to all staff and officers</w:t>
      </w:r>
      <w:r>
        <w:rPr>
          <w:rFonts w:ascii="Calibri" w:hAnsi="Calibri"/>
          <w:sz w:val="22"/>
          <w:szCs w:val="22"/>
        </w:rPr>
        <w:t>;</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Managers encouraged to support remote/home working for non-operational staff</w:t>
      </w:r>
      <w:r>
        <w:rPr>
          <w:rFonts w:ascii="Calibri" w:hAnsi="Calibri"/>
          <w:sz w:val="22"/>
          <w:szCs w:val="22"/>
        </w:rPr>
        <w:t>;</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Face to face meetings, wherever possible were moved to teleconference or alternative virtual meeting space e.g. Skype</w:t>
      </w:r>
      <w:r>
        <w:rPr>
          <w:rFonts w:ascii="Calibri" w:hAnsi="Calibri"/>
          <w:sz w:val="22"/>
          <w:szCs w:val="22"/>
        </w:rPr>
        <w:t>;</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Non-urgent meetings, events and conferences cancelled or postponed in consultation with stakeholders</w:t>
      </w:r>
      <w:r>
        <w:rPr>
          <w:rFonts w:ascii="Calibri" w:hAnsi="Calibri"/>
          <w:sz w:val="22"/>
          <w:szCs w:val="22"/>
        </w:rPr>
        <w:t>.</w:t>
      </w:r>
    </w:p>
    <w:p w:rsidR="00D835CC" w:rsidRPr="001303B2" w:rsidRDefault="00D835CC" w:rsidP="00D835CC">
      <w:pPr>
        <w:autoSpaceDE w:val="0"/>
        <w:ind w:left="720"/>
        <w:jc w:val="both"/>
        <w:rPr>
          <w:rFonts w:ascii="Calibri" w:hAnsi="Calibri"/>
          <w:sz w:val="22"/>
          <w:szCs w:val="22"/>
        </w:rPr>
      </w:pPr>
    </w:p>
    <w:p w:rsidR="00D835CC" w:rsidRPr="001303B2" w:rsidRDefault="00D835CC" w:rsidP="00D835CC">
      <w:pPr>
        <w:numPr>
          <w:ilvl w:val="1"/>
          <w:numId w:val="37"/>
        </w:numPr>
        <w:suppressAutoHyphens/>
        <w:autoSpaceDE w:val="0"/>
        <w:jc w:val="both"/>
        <w:rPr>
          <w:rFonts w:ascii="Calibri" w:hAnsi="Calibri"/>
          <w:sz w:val="22"/>
          <w:szCs w:val="22"/>
        </w:rPr>
      </w:pPr>
      <w:r w:rsidRPr="001303B2">
        <w:rPr>
          <w:rFonts w:ascii="Calibri" w:hAnsi="Calibri"/>
          <w:sz w:val="22"/>
          <w:szCs w:val="22"/>
        </w:rPr>
        <w:t>Instruction was given mid-March for all staff to work from home where possible in line with restrictions on public life made by the UK Government to slow the effects of Coronavirus and protect NHS resources.</w:t>
      </w:r>
    </w:p>
    <w:p w:rsidR="00D835CC" w:rsidRPr="001303B2" w:rsidRDefault="00D835CC" w:rsidP="00D835CC">
      <w:pPr>
        <w:autoSpaceDE w:val="0"/>
        <w:ind w:left="720"/>
        <w:jc w:val="both"/>
        <w:rPr>
          <w:rFonts w:ascii="Calibri" w:hAnsi="Calibri"/>
          <w:sz w:val="22"/>
          <w:szCs w:val="22"/>
        </w:rPr>
      </w:pPr>
    </w:p>
    <w:p w:rsidR="00D835CC" w:rsidRPr="001303B2" w:rsidRDefault="00D835CC" w:rsidP="00D835CC">
      <w:pPr>
        <w:numPr>
          <w:ilvl w:val="1"/>
          <w:numId w:val="37"/>
        </w:numPr>
        <w:suppressAutoHyphens/>
        <w:autoSpaceDE w:val="0"/>
        <w:jc w:val="both"/>
        <w:rPr>
          <w:rFonts w:ascii="Calibri" w:hAnsi="Calibri"/>
          <w:sz w:val="22"/>
          <w:szCs w:val="22"/>
        </w:rPr>
      </w:pPr>
      <w:r w:rsidRPr="001303B2">
        <w:rPr>
          <w:rFonts w:ascii="Calibri" w:hAnsi="Calibri"/>
          <w:sz w:val="22"/>
          <w:szCs w:val="22"/>
        </w:rPr>
        <w:t>Other changes to governance arrangements as a result of Covid-19 include:</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 xml:space="preserve">Force command structure across </w:t>
      </w:r>
      <w:r>
        <w:rPr>
          <w:rFonts w:ascii="Calibri" w:hAnsi="Calibri"/>
          <w:sz w:val="22"/>
          <w:szCs w:val="22"/>
        </w:rPr>
        <w:t>Surrey Police and Sussex</w:t>
      </w:r>
      <w:r w:rsidRPr="001303B2">
        <w:rPr>
          <w:rFonts w:ascii="Calibri" w:hAnsi="Calibri"/>
          <w:sz w:val="22"/>
          <w:szCs w:val="22"/>
        </w:rPr>
        <w:t xml:space="preserve"> Police changes to increase resilience around the policing response</w:t>
      </w:r>
      <w:r>
        <w:rPr>
          <w:rFonts w:ascii="Calibri" w:hAnsi="Calibri"/>
          <w:sz w:val="22"/>
          <w:szCs w:val="22"/>
        </w:rPr>
        <w:t>;</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Redeployment of staff to support the front-line workforce and Operation Apollo</w:t>
      </w:r>
      <w:r>
        <w:rPr>
          <w:rFonts w:ascii="Calibri" w:hAnsi="Calibri"/>
          <w:sz w:val="22"/>
          <w:szCs w:val="22"/>
        </w:rPr>
        <w:t>;</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Redeployment of officers to changes in priorities and crime demands arising from Covid-19</w:t>
      </w:r>
      <w:r>
        <w:rPr>
          <w:rFonts w:ascii="Calibri" w:hAnsi="Calibri"/>
          <w:sz w:val="22"/>
          <w:szCs w:val="22"/>
        </w:rPr>
        <w:t>;</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Frequent dialogue maintained with government officials and key stakeholders on the financial impact on policing resulting from Covid-19</w:t>
      </w:r>
      <w:r>
        <w:rPr>
          <w:rFonts w:ascii="Calibri" w:hAnsi="Calibri"/>
          <w:sz w:val="22"/>
          <w:szCs w:val="22"/>
        </w:rPr>
        <w:t>;</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Monitoring and approval process through Operation Apollo to deal with additional costs e.g. pay related costs, personal protective equipment (PPE) for frontline staff, IT investment to allow people to work from home and income losses</w:t>
      </w:r>
      <w:r>
        <w:rPr>
          <w:rFonts w:ascii="Calibri" w:hAnsi="Calibri"/>
          <w:sz w:val="22"/>
          <w:szCs w:val="22"/>
        </w:rPr>
        <w:t>;</w:t>
      </w:r>
    </w:p>
    <w:p w:rsidR="00D835CC" w:rsidRPr="001303B2" w:rsidRDefault="00D835CC" w:rsidP="00D835CC">
      <w:pPr>
        <w:numPr>
          <w:ilvl w:val="0"/>
          <w:numId w:val="2"/>
        </w:numPr>
        <w:tabs>
          <w:tab w:val="num" w:pos="1080"/>
        </w:tabs>
        <w:suppressAutoHyphens/>
        <w:ind w:left="1080"/>
        <w:jc w:val="both"/>
        <w:rPr>
          <w:rFonts w:ascii="Calibri" w:hAnsi="Calibri"/>
          <w:sz w:val="22"/>
          <w:szCs w:val="22"/>
        </w:rPr>
      </w:pPr>
      <w:r w:rsidRPr="001303B2">
        <w:rPr>
          <w:rFonts w:ascii="Calibri" w:hAnsi="Calibri"/>
          <w:sz w:val="22"/>
          <w:szCs w:val="22"/>
        </w:rPr>
        <w:t>More flexible use of Government Procurement Cards and increased local floats to facilitate urgent purchases</w:t>
      </w:r>
      <w:r>
        <w:rPr>
          <w:rFonts w:ascii="Calibri" w:hAnsi="Calibri"/>
          <w:sz w:val="22"/>
          <w:szCs w:val="22"/>
        </w:rPr>
        <w:t>.</w:t>
      </w:r>
      <w:r w:rsidRPr="001303B2">
        <w:rPr>
          <w:rFonts w:ascii="Calibri" w:hAnsi="Calibri"/>
          <w:sz w:val="22"/>
          <w:szCs w:val="22"/>
        </w:rPr>
        <w:t xml:space="preserve"> </w:t>
      </w:r>
    </w:p>
    <w:p w:rsidR="00D835CC" w:rsidRPr="001303B2" w:rsidRDefault="00D835CC" w:rsidP="00D835CC">
      <w:pPr>
        <w:pStyle w:val="ListParagraph"/>
        <w:rPr>
          <w:rFonts w:ascii="Calibri" w:hAnsi="Calibri"/>
          <w:sz w:val="22"/>
          <w:szCs w:val="22"/>
        </w:rPr>
      </w:pPr>
    </w:p>
    <w:p w:rsidR="00D835CC" w:rsidRPr="001303B2" w:rsidRDefault="00D835CC" w:rsidP="00D835CC">
      <w:pPr>
        <w:numPr>
          <w:ilvl w:val="1"/>
          <w:numId w:val="37"/>
        </w:numPr>
        <w:suppressAutoHyphens/>
        <w:autoSpaceDE w:val="0"/>
        <w:jc w:val="both"/>
        <w:rPr>
          <w:rFonts w:ascii="Calibri" w:hAnsi="Calibri"/>
          <w:sz w:val="22"/>
          <w:szCs w:val="22"/>
        </w:rPr>
      </w:pPr>
      <w:r w:rsidRPr="001303B2">
        <w:rPr>
          <w:rFonts w:ascii="Calibri" w:hAnsi="Calibri"/>
          <w:sz w:val="22"/>
          <w:szCs w:val="22"/>
        </w:rPr>
        <w:t>Since 31 March 2020 the following governance issues arose relating to Covid-19:</w:t>
      </w:r>
    </w:p>
    <w:p w:rsidR="00D835CC" w:rsidRPr="001303B2" w:rsidRDefault="00D835CC" w:rsidP="00D835CC">
      <w:pPr>
        <w:numPr>
          <w:ilvl w:val="0"/>
          <w:numId w:val="40"/>
        </w:numPr>
        <w:suppressAutoHyphens/>
        <w:autoSpaceDE w:val="0"/>
        <w:jc w:val="both"/>
        <w:rPr>
          <w:rFonts w:ascii="Calibri" w:hAnsi="Calibri"/>
          <w:sz w:val="22"/>
          <w:szCs w:val="22"/>
        </w:rPr>
      </w:pPr>
      <w:r w:rsidRPr="001303B2">
        <w:rPr>
          <w:rFonts w:ascii="Calibri" w:hAnsi="Calibri"/>
          <w:sz w:val="22"/>
          <w:szCs w:val="22"/>
        </w:rPr>
        <w:t xml:space="preserve">National procurement contribution towards personal protective equipment (£5m </w:t>
      </w:r>
      <w:r>
        <w:rPr>
          <w:rFonts w:ascii="Calibri" w:hAnsi="Calibri"/>
          <w:sz w:val="22"/>
          <w:szCs w:val="22"/>
        </w:rPr>
        <w:t>Surrey Police &amp; Sussex</w:t>
      </w:r>
      <w:r w:rsidRPr="001303B2">
        <w:rPr>
          <w:rFonts w:ascii="Calibri" w:hAnsi="Calibri"/>
          <w:sz w:val="22"/>
          <w:szCs w:val="22"/>
        </w:rPr>
        <w:t xml:space="preserve"> Police) requiring legal and procurement exp</w:t>
      </w:r>
      <w:r>
        <w:rPr>
          <w:rFonts w:ascii="Calibri" w:hAnsi="Calibri"/>
          <w:sz w:val="22"/>
          <w:szCs w:val="22"/>
        </w:rPr>
        <w:t>ertise and cash flow management;</w:t>
      </w:r>
    </w:p>
    <w:p w:rsidR="00D835CC" w:rsidRPr="001303B2" w:rsidRDefault="00D835CC" w:rsidP="00D835CC">
      <w:pPr>
        <w:numPr>
          <w:ilvl w:val="0"/>
          <w:numId w:val="40"/>
        </w:numPr>
        <w:suppressAutoHyphens/>
        <w:autoSpaceDE w:val="0"/>
        <w:jc w:val="both"/>
        <w:rPr>
          <w:rFonts w:ascii="Calibri" w:hAnsi="Calibri"/>
          <w:sz w:val="22"/>
          <w:szCs w:val="22"/>
        </w:rPr>
      </w:pPr>
      <w:r w:rsidRPr="001303B2">
        <w:rPr>
          <w:rFonts w:ascii="Calibri" w:hAnsi="Calibri"/>
          <w:sz w:val="22"/>
          <w:szCs w:val="22"/>
        </w:rPr>
        <w:t>Strategic review of budgets, existing projects and capital programmes with a view to mitigate costs arising from Covid-19 and support financial sustainability</w:t>
      </w:r>
      <w:r>
        <w:rPr>
          <w:rFonts w:ascii="Calibri" w:hAnsi="Calibri"/>
          <w:sz w:val="22"/>
          <w:szCs w:val="22"/>
        </w:rPr>
        <w:t>;</w:t>
      </w:r>
    </w:p>
    <w:p w:rsidR="00D835CC" w:rsidRPr="001303B2" w:rsidRDefault="00D835CC" w:rsidP="00D835CC">
      <w:pPr>
        <w:numPr>
          <w:ilvl w:val="0"/>
          <w:numId w:val="40"/>
        </w:numPr>
        <w:suppressAutoHyphens/>
        <w:autoSpaceDE w:val="0"/>
        <w:jc w:val="both"/>
        <w:rPr>
          <w:rFonts w:ascii="Calibri" w:hAnsi="Calibri"/>
          <w:sz w:val="22"/>
          <w:szCs w:val="22"/>
        </w:rPr>
      </w:pPr>
      <w:r w:rsidRPr="001303B2">
        <w:rPr>
          <w:rFonts w:ascii="Calibri" w:hAnsi="Calibri"/>
          <w:sz w:val="22"/>
          <w:szCs w:val="22"/>
        </w:rPr>
        <w:t>Supply chain management including immediate payment of suppliers and/or exceptional payments in advance to mitigate risk of failure by essential suppliers</w:t>
      </w:r>
      <w:r>
        <w:rPr>
          <w:rFonts w:ascii="Calibri" w:hAnsi="Calibri"/>
          <w:sz w:val="22"/>
          <w:szCs w:val="22"/>
        </w:rPr>
        <w:t>;</w:t>
      </w:r>
    </w:p>
    <w:p w:rsidR="00D835CC" w:rsidRPr="001303B2" w:rsidRDefault="00D835CC" w:rsidP="00D835CC">
      <w:pPr>
        <w:numPr>
          <w:ilvl w:val="0"/>
          <w:numId w:val="40"/>
        </w:numPr>
        <w:suppressAutoHyphens/>
        <w:autoSpaceDE w:val="0"/>
        <w:jc w:val="both"/>
        <w:rPr>
          <w:rFonts w:ascii="Calibri" w:hAnsi="Calibri"/>
          <w:sz w:val="22"/>
          <w:szCs w:val="22"/>
        </w:rPr>
      </w:pPr>
      <w:r w:rsidRPr="001303B2">
        <w:rPr>
          <w:rFonts w:ascii="Calibri" w:hAnsi="Calibri"/>
          <w:sz w:val="22"/>
          <w:szCs w:val="22"/>
        </w:rPr>
        <w:t>Greater likelihood of borrowing requirement due to additional costs and potential reductions in income impact on medium term financial planning</w:t>
      </w:r>
      <w:r>
        <w:rPr>
          <w:rFonts w:ascii="Calibri" w:hAnsi="Calibri"/>
          <w:sz w:val="22"/>
          <w:szCs w:val="22"/>
        </w:rPr>
        <w:t>.</w:t>
      </w:r>
    </w:p>
    <w:p w:rsidR="00D835CC" w:rsidRPr="000803AE" w:rsidRDefault="00D835CC" w:rsidP="00D835CC">
      <w:pPr>
        <w:autoSpaceDE w:val="0"/>
        <w:ind w:left="720"/>
        <w:jc w:val="both"/>
        <w:rPr>
          <w:rFonts w:ascii="Calibri" w:hAnsi="Calibri"/>
          <w:sz w:val="22"/>
          <w:szCs w:val="22"/>
        </w:rPr>
      </w:pPr>
    </w:p>
    <w:p w:rsidR="00D835CC" w:rsidRPr="00481D6C" w:rsidRDefault="00D835CC" w:rsidP="00D835CC">
      <w:pPr>
        <w:shd w:val="clear" w:color="auto" w:fill="4472C4"/>
        <w:autoSpaceDE w:val="0"/>
        <w:jc w:val="both"/>
        <w:rPr>
          <w:rFonts w:ascii="Calibri" w:hAnsi="Calibri"/>
          <w:b/>
          <w:color w:val="FFFFFF"/>
          <w:sz w:val="22"/>
          <w:szCs w:val="22"/>
        </w:rPr>
      </w:pPr>
      <w:r>
        <w:rPr>
          <w:rFonts w:ascii="Calibri" w:hAnsi="Calibri"/>
          <w:b/>
          <w:color w:val="FFFFFF"/>
          <w:sz w:val="22"/>
          <w:szCs w:val="22"/>
        </w:rPr>
        <w:t>3</w:t>
      </w:r>
      <w:r w:rsidRPr="00481D6C">
        <w:rPr>
          <w:rFonts w:ascii="Calibri" w:hAnsi="Calibri"/>
          <w:b/>
          <w:color w:val="FFFFFF"/>
          <w:sz w:val="22"/>
          <w:szCs w:val="22"/>
        </w:rPr>
        <w:tab/>
        <w:t>Scope of Responsibilities</w:t>
      </w:r>
    </w:p>
    <w:p w:rsidR="00D835CC" w:rsidRPr="006708B2" w:rsidRDefault="00D835CC" w:rsidP="00D835CC">
      <w:pPr>
        <w:jc w:val="both"/>
        <w:rPr>
          <w:b/>
          <w:sz w:val="22"/>
          <w:szCs w:val="22"/>
        </w:rPr>
      </w:pPr>
    </w:p>
    <w:p w:rsidR="00D835CC" w:rsidRDefault="00D835CC" w:rsidP="00D835CC">
      <w:pPr>
        <w:ind w:left="709" w:hanging="709"/>
        <w:jc w:val="both"/>
        <w:rPr>
          <w:rFonts w:ascii="Calibri" w:hAnsi="Calibri"/>
          <w:sz w:val="22"/>
          <w:szCs w:val="22"/>
        </w:rPr>
      </w:pPr>
      <w:r>
        <w:rPr>
          <w:rFonts w:ascii="Calibri" w:hAnsi="Calibri"/>
          <w:sz w:val="22"/>
          <w:szCs w:val="22"/>
        </w:rPr>
        <w:t>3</w:t>
      </w:r>
      <w:r w:rsidRPr="000803AE">
        <w:rPr>
          <w:rFonts w:ascii="Calibri" w:hAnsi="Calibri"/>
          <w:sz w:val="22"/>
          <w:szCs w:val="22"/>
        </w:rPr>
        <w:t>.1</w:t>
      </w:r>
      <w:r w:rsidRPr="000803AE">
        <w:rPr>
          <w:rFonts w:ascii="Calibri" w:hAnsi="Calibri"/>
          <w:sz w:val="22"/>
          <w:szCs w:val="22"/>
        </w:rPr>
        <w:tab/>
      </w:r>
      <w:r w:rsidRPr="000803AE">
        <w:rPr>
          <w:rFonts w:ascii="Calibri" w:hAnsi="Calibri"/>
          <w:sz w:val="22"/>
          <w:szCs w:val="22"/>
        </w:rPr>
        <w:tab/>
      </w:r>
      <w:r>
        <w:rPr>
          <w:rFonts w:ascii="Calibri" w:hAnsi="Calibri"/>
          <w:sz w:val="22"/>
          <w:szCs w:val="22"/>
        </w:rPr>
        <w:t>The Chief Constable</w:t>
      </w:r>
      <w:r w:rsidRPr="000803AE">
        <w:rPr>
          <w:rFonts w:ascii="Calibri" w:hAnsi="Calibri"/>
          <w:sz w:val="22"/>
          <w:szCs w:val="22"/>
        </w:rPr>
        <w:t xml:space="preserve"> and the </w:t>
      </w:r>
      <w:r>
        <w:rPr>
          <w:rFonts w:ascii="Calibri" w:hAnsi="Calibri"/>
          <w:sz w:val="22"/>
          <w:szCs w:val="22"/>
        </w:rPr>
        <w:t>PCC</w:t>
      </w:r>
      <w:r w:rsidRPr="000803AE">
        <w:rPr>
          <w:rFonts w:ascii="Calibri" w:hAnsi="Calibri"/>
          <w:sz w:val="22"/>
          <w:szCs w:val="22"/>
        </w:rPr>
        <w:t xml:space="preserve"> are responsible for ensuring business is conducted in accordance with the law and proper standards, and th</w:t>
      </w:r>
      <w:r>
        <w:rPr>
          <w:rFonts w:ascii="Calibri" w:hAnsi="Calibri"/>
          <w:sz w:val="22"/>
          <w:szCs w:val="22"/>
        </w:rPr>
        <w:t xml:space="preserve">at public money is safeguarded and is properly accounted for. </w:t>
      </w:r>
    </w:p>
    <w:p w:rsidR="00D835CC" w:rsidRDefault="00D835CC" w:rsidP="00D835CC">
      <w:pPr>
        <w:ind w:left="709" w:hanging="709"/>
        <w:jc w:val="both"/>
        <w:rPr>
          <w:rFonts w:ascii="Calibri" w:hAnsi="Calibri"/>
          <w:sz w:val="22"/>
          <w:szCs w:val="22"/>
        </w:rPr>
      </w:pPr>
    </w:p>
    <w:p w:rsidR="00D835CC" w:rsidRDefault="00D835CC" w:rsidP="00D835CC">
      <w:pPr>
        <w:ind w:left="709" w:hanging="709"/>
        <w:jc w:val="both"/>
        <w:rPr>
          <w:rFonts w:ascii="Calibri" w:hAnsi="Calibri"/>
          <w:sz w:val="22"/>
          <w:szCs w:val="22"/>
        </w:rPr>
      </w:pPr>
      <w:r>
        <w:rPr>
          <w:rFonts w:ascii="Calibri" w:hAnsi="Calibri"/>
          <w:sz w:val="22"/>
          <w:szCs w:val="22"/>
        </w:rPr>
        <w:t>3.2</w:t>
      </w:r>
      <w:r>
        <w:rPr>
          <w:rFonts w:ascii="Calibri" w:hAnsi="Calibri"/>
          <w:sz w:val="22"/>
          <w:szCs w:val="22"/>
        </w:rPr>
        <w:tab/>
      </w:r>
      <w:r w:rsidRPr="007C403A">
        <w:rPr>
          <w:rFonts w:ascii="Calibri" w:hAnsi="Calibri"/>
          <w:sz w:val="22"/>
          <w:szCs w:val="22"/>
        </w:rPr>
        <w:t xml:space="preserve">Under the Policing Protocol 2011 the PCC </w:t>
      </w:r>
      <w:r>
        <w:rPr>
          <w:rFonts w:ascii="Calibri" w:hAnsi="Calibri"/>
          <w:sz w:val="22"/>
          <w:szCs w:val="22"/>
        </w:rPr>
        <w:t>has responsibility for the delivery of efficient and effective policing, management of resources and expenditure by the police force</w:t>
      </w:r>
      <w:r w:rsidRPr="00D072C8">
        <w:rPr>
          <w:rFonts w:ascii="Calibri" w:hAnsi="Calibri"/>
          <w:sz w:val="22"/>
          <w:szCs w:val="22"/>
        </w:rPr>
        <w:t xml:space="preserve">. The PCC has a statutory responsibility to obtain </w:t>
      </w:r>
      <w:r>
        <w:rPr>
          <w:rFonts w:ascii="Calibri" w:hAnsi="Calibri"/>
          <w:sz w:val="22"/>
          <w:szCs w:val="22"/>
        </w:rPr>
        <w:t xml:space="preserve">views from </w:t>
      </w:r>
      <w:r w:rsidRPr="00D072C8">
        <w:rPr>
          <w:rFonts w:ascii="Calibri" w:hAnsi="Calibri"/>
          <w:sz w:val="22"/>
          <w:szCs w:val="22"/>
        </w:rPr>
        <w:t>the community and victims of crime about the policing of the</w:t>
      </w:r>
      <w:r>
        <w:rPr>
          <w:rFonts w:ascii="Calibri" w:hAnsi="Calibri"/>
          <w:sz w:val="22"/>
          <w:szCs w:val="22"/>
        </w:rPr>
        <w:t xml:space="preserve"> Force area and must take into account the views of responsible authorities. These views inform the PCC’s Police and Crime Plan which sets the strategic direction and priorities for the Force.</w:t>
      </w:r>
    </w:p>
    <w:p w:rsidR="00D835CC" w:rsidRDefault="00D835CC" w:rsidP="00D835CC">
      <w:pPr>
        <w:ind w:left="709" w:hanging="709"/>
        <w:jc w:val="both"/>
        <w:rPr>
          <w:rFonts w:ascii="Calibri" w:hAnsi="Calibri"/>
          <w:sz w:val="22"/>
          <w:szCs w:val="22"/>
        </w:rPr>
      </w:pPr>
    </w:p>
    <w:p w:rsidR="00D835CC" w:rsidRDefault="00D835CC" w:rsidP="00D835CC">
      <w:pPr>
        <w:ind w:left="709" w:hanging="709"/>
        <w:jc w:val="both"/>
        <w:rPr>
          <w:rFonts w:ascii="Calibri" w:hAnsi="Calibri"/>
          <w:sz w:val="22"/>
          <w:szCs w:val="22"/>
        </w:rPr>
      </w:pPr>
      <w:r>
        <w:rPr>
          <w:rFonts w:ascii="Calibri" w:hAnsi="Calibri"/>
          <w:sz w:val="22"/>
          <w:szCs w:val="22"/>
        </w:rPr>
        <w:t>3.3</w:t>
      </w:r>
      <w:r>
        <w:rPr>
          <w:rFonts w:ascii="Calibri" w:hAnsi="Calibri"/>
          <w:sz w:val="22"/>
          <w:szCs w:val="22"/>
        </w:rPr>
        <w:tab/>
      </w:r>
      <w:r w:rsidRPr="00F349F9">
        <w:rPr>
          <w:rFonts w:ascii="Calibri" w:hAnsi="Calibri" w:cs="Verdana"/>
          <w:sz w:val="22"/>
          <w:szCs w:val="22"/>
        </w:rPr>
        <w:t>The Chief Constable has a statutory responsibility for the control, direction and delivery of operational pol</w:t>
      </w:r>
      <w:r>
        <w:rPr>
          <w:rFonts w:ascii="Calibri" w:hAnsi="Calibri" w:cs="Verdana"/>
          <w:sz w:val="22"/>
          <w:szCs w:val="22"/>
        </w:rPr>
        <w:t>icing services</w:t>
      </w:r>
      <w:r w:rsidRPr="002C6A3A">
        <w:rPr>
          <w:rFonts w:ascii="Calibri" w:hAnsi="Calibri" w:cs="Verdana"/>
          <w:sz w:val="22"/>
          <w:szCs w:val="22"/>
        </w:rPr>
        <w:t xml:space="preserve"> </w:t>
      </w:r>
      <w:r>
        <w:rPr>
          <w:rFonts w:ascii="Calibri" w:hAnsi="Calibri" w:cs="Verdana"/>
          <w:sz w:val="22"/>
          <w:szCs w:val="22"/>
        </w:rPr>
        <w:t xml:space="preserve">provided by Surrey Police </w:t>
      </w:r>
      <w:r>
        <w:rPr>
          <w:rFonts w:ascii="Calibri" w:hAnsi="Calibri"/>
          <w:sz w:val="22"/>
          <w:szCs w:val="22"/>
        </w:rPr>
        <w:t>(the Force),</w:t>
      </w:r>
      <w:r>
        <w:rPr>
          <w:rFonts w:ascii="Calibri" w:hAnsi="Calibri" w:cs="Verdana"/>
          <w:sz w:val="22"/>
          <w:szCs w:val="22"/>
        </w:rPr>
        <w:t xml:space="preserve"> having regard to the strategic direction and priorities set by the PCC in the Police and Crime Plan.</w:t>
      </w:r>
      <w:r>
        <w:rPr>
          <w:rFonts w:ascii="Calibri" w:hAnsi="Calibri"/>
          <w:sz w:val="22"/>
          <w:szCs w:val="22"/>
        </w:rPr>
        <w:t xml:space="preserve">  </w:t>
      </w:r>
      <w:r w:rsidRPr="000803AE">
        <w:rPr>
          <w:rFonts w:ascii="Calibri" w:hAnsi="Calibri"/>
          <w:sz w:val="22"/>
          <w:szCs w:val="22"/>
        </w:rPr>
        <w:t xml:space="preserve">In discharging this overall responsibility, the </w:t>
      </w:r>
      <w:r>
        <w:rPr>
          <w:rFonts w:ascii="Calibri" w:hAnsi="Calibri"/>
          <w:sz w:val="22"/>
          <w:szCs w:val="22"/>
        </w:rPr>
        <w:t>Chief Constable</w:t>
      </w:r>
      <w:r w:rsidRPr="000803AE">
        <w:rPr>
          <w:rFonts w:ascii="Calibri" w:hAnsi="Calibri"/>
          <w:sz w:val="22"/>
          <w:szCs w:val="22"/>
        </w:rPr>
        <w:t xml:space="preserve"> is responsible for </w:t>
      </w:r>
      <w:r>
        <w:rPr>
          <w:rFonts w:ascii="Calibri" w:hAnsi="Calibri"/>
          <w:sz w:val="22"/>
          <w:szCs w:val="22"/>
        </w:rPr>
        <w:t>establishing and maintaining appropriate risk management processes, governance arrangements and ensuring that there is a sound system of internal control, which facilitates the effective exercise of these functions.</w:t>
      </w:r>
      <w:r w:rsidRPr="000803AE">
        <w:rPr>
          <w:rFonts w:ascii="Calibri" w:hAnsi="Calibri"/>
          <w:sz w:val="22"/>
          <w:szCs w:val="22"/>
        </w:rPr>
        <w:t xml:space="preserve">  </w:t>
      </w:r>
    </w:p>
    <w:p w:rsidR="00D835CC" w:rsidRPr="000803AE" w:rsidRDefault="00D835CC" w:rsidP="00D835CC">
      <w:pPr>
        <w:ind w:left="709" w:hanging="709"/>
        <w:jc w:val="both"/>
        <w:rPr>
          <w:rFonts w:ascii="Calibri" w:hAnsi="Calibri"/>
          <w:sz w:val="22"/>
          <w:szCs w:val="22"/>
        </w:rPr>
      </w:pPr>
    </w:p>
    <w:p w:rsidR="00D835CC" w:rsidRDefault="00D835CC" w:rsidP="00D835CC">
      <w:pPr>
        <w:ind w:left="709" w:hanging="709"/>
        <w:jc w:val="both"/>
        <w:rPr>
          <w:rFonts w:ascii="Calibri" w:hAnsi="Calibri"/>
          <w:sz w:val="22"/>
          <w:szCs w:val="22"/>
        </w:rPr>
      </w:pPr>
      <w:r>
        <w:rPr>
          <w:rFonts w:ascii="Calibri" w:hAnsi="Calibri"/>
          <w:sz w:val="22"/>
          <w:szCs w:val="22"/>
        </w:rPr>
        <w:t>3</w:t>
      </w:r>
      <w:r w:rsidRPr="000803AE">
        <w:rPr>
          <w:rFonts w:ascii="Calibri" w:hAnsi="Calibri"/>
          <w:sz w:val="22"/>
          <w:szCs w:val="22"/>
        </w:rPr>
        <w:t>.</w:t>
      </w:r>
      <w:r>
        <w:rPr>
          <w:rFonts w:ascii="Calibri" w:hAnsi="Calibri"/>
          <w:sz w:val="22"/>
          <w:szCs w:val="22"/>
        </w:rPr>
        <w:t>4</w:t>
      </w:r>
      <w:r w:rsidRPr="000803AE">
        <w:rPr>
          <w:rFonts w:ascii="Calibri" w:hAnsi="Calibri"/>
          <w:sz w:val="22"/>
          <w:szCs w:val="22"/>
        </w:rPr>
        <w:tab/>
      </w:r>
      <w:r>
        <w:rPr>
          <w:rFonts w:ascii="Calibri" w:hAnsi="Calibri"/>
          <w:sz w:val="22"/>
          <w:szCs w:val="22"/>
        </w:rPr>
        <w:t xml:space="preserve">Surrey Police </w:t>
      </w:r>
      <w:r w:rsidRPr="000803AE">
        <w:rPr>
          <w:rFonts w:ascii="Calibri" w:hAnsi="Calibri"/>
          <w:sz w:val="22"/>
          <w:szCs w:val="22"/>
        </w:rPr>
        <w:t>continues to follow</w:t>
      </w:r>
      <w:r>
        <w:rPr>
          <w:rFonts w:ascii="Calibri" w:hAnsi="Calibri"/>
          <w:sz w:val="22"/>
          <w:szCs w:val="22"/>
        </w:rPr>
        <w:t xml:space="preserve"> the principles of the CIPFA</w:t>
      </w:r>
      <w:r w:rsidRPr="000803AE">
        <w:rPr>
          <w:rFonts w:ascii="Calibri" w:hAnsi="Calibri"/>
          <w:sz w:val="22"/>
          <w:szCs w:val="22"/>
        </w:rPr>
        <w:t xml:space="preserve"> Framework: ‘</w:t>
      </w:r>
      <w:r w:rsidRPr="000803AE">
        <w:rPr>
          <w:rFonts w:ascii="Calibri" w:hAnsi="Calibri"/>
          <w:iCs/>
          <w:sz w:val="22"/>
          <w:szCs w:val="22"/>
        </w:rPr>
        <w:t>Delivering Good</w:t>
      </w:r>
      <w:r w:rsidRPr="000803AE">
        <w:rPr>
          <w:rFonts w:ascii="Calibri" w:hAnsi="Calibri"/>
          <w:sz w:val="22"/>
          <w:szCs w:val="22"/>
        </w:rPr>
        <w:t xml:space="preserve"> Go</w:t>
      </w:r>
      <w:r w:rsidRPr="000803AE">
        <w:rPr>
          <w:rFonts w:ascii="Calibri" w:hAnsi="Calibri"/>
          <w:iCs/>
          <w:sz w:val="22"/>
          <w:szCs w:val="22"/>
        </w:rPr>
        <w:t>vernance in Local Government’</w:t>
      </w:r>
      <w:r>
        <w:rPr>
          <w:rStyle w:val="FootnoteReference"/>
          <w:rFonts w:ascii="Calibri" w:hAnsi="Calibri"/>
          <w:iCs/>
          <w:sz w:val="22"/>
          <w:szCs w:val="22"/>
        </w:rPr>
        <w:footnoteReference w:id="2"/>
      </w:r>
      <w:r>
        <w:rPr>
          <w:rFonts w:ascii="Calibri" w:hAnsi="Calibri"/>
          <w:sz w:val="22"/>
          <w:szCs w:val="22"/>
        </w:rPr>
        <w:t xml:space="preserve"> and the guidance notes for policing bodies (revised 2016)</w:t>
      </w:r>
      <w:r>
        <w:rPr>
          <w:rStyle w:val="FootnoteReference"/>
          <w:rFonts w:ascii="Calibri" w:hAnsi="Calibri"/>
          <w:sz w:val="22"/>
          <w:szCs w:val="22"/>
        </w:rPr>
        <w:footnoteReference w:id="3"/>
      </w:r>
      <w:r>
        <w:rPr>
          <w:rFonts w:ascii="Calibri" w:hAnsi="Calibri"/>
          <w:sz w:val="22"/>
          <w:szCs w:val="22"/>
        </w:rPr>
        <w:t>.</w:t>
      </w:r>
    </w:p>
    <w:p w:rsidR="00D835CC" w:rsidRPr="000803AE" w:rsidRDefault="00D835CC" w:rsidP="00D835CC">
      <w:pPr>
        <w:ind w:left="709" w:hanging="709"/>
        <w:jc w:val="both"/>
        <w:rPr>
          <w:rFonts w:ascii="Calibri" w:hAnsi="Calibri"/>
          <w:sz w:val="22"/>
          <w:szCs w:val="22"/>
        </w:rPr>
      </w:pPr>
      <w:r w:rsidRPr="000803AE">
        <w:rPr>
          <w:rFonts w:ascii="Calibri" w:hAnsi="Calibri"/>
          <w:i/>
          <w:sz w:val="22"/>
          <w:szCs w:val="22"/>
        </w:rPr>
        <w:t xml:space="preserve">  </w:t>
      </w:r>
    </w:p>
    <w:p w:rsidR="00D835CC" w:rsidRDefault="00D835CC" w:rsidP="00D835CC">
      <w:pPr>
        <w:ind w:left="709" w:hanging="709"/>
        <w:jc w:val="both"/>
        <w:rPr>
          <w:rFonts w:ascii="Calibri" w:hAnsi="Calibri"/>
          <w:sz w:val="22"/>
          <w:szCs w:val="22"/>
        </w:rPr>
      </w:pPr>
      <w:r>
        <w:rPr>
          <w:rFonts w:ascii="Calibri" w:hAnsi="Calibri"/>
          <w:sz w:val="22"/>
          <w:szCs w:val="22"/>
        </w:rPr>
        <w:t>3</w:t>
      </w:r>
      <w:r w:rsidRPr="000803AE">
        <w:rPr>
          <w:rFonts w:ascii="Calibri" w:hAnsi="Calibri"/>
          <w:sz w:val="22"/>
          <w:szCs w:val="22"/>
        </w:rPr>
        <w:t>.</w:t>
      </w:r>
      <w:r>
        <w:rPr>
          <w:rFonts w:ascii="Calibri" w:hAnsi="Calibri"/>
          <w:sz w:val="22"/>
          <w:szCs w:val="22"/>
        </w:rPr>
        <w:t>5</w:t>
      </w:r>
      <w:r w:rsidRPr="000803AE">
        <w:rPr>
          <w:rFonts w:ascii="Calibri" w:hAnsi="Calibri"/>
          <w:sz w:val="22"/>
          <w:szCs w:val="22"/>
        </w:rPr>
        <w:tab/>
        <w:t>This statement explains how the Force has complied</w:t>
      </w:r>
      <w:r>
        <w:rPr>
          <w:rFonts w:ascii="Calibri" w:hAnsi="Calibri"/>
          <w:sz w:val="22"/>
          <w:szCs w:val="22"/>
        </w:rPr>
        <w:t xml:space="preserve"> with the principles and also </w:t>
      </w:r>
      <w:r w:rsidRPr="000803AE">
        <w:rPr>
          <w:rFonts w:ascii="Calibri" w:hAnsi="Calibri"/>
          <w:sz w:val="22"/>
          <w:szCs w:val="22"/>
        </w:rPr>
        <w:t xml:space="preserve">meets the requirements of regulation 6 of the Accounts and Audit Regulations 2015 in relation to the publication of a statement on internal control. </w:t>
      </w:r>
    </w:p>
    <w:p w:rsidR="00D835CC" w:rsidRDefault="00D835CC" w:rsidP="00D835CC">
      <w:pPr>
        <w:ind w:left="709" w:hanging="709"/>
        <w:jc w:val="both"/>
        <w:rPr>
          <w:rFonts w:ascii="Calibri" w:hAnsi="Calibri"/>
          <w:sz w:val="22"/>
          <w:szCs w:val="22"/>
        </w:rPr>
      </w:pPr>
    </w:p>
    <w:p w:rsidR="00D835CC" w:rsidRPr="00C5423F" w:rsidRDefault="00D835CC" w:rsidP="00C5423F">
      <w:pPr>
        <w:ind w:left="709" w:hanging="709"/>
        <w:jc w:val="both"/>
        <w:rPr>
          <w:rFonts w:ascii="Calibri" w:hAnsi="Calibri"/>
          <w:sz w:val="22"/>
          <w:szCs w:val="22"/>
        </w:rPr>
      </w:pPr>
      <w:r>
        <w:rPr>
          <w:rFonts w:ascii="Calibri" w:hAnsi="Calibri"/>
          <w:sz w:val="22"/>
          <w:szCs w:val="22"/>
        </w:rPr>
        <w:t>3.6</w:t>
      </w:r>
      <w:r>
        <w:rPr>
          <w:rFonts w:ascii="Calibri" w:hAnsi="Calibri"/>
          <w:sz w:val="22"/>
          <w:szCs w:val="22"/>
        </w:rPr>
        <w:tab/>
      </w:r>
      <w:r w:rsidRPr="000803AE">
        <w:rPr>
          <w:rFonts w:ascii="Calibri" w:hAnsi="Calibri"/>
          <w:sz w:val="22"/>
          <w:szCs w:val="22"/>
        </w:rPr>
        <w:t xml:space="preserve">The </w:t>
      </w:r>
      <w:r>
        <w:rPr>
          <w:rFonts w:ascii="Calibri" w:hAnsi="Calibri"/>
          <w:sz w:val="22"/>
          <w:szCs w:val="22"/>
        </w:rPr>
        <w:t>F</w:t>
      </w:r>
      <w:r w:rsidRPr="000803AE">
        <w:rPr>
          <w:rFonts w:ascii="Calibri" w:hAnsi="Calibri"/>
          <w:sz w:val="22"/>
          <w:szCs w:val="22"/>
        </w:rPr>
        <w:t>orce’s financial management arrangements conform to the governance requirements of CIPFA's Statement on ‘The role of the Chief Finance Officer of the Police and Crime Commissioner and the Chief Finance Officer of the Chief Constable (July 2012)’</w:t>
      </w:r>
      <w:r w:rsidRPr="000803AE">
        <w:rPr>
          <w:rStyle w:val="FootnoteReference"/>
          <w:rFonts w:ascii="Calibri" w:hAnsi="Calibri"/>
          <w:sz w:val="22"/>
          <w:szCs w:val="22"/>
        </w:rPr>
        <w:footnoteReference w:id="4"/>
      </w:r>
      <w:r w:rsidRPr="000803AE">
        <w:rPr>
          <w:rFonts w:ascii="Calibri" w:hAnsi="Calibri"/>
          <w:sz w:val="22"/>
          <w:szCs w:val="22"/>
        </w:rPr>
        <w:t>.</w:t>
      </w:r>
      <w:r>
        <w:rPr>
          <w:rFonts w:ascii="Calibri" w:hAnsi="Calibri"/>
          <w:sz w:val="22"/>
          <w:szCs w:val="22"/>
        </w:rPr>
        <w:t xml:space="preserve"> </w:t>
      </w:r>
    </w:p>
    <w:p w:rsidR="00D835CC" w:rsidRPr="000803AE" w:rsidRDefault="00D835CC" w:rsidP="00D835CC">
      <w:pPr>
        <w:autoSpaceDE w:val="0"/>
        <w:ind w:left="720"/>
        <w:jc w:val="both"/>
        <w:rPr>
          <w:rFonts w:ascii="Calibri" w:hAnsi="Calibri"/>
          <w:sz w:val="22"/>
          <w:szCs w:val="22"/>
        </w:rPr>
      </w:pPr>
    </w:p>
    <w:p w:rsidR="00D835CC" w:rsidRPr="00481D6C" w:rsidRDefault="00D835CC" w:rsidP="00D835CC">
      <w:pPr>
        <w:shd w:val="clear" w:color="auto" w:fill="4472C4"/>
        <w:autoSpaceDE w:val="0"/>
        <w:jc w:val="both"/>
        <w:rPr>
          <w:rFonts w:ascii="Calibri" w:hAnsi="Calibri"/>
          <w:b/>
          <w:color w:val="FFFFFF"/>
          <w:sz w:val="22"/>
          <w:szCs w:val="22"/>
        </w:rPr>
      </w:pPr>
      <w:r>
        <w:rPr>
          <w:rFonts w:ascii="Calibri" w:hAnsi="Calibri"/>
          <w:b/>
          <w:color w:val="FFFFFF"/>
          <w:sz w:val="22"/>
          <w:szCs w:val="22"/>
        </w:rPr>
        <w:t>4</w:t>
      </w:r>
      <w:r w:rsidRPr="00481D6C">
        <w:rPr>
          <w:rFonts w:ascii="Calibri" w:hAnsi="Calibri"/>
          <w:b/>
          <w:color w:val="FFFFFF"/>
          <w:sz w:val="22"/>
          <w:szCs w:val="22"/>
        </w:rPr>
        <w:tab/>
        <w:t>The Purpose of the Governance Framework</w:t>
      </w:r>
    </w:p>
    <w:p w:rsidR="00D835CC" w:rsidRPr="000803AE" w:rsidRDefault="00D835CC" w:rsidP="00D835CC">
      <w:pPr>
        <w:jc w:val="both"/>
        <w:rPr>
          <w:rFonts w:ascii="Calibri" w:hAnsi="Calibri"/>
          <w:sz w:val="22"/>
          <w:szCs w:val="22"/>
        </w:rPr>
      </w:pPr>
    </w:p>
    <w:p w:rsidR="00D835CC" w:rsidRPr="0001003B" w:rsidRDefault="00D835CC" w:rsidP="00D835CC">
      <w:pPr>
        <w:pStyle w:val="ListParagraph"/>
        <w:numPr>
          <w:ilvl w:val="0"/>
          <w:numId w:val="4"/>
        </w:numPr>
        <w:tabs>
          <w:tab w:val="num" w:pos="720"/>
        </w:tabs>
        <w:suppressAutoHyphens/>
        <w:ind w:left="720" w:hanging="360"/>
        <w:contextualSpacing w:val="0"/>
        <w:jc w:val="both"/>
        <w:rPr>
          <w:rFonts w:ascii="Calibri" w:hAnsi="Calibri"/>
          <w:vanish/>
          <w:sz w:val="22"/>
          <w:szCs w:val="22"/>
        </w:rPr>
      </w:pPr>
    </w:p>
    <w:p w:rsidR="00D835CC" w:rsidRPr="0001003B" w:rsidRDefault="00D835CC" w:rsidP="00D835CC">
      <w:pPr>
        <w:pStyle w:val="ListParagraph"/>
        <w:numPr>
          <w:ilvl w:val="0"/>
          <w:numId w:val="4"/>
        </w:numPr>
        <w:tabs>
          <w:tab w:val="num" w:pos="720"/>
        </w:tabs>
        <w:suppressAutoHyphens/>
        <w:ind w:left="720" w:hanging="360"/>
        <w:contextualSpacing w:val="0"/>
        <w:jc w:val="both"/>
        <w:rPr>
          <w:rFonts w:ascii="Calibri" w:hAnsi="Calibri"/>
          <w:vanish/>
          <w:sz w:val="22"/>
          <w:szCs w:val="22"/>
        </w:rPr>
      </w:pPr>
    </w:p>
    <w:p w:rsidR="00D835CC" w:rsidRDefault="00DA4E8D" w:rsidP="00DA4E8D">
      <w:pPr>
        <w:suppressAutoHyphens/>
        <w:ind w:left="720" w:hanging="720"/>
        <w:jc w:val="both"/>
        <w:rPr>
          <w:rFonts w:ascii="Calibri" w:hAnsi="Calibri"/>
          <w:sz w:val="22"/>
          <w:szCs w:val="22"/>
        </w:rPr>
      </w:pPr>
      <w:r>
        <w:rPr>
          <w:rFonts w:ascii="Calibri" w:hAnsi="Calibri"/>
          <w:sz w:val="22"/>
          <w:szCs w:val="22"/>
        </w:rPr>
        <w:t>4.1</w:t>
      </w:r>
      <w:r>
        <w:rPr>
          <w:rFonts w:ascii="Calibri" w:hAnsi="Calibri"/>
          <w:sz w:val="22"/>
          <w:szCs w:val="22"/>
        </w:rPr>
        <w:tab/>
      </w:r>
      <w:r w:rsidR="00D835CC" w:rsidRPr="000803AE">
        <w:rPr>
          <w:rFonts w:ascii="Calibri" w:hAnsi="Calibri"/>
          <w:sz w:val="22"/>
          <w:szCs w:val="22"/>
        </w:rPr>
        <w:t xml:space="preserve">The governance framework comprises the systems, processes, culture and values by which the </w:t>
      </w:r>
      <w:r w:rsidR="00D835CC">
        <w:rPr>
          <w:rFonts w:ascii="Calibri" w:hAnsi="Calibri"/>
          <w:sz w:val="22"/>
          <w:szCs w:val="22"/>
        </w:rPr>
        <w:t>F</w:t>
      </w:r>
      <w:r w:rsidR="00D835CC" w:rsidRPr="000803AE">
        <w:rPr>
          <w:rFonts w:ascii="Calibri" w:hAnsi="Calibri"/>
          <w:sz w:val="22"/>
          <w:szCs w:val="22"/>
        </w:rPr>
        <w:t>orce</w:t>
      </w:r>
      <w:r w:rsidR="00D835CC">
        <w:rPr>
          <w:rFonts w:ascii="Calibri" w:hAnsi="Calibri"/>
          <w:sz w:val="22"/>
          <w:szCs w:val="22"/>
        </w:rPr>
        <w:t xml:space="preserve"> is directed and controlled, together with </w:t>
      </w:r>
      <w:r w:rsidR="00D835CC" w:rsidRPr="000803AE">
        <w:rPr>
          <w:rFonts w:ascii="Calibri" w:hAnsi="Calibri"/>
          <w:sz w:val="22"/>
          <w:szCs w:val="22"/>
        </w:rPr>
        <w:t xml:space="preserve">its activities through which it accounts to and engages with the community.  </w:t>
      </w:r>
    </w:p>
    <w:p w:rsidR="00D835CC" w:rsidRDefault="00D835CC" w:rsidP="00D835CC">
      <w:pPr>
        <w:ind w:left="720"/>
        <w:jc w:val="both"/>
        <w:rPr>
          <w:rFonts w:ascii="Calibri" w:hAnsi="Calibri"/>
          <w:sz w:val="22"/>
          <w:szCs w:val="22"/>
        </w:rPr>
      </w:pPr>
    </w:p>
    <w:p w:rsidR="00D835CC" w:rsidRDefault="00DA4E8D" w:rsidP="00DA4E8D">
      <w:pPr>
        <w:suppressAutoHyphens/>
        <w:ind w:left="720" w:hanging="720"/>
        <w:jc w:val="both"/>
        <w:rPr>
          <w:rFonts w:ascii="Calibri" w:hAnsi="Calibri"/>
          <w:sz w:val="22"/>
          <w:szCs w:val="22"/>
        </w:rPr>
      </w:pPr>
      <w:r>
        <w:rPr>
          <w:rFonts w:ascii="Calibri" w:hAnsi="Calibri"/>
          <w:sz w:val="22"/>
          <w:szCs w:val="22"/>
        </w:rPr>
        <w:t>4.2</w:t>
      </w:r>
      <w:r>
        <w:rPr>
          <w:rFonts w:ascii="Calibri" w:hAnsi="Calibri"/>
          <w:sz w:val="22"/>
          <w:szCs w:val="22"/>
        </w:rPr>
        <w:tab/>
      </w:r>
      <w:r w:rsidR="00D835CC" w:rsidRPr="000803AE">
        <w:rPr>
          <w:rFonts w:ascii="Calibri" w:hAnsi="Calibri"/>
          <w:sz w:val="22"/>
          <w:szCs w:val="22"/>
        </w:rPr>
        <w:t xml:space="preserve">It enables the </w:t>
      </w:r>
      <w:r w:rsidR="00D835CC">
        <w:rPr>
          <w:rFonts w:ascii="Calibri" w:hAnsi="Calibri"/>
          <w:sz w:val="22"/>
          <w:szCs w:val="22"/>
        </w:rPr>
        <w:t>F</w:t>
      </w:r>
      <w:r w:rsidR="00D835CC" w:rsidRPr="000803AE">
        <w:rPr>
          <w:rFonts w:ascii="Calibri" w:hAnsi="Calibri"/>
          <w:sz w:val="22"/>
          <w:szCs w:val="22"/>
        </w:rPr>
        <w:t>orce to monitor the achievement of its strategic objectives</w:t>
      </w:r>
      <w:r w:rsidR="00D835CC">
        <w:rPr>
          <w:rFonts w:ascii="Calibri" w:hAnsi="Calibri"/>
          <w:sz w:val="22"/>
          <w:szCs w:val="22"/>
        </w:rPr>
        <w:t xml:space="preserve">, </w:t>
      </w:r>
      <w:r w:rsidR="00D835CC" w:rsidRPr="000803AE">
        <w:rPr>
          <w:rFonts w:ascii="Calibri" w:hAnsi="Calibri"/>
          <w:sz w:val="22"/>
          <w:szCs w:val="22"/>
        </w:rPr>
        <w:t xml:space="preserve">as set out by the PCC in </w:t>
      </w:r>
      <w:r w:rsidR="00D835CC" w:rsidRPr="003F483D">
        <w:rPr>
          <w:rFonts w:ascii="Calibri" w:hAnsi="Calibri"/>
          <w:sz w:val="22"/>
          <w:szCs w:val="22"/>
        </w:rPr>
        <w:t>the Police and Crime Plan</w:t>
      </w:r>
      <w:r w:rsidR="00D835CC" w:rsidRPr="003F483D">
        <w:rPr>
          <w:rStyle w:val="FootnoteReference"/>
          <w:rFonts w:ascii="Calibri" w:hAnsi="Calibri"/>
          <w:sz w:val="22"/>
          <w:szCs w:val="22"/>
        </w:rPr>
        <w:footnoteReference w:id="5"/>
      </w:r>
      <w:r w:rsidR="00D835CC" w:rsidRPr="003F483D">
        <w:rPr>
          <w:rFonts w:ascii="Calibri" w:hAnsi="Calibri"/>
          <w:sz w:val="22"/>
          <w:szCs w:val="22"/>
        </w:rPr>
        <w:t xml:space="preserve"> and</w:t>
      </w:r>
      <w:r w:rsidR="00D835CC" w:rsidRPr="000803AE">
        <w:rPr>
          <w:rFonts w:ascii="Calibri" w:hAnsi="Calibri"/>
          <w:sz w:val="22"/>
          <w:szCs w:val="22"/>
        </w:rPr>
        <w:t xml:space="preserve"> the Strategic Policing Requirement</w:t>
      </w:r>
      <w:r w:rsidR="00D835CC" w:rsidRPr="000803AE">
        <w:rPr>
          <w:rStyle w:val="FootnoteReference"/>
          <w:rFonts w:ascii="Calibri" w:hAnsi="Calibri"/>
          <w:sz w:val="22"/>
          <w:szCs w:val="22"/>
        </w:rPr>
        <w:footnoteReference w:id="6"/>
      </w:r>
      <w:r w:rsidR="00D835CC">
        <w:rPr>
          <w:rFonts w:ascii="Calibri" w:hAnsi="Calibri"/>
          <w:sz w:val="22"/>
          <w:szCs w:val="22"/>
        </w:rPr>
        <w:t xml:space="preserve">, </w:t>
      </w:r>
      <w:r w:rsidR="00D835CC" w:rsidRPr="000803AE">
        <w:rPr>
          <w:rFonts w:ascii="Calibri" w:hAnsi="Calibri"/>
          <w:sz w:val="22"/>
          <w:szCs w:val="22"/>
        </w:rPr>
        <w:t>and to consider whether those objectives have led to the delivery of appropriate, cost-effective services, including achieving value for money.</w:t>
      </w:r>
    </w:p>
    <w:p w:rsidR="00D835CC" w:rsidRDefault="00D835CC" w:rsidP="00D835CC">
      <w:pPr>
        <w:ind w:left="720"/>
        <w:jc w:val="both"/>
        <w:rPr>
          <w:rFonts w:ascii="Calibri" w:hAnsi="Calibri"/>
          <w:sz w:val="22"/>
          <w:szCs w:val="22"/>
        </w:rPr>
      </w:pPr>
    </w:p>
    <w:p w:rsidR="00D835CC" w:rsidRDefault="00DA4E8D" w:rsidP="00DA4E8D">
      <w:pPr>
        <w:suppressAutoHyphens/>
        <w:ind w:left="720" w:hanging="720"/>
        <w:jc w:val="both"/>
        <w:rPr>
          <w:rFonts w:ascii="Calibri" w:hAnsi="Calibri"/>
          <w:sz w:val="22"/>
          <w:szCs w:val="22"/>
        </w:rPr>
      </w:pPr>
      <w:r>
        <w:rPr>
          <w:rFonts w:ascii="Calibri" w:hAnsi="Calibri"/>
          <w:sz w:val="22"/>
          <w:szCs w:val="22"/>
        </w:rPr>
        <w:t>4.3</w:t>
      </w:r>
      <w:r>
        <w:rPr>
          <w:rFonts w:ascii="Calibri" w:hAnsi="Calibri"/>
          <w:sz w:val="22"/>
          <w:szCs w:val="22"/>
        </w:rPr>
        <w:tab/>
      </w:r>
      <w:r w:rsidR="00D835CC">
        <w:rPr>
          <w:rFonts w:ascii="Calibri" w:hAnsi="Calibri"/>
          <w:sz w:val="22"/>
          <w:szCs w:val="22"/>
        </w:rPr>
        <w:t>The fundamental function of good governance in the public sector is to ensure that intended outcomes are achieved whilst acting in the public interest at all times.</w:t>
      </w:r>
    </w:p>
    <w:p w:rsidR="00D835CC" w:rsidRPr="000803AE" w:rsidRDefault="00D835CC" w:rsidP="00D835CC">
      <w:pPr>
        <w:ind w:left="720"/>
        <w:jc w:val="both"/>
        <w:rPr>
          <w:rFonts w:ascii="Calibri" w:hAnsi="Calibri"/>
          <w:sz w:val="22"/>
          <w:szCs w:val="22"/>
        </w:rPr>
      </w:pPr>
    </w:p>
    <w:p w:rsidR="00D835CC" w:rsidRPr="00481D6C" w:rsidRDefault="00D835CC" w:rsidP="00D835CC">
      <w:pPr>
        <w:shd w:val="clear" w:color="auto" w:fill="4472C4"/>
        <w:jc w:val="both"/>
        <w:rPr>
          <w:rFonts w:ascii="Calibri" w:hAnsi="Calibri"/>
          <w:b/>
          <w:color w:val="FFFFFF"/>
          <w:sz w:val="22"/>
          <w:szCs w:val="22"/>
        </w:rPr>
      </w:pPr>
      <w:r>
        <w:rPr>
          <w:rFonts w:ascii="Calibri" w:hAnsi="Calibri"/>
          <w:b/>
          <w:color w:val="FFFFFF"/>
          <w:sz w:val="22"/>
          <w:szCs w:val="22"/>
        </w:rPr>
        <w:t>5</w:t>
      </w:r>
      <w:r w:rsidRPr="00481D6C">
        <w:rPr>
          <w:rFonts w:ascii="Calibri" w:hAnsi="Calibri"/>
          <w:b/>
          <w:color w:val="FFFFFF"/>
          <w:sz w:val="22"/>
          <w:szCs w:val="22"/>
        </w:rPr>
        <w:tab/>
        <w:t>The Governance Framework</w:t>
      </w:r>
    </w:p>
    <w:p w:rsidR="00D835CC" w:rsidRDefault="00D835CC" w:rsidP="00D835CC">
      <w:pPr>
        <w:autoSpaceDE w:val="0"/>
        <w:ind w:left="720" w:hanging="720"/>
        <w:jc w:val="both"/>
        <w:rPr>
          <w:rFonts w:ascii="Calibri" w:hAnsi="Calibri"/>
          <w:sz w:val="22"/>
          <w:szCs w:val="22"/>
        </w:rPr>
      </w:pPr>
      <w:r>
        <w:rPr>
          <w:rFonts w:ascii="Calibri" w:hAnsi="Calibri"/>
          <w:sz w:val="22"/>
          <w:szCs w:val="22"/>
        </w:rPr>
        <w:tab/>
      </w:r>
    </w:p>
    <w:p w:rsidR="00D835CC" w:rsidRPr="000803AE" w:rsidRDefault="00D835CC" w:rsidP="00D835CC">
      <w:pPr>
        <w:autoSpaceDE w:val="0"/>
        <w:ind w:left="720" w:hanging="720"/>
        <w:jc w:val="both"/>
        <w:rPr>
          <w:rFonts w:ascii="Calibri" w:hAnsi="Calibri"/>
          <w:sz w:val="22"/>
          <w:szCs w:val="22"/>
        </w:rPr>
      </w:pPr>
      <w:r>
        <w:rPr>
          <w:rFonts w:ascii="Calibri" w:hAnsi="Calibri"/>
          <w:sz w:val="22"/>
          <w:szCs w:val="22"/>
        </w:rPr>
        <w:t>5.1</w:t>
      </w:r>
      <w:r>
        <w:rPr>
          <w:rFonts w:ascii="Calibri" w:hAnsi="Calibri"/>
          <w:sz w:val="22"/>
          <w:szCs w:val="22"/>
        </w:rPr>
        <w:tab/>
      </w:r>
      <w:r w:rsidRPr="000803AE">
        <w:rPr>
          <w:rFonts w:ascii="Calibri" w:hAnsi="Calibri"/>
          <w:sz w:val="22"/>
          <w:szCs w:val="22"/>
        </w:rPr>
        <w:t xml:space="preserve">The Chief Constable of </w:t>
      </w:r>
      <w:r>
        <w:rPr>
          <w:rFonts w:ascii="Calibri" w:hAnsi="Calibri"/>
          <w:sz w:val="22"/>
          <w:szCs w:val="22"/>
        </w:rPr>
        <w:t>Surrey</w:t>
      </w:r>
      <w:r w:rsidRPr="000803AE">
        <w:rPr>
          <w:rFonts w:ascii="Calibri" w:hAnsi="Calibri"/>
          <w:sz w:val="22"/>
          <w:szCs w:val="22"/>
        </w:rPr>
        <w:t xml:space="preserve"> Police is responsible for operational policing matters, direction and control of police personnel, and for putting in place proper arrangements for the governance of the </w:t>
      </w:r>
      <w:r>
        <w:rPr>
          <w:rFonts w:ascii="Calibri" w:hAnsi="Calibri"/>
          <w:sz w:val="22"/>
          <w:szCs w:val="22"/>
        </w:rPr>
        <w:t>F</w:t>
      </w:r>
      <w:r w:rsidRPr="000803AE">
        <w:rPr>
          <w:rFonts w:ascii="Calibri" w:hAnsi="Calibri"/>
          <w:sz w:val="22"/>
          <w:szCs w:val="22"/>
        </w:rPr>
        <w:t>orce. The PCC is required to hold him/her to account for the exercise of those functions and those of the persons under his/her direction and control. It therefore follows t</w:t>
      </w:r>
      <w:r>
        <w:rPr>
          <w:rFonts w:ascii="Calibri" w:hAnsi="Calibri"/>
          <w:sz w:val="22"/>
          <w:szCs w:val="22"/>
        </w:rPr>
        <w:t>hat the PCC must be assured</w:t>
      </w:r>
      <w:r w:rsidRPr="000803AE">
        <w:rPr>
          <w:rFonts w:ascii="Calibri" w:hAnsi="Calibri"/>
          <w:sz w:val="22"/>
          <w:szCs w:val="22"/>
        </w:rPr>
        <w:t xml:space="preserve"> that the Force has appropriate mechanisms in place for the</w:t>
      </w:r>
      <w:r>
        <w:rPr>
          <w:rFonts w:ascii="Calibri" w:hAnsi="Calibri"/>
          <w:sz w:val="22"/>
          <w:szCs w:val="22"/>
        </w:rPr>
        <w:t xml:space="preserve"> maintenance of good governance</w:t>
      </w:r>
      <w:r w:rsidRPr="000803AE">
        <w:rPr>
          <w:rFonts w:ascii="Calibri" w:hAnsi="Calibri"/>
          <w:sz w:val="22"/>
          <w:szCs w:val="22"/>
        </w:rPr>
        <w:t xml:space="preserve"> and that these operate in practice.</w:t>
      </w:r>
    </w:p>
    <w:p w:rsidR="00D835CC" w:rsidRPr="006708B2" w:rsidRDefault="00D835CC" w:rsidP="00D835CC">
      <w:pPr>
        <w:autoSpaceDE w:val="0"/>
        <w:jc w:val="both"/>
        <w:rPr>
          <w:sz w:val="22"/>
          <w:szCs w:val="22"/>
        </w:rPr>
      </w:pPr>
    </w:p>
    <w:p w:rsidR="00D835CC" w:rsidRPr="0001003B" w:rsidRDefault="00D835CC" w:rsidP="00D835CC">
      <w:pPr>
        <w:pStyle w:val="ListParagraph"/>
        <w:numPr>
          <w:ilvl w:val="0"/>
          <w:numId w:val="17"/>
        </w:numPr>
        <w:suppressAutoHyphens/>
        <w:contextualSpacing w:val="0"/>
        <w:jc w:val="both"/>
        <w:rPr>
          <w:rFonts w:ascii="Calibri" w:hAnsi="Calibri"/>
          <w:vanish/>
          <w:sz w:val="22"/>
          <w:szCs w:val="22"/>
        </w:rPr>
      </w:pPr>
    </w:p>
    <w:p w:rsidR="00D835CC" w:rsidRPr="0001003B" w:rsidRDefault="00D835CC" w:rsidP="00D835CC">
      <w:pPr>
        <w:pStyle w:val="ListParagraph"/>
        <w:numPr>
          <w:ilvl w:val="0"/>
          <w:numId w:val="17"/>
        </w:numPr>
        <w:suppressAutoHyphens/>
        <w:contextualSpacing w:val="0"/>
        <w:jc w:val="both"/>
        <w:rPr>
          <w:rFonts w:ascii="Calibri" w:hAnsi="Calibri"/>
          <w:vanish/>
          <w:sz w:val="22"/>
          <w:szCs w:val="22"/>
        </w:rPr>
      </w:pPr>
    </w:p>
    <w:p w:rsidR="00D835CC" w:rsidRPr="000803AE" w:rsidRDefault="00D835CC" w:rsidP="00D835CC">
      <w:pPr>
        <w:numPr>
          <w:ilvl w:val="1"/>
          <w:numId w:val="17"/>
        </w:numPr>
        <w:suppressAutoHyphens/>
        <w:jc w:val="both"/>
        <w:rPr>
          <w:rFonts w:ascii="Calibri" w:hAnsi="Calibri"/>
          <w:sz w:val="22"/>
          <w:szCs w:val="22"/>
        </w:rPr>
      </w:pPr>
      <w:r w:rsidRPr="000803AE">
        <w:rPr>
          <w:rFonts w:ascii="Calibri" w:hAnsi="Calibri"/>
          <w:sz w:val="22"/>
          <w:szCs w:val="22"/>
        </w:rPr>
        <w:t xml:space="preserve">A governance framework, collectively known as the Scheme of Corporate Governance, </w:t>
      </w:r>
      <w:r>
        <w:rPr>
          <w:rFonts w:ascii="Calibri" w:hAnsi="Calibri"/>
          <w:sz w:val="22"/>
          <w:szCs w:val="22"/>
        </w:rPr>
        <w:t>has been in</w:t>
      </w:r>
      <w:r w:rsidRPr="000803AE">
        <w:rPr>
          <w:rFonts w:ascii="Calibri" w:hAnsi="Calibri"/>
          <w:sz w:val="22"/>
          <w:szCs w:val="22"/>
        </w:rPr>
        <w:t xml:space="preserve"> place </w:t>
      </w:r>
      <w:r>
        <w:rPr>
          <w:rFonts w:ascii="Calibri" w:hAnsi="Calibri"/>
          <w:sz w:val="22"/>
          <w:szCs w:val="22"/>
        </w:rPr>
        <w:t xml:space="preserve">for the year ended 31 March 2020 </w:t>
      </w:r>
      <w:r w:rsidRPr="000803AE">
        <w:rPr>
          <w:rFonts w:ascii="Calibri" w:hAnsi="Calibri"/>
          <w:sz w:val="22"/>
          <w:szCs w:val="22"/>
        </w:rPr>
        <w:t xml:space="preserve">and includes the Code of Corporate Governance, Memorandum of Understanding, Decision–making Framework, Scheme of Delegation, Financial Regulations and Contract Standing Orders. The </w:t>
      </w:r>
      <w:r>
        <w:rPr>
          <w:rFonts w:ascii="Calibri" w:hAnsi="Calibri"/>
          <w:sz w:val="22"/>
          <w:szCs w:val="22"/>
        </w:rPr>
        <w:t>F</w:t>
      </w:r>
      <w:r w:rsidRPr="000803AE">
        <w:rPr>
          <w:rFonts w:ascii="Calibri" w:hAnsi="Calibri"/>
          <w:sz w:val="22"/>
          <w:szCs w:val="22"/>
        </w:rPr>
        <w:t xml:space="preserve">orce system of internal control, based on a framework of policies and procedures, is a significant part of the Force governance framework and is designed to manage risk to a reasonable and foreseeable level. The Force cannot eliminate all risk of failure to achieve policies, aims and objectives; it can only provide reasonable but not absolute assurance of effectiveness.   </w:t>
      </w:r>
    </w:p>
    <w:p w:rsidR="00D835CC" w:rsidRPr="000803AE" w:rsidRDefault="00D835CC" w:rsidP="00D835CC">
      <w:pPr>
        <w:ind w:left="720"/>
        <w:jc w:val="both"/>
        <w:rPr>
          <w:rFonts w:ascii="Calibri" w:hAnsi="Calibri"/>
          <w:sz w:val="22"/>
          <w:szCs w:val="22"/>
        </w:rPr>
      </w:pPr>
    </w:p>
    <w:p w:rsidR="00D835CC" w:rsidRPr="00A4027E" w:rsidRDefault="00D835CC" w:rsidP="00D835CC">
      <w:pPr>
        <w:numPr>
          <w:ilvl w:val="1"/>
          <w:numId w:val="17"/>
        </w:numPr>
        <w:suppressAutoHyphens/>
        <w:jc w:val="both"/>
        <w:rPr>
          <w:rFonts w:ascii="Calibri" w:hAnsi="Calibri"/>
          <w:sz w:val="22"/>
          <w:szCs w:val="22"/>
        </w:rPr>
      </w:pPr>
      <w:r w:rsidRPr="000803AE">
        <w:rPr>
          <w:rFonts w:ascii="Calibri" w:hAnsi="Calibri"/>
          <w:sz w:val="22"/>
          <w:szCs w:val="22"/>
        </w:rPr>
        <w:t>The Code of Corporate Governance</w:t>
      </w:r>
      <w:r>
        <w:rPr>
          <w:rFonts w:ascii="Calibri" w:hAnsi="Calibri"/>
          <w:sz w:val="22"/>
          <w:szCs w:val="22"/>
        </w:rPr>
        <w:t xml:space="preserve"> for the Surrey Police and Crime Commissioner and Chief Constable for Surrey Police</w:t>
      </w:r>
      <w:r w:rsidRPr="000803AE">
        <w:rPr>
          <w:rFonts w:ascii="Calibri" w:hAnsi="Calibri"/>
          <w:sz w:val="22"/>
          <w:szCs w:val="22"/>
        </w:rPr>
        <w:t xml:space="preserve"> and all strategic governance documents</w:t>
      </w:r>
      <w:r>
        <w:rPr>
          <w:rFonts w:ascii="Calibri" w:hAnsi="Calibri"/>
          <w:sz w:val="22"/>
          <w:szCs w:val="22"/>
        </w:rPr>
        <w:t xml:space="preserve"> that comprise the Scheme of Corporate Governance</w:t>
      </w:r>
      <w:r w:rsidRPr="000803AE">
        <w:rPr>
          <w:rFonts w:ascii="Calibri" w:hAnsi="Calibri"/>
          <w:sz w:val="22"/>
          <w:szCs w:val="22"/>
        </w:rPr>
        <w:t xml:space="preserve"> were </w:t>
      </w:r>
      <w:r w:rsidRPr="00E042A3">
        <w:rPr>
          <w:rFonts w:ascii="Calibri" w:hAnsi="Calibri"/>
          <w:sz w:val="22"/>
          <w:szCs w:val="22"/>
        </w:rPr>
        <w:t>reviewed in 2019-20 as part of the annual review of governance documentation and are available on the PCC’s website</w:t>
      </w:r>
      <w:r w:rsidRPr="00E042A3">
        <w:rPr>
          <w:rStyle w:val="FootnoteReference"/>
          <w:rFonts w:ascii="Calibri" w:hAnsi="Calibri"/>
          <w:sz w:val="22"/>
          <w:szCs w:val="22"/>
        </w:rPr>
        <w:footnoteReference w:id="7"/>
      </w:r>
      <w:r w:rsidRPr="00E042A3">
        <w:rPr>
          <w:rFonts w:ascii="Calibri" w:hAnsi="Calibri"/>
          <w:sz w:val="22"/>
          <w:szCs w:val="22"/>
        </w:rPr>
        <w:t>.  The joint Code provides a summary of governance arrangements setting out responsibilities. The Code also details a diarised programme for the regular review of policies.  A key element of this is</w:t>
      </w:r>
      <w:r w:rsidRPr="00A4027E">
        <w:rPr>
          <w:rFonts w:ascii="Calibri" w:hAnsi="Calibri"/>
          <w:sz w:val="22"/>
          <w:szCs w:val="22"/>
        </w:rPr>
        <w:t xml:space="preserve"> the identification and management of risk.</w:t>
      </w:r>
    </w:p>
    <w:p w:rsidR="00D835CC" w:rsidRPr="00A4027E" w:rsidRDefault="00D835CC" w:rsidP="00D835CC">
      <w:pPr>
        <w:jc w:val="both"/>
        <w:rPr>
          <w:rFonts w:ascii="Calibri" w:hAnsi="Calibri"/>
          <w:sz w:val="22"/>
          <w:szCs w:val="22"/>
        </w:rPr>
      </w:pPr>
    </w:p>
    <w:p w:rsidR="00D835CC" w:rsidRPr="00A4027E" w:rsidRDefault="00D835CC" w:rsidP="00D835CC">
      <w:pPr>
        <w:numPr>
          <w:ilvl w:val="1"/>
          <w:numId w:val="17"/>
        </w:numPr>
        <w:suppressAutoHyphens/>
        <w:jc w:val="both"/>
        <w:rPr>
          <w:rFonts w:ascii="Calibri" w:hAnsi="Calibri"/>
          <w:sz w:val="22"/>
          <w:szCs w:val="22"/>
        </w:rPr>
      </w:pPr>
      <w:r w:rsidRPr="00A4027E">
        <w:rPr>
          <w:rFonts w:ascii="Calibri" w:hAnsi="Calibri"/>
          <w:sz w:val="22"/>
          <w:szCs w:val="22"/>
        </w:rPr>
        <w:t>Governance arrangements for both the Force and the PCC follow the seven principles as set out in the revised Delivering Good Governance: Guidance Notes for Policing Bodies in England and Wales (2016 Edition).  The diagram below illustrates the various principles of good governance in the public sector and how they relate to each other. A summary of how the force complies with these principles is detailed below.</w:t>
      </w:r>
    </w:p>
    <w:p w:rsidR="00D835CC" w:rsidRDefault="00D835CC" w:rsidP="00D835CC">
      <w:pPr>
        <w:ind w:left="720"/>
        <w:jc w:val="center"/>
        <w:rPr>
          <w:rFonts w:ascii="Calibri" w:hAnsi="Calibri"/>
          <w:sz w:val="22"/>
          <w:szCs w:val="22"/>
        </w:rPr>
      </w:pPr>
      <w:r w:rsidRPr="00A4027E">
        <w:rPr>
          <w:rFonts w:ascii="Calibri" w:hAnsi="Calibri"/>
          <w:color w:val="002060"/>
          <w:sz w:val="22"/>
          <w:szCs w:val="22"/>
        </w:rPr>
        <w:t xml:space="preserve"> </w:t>
      </w:r>
      <w:r w:rsidRPr="00A4027E">
        <w:rPr>
          <w:rFonts w:ascii="Calibri" w:hAnsi="Calibri"/>
          <w:noProof/>
          <w:color w:val="002060"/>
          <w:sz w:val="22"/>
          <w:szCs w:val="22"/>
          <w:lang w:val="en-GB" w:eastAsia="en-GB"/>
        </w:rPr>
        <w:drawing>
          <wp:inline distT="0" distB="0" distL="0" distR="0">
            <wp:extent cx="4046220" cy="3451860"/>
            <wp:effectExtent l="0" t="0" r="0" b="0"/>
            <wp:docPr id="10" name="Picture 10" descr="AGS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S_graphi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6220" cy="3451860"/>
                    </a:xfrm>
                    <a:prstGeom prst="rect">
                      <a:avLst/>
                    </a:prstGeom>
                    <a:noFill/>
                    <a:ln>
                      <a:noFill/>
                    </a:ln>
                  </pic:spPr>
                </pic:pic>
              </a:graphicData>
            </a:graphic>
          </wp:inline>
        </w:drawing>
      </w:r>
    </w:p>
    <w:p w:rsidR="00D835CC" w:rsidRPr="000803AE" w:rsidRDefault="00D835CC" w:rsidP="00D835CC">
      <w:pPr>
        <w:ind w:left="720"/>
        <w:jc w:val="both"/>
        <w:rPr>
          <w:rFonts w:ascii="Calibri" w:hAnsi="Calibri"/>
          <w:sz w:val="22"/>
          <w:szCs w:val="22"/>
        </w:rPr>
      </w:pPr>
    </w:p>
    <w:p w:rsidR="00D835CC" w:rsidRPr="000803AE" w:rsidRDefault="00D835CC" w:rsidP="00D835CC">
      <w:pPr>
        <w:numPr>
          <w:ilvl w:val="1"/>
          <w:numId w:val="17"/>
        </w:numPr>
        <w:suppressAutoHyphens/>
        <w:jc w:val="both"/>
        <w:rPr>
          <w:rFonts w:ascii="Calibri" w:hAnsi="Calibri"/>
          <w:b/>
          <w:sz w:val="22"/>
          <w:szCs w:val="22"/>
        </w:rPr>
      </w:pPr>
      <w:r w:rsidRPr="000803AE">
        <w:rPr>
          <w:rFonts w:ascii="Calibri" w:hAnsi="Calibri"/>
          <w:b/>
          <w:i/>
          <w:sz w:val="22"/>
          <w:szCs w:val="22"/>
        </w:rPr>
        <w:t>Principle of Good Governance: A</w:t>
      </w:r>
      <w:r w:rsidRPr="000803AE">
        <w:rPr>
          <w:rFonts w:ascii="Calibri" w:hAnsi="Calibri" w:cs="FS Lola"/>
          <w:color w:val="000000"/>
          <w:sz w:val="22"/>
          <w:szCs w:val="22"/>
        </w:rPr>
        <w:t xml:space="preserve">   </w:t>
      </w:r>
      <w:r w:rsidRPr="000803AE">
        <w:rPr>
          <w:rFonts w:ascii="Calibri" w:hAnsi="Calibri" w:cs="FS Lola"/>
          <w:b/>
          <w:color w:val="000000"/>
          <w:sz w:val="22"/>
          <w:szCs w:val="22"/>
        </w:rPr>
        <w:t>Behaving with integrity, demonstrating strong commitment to ethical values, and respecting the rule of law.</w:t>
      </w:r>
    </w:p>
    <w:p w:rsidR="00D835CC" w:rsidRPr="00616F79" w:rsidRDefault="00D835CC" w:rsidP="00D835CC">
      <w:pPr>
        <w:ind w:left="720"/>
        <w:jc w:val="both"/>
        <w:rPr>
          <w:rFonts w:ascii="Calibri" w:hAnsi="Calibri"/>
          <w:sz w:val="10"/>
          <w:szCs w:val="10"/>
        </w:rPr>
      </w:pPr>
    </w:p>
    <w:p w:rsidR="00D835CC" w:rsidRPr="000803AE" w:rsidRDefault="00D835CC" w:rsidP="00D835CC">
      <w:pPr>
        <w:ind w:firstLine="720"/>
        <w:jc w:val="both"/>
        <w:rPr>
          <w:rFonts w:ascii="Calibri" w:hAnsi="Calibri"/>
          <w:sz w:val="22"/>
          <w:szCs w:val="22"/>
        </w:rPr>
      </w:pPr>
      <w:r w:rsidRPr="000803AE">
        <w:rPr>
          <w:rFonts w:ascii="Calibri" w:hAnsi="Calibri"/>
          <w:sz w:val="22"/>
          <w:szCs w:val="22"/>
        </w:rPr>
        <w:t>To achieve this, the Chief Constable has:</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Pr>
          <w:rFonts w:ascii="Calibri" w:hAnsi="Calibri"/>
          <w:sz w:val="22"/>
          <w:szCs w:val="22"/>
        </w:rPr>
        <w:t>e</w:t>
      </w:r>
      <w:r w:rsidRPr="000803AE">
        <w:rPr>
          <w:rFonts w:ascii="Calibri" w:hAnsi="Calibri"/>
          <w:sz w:val="22"/>
          <w:szCs w:val="22"/>
        </w:rPr>
        <w:t xml:space="preserve">nsured that officers and staff carry out their respective roles in a climate of openness, support and </w:t>
      </w:r>
      <w:r w:rsidRPr="00226D5E">
        <w:rPr>
          <w:rFonts w:ascii="Calibri" w:hAnsi="Calibri"/>
          <w:sz w:val="22"/>
          <w:szCs w:val="22"/>
        </w:rPr>
        <w:t>respect;</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developed standards of conduct and personal behaviour which are defined and communicated through appropriate codes of conduct and protocols and the policing</w:t>
      </w:r>
      <w:r w:rsidRPr="00226D5E">
        <w:rPr>
          <w:rFonts w:ascii="Calibri" w:hAnsi="Calibri"/>
          <w:color w:val="FF0000"/>
          <w:sz w:val="22"/>
          <w:szCs w:val="22"/>
        </w:rPr>
        <w:t xml:space="preserve"> </w:t>
      </w:r>
      <w:r w:rsidRPr="00226D5E">
        <w:rPr>
          <w:rFonts w:ascii="Calibri" w:hAnsi="Calibri"/>
          <w:sz w:val="22"/>
          <w:szCs w:val="22"/>
        </w:rPr>
        <w:t>Code of Ethics;</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communicated that all managers and supervisors at all levels of the Force should set a good example and challenge any behaviour that does not meet the Code of Ethics and to clearly communicate the Force’s values, standards, expectations and priorities;</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continued the Ethics Committee with an Independent Chair and Vice-chair to provide advice to the Force on ethical dilemmas raised by individuals or departments, with Information Management process in place to ensure policies and procedures are consistent and developed in consultation with subject matter experts including diversity and staff associations;</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in place arrangements for the reporting of all financial irregularities to senior managers and Section 151 officers via the Financial Regulations;</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 xml:space="preserve">ensured that an Equality, Diverity and Human Rights (EDHR) strategy is in place, overseen by the EDHR Board to link EDHR aims, objectives and outcomes with Force vision and priorities; </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continued to emphasise to staff the importance of crime data integrity, compliant with the national standards for crime recording, to ensure effective crime investigation and prevention (Her Majesty’s Inspectorate of Constabulary and Fire &amp; Rescue Services (HMICFRS) undertook an inspection of crime data integrity in Surrey Police</w:t>
      </w:r>
      <w:r w:rsidRPr="00226D5E">
        <w:rPr>
          <w:rStyle w:val="FootnoteReference"/>
          <w:rFonts w:ascii="Calibri" w:hAnsi="Calibri"/>
          <w:sz w:val="22"/>
          <w:szCs w:val="22"/>
        </w:rPr>
        <w:footnoteReference w:id="8"/>
      </w:r>
      <w:r w:rsidRPr="00226D5E">
        <w:rPr>
          <w:rFonts w:ascii="Calibri" w:hAnsi="Calibri"/>
          <w:sz w:val="22"/>
          <w:szCs w:val="22"/>
        </w:rPr>
        <w:t xml:space="preserve"> and assessed the Force as “Good”);</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ensured ethical application of Home Office Counting rules via the Strategic Crime and Incident Recording Group monitoring via the Data Quality Action Plan:</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ensured a policy on anti-fraud, bribery and corruption is in place (updated July 2018)</w:t>
      </w:r>
      <w:r w:rsidRPr="00226D5E">
        <w:rPr>
          <w:rStyle w:val="FootnoteReference"/>
          <w:rFonts w:ascii="Calibri" w:hAnsi="Calibri"/>
          <w:sz w:val="22"/>
          <w:szCs w:val="22"/>
        </w:rPr>
        <w:footnoteReference w:id="9"/>
      </w:r>
      <w:r w:rsidRPr="00226D5E">
        <w:rPr>
          <w:rFonts w:ascii="Calibri" w:hAnsi="Calibri"/>
          <w:sz w:val="22"/>
          <w:szCs w:val="22"/>
        </w:rPr>
        <w:t xml:space="preserve"> which clearly sets out the procedures to be operated and which is designed to encourage prevention, promote detection and identify a clear pathway for the investigation of fraudulent and/or corrupt practices or behaviour;</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ensured that the Force is compliant with all relevant anti money laundering legislation;</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ensured accessible,</w:t>
      </w:r>
      <w:r w:rsidRPr="00226D5E">
        <w:rPr>
          <w:rFonts w:ascii="Calibri" w:hAnsi="Calibri"/>
          <w:color w:val="FF0000"/>
          <w:sz w:val="22"/>
          <w:szCs w:val="22"/>
        </w:rPr>
        <w:t xml:space="preserve"> </w:t>
      </w:r>
      <w:r w:rsidRPr="00226D5E">
        <w:rPr>
          <w:rFonts w:ascii="Calibri" w:hAnsi="Calibri"/>
          <w:sz w:val="22"/>
          <w:szCs w:val="22"/>
        </w:rPr>
        <w:t>appropriate and long established whistle-blowing arrangements and processes in place and that these are regularly reviewed e.g. “Anonymous Contact” confidential and independent web based reporting system;</w:t>
      </w:r>
    </w:p>
    <w:p w:rsidR="00D835CC" w:rsidRPr="00226D5E" w:rsidRDefault="00D835CC" w:rsidP="00D835CC">
      <w:pPr>
        <w:numPr>
          <w:ilvl w:val="0"/>
          <w:numId w:val="2"/>
        </w:numPr>
        <w:tabs>
          <w:tab w:val="num" w:pos="1080"/>
        </w:tabs>
        <w:suppressAutoHyphens/>
        <w:ind w:left="1080"/>
        <w:jc w:val="both"/>
        <w:rPr>
          <w:rFonts w:ascii="Calibri" w:hAnsi="Calibri"/>
          <w:sz w:val="22"/>
          <w:szCs w:val="22"/>
          <w:lang w:eastAsia="en-GB"/>
        </w:rPr>
      </w:pPr>
      <w:r w:rsidRPr="00226D5E">
        <w:rPr>
          <w:rFonts w:ascii="Calibri" w:hAnsi="Calibri"/>
          <w:sz w:val="22"/>
          <w:szCs w:val="22"/>
          <w:lang w:eastAsia="en-GB"/>
        </w:rPr>
        <w:t>ensured that the requirements of the Policing and Crime Act 2017 relating to police conduct reforms  were implemented</w:t>
      </w:r>
      <w:r w:rsidRPr="00226D5E">
        <w:rPr>
          <w:rFonts w:ascii="Calibri" w:hAnsi="Calibri"/>
          <w:sz w:val="22"/>
          <w:szCs w:val="22"/>
        </w:rPr>
        <w:t xml:space="preserve"> (effective from February 1st 2020), establishing procedures for dealing with and investigating complaints which are in line with legal requirements and national guidelines;</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ensured that Surrey Police remains proactive in preventing and responding to cases involving “Abuse of Authority”, which includes raising awareness for staff, two new joint Surrey and Sussex policies are being developed in 2020 to give clear guidance on standards of sexual integrity expected entitled “Abuse of Authority for Sexual and Emotional Gain” and “Professional Boundaries and Appropriate Personal Relationships and Behaviours in the Workplace” to be launched with a bespoke NCALT training package;</w:t>
      </w:r>
    </w:p>
    <w:p w:rsidR="00D835CC" w:rsidRPr="00536617" w:rsidRDefault="00D835CC" w:rsidP="00D835CC">
      <w:pPr>
        <w:numPr>
          <w:ilvl w:val="0"/>
          <w:numId w:val="2"/>
        </w:numPr>
        <w:tabs>
          <w:tab w:val="num" w:pos="1080"/>
        </w:tabs>
        <w:suppressAutoHyphens/>
        <w:ind w:left="1080"/>
        <w:jc w:val="both"/>
        <w:rPr>
          <w:rFonts w:ascii="Calibri" w:hAnsi="Calibri"/>
          <w:sz w:val="22"/>
          <w:szCs w:val="22"/>
        </w:rPr>
      </w:pPr>
      <w:r>
        <w:rPr>
          <w:rFonts w:ascii="Calibri" w:hAnsi="Calibri"/>
          <w:sz w:val="22"/>
          <w:szCs w:val="22"/>
        </w:rPr>
        <w:t>e</w:t>
      </w:r>
      <w:r w:rsidRPr="000803AE">
        <w:rPr>
          <w:rFonts w:ascii="Calibri" w:hAnsi="Calibri"/>
          <w:sz w:val="22"/>
          <w:szCs w:val="22"/>
        </w:rPr>
        <w:t>nsured that officers and staff have easy reference to key information that relates to integrity accessible throu</w:t>
      </w:r>
      <w:r w:rsidRPr="00536617">
        <w:rPr>
          <w:rFonts w:ascii="Calibri" w:hAnsi="Calibri"/>
          <w:sz w:val="22"/>
          <w:szCs w:val="22"/>
        </w:rPr>
        <w:t>gh the Force intranet;</w:t>
      </w:r>
    </w:p>
    <w:p w:rsidR="00D835CC" w:rsidRPr="00536617" w:rsidRDefault="00D835CC" w:rsidP="00D835CC">
      <w:pPr>
        <w:numPr>
          <w:ilvl w:val="0"/>
          <w:numId w:val="2"/>
        </w:numPr>
        <w:tabs>
          <w:tab w:val="num" w:pos="1080"/>
        </w:tabs>
        <w:suppressAutoHyphens/>
        <w:ind w:left="1080"/>
        <w:jc w:val="both"/>
        <w:rPr>
          <w:rFonts w:ascii="Calibri" w:hAnsi="Calibri"/>
          <w:sz w:val="22"/>
          <w:szCs w:val="22"/>
        </w:rPr>
      </w:pPr>
      <w:r w:rsidRPr="00536617">
        <w:rPr>
          <w:rFonts w:ascii="Calibri" w:hAnsi="Calibri"/>
          <w:sz w:val="22"/>
          <w:szCs w:val="22"/>
        </w:rPr>
        <w:t>ensured that media engagement policy is in place relating to media relations, integrity and use of social media;</w:t>
      </w:r>
    </w:p>
    <w:p w:rsidR="00D835CC" w:rsidRPr="000803AE" w:rsidRDefault="00D835CC" w:rsidP="00D835CC">
      <w:pPr>
        <w:numPr>
          <w:ilvl w:val="0"/>
          <w:numId w:val="2"/>
        </w:numPr>
        <w:tabs>
          <w:tab w:val="num" w:pos="1080"/>
        </w:tabs>
        <w:suppressAutoHyphens/>
        <w:ind w:left="1080"/>
        <w:jc w:val="both"/>
        <w:rPr>
          <w:rFonts w:ascii="Calibri" w:hAnsi="Calibri"/>
          <w:sz w:val="22"/>
          <w:szCs w:val="22"/>
        </w:rPr>
      </w:pPr>
      <w:r>
        <w:rPr>
          <w:rFonts w:ascii="Calibri" w:hAnsi="Calibri"/>
          <w:sz w:val="22"/>
          <w:szCs w:val="22"/>
        </w:rPr>
        <w:t>ensured that staff and officers have been provided with and understand training in unconscious bias;</w:t>
      </w:r>
    </w:p>
    <w:p w:rsidR="00D835CC" w:rsidRDefault="00D835CC" w:rsidP="00D835CC">
      <w:pPr>
        <w:numPr>
          <w:ilvl w:val="0"/>
          <w:numId w:val="2"/>
        </w:numPr>
        <w:tabs>
          <w:tab w:val="num" w:pos="1080"/>
        </w:tabs>
        <w:suppressAutoHyphens/>
        <w:ind w:left="1080"/>
        <w:jc w:val="both"/>
        <w:rPr>
          <w:rFonts w:ascii="Calibri" w:hAnsi="Calibri"/>
          <w:sz w:val="22"/>
          <w:szCs w:val="22"/>
        </w:rPr>
      </w:pPr>
      <w:r>
        <w:rPr>
          <w:rFonts w:ascii="Calibri" w:hAnsi="Calibri"/>
          <w:sz w:val="22"/>
          <w:szCs w:val="22"/>
        </w:rPr>
        <w:t>r</w:t>
      </w:r>
      <w:r w:rsidRPr="000366A5">
        <w:rPr>
          <w:rFonts w:ascii="Calibri" w:hAnsi="Calibri"/>
          <w:sz w:val="22"/>
          <w:szCs w:val="22"/>
        </w:rPr>
        <w:t xml:space="preserve">egularly published chief </w:t>
      </w:r>
      <w:r w:rsidRPr="00226D5E">
        <w:rPr>
          <w:rFonts w:ascii="Calibri" w:hAnsi="Calibri"/>
          <w:sz w:val="22"/>
          <w:szCs w:val="22"/>
        </w:rPr>
        <w:t>officer expenses, gifts and hospitality (received and declined) and outside business interests of senior officers and staff with quarterly reports subject to oversight by Joint Audit Committee, Head of Professional Standards Department</w:t>
      </w:r>
      <w:r>
        <w:rPr>
          <w:rFonts w:ascii="Calibri" w:hAnsi="Calibri"/>
          <w:sz w:val="22"/>
          <w:szCs w:val="22"/>
        </w:rPr>
        <w:t xml:space="preserve"> and the PCC</w:t>
      </w:r>
      <w:r w:rsidRPr="000366A5">
        <w:rPr>
          <w:rFonts w:ascii="Calibri" w:hAnsi="Calibri"/>
          <w:sz w:val="22"/>
          <w:szCs w:val="22"/>
        </w:rPr>
        <w:t>;</w:t>
      </w:r>
    </w:p>
    <w:p w:rsidR="00D835CC" w:rsidRPr="004E4D99" w:rsidRDefault="00D835CC" w:rsidP="00D835CC">
      <w:pPr>
        <w:numPr>
          <w:ilvl w:val="0"/>
          <w:numId w:val="2"/>
        </w:numPr>
        <w:tabs>
          <w:tab w:val="num" w:pos="1080"/>
        </w:tabs>
        <w:suppressAutoHyphens/>
        <w:ind w:left="1080"/>
        <w:jc w:val="both"/>
        <w:rPr>
          <w:rFonts w:ascii="Calibri" w:hAnsi="Calibri"/>
          <w:sz w:val="22"/>
          <w:szCs w:val="22"/>
        </w:rPr>
      </w:pPr>
      <w:r>
        <w:rPr>
          <w:rFonts w:ascii="Calibri" w:hAnsi="Calibri"/>
          <w:sz w:val="22"/>
          <w:szCs w:val="22"/>
        </w:rPr>
        <w:t>e</w:t>
      </w:r>
      <w:r w:rsidRPr="000366A5">
        <w:rPr>
          <w:rFonts w:ascii="Calibri" w:hAnsi="Calibri"/>
          <w:sz w:val="22"/>
          <w:szCs w:val="22"/>
        </w:rPr>
        <w:t xml:space="preserve">nsured there is a Force policy regarding use of force, and that it is compliant with Independent </w:t>
      </w:r>
      <w:r>
        <w:rPr>
          <w:rFonts w:ascii="Calibri" w:hAnsi="Calibri"/>
          <w:sz w:val="22"/>
          <w:szCs w:val="22"/>
        </w:rPr>
        <w:t xml:space="preserve">Office of </w:t>
      </w:r>
      <w:r w:rsidRPr="00226D5E">
        <w:rPr>
          <w:rFonts w:ascii="Calibri" w:hAnsi="Calibri"/>
          <w:sz w:val="22"/>
          <w:szCs w:val="22"/>
        </w:rPr>
        <w:t>Police Conduct (IOPC), (formerly the Independent Police Complaints Commission), report recommendations</w:t>
      </w:r>
      <w:r w:rsidRPr="00226D5E">
        <w:rPr>
          <w:rStyle w:val="FootnoteReference"/>
          <w:rFonts w:ascii="Calibri" w:hAnsi="Calibri"/>
          <w:sz w:val="22"/>
          <w:szCs w:val="22"/>
        </w:rPr>
        <w:footnoteReference w:id="10"/>
      </w:r>
      <w:r w:rsidRPr="00226D5E">
        <w:rPr>
          <w:rFonts w:ascii="Calibri" w:hAnsi="Calibri"/>
          <w:sz w:val="22"/>
          <w:szCs w:val="22"/>
        </w:rPr>
        <w:t xml:space="preserve">, which </w:t>
      </w:r>
      <w:r w:rsidRPr="00226D5E">
        <w:rPr>
          <w:rFonts w:ascii="Calibri" w:hAnsi="Calibri" w:cs="Calibri"/>
          <w:sz w:val="22"/>
          <w:szCs w:val="22"/>
          <w:lang w:eastAsia="en-GB"/>
        </w:rPr>
        <w:t>includes the responsibility to fully document at the earliest opportunity the extent and metho</w:t>
      </w:r>
      <w:r w:rsidRPr="000366A5">
        <w:rPr>
          <w:rFonts w:ascii="Calibri" w:hAnsi="Calibri" w:cs="Calibri"/>
          <w:sz w:val="22"/>
          <w:szCs w:val="22"/>
          <w:lang w:eastAsia="en-GB"/>
        </w:rPr>
        <w:t>d of force used, and the rationale for that force</w:t>
      </w:r>
      <w:r>
        <w:rPr>
          <w:rFonts w:ascii="Calibri" w:hAnsi="Calibri" w:cs="Calibri"/>
          <w:sz w:val="22"/>
          <w:szCs w:val="22"/>
          <w:lang w:eastAsia="en-GB"/>
        </w:rPr>
        <w:t>;</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 xml:space="preserve">considers divisional and IOPC reports published by the Professional Standards Department detailing results and lessons learnt from complaints and investigations to provide further guidance to all employees; </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ensured that the Force has met its equality and diversity obligations as set out in the Equality Act 2010 and the Public Sector Equality Duty 2011;</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a force Criminal Justice team responsible for keeping the Force up to date with changes in national criminal justice and legislation, with the Force Policy and Procedure team overseeing appropriate policies.</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continued to develop the work of the Legitimacy and Ethics Board (formed jointly with Sussex Police in 2017), to ensure that both forces are compliant with relevant Authorised Professional Practice and forces’ policies and to improve the scrutiny and governance arrangements in relation to key aspects of policing in Surrey and Sussex, including Stop and Search, Use of Force and the use of body worn video.</w:t>
      </w:r>
    </w:p>
    <w:p w:rsidR="00D835CC" w:rsidRPr="00226D5E" w:rsidRDefault="00D835CC" w:rsidP="00D835CC">
      <w:pPr>
        <w:ind w:left="1080"/>
        <w:jc w:val="both"/>
        <w:rPr>
          <w:rFonts w:ascii="Calibri" w:hAnsi="Calibri"/>
          <w:sz w:val="22"/>
          <w:szCs w:val="22"/>
        </w:rPr>
      </w:pPr>
    </w:p>
    <w:p w:rsidR="00D835CC" w:rsidRPr="00226D5E" w:rsidRDefault="00D835CC" w:rsidP="00D835CC">
      <w:pPr>
        <w:ind w:left="720"/>
        <w:jc w:val="both"/>
        <w:rPr>
          <w:rFonts w:ascii="Calibri" w:hAnsi="Calibri"/>
          <w:sz w:val="22"/>
          <w:szCs w:val="22"/>
        </w:rPr>
      </w:pPr>
      <w:r w:rsidRPr="00226D5E">
        <w:rPr>
          <w:rFonts w:ascii="Calibri" w:hAnsi="Calibri"/>
          <w:sz w:val="22"/>
          <w:szCs w:val="22"/>
        </w:rPr>
        <w:t xml:space="preserve">In 2018-19 HMICFRS assessed Surrey Police through the PEEL (police effectiveness, efficiency and legitimacy) programme of inspections and assessed Surrey as “Good” for Legitimacy, confirming that </w:t>
      </w:r>
      <w:r w:rsidRPr="00226D5E">
        <w:rPr>
          <w:rFonts w:ascii="Calibri" w:hAnsi="Calibri"/>
          <w:color w:val="282828"/>
          <w:sz w:val="22"/>
          <w:szCs w:val="22"/>
        </w:rPr>
        <w:t>Surrey Police works hard to promote a no-blame, ethical, learning culture</w:t>
      </w:r>
      <w:r w:rsidRPr="00226D5E">
        <w:rPr>
          <w:rStyle w:val="FootnoteReference"/>
          <w:rFonts w:ascii="Calibri" w:hAnsi="Calibri"/>
          <w:sz w:val="22"/>
          <w:szCs w:val="22"/>
        </w:rPr>
        <w:footnoteReference w:id="11"/>
      </w:r>
      <w:r w:rsidRPr="00226D5E">
        <w:rPr>
          <w:rFonts w:ascii="Calibri" w:hAnsi="Calibri"/>
          <w:sz w:val="22"/>
          <w:szCs w:val="22"/>
        </w:rPr>
        <w:t>.</w:t>
      </w:r>
    </w:p>
    <w:p w:rsidR="00D835CC" w:rsidRPr="00226D5E" w:rsidRDefault="00D835CC" w:rsidP="00D835CC">
      <w:pPr>
        <w:ind w:left="720"/>
        <w:jc w:val="both"/>
        <w:rPr>
          <w:rFonts w:ascii="Calibri" w:hAnsi="Calibri"/>
          <w:sz w:val="22"/>
          <w:szCs w:val="22"/>
        </w:rPr>
      </w:pPr>
    </w:p>
    <w:p w:rsidR="00D835CC" w:rsidRPr="00226D5E" w:rsidRDefault="00D835CC" w:rsidP="00D835CC">
      <w:pPr>
        <w:numPr>
          <w:ilvl w:val="1"/>
          <w:numId w:val="17"/>
        </w:numPr>
        <w:suppressAutoHyphens/>
        <w:jc w:val="both"/>
        <w:rPr>
          <w:rFonts w:ascii="Calibri" w:hAnsi="Calibri"/>
          <w:b/>
          <w:sz w:val="22"/>
          <w:szCs w:val="22"/>
        </w:rPr>
      </w:pPr>
      <w:r w:rsidRPr="00226D5E">
        <w:rPr>
          <w:rFonts w:ascii="Calibri" w:hAnsi="Calibri"/>
          <w:b/>
          <w:i/>
          <w:sz w:val="22"/>
          <w:szCs w:val="22"/>
        </w:rPr>
        <w:t>Principle of Good Governance: B</w:t>
      </w:r>
      <w:r w:rsidRPr="00226D5E">
        <w:rPr>
          <w:rFonts w:ascii="Calibri" w:hAnsi="Calibri"/>
          <w:i/>
          <w:sz w:val="22"/>
          <w:szCs w:val="22"/>
        </w:rPr>
        <w:t xml:space="preserve"> </w:t>
      </w:r>
      <w:r w:rsidRPr="00226D5E">
        <w:rPr>
          <w:rFonts w:ascii="Calibri" w:hAnsi="Calibri" w:cs="FS Lola"/>
          <w:b/>
          <w:color w:val="000000"/>
          <w:sz w:val="22"/>
          <w:szCs w:val="22"/>
        </w:rPr>
        <w:t>Ensuring openness and comprehensive stakeholder engagement.</w:t>
      </w:r>
    </w:p>
    <w:p w:rsidR="00D835CC" w:rsidRPr="00226D5E" w:rsidRDefault="00D835CC" w:rsidP="00D835CC">
      <w:pPr>
        <w:ind w:left="720"/>
        <w:jc w:val="both"/>
        <w:rPr>
          <w:rFonts w:ascii="Calibri" w:hAnsi="Calibri"/>
          <w:b/>
          <w:i/>
          <w:sz w:val="10"/>
          <w:szCs w:val="10"/>
        </w:rPr>
      </w:pPr>
    </w:p>
    <w:p w:rsidR="00D835CC" w:rsidRPr="00226D5E" w:rsidRDefault="00D835CC" w:rsidP="00D835CC">
      <w:pPr>
        <w:ind w:firstLine="720"/>
        <w:jc w:val="both"/>
        <w:rPr>
          <w:rFonts w:ascii="Calibri" w:hAnsi="Calibri"/>
          <w:sz w:val="22"/>
          <w:szCs w:val="22"/>
        </w:rPr>
      </w:pPr>
      <w:r w:rsidRPr="00226D5E">
        <w:rPr>
          <w:rFonts w:ascii="Calibri" w:hAnsi="Calibri"/>
          <w:sz w:val="22"/>
          <w:szCs w:val="22"/>
        </w:rPr>
        <w:t>To achieve this, the Chief Constable has:</w:t>
      </w:r>
    </w:p>
    <w:p w:rsidR="00D835CC" w:rsidRPr="00226D5E" w:rsidRDefault="00D835CC" w:rsidP="00C5423F">
      <w:pPr>
        <w:numPr>
          <w:ilvl w:val="0"/>
          <w:numId w:val="43"/>
        </w:numPr>
        <w:suppressAutoHyphens/>
        <w:jc w:val="both"/>
        <w:rPr>
          <w:rFonts w:ascii="Calibri" w:hAnsi="Calibri"/>
          <w:sz w:val="22"/>
          <w:szCs w:val="22"/>
        </w:rPr>
      </w:pPr>
      <w:r w:rsidRPr="00226D5E">
        <w:rPr>
          <w:rFonts w:ascii="Calibri" w:hAnsi="Calibri"/>
          <w:sz w:val="22"/>
          <w:szCs w:val="22"/>
        </w:rPr>
        <w:t>meetings with the PCC every 6 weeks for alternate public webcast, and private scrutiny, meetings to report on progress against the PCC’s Police and Crime Plan;</w:t>
      </w:r>
    </w:p>
    <w:p w:rsidR="00D835CC" w:rsidRPr="00226D5E" w:rsidRDefault="00D835CC" w:rsidP="00C5423F">
      <w:pPr>
        <w:numPr>
          <w:ilvl w:val="0"/>
          <w:numId w:val="43"/>
        </w:numPr>
        <w:suppressAutoHyphens/>
        <w:jc w:val="both"/>
        <w:rPr>
          <w:rFonts w:ascii="Calibri" w:hAnsi="Calibri"/>
          <w:sz w:val="22"/>
          <w:szCs w:val="22"/>
        </w:rPr>
      </w:pPr>
      <w:r w:rsidRPr="00226D5E">
        <w:rPr>
          <w:rFonts w:ascii="Calibri" w:hAnsi="Calibri"/>
          <w:sz w:val="22"/>
          <w:szCs w:val="22"/>
        </w:rPr>
        <w:t>ensured that Force engagement with the public takes place on many levels, from daily street contact and phone calls through to contact via social media (Facebook, Twitter etc.), on line interaction via the force website and formal surveys in relation to service priorities;</w:t>
      </w:r>
    </w:p>
    <w:p w:rsidR="00D835CC" w:rsidRPr="00226D5E" w:rsidRDefault="00D835CC" w:rsidP="00C5423F">
      <w:pPr>
        <w:numPr>
          <w:ilvl w:val="0"/>
          <w:numId w:val="44"/>
        </w:numPr>
        <w:suppressAutoHyphens/>
        <w:jc w:val="both"/>
        <w:rPr>
          <w:rFonts w:ascii="Calibri" w:hAnsi="Calibri"/>
          <w:sz w:val="22"/>
          <w:szCs w:val="22"/>
        </w:rPr>
      </w:pPr>
      <w:r w:rsidRPr="00226D5E">
        <w:rPr>
          <w:rFonts w:ascii="Calibri" w:hAnsi="Calibri"/>
          <w:sz w:val="22"/>
          <w:szCs w:val="22"/>
        </w:rPr>
        <w:t>encouraged the public to sign up to ‘In the Know’ receipt of regular updates from Surrey Police, use of ‘In the Know’ data has increased to 96% of the 13,000+ contactable users within that database;</w:t>
      </w:r>
    </w:p>
    <w:p w:rsidR="00D835CC" w:rsidRPr="00226D5E" w:rsidRDefault="00D835CC" w:rsidP="00C5423F">
      <w:pPr>
        <w:numPr>
          <w:ilvl w:val="0"/>
          <w:numId w:val="44"/>
        </w:numPr>
        <w:suppressAutoHyphens/>
        <w:jc w:val="both"/>
        <w:rPr>
          <w:rFonts w:ascii="Calibri" w:hAnsi="Calibri"/>
          <w:sz w:val="22"/>
          <w:szCs w:val="22"/>
        </w:rPr>
      </w:pPr>
      <w:r w:rsidRPr="00226D5E">
        <w:rPr>
          <w:rFonts w:ascii="Calibri" w:hAnsi="Calibri"/>
          <w:sz w:val="22"/>
          <w:szCs w:val="22"/>
        </w:rPr>
        <w:t>ensured use of social media accounts at a corporate and local neighbourhood level to provide updates, crime prevention advice and opportunities for engagement with all key news stories, including proactive transparency on negative issues involving the force such as officer misconduct, with monthly review of public information effectiveness to promote improvement, and social media training delivered in year to frontline staff including the Contact Centre;</w:t>
      </w:r>
    </w:p>
    <w:p w:rsidR="00D835CC" w:rsidRPr="00226D5E" w:rsidRDefault="00D835CC" w:rsidP="00C5423F">
      <w:pPr>
        <w:numPr>
          <w:ilvl w:val="0"/>
          <w:numId w:val="44"/>
        </w:numPr>
        <w:suppressAutoHyphens/>
        <w:jc w:val="both"/>
        <w:rPr>
          <w:rFonts w:ascii="Calibri" w:hAnsi="Calibri"/>
          <w:sz w:val="22"/>
          <w:szCs w:val="22"/>
        </w:rPr>
      </w:pPr>
      <w:r w:rsidRPr="00226D5E">
        <w:rPr>
          <w:rFonts w:ascii="Calibri" w:hAnsi="Calibri"/>
          <w:sz w:val="22"/>
          <w:szCs w:val="22"/>
        </w:rPr>
        <w:t>held regular meetings with local communities offering local people a chance to be heard, to discuss issues that affect them, to agree local action to tackle these issues and agree priorities;</w:t>
      </w:r>
    </w:p>
    <w:p w:rsidR="00D835CC" w:rsidRPr="00226D5E" w:rsidRDefault="00D835CC" w:rsidP="00C5423F">
      <w:pPr>
        <w:numPr>
          <w:ilvl w:val="0"/>
          <w:numId w:val="44"/>
        </w:numPr>
        <w:suppressAutoHyphens/>
        <w:jc w:val="both"/>
        <w:rPr>
          <w:rFonts w:ascii="Calibri" w:hAnsi="Calibri"/>
          <w:sz w:val="22"/>
          <w:szCs w:val="22"/>
        </w:rPr>
      </w:pPr>
      <w:r w:rsidRPr="00226D5E">
        <w:rPr>
          <w:rFonts w:ascii="Calibri" w:hAnsi="Calibri"/>
          <w:sz w:val="22"/>
          <w:szCs w:val="22"/>
        </w:rPr>
        <w:t>worked with partner organisations - through community safety partnerships and a range of others to tackle crime, disorder, anti-social behaviour and to reduce re-offending;</w:t>
      </w:r>
    </w:p>
    <w:p w:rsidR="00D835CC" w:rsidRPr="00226D5E" w:rsidRDefault="00D835CC" w:rsidP="00C5423F">
      <w:pPr>
        <w:numPr>
          <w:ilvl w:val="0"/>
          <w:numId w:val="44"/>
        </w:numPr>
        <w:suppressAutoHyphens/>
        <w:jc w:val="both"/>
        <w:rPr>
          <w:rFonts w:ascii="Calibri" w:hAnsi="Calibri"/>
          <w:sz w:val="22"/>
          <w:szCs w:val="22"/>
        </w:rPr>
      </w:pPr>
      <w:r w:rsidRPr="00226D5E">
        <w:rPr>
          <w:rFonts w:ascii="Calibri" w:hAnsi="Calibri"/>
          <w:sz w:val="22"/>
          <w:szCs w:val="22"/>
        </w:rPr>
        <w:t>engaged with Independent Advisory Groups, whose membership reflect different sections of the community, to encourage the active involvement of people from diverse groups;</w:t>
      </w:r>
    </w:p>
    <w:p w:rsidR="00D835CC" w:rsidRPr="00226D5E" w:rsidRDefault="00D835CC" w:rsidP="00C5423F">
      <w:pPr>
        <w:numPr>
          <w:ilvl w:val="0"/>
          <w:numId w:val="44"/>
        </w:numPr>
        <w:suppressAutoHyphens/>
        <w:jc w:val="both"/>
        <w:rPr>
          <w:rFonts w:ascii="Calibri" w:hAnsi="Calibri"/>
          <w:sz w:val="22"/>
          <w:szCs w:val="22"/>
        </w:rPr>
      </w:pPr>
      <w:r w:rsidRPr="00226D5E">
        <w:rPr>
          <w:rFonts w:ascii="Calibri" w:hAnsi="Calibri"/>
          <w:sz w:val="22"/>
          <w:szCs w:val="22"/>
        </w:rPr>
        <w:t>maintained Surrey Police information sharing agreements with partners and other organisations to manage information, working closely with County, Borough and District Councils via a centralised communications group which meets quarterly to share key messages.</w:t>
      </w:r>
    </w:p>
    <w:p w:rsidR="00D835CC" w:rsidRPr="00226D5E" w:rsidRDefault="00D835CC" w:rsidP="00C5423F">
      <w:pPr>
        <w:numPr>
          <w:ilvl w:val="0"/>
          <w:numId w:val="44"/>
        </w:numPr>
        <w:suppressAutoHyphens/>
        <w:jc w:val="both"/>
        <w:rPr>
          <w:rFonts w:ascii="Calibri" w:hAnsi="Calibri"/>
          <w:sz w:val="22"/>
          <w:szCs w:val="22"/>
        </w:rPr>
      </w:pPr>
      <w:r w:rsidRPr="00226D5E">
        <w:rPr>
          <w:rFonts w:ascii="Calibri" w:hAnsi="Calibri"/>
          <w:sz w:val="22"/>
          <w:szCs w:val="22"/>
        </w:rPr>
        <w:t>ensured that user satisfaction surveys across a range of victim groups (beyond the statutory requirement) are conducted to a high standard, providing the Force with information about the quality of service these groups have received from the police service e.g. quarterly neighbourhood survey, monthly Victim Satisfaction surveys for Anti-Social Behaviour and Crime, and ad hoc public surveys via social media;</w:t>
      </w:r>
    </w:p>
    <w:p w:rsidR="00D835CC" w:rsidRPr="00226D5E" w:rsidRDefault="00D835CC" w:rsidP="00C5423F">
      <w:pPr>
        <w:numPr>
          <w:ilvl w:val="0"/>
          <w:numId w:val="44"/>
        </w:numPr>
        <w:suppressAutoHyphens/>
        <w:jc w:val="both"/>
        <w:rPr>
          <w:rFonts w:ascii="Calibri" w:hAnsi="Calibri"/>
          <w:sz w:val="22"/>
          <w:szCs w:val="22"/>
        </w:rPr>
      </w:pPr>
      <w:r w:rsidRPr="00226D5E">
        <w:rPr>
          <w:rFonts w:ascii="Calibri" w:hAnsi="Calibri"/>
          <w:sz w:val="22"/>
          <w:szCs w:val="22"/>
        </w:rPr>
        <w:t>in place an engagement guide explaining to stakeholders and interested members of the public what they can expect from the force, supported by local engagement plans, policies and procedures;</w:t>
      </w:r>
    </w:p>
    <w:p w:rsidR="00D835CC" w:rsidRPr="00226D5E" w:rsidRDefault="00D835CC" w:rsidP="00C5423F">
      <w:pPr>
        <w:numPr>
          <w:ilvl w:val="0"/>
          <w:numId w:val="44"/>
        </w:numPr>
        <w:suppressAutoHyphens/>
        <w:jc w:val="both"/>
        <w:rPr>
          <w:rFonts w:ascii="Calibri" w:hAnsi="Calibri"/>
          <w:sz w:val="22"/>
          <w:szCs w:val="22"/>
        </w:rPr>
      </w:pPr>
      <w:r w:rsidRPr="00226D5E">
        <w:rPr>
          <w:rFonts w:ascii="Calibri" w:hAnsi="Calibri"/>
          <w:sz w:val="22"/>
          <w:szCs w:val="22"/>
        </w:rPr>
        <w:t>ensured that the Surrey Police website was further developed having joined the national initiative “Single On-line Home”,  which offers an enhanced self-service feature for the public, greater consistency of advice and guidance and an improved user experience;</w:t>
      </w:r>
    </w:p>
    <w:p w:rsidR="00D835CC" w:rsidRPr="00226D5E" w:rsidRDefault="00D835CC" w:rsidP="00C5423F">
      <w:pPr>
        <w:numPr>
          <w:ilvl w:val="0"/>
          <w:numId w:val="44"/>
        </w:numPr>
        <w:suppressAutoHyphens/>
        <w:jc w:val="both"/>
        <w:rPr>
          <w:rFonts w:ascii="Calibri" w:hAnsi="Calibri"/>
          <w:sz w:val="22"/>
          <w:szCs w:val="22"/>
        </w:rPr>
      </w:pPr>
      <w:r w:rsidRPr="00226D5E">
        <w:rPr>
          <w:rFonts w:ascii="Calibri" w:hAnsi="Calibri"/>
          <w:sz w:val="22"/>
          <w:szCs w:val="22"/>
        </w:rPr>
        <w:t>ensured there is an up to date Freedom of information Act 2000 publication scheme;</w:t>
      </w:r>
    </w:p>
    <w:p w:rsidR="00D835CC" w:rsidRPr="00F91D3B" w:rsidRDefault="00D835CC" w:rsidP="00D835CC">
      <w:pPr>
        <w:ind w:left="1080"/>
        <w:jc w:val="both"/>
        <w:rPr>
          <w:rFonts w:ascii="Calibri" w:hAnsi="Calibri"/>
          <w:sz w:val="22"/>
          <w:szCs w:val="22"/>
        </w:rPr>
      </w:pPr>
    </w:p>
    <w:p w:rsidR="00D835CC" w:rsidRPr="000803AE" w:rsidRDefault="00D835CC" w:rsidP="00D835CC">
      <w:pPr>
        <w:numPr>
          <w:ilvl w:val="1"/>
          <w:numId w:val="17"/>
        </w:numPr>
        <w:suppressAutoHyphens/>
        <w:jc w:val="both"/>
        <w:rPr>
          <w:rFonts w:ascii="Calibri" w:hAnsi="Calibri"/>
          <w:b/>
          <w:sz w:val="22"/>
          <w:szCs w:val="22"/>
        </w:rPr>
      </w:pPr>
      <w:r w:rsidRPr="000803AE">
        <w:rPr>
          <w:rFonts w:ascii="Calibri" w:hAnsi="Calibri"/>
          <w:b/>
          <w:i/>
          <w:sz w:val="22"/>
          <w:szCs w:val="22"/>
        </w:rPr>
        <w:t xml:space="preserve">Principle of Good Governance: C </w:t>
      </w:r>
      <w:r w:rsidRPr="000803AE">
        <w:rPr>
          <w:rFonts w:ascii="Calibri" w:hAnsi="Calibri" w:cs="FS Lola"/>
          <w:b/>
          <w:color w:val="000000"/>
          <w:sz w:val="22"/>
          <w:szCs w:val="22"/>
        </w:rPr>
        <w:t>Defining outcomes in terms of sustainable economic, social and environmental benefits.</w:t>
      </w:r>
    </w:p>
    <w:p w:rsidR="00D835CC" w:rsidRPr="00616F79" w:rsidRDefault="00D835CC" w:rsidP="00D835CC">
      <w:pPr>
        <w:ind w:left="720"/>
        <w:jc w:val="both"/>
        <w:rPr>
          <w:rFonts w:ascii="Calibri" w:hAnsi="Calibri"/>
          <w:b/>
          <w:i/>
          <w:sz w:val="10"/>
          <w:szCs w:val="10"/>
        </w:rPr>
      </w:pPr>
    </w:p>
    <w:p w:rsidR="00D835CC" w:rsidRDefault="00D835CC" w:rsidP="00D835CC">
      <w:pPr>
        <w:ind w:firstLine="720"/>
        <w:jc w:val="both"/>
        <w:rPr>
          <w:rFonts w:ascii="Calibri" w:hAnsi="Calibri"/>
          <w:sz w:val="22"/>
          <w:szCs w:val="22"/>
        </w:rPr>
      </w:pPr>
      <w:r w:rsidRPr="00D30ED5">
        <w:rPr>
          <w:rFonts w:ascii="Calibri" w:hAnsi="Calibri"/>
          <w:sz w:val="22"/>
          <w:szCs w:val="22"/>
        </w:rPr>
        <w:t>To achieve this, the Chief Constable has:</w:t>
      </w:r>
    </w:p>
    <w:p w:rsidR="00D835CC" w:rsidRPr="00C715C8" w:rsidRDefault="00D835CC" w:rsidP="00D835CC">
      <w:pPr>
        <w:numPr>
          <w:ilvl w:val="0"/>
          <w:numId w:val="16"/>
        </w:numPr>
        <w:suppressAutoHyphens/>
        <w:jc w:val="both"/>
        <w:rPr>
          <w:rFonts w:ascii="Calibri" w:hAnsi="Calibri"/>
          <w:sz w:val="22"/>
          <w:szCs w:val="22"/>
        </w:rPr>
      </w:pPr>
      <w:r>
        <w:rPr>
          <w:rFonts w:ascii="Calibri" w:hAnsi="Calibri"/>
          <w:sz w:val="22"/>
          <w:szCs w:val="22"/>
        </w:rPr>
        <w:t xml:space="preserve">A Chief Constable’s ‘Plan on a Page’ sets out the force </w:t>
      </w:r>
      <w:r w:rsidRPr="009F41A8">
        <w:rPr>
          <w:rFonts w:ascii="Calibri" w:hAnsi="Calibri"/>
          <w:sz w:val="22"/>
          <w:szCs w:val="22"/>
        </w:rPr>
        <w:t xml:space="preserve">vision and purpose in accordance with the </w:t>
      </w:r>
      <w:r w:rsidRPr="00C715C8">
        <w:rPr>
          <w:rFonts w:ascii="Calibri" w:hAnsi="Calibri"/>
          <w:sz w:val="22"/>
          <w:szCs w:val="22"/>
        </w:rPr>
        <w:t>PCC’s Police and Crime Plan</w:t>
      </w:r>
      <w:r w:rsidRPr="00C715C8">
        <w:rPr>
          <w:rStyle w:val="FootnoteReference"/>
          <w:rFonts w:ascii="Calibri" w:hAnsi="Calibri"/>
          <w:sz w:val="22"/>
          <w:szCs w:val="22"/>
        </w:rPr>
        <w:footnoteReference w:id="12"/>
      </w:r>
      <w:r w:rsidRPr="00C715C8">
        <w:rPr>
          <w:rFonts w:ascii="Calibri" w:hAnsi="Calibri"/>
          <w:sz w:val="22"/>
          <w:szCs w:val="22"/>
        </w:rPr>
        <w:t xml:space="preserve"> and the Surrey Police Business Plan 2017-2025</w:t>
      </w:r>
      <w:r w:rsidRPr="00C715C8">
        <w:rPr>
          <w:rStyle w:val="FootnoteReference"/>
          <w:rFonts w:ascii="Calibri" w:hAnsi="Calibri"/>
          <w:sz w:val="22"/>
          <w:szCs w:val="22"/>
        </w:rPr>
        <w:footnoteReference w:id="13"/>
      </w:r>
      <w:r w:rsidRPr="00C715C8">
        <w:rPr>
          <w:rFonts w:ascii="Calibri" w:hAnsi="Calibri"/>
          <w:sz w:val="22"/>
          <w:szCs w:val="22"/>
        </w:rPr>
        <w:t>;</w:t>
      </w:r>
    </w:p>
    <w:p w:rsidR="00D835CC" w:rsidRPr="00EF609C" w:rsidRDefault="00D835CC" w:rsidP="00D835CC">
      <w:pPr>
        <w:numPr>
          <w:ilvl w:val="0"/>
          <w:numId w:val="16"/>
        </w:numPr>
        <w:suppressAutoHyphens/>
        <w:jc w:val="both"/>
        <w:rPr>
          <w:rFonts w:ascii="Calibri" w:hAnsi="Calibri"/>
          <w:sz w:val="22"/>
          <w:szCs w:val="22"/>
        </w:rPr>
      </w:pPr>
      <w:r w:rsidRPr="00C715C8">
        <w:rPr>
          <w:rFonts w:ascii="Calibri" w:hAnsi="Calibri"/>
          <w:sz w:val="22"/>
          <w:szCs w:val="22"/>
        </w:rPr>
        <w:t>published a Force Management Statement</w:t>
      </w:r>
      <w:r w:rsidRPr="00C715C8">
        <w:rPr>
          <w:rStyle w:val="FootnoteReference"/>
          <w:rFonts w:ascii="Calibri" w:hAnsi="Calibri"/>
          <w:sz w:val="22"/>
          <w:szCs w:val="22"/>
        </w:rPr>
        <w:footnoteReference w:id="14"/>
      </w:r>
      <w:r w:rsidRPr="00C715C8">
        <w:rPr>
          <w:rFonts w:ascii="Calibri" w:hAnsi="Calibri"/>
          <w:sz w:val="22"/>
          <w:szCs w:val="22"/>
        </w:rPr>
        <w:t xml:space="preserve"> detailing demand for police services and Surrey Police resourcing to meet these demands, together</w:t>
      </w:r>
      <w:r w:rsidRPr="00EF609C">
        <w:rPr>
          <w:rFonts w:ascii="Calibri" w:hAnsi="Calibri"/>
          <w:sz w:val="22"/>
          <w:szCs w:val="22"/>
        </w:rPr>
        <w:t xml:space="preserve"> with </w:t>
      </w:r>
      <w:r>
        <w:rPr>
          <w:rFonts w:ascii="Calibri" w:hAnsi="Calibri"/>
          <w:sz w:val="22"/>
          <w:szCs w:val="22"/>
        </w:rPr>
        <w:t>details of</w:t>
      </w:r>
      <w:r w:rsidRPr="00EF609C">
        <w:rPr>
          <w:rFonts w:ascii="Calibri" w:hAnsi="Calibri"/>
          <w:sz w:val="22"/>
          <w:szCs w:val="22"/>
        </w:rPr>
        <w:t xml:space="preserve"> </w:t>
      </w:r>
      <w:r>
        <w:rPr>
          <w:rFonts w:ascii="Calibri" w:hAnsi="Calibri"/>
          <w:sz w:val="22"/>
          <w:szCs w:val="22"/>
        </w:rPr>
        <w:t xml:space="preserve">identified </w:t>
      </w:r>
      <w:r w:rsidRPr="00EF609C">
        <w:rPr>
          <w:rFonts w:ascii="Calibri" w:hAnsi="Calibri"/>
          <w:sz w:val="22"/>
          <w:szCs w:val="22"/>
        </w:rPr>
        <w:t>areas to be addressed through investment;</w:t>
      </w:r>
    </w:p>
    <w:p w:rsidR="00D835CC" w:rsidRDefault="00D835CC" w:rsidP="00D835CC">
      <w:pPr>
        <w:numPr>
          <w:ilvl w:val="0"/>
          <w:numId w:val="16"/>
        </w:numPr>
        <w:suppressAutoHyphens/>
        <w:jc w:val="both"/>
        <w:rPr>
          <w:rFonts w:ascii="Calibri" w:hAnsi="Calibri"/>
          <w:sz w:val="22"/>
          <w:szCs w:val="22"/>
        </w:rPr>
      </w:pPr>
      <w:r w:rsidRPr="00C715C8">
        <w:rPr>
          <w:rFonts w:ascii="Calibri" w:hAnsi="Calibri"/>
          <w:sz w:val="22"/>
          <w:szCs w:val="22"/>
        </w:rPr>
        <w:t>a</w:t>
      </w:r>
      <w:r>
        <w:rPr>
          <w:rFonts w:ascii="Calibri" w:hAnsi="Calibri"/>
          <w:sz w:val="22"/>
          <w:szCs w:val="22"/>
        </w:rPr>
        <w:t xml:space="preserve"> five year</w:t>
      </w:r>
      <w:r w:rsidRPr="00C715C8">
        <w:rPr>
          <w:rFonts w:ascii="Calibri" w:hAnsi="Calibri"/>
          <w:sz w:val="22"/>
          <w:szCs w:val="22"/>
        </w:rPr>
        <w:t xml:space="preserve"> Medium Term Financial Plan</w:t>
      </w:r>
      <w:r>
        <w:rPr>
          <w:rFonts w:ascii="Calibri" w:hAnsi="Calibri"/>
          <w:sz w:val="22"/>
          <w:szCs w:val="22"/>
        </w:rPr>
        <w:t xml:space="preserve"> which is regularly reviewed and</w:t>
      </w:r>
      <w:r w:rsidRPr="00C715C8">
        <w:rPr>
          <w:rFonts w:ascii="Calibri" w:hAnsi="Calibri"/>
          <w:sz w:val="22"/>
          <w:szCs w:val="22"/>
        </w:rPr>
        <w:t xml:space="preserve"> </w:t>
      </w:r>
      <w:r w:rsidRPr="000803AE">
        <w:rPr>
          <w:rFonts w:ascii="Calibri" w:hAnsi="Calibri"/>
          <w:sz w:val="22"/>
          <w:szCs w:val="22"/>
        </w:rPr>
        <w:t xml:space="preserve">supported by robust, sustainable multi-year budgets to deliver the </w:t>
      </w:r>
      <w:r>
        <w:rPr>
          <w:rFonts w:ascii="Calibri" w:hAnsi="Calibri"/>
          <w:sz w:val="22"/>
          <w:szCs w:val="22"/>
        </w:rPr>
        <w:t>Force Business Plan and consider external factors such as inflation, borrowing and funding;</w:t>
      </w:r>
    </w:p>
    <w:p w:rsidR="00D835CC" w:rsidRPr="00371DD0" w:rsidRDefault="00D835CC" w:rsidP="00D835CC">
      <w:pPr>
        <w:numPr>
          <w:ilvl w:val="0"/>
          <w:numId w:val="16"/>
        </w:numPr>
        <w:suppressAutoHyphens/>
        <w:jc w:val="both"/>
        <w:rPr>
          <w:rFonts w:ascii="Calibri" w:hAnsi="Calibri"/>
          <w:sz w:val="22"/>
          <w:szCs w:val="22"/>
        </w:rPr>
      </w:pPr>
      <w:r w:rsidRPr="00371DD0">
        <w:rPr>
          <w:rFonts w:ascii="Calibri" w:hAnsi="Calibri"/>
          <w:sz w:val="22"/>
          <w:szCs w:val="22"/>
        </w:rPr>
        <w:t xml:space="preserve">decided how the quality of service for users is to be measured and ensured that the information needed to regularly and effectively review service quality is available; </w:t>
      </w:r>
    </w:p>
    <w:p w:rsidR="00D835CC" w:rsidRPr="000803AE" w:rsidRDefault="00D835CC" w:rsidP="00D835CC">
      <w:pPr>
        <w:numPr>
          <w:ilvl w:val="0"/>
          <w:numId w:val="16"/>
        </w:numPr>
        <w:suppressAutoHyphens/>
        <w:jc w:val="both"/>
        <w:rPr>
          <w:rFonts w:ascii="Calibri" w:hAnsi="Calibri"/>
          <w:sz w:val="22"/>
          <w:szCs w:val="22"/>
        </w:rPr>
      </w:pPr>
      <w:r>
        <w:rPr>
          <w:rFonts w:ascii="Calibri" w:hAnsi="Calibri"/>
          <w:sz w:val="22"/>
          <w:szCs w:val="22"/>
        </w:rPr>
        <w:t>e</w:t>
      </w:r>
      <w:r w:rsidRPr="000803AE">
        <w:rPr>
          <w:rFonts w:ascii="Calibri" w:hAnsi="Calibri"/>
          <w:sz w:val="22"/>
          <w:szCs w:val="22"/>
        </w:rPr>
        <w:t>stablished a robust performance framework that ensures that the Chief Constable is informed of progress against key indicators;</w:t>
      </w:r>
    </w:p>
    <w:p w:rsidR="00D835CC" w:rsidRDefault="00D835CC" w:rsidP="00D835CC">
      <w:pPr>
        <w:numPr>
          <w:ilvl w:val="0"/>
          <w:numId w:val="16"/>
        </w:numPr>
        <w:suppressAutoHyphens/>
        <w:jc w:val="both"/>
        <w:rPr>
          <w:rFonts w:ascii="Calibri" w:hAnsi="Calibri"/>
          <w:sz w:val="22"/>
          <w:szCs w:val="22"/>
        </w:rPr>
      </w:pPr>
      <w:r>
        <w:rPr>
          <w:rFonts w:ascii="Calibri" w:hAnsi="Calibri"/>
          <w:sz w:val="22"/>
          <w:szCs w:val="22"/>
        </w:rPr>
        <w:t>h</w:t>
      </w:r>
      <w:r w:rsidRPr="000803AE">
        <w:rPr>
          <w:rFonts w:ascii="Calibri" w:hAnsi="Calibri"/>
          <w:sz w:val="22"/>
          <w:szCs w:val="22"/>
        </w:rPr>
        <w:t xml:space="preserve">as continued to review the key functions, departments and activities, to ensure that the delivery of all elements of policing are effective and efficient; </w:t>
      </w:r>
    </w:p>
    <w:p w:rsidR="00D835CC" w:rsidRDefault="00D835CC" w:rsidP="00D835CC">
      <w:pPr>
        <w:numPr>
          <w:ilvl w:val="0"/>
          <w:numId w:val="16"/>
        </w:numPr>
        <w:suppressAutoHyphens/>
        <w:jc w:val="both"/>
        <w:rPr>
          <w:rFonts w:ascii="Calibri" w:hAnsi="Calibri"/>
          <w:sz w:val="22"/>
          <w:szCs w:val="22"/>
        </w:rPr>
      </w:pPr>
      <w:r w:rsidRPr="006F6E97">
        <w:rPr>
          <w:rFonts w:ascii="Calibri" w:hAnsi="Calibri"/>
          <w:sz w:val="22"/>
          <w:szCs w:val="22"/>
        </w:rPr>
        <w:t>actively pursued joint working opportunities at a local, regional and national level, which has resulted in a number of policing services being delivered in collaboration with other organisations and bodies, particularly with t</w:t>
      </w:r>
      <w:r>
        <w:rPr>
          <w:rFonts w:ascii="Calibri" w:hAnsi="Calibri"/>
          <w:sz w:val="22"/>
          <w:szCs w:val="22"/>
        </w:rPr>
        <w:t>he Sussex PCC and Sussex Police;</w:t>
      </w:r>
    </w:p>
    <w:p w:rsidR="00D835CC" w:rsidRPr="00142376" w:rsidRDefault="00D835CC" w:rsidP="00D835CC">
      <w:pPr>
        <w:numPr>
          <w:ilvl w:val="0"/>
          <w:numId w:val="16"/>
        </w:numPr>
        <w:suppressAutoHyphens/>
        <w:jc w:val="both"/>
        <w:rPr>
          <w:rFonts w:ascii="Calibri" w:hAnsi="Calibri"/>
          <w:sz w:val="22"/>
          <w:szCs w:val="22"/>
        </w:rPr>
      </w:pPr>
      <w:r>
        <w:rPr>
          <w:rFonts w:ascii="Calibri" w:hAnsi="Calibri"/>
          <w:sz w:val="22"/>
          <w:szCs w:val="22"/>
        </w:rPr>
        <w:t>established with Sussex</w:t>
      </w:r>
      <w:r w:rsidRPr="00967FC4">
        <w:rPr>
          <w:rFonts w:ascii="Calibri" w:hAnsi="Calibri"/>
          <w:sz w:val="22"/>
          <w:szCs w:val="22"/>
        </w:rPr>
        <w:t xml:space="preserve"> Police a Joint Change function which recognises the importance of strategic planning and integration to incorporate national, regional and local change, business change/adoption and change assurance</w:t>
      </w:r>
      <w:r>
        <w:rPr>
          <w:rFonts w:ascii="Calibri" w:hAnsi="Calibri"/>
          <w:sz w:val="22"/>
          <w:szCs w:val="22"/>
        </w:rPr>
        <w:t>;</w:t>
      </w:r>
    </w:p>
    <w:p w:rsidR="00D835CC" w:rsidRPr="00DA4E8D" w:rsidRDefault="00D835CC" w:rsidP="00D835CC">
      <w:pPr>
        <w:numPr>
          <w:ilvl w:val="0"/>
          <w:numId w:val="16"/>
        </w:numPr>
        <w:suppressAutoHyphens/>
        <w:jc w:val="both"/>
        <w:rPr>
          <w:rFonts w:ascii="Calibri" w:hAnsi="Calibri"/>
          <w:sz w:val="22"/>
          <w:szCs w:val="22"/>
        </w:rPr>
      </w:pPr>
      <w:r w:rsidRPr="00967FC4">
        <w:rPr>
          <w:rFonts w:ascii="Calibri" w:hAnsi="Calibri"/>
          <w:sz w:val="22"/>
          <w:szCs w:val="22"/>
        </w:rPr>
        <w:t xml:space="preserve">a robust </w:t>
      </w:r>
      <w:r w:rsidRPr="00DA4E8D">
        <w:rPr>
          <w:rFonts w:ascii="Calibri" w:hAnsi="Calibri"/>
          <w:sz w:val="22"/>
          <w:szCs w:val="22"/>
        </w:rPr>
        <w:t>mechanism to record and respond to recommendations and findings from external review, including HMICFRS and the IOPC, which is overseen by the Organisational Reassurance Board (ORB), chaired by the Deputy Chief Constable. ORB replaces the Strategic Risk and Learning Group (SRALG) previously in place;</w:t>
      </w:r>
    </w:p>
    <w:p w:rsidR="00D835CC" w:rsidRPr="00DA4E8D" w:rsidRDefault="00D835CC" w:rsidP="00D835CC">
      <w:pPr>
        <w:numPr>
          <w:ilvl w:val="0"/>
          <w:numId w:val="16"/>
        </w:numPr>
        <w:suppressAutoHyphens/>
        <w:jc w:val="both"/>
        <w:rPr>
          <w:rFonts w:ascii="Calibri" w:hAnsi="Calibri"/>
          <w:sz w:val="22"/>
          <w:szCs w:val="22"/>
        </w:rPr>
      </w:pPr>
      <w:r w:rsidRPr="00DA4E8D">
        <w:rPr>
          <w:rFonts w:ascii="Calibri" w:hAnsi="Calibri"/>
          <w:sz w:val="22"/>
          <w:szCs w:val="22"/>
        </w:rPr>
        <w:t>developed products to support sustainable economic, social and environment benefits delivery:</w:t>
      </w:r>
    </w:p>
    <w:p w:rsidR="00D835CC" w:rsidRPr="00DA4E8D" w:rsidRDefault="00D835CC" w:rsidP="00D835CC">
      <w:pPr>
        <w:numPr>
          <w:ilvl w:val="1"/>
          <w:numId w:val="16"/>
        </w:numPr>
        <w:suppressAutoHyphens/>
        <w:jc w:val="both"/>
        <w:rPr>
          <w:rFonts w:ascii="Calibri" w:hAnsi="Calibri"/>
          <w:sz w:val="22"/>
          <w:szCs w:val="22"/>
        </w:rPr>
      </w:pPr>
      <w:r w:rsidRPr="00DA4E8D">
        <w:rPr>
          <w:rFonts w:ascii="Calibri" w:hAnsi="Calibri"/>
          <w:sz w:val="22"/>
          <w:szCs w:val="22"/>
        </w:rPr>
        <w:t xml:space="preserve">The </w:t>
      </w:r>
      <w:r w:rsidRPr="00DA4E8D">
        <w:rPr>
          <w:rFonts w:ascii="Calibri" w:hAnsi="Calibri"/>
          <w:i/>
          <w:sz w:val="22"/>
          <w:szCs w:val="22"/>
        </w:rPr>
        <w:t>Strategic Roadmap</w:t>
      </w:r>
      <w:r w:rsidRPr="00DA4E8D">
        <w:rPr>
          <w:rFonts w:ascii="Calibri" w:hAnsi="Calibri"/>
          <w:sz w:val="22"/>
          <w:szCs w:val="22"/>
        </w:rPr>
        <w:t xml:space="preserve"> visually articulates change impacts to help the Change Assessment Board and Strategic Change Board to improve prioritisation, planning and sequencing of change projects, working closely with the South-East Regional Integrated Policing (SERIP) to align where possible.</w:t>
      </w:r>
    </w:p>
    <w:p w:rsidR="00D835CC" w:rsidRPr="00DA4E8D" w:rsidRDefault="00D835CC" w:rsidP="00D835CC">
      <w:pPr>
        <w:numPr>
          <w:ilvl w:val="1"/>
          <w:numId w:val="16"/>
        </w:numPr>
        <w:suppressAutoHyphens/>
        <w:jc w:val="both"/>
        <w:rPr>
          <w:rFonts w:ascii="Calibri" w:hAnsi="Calibri"/>
          <w:sz w:val="22"/>
          <w:szCs w:val="22"/>
        </w:rPr>
      </w:pPr>
      <w:r w:rsidRPr="00DA4E8D">
        <w:rPr>
          <w:rFonts w:ascii="Calibri" w:hAnsi="Calibri"/>
          <w:i/>
          <w:sz w:val="22"/>
          <w:szCs w:val="22"/>
        </w:rPr>
        <w:t>Senior Responsible Owner (SRO) reports</w:t>
      </w:r>
      <w:r w:rsidRPr="00DA4E8D">
        <w:rPr>
          <w:rFonts w:ascii="Calibri" w:hAnsi="Calibri"/>
          <w:sz w:val="22"/>
          <w:szCs w:val="22"/>
        </w:rPr>
        <w:t xml:space="preserve"> implemented in year to provide full status updates to risk and progress assessments.</w:t>
      </w:r>
    </w:p>
    <w:p w:rsidR="00D835CC" w:rsidRPr="00DA4E8D" w:rsidRDefault="00D835CC" w:rsidP="00D835CC">
      <w:pPr>
        <w:numPr>
          <w:ilvl w:val="1"/>
          <w:numId w:val="16"/>
        </w:numPr>
        <w:suppressAutoHyphens/>
        <w:jc w:val="both"/>
        <w:rPr>
          <w:rFonts w:ascii="Calibri" w:hAnsi="Calibri"/>
          <w:sz w:val="22"/>
          <w:szCs w:val="22"/>
        </w:rPr>
      </w:pPr>
      <w:r w:rsidRPr="00DA4E8D">
        <w:rPr>
          <w:rFonts w:ascii="Calibri" w:hAnsi="Calibri"/>
          <w:i/>
          <w:sz w:val="22"/>
          <w:szCs w:val="22"/>
        </w:rPr>
        <w:t>Business Change Heat Map</w:t>
      </w:r>
      <w:r w:rsidRPr="00DA4E8D">
        <w:rPr>
          <w:rFonts w:ascii="Calibri" w:hAnsi="Calibri"/>
          <w:sz w:val="22"/>
          <w:szCs w:val="22"/>
        </w:rPr>
        <w:t xml:space="preserve"> is being developed to highlight significant change areas.</w:t>
      </w:r>
    </w:p>
    <w:p w:rsidR="00D835CC" w:rsidRPr="00DA4E8D" w:rsidRDefault="00D835CC" w:rsidP="00D835CC">
      <w:pPr>
        <w:numPr>
          <w:ilvl w:val="1"/>
          <w:numId w:val="16"/>
        </w:numPr>
        <w:suppressAutoHyphens/>
        <w:jc w:val="both"/>
        <w:rPr>
          <w:rFonts w:ascii="Calibri" w:hAnsi="Calibri"/>
          <w:sz w:val="22"/>
          <w:szCs w:val="22"/>
        </w:rPr>
      </w:pPr>
      <w:r w:rsidRPr="00DA4E8D">
        <w:rPr>
          <w:rFonts w:ascii="Calibri" w:hAnsi="Calibri"/>
          <w:sz w:val="22"/>
          <w:szCs w:val="22"/>
        </w:rPr>
        <w:t>A new</w:t>
      </w:r>
      <w:r w:rsidRPr="00DA4E8D">
        <w:rPr>
          <w:rFonts w:ascii="Calibri" w:hAnsi="Calibri"/>
          <w:i/>
          <w:sz w:val="22"/>
          <w:szCs w:val="22"/>
        </w:rPr>
        <w:t xml:space="preserve"> Business Case </w:t>
      </w:r>
      <w:r w:rsidRPr="00DA4E8D">
        <w:rPr>
          <w:rFonts w:ascii="Calibri" w:hAnsi="Calibri"/>
          <w:sz w:val="22"/>
          <w:szCs w:val="22"/>
        </w:rPr>
        <w:t xml:space="preserve">template has been developed to improve the investment decision process via improved financial information relating to project costs, project benefits, income generation and funding sources.  </w:t>
      </w:r>
    </w:p>
    <w:p w:rsidR="00D835CC" w:rsidRPr="00DA4E8D" w:rsidRDefault="00D835CC" w:rsidP="00DA4E8D">
      <w:pPr>
        <w:numPr>
          <w:ilvl w:val="1"/>
          <w:numId w:val="16"/>
        </w:numPr>
        <w:suppressAutoHyphens/>
        <w:jc w:val="both"/>
        <w:rPr>
          <w:rFonts w:ascii="Calibri" w:hAnsi="Calibri"/>
          <w:sz w:val="22"/>
          <w:szCs w:val="22"/>
        </w:rPr>
      </w:pPr>
      <w:r w:rsidRPr="00DA4E8D">
        <w:rPr>
          <w:rFonts w:ascii="Calibri" w:hAnsi="Calibri"/>
          <w:sz w:val="22"/>
          <w:szCs w:val="22"/>
        </w:rPr>
        <w:t xml:space="preserve"> </w:t>
      </w:r>
      <w:r w:rsidRPr="00DA4E8D">
        <w:rPr>
          <w:rFonts w:ascii="Calibri" w:hAnsi="Calibri"/>
          <w:i/>
          <w:sz w:val="22"/>
          <w:szCs w:val="22"/>
        </w:rPr>
        <w:t>Business Priorities and IT Resourcing reports</w:t>
      </w:r>
      <w:r w:rsidRPr="00DA4E8D">
        <w:rPr>
          <w:rFonts w:ascii="Calibri" w:hAnsi="Calibri"/>
          <w:sz w:val="22"/>
          <w:szCs w:val="22"/>
        </w:rPr>
        <w:t xml:space="preserve"> developed to address significant change demand on ICT requirements. </w:t>
      </w:r>
    </w:p>
    <w:p w:rsidR="00D835CC" w:rsidRPr="000803AE" w:rsidRDefault="00D835CC" w:rsidP="00D835CC">
      <w:pPr>
        <w:jc w:val="both"/>
        <w:rPr>
          <w:rFonts w:ascii="Calibri" w:hAnsi="Calibri"/>
          <w:sz w:val="22"/>
          <w:szCs w:val="22"/>
        </w:rPr>
      </w:pPr>
    </w:p>
    <w:p w:rsidR="00D835CC" w:rsidRPr="00560BC4" w:rsidRDefault="00D835CC" w:rsidP="00D835CC">
      <w:pPr>
        <w:numPr>
          <w:ilvl w:val="1"/>
          <w:numId w:val="17"/>
        </w:numPr>
        <w:suppressAutoHyphens/>
        <w:jc w:val="both"/>
        <w:rPr>
          <w:rFonts w:ascii="Calibri" w:hAnsi="Calibri"/>
          <w:b/>
          <w:sz w:val="22"/>
          <w:szCs w:val="22"/>
        </w:rPr>
      </w:pPr>
      <w:r w:rsidRPr="000803AE">
        <w:rPr>
          <w:rFonts w:ascii="Calibri" w:hAnsi="Calibri"/>
          <w:b/>
          <w:i/>
          <w:sz w:val="22"/>
          <w:szCs w:val="22"/>
        </w:rPr>
        <w:t xml:space="preserve">Principle of Good Governance D:  </w:t>
      </w:r>
      <w:r w:rsidRPr="00560BC4">
        <w:rPr>
          <w:rFonts w:ascii="Calibri" w:hAnsi="Calibri" w:cs="FS Lola"/>
          <w:b/>
          <w:color w:val="000000"/>
          <w:sz w:val="22"/>
          <w:szCs w:val="22"/>
        </w:rPr>
        <w:t>Determining the interven</w:t>
      </w:r>
      <w:r>
        <w:rPr>
          <w:rFonts w:ascii="Calibri" w:hAnsi="Calibri" w:cs="FS Lola"/>
          <w:b/>
          <w:color w:val="000000"/>
          <w:sz w:val="22"/>
          <w:szCs w:val="22"/>
        </w:rPr>
        <w:t xml:space="preserve">tions necessary to optimise the </w:t>
      </w:r>
      <w:r w:rsidRPr="00560BC4">
        <w:rPr>
          <w:rFonts w:ascii="Calibri" w:hAnsi="Calibri" w:cs="FS Lola"/>
          <w:b/>
          <w:color w:val="000000"/>
          <w:sz w:val="22"/>
          <w:szCs w:val="22"/>
        </w:rPr>
        <w:t>achievement of the intended outcomes</w:t>
      </w:r>
      <w:r>
        <w:rPr>
          <w:rFonts w:ascii="Calibri" w:hAnsi="Calibri" w:cs="FS Lola"/>
          <w:b/>
          <w:color w:val="000000"/>
          <w:sz w:val="22"/>
          <w:szCs w:val="22"/>
        </w:rPr>
        <w:t>.</w:t>
      </w:r>
    </w:p>
    <w:p w:rsidR="00D835CC" w:rsidRPr="00616F79" w:rsidRDefault="00D835CC" w:rsidP="00D835CC">
      <w:pPr>
        <w:ind w:left="720"/>
        <w:jc w:val="both"/>
        <w:rPr>
          <w:rFonts w:ascii="Calibri" w:hAnsi="Calibri"/>
          <w:b/>
          <w:i/>
          <w:sz w:val="10"/>
          <w:szCs w:val="10"/>
        </w:rPr>
      </w:pPr>
    </w:p>
    <w:p w:rsidR="00D835CC" w:rsidRDefault="00D835CC" w:rsidP="00D835CC">
      <w:pPr>
        <w:ind w:firstLine="720"/>
        <w:jc w:val="both"/>
        <w:rPr>
          <w:rFonts w:ascii="Calibri" w:hAnsi="Calibri"/>
          <w:sz w:val="22"/>
          <w:szCs w:val="22"/>
        </w:rPr>
      </w:pPr>
      <w:r w:rsidRPr="00D30ED5">
        <w:rPr>
          <w:rFonts w:ascii="Calibri" w:hAnsi="Calibri"/>
          <w:sz w:val="22"/>
          <w:szCs w:val="22"/>
        </w:rPr>
        <w:t>To achieve this, the Chief Constable has:</w:t>
      </w:r>
    </w:p>
    <w:p w:rsidR="00D835CC" w:rsidRPr="00226D5E" w:rsidRDefault="00D835CC" w:rsidP="00D835CC">
      <w:pPr>
        <w:numPr>
          <w:ilvl w:val="0"/>
          <w:numId w:val="19"/>
        </w:numPr>
        <w:suppressAutoHyphens/>
        <w:jc w:val="both"/>
        <w:rPr>
          <w:rFonts w:ascii="Calibri" w:hAnsi="Calibri"/>
          <w:sz w:val="22"/>
          <w:szCs w:val="22"/>
        </w:rPr>
      </w:pPr>
      <w:r w:rsidRPr="00226D5E">
        <w:rPr>
          <w:rFonts w:ascii="Calibri" w:hAnsi="Calibri"/>
          <w:sz w:val="22"/>
          <w:szCs w:val="22"/>
        </w:rPr>
        <w:t>undertaken an annual review of the corporate governance framework and key high level governance documents, including the Code of Corporate Governance ensuring the Code is aligned with the CIPFA guidance published in 2016;</w:t>
      </w:r>
    </w:p>
    <w:p w:rsidR="00D835CC" w:rsidRPr="00226D5E" w:rsidRDefault="00D835CC" w:rsidP="00D835CC">
      <w:pPr>
        <w:numPr>
          <w:ilvl w:val="0"/>
          <w:numId w:val="19"/>
        </w:numPr>
        <w:suppressAutoHyphens/>
        <w:jc w:val="both"/>
        <w:rPr>
          <w:rFonts w:ascii="Calibri" w:hAnsi="Calibri"/>
          <w:sz w:val="22"/>
          <w:szCs w:val="22"/>
        </w:rPr>
      </w:pPr>
      <w:r w:rsidRPr="00226D5E">
        <w:rPr>
          <w:rFonts w:ascii="Calibri" w:hAnsi="Calibri"/>
          <w:sz w:val="22"/>
          <w:szCs w:val="22"/>
        </w:rPr>
        <w:t>ensured that there is a risk management strategy and policy in place to ensure that threats to the achievement of the Force’s organisational objectives and regional and national responsibilities are identified and managed effectively via the Organisational Reassurance Board (ORB), with regular risk updates reviewed by the Joint Audit Committee and at the PCC’s Performance meeting;</w:t>
      </w:r>
    </w:p>
    <w:p w:rsidR="00D835CC" w:rsidRPr="00226D5E" w:rsidRDefault="00D835CC" w:rsidP="00D835CC">
      <w:pPr>
        <w:numPr>
          <w:ilvl w:val="0"/>
          <w:numId w:val="19"/>
        </w:numPr>
        <w:suppressAutoHyphens/>
        <w:jc w:val="both"/>
        <w:rPr>
          <w:rFonts w:ascii="Calibri" w:hAnsi="Calibri"/>
          <w:sz w:val="22"/>
          <w:szCs w:val="22"/>
        </w:rPr>
      </w:pPr>
      <w:r w:rsidRPr="00226D5E">
        <w:rPr>
          <w:rFonts w:ascii="Calibri" w:hAnsi="Calibri"/>
          <w:sz w:val="22"/>
          <w:szCs w:val="22"/>
        </w:rPr>
        <w:t>established a performance framework based on force priorities/strategic objectives, with an increased focus on qualitative assessment of behaviours and performance and root-cause analysis of issues - these changes have been aligned with the findings from the Irene Curtis review into the use of targets in policing</w:t>
      </w:r>
      <w:r w:rsidRPr="00226D5E">
        <w:rPr>
          <w:rStyle w:val="FootnoteReference"/>
          <w:rFonts w:ascii="Calibri" w:hAnsi="Calibri"/>
          <w:sz w:val="22"/>
          <w:szCs w:val="22"/>
        </w:rPr>
        <w:footnoteReference w:id="15"/>
      </w:r>
      <w:r w:rsidRPr="00226D5E">
        <w:rPr>
          <w:rFonts w:ascii="Calibri" w:hAnsi="Calibri"/>
          <w:sz w:val="22"/>
          <w:szCs w:val="22"/>
        </w:rPr>
        <w:t>;</w:t>
      </w:r>
    </w:p>
    <w:p w:rsidR="00D835CC" w:rsidRPr="00226D5E" w:rsidRDefault="00D835CC" w:rsidP="00D835CC">
      <w:pPr>
        <w:numPr>
          <w:ilvl w:val="0"/>
          <w:numId w:val="19"/>
        </w:numPr>
        <w:suppressAutoHyphens/>
        <w:jc w:val="both"/>
        <w:rPr>
          <w:rFonts w:ascii="Calibri" w:hAnsi="Calibri"/>
          <w:sz w:val="22"/>
          <w:szCs w:val="22"/>
        </w:rPr>
      </w:pPr>
      <w:r w:rsidRPr="00226D5E">
        <w:rPr>
          <w:rFonts w:ascii="Calibri" w:hAnsi="Calibri"/>
          <w:sz w:val="22"/>
          <w:szCs w:val="22"/>
        </w:rPr>
        <w:t>subjected key strategic projects, for example EQUIP (formerly Enterprise Resource Planning), to specific oversight arrangements, including frequent review of the level of intervention required by the PCC and CC;</w:t>
      </w:r>
    </w:p>
    <w:p w:rsidR="00D835CC" w:rsidRPr="00226D5E" w:rsidRDefault="00D835CC" w:rsidP="00D835CC">
      <w:pPr>
        <w:numPr>
          <w:ilvl w:val="0"/>
          <w:numId w:val="19"/>
        </w:numPr>
        <w:suppressAutoHyphens/>
        <w:jc w:val="both"/>
        <w:rPr>
          <w:rFonts w:ascii="Calibri" w:hAnsi="Calibri"/>
          <w:sz w:val="22"/>
          <w:szCs w:val="22"/>
        </w:rPr>
      </w:pPr>
      <w:r w:rsidRPr="00226D5E">
        <w:rPr>
          <w:rFonts w:ascii="Calibri" w:hAnsi="Calibri"/>
          <w:sz w:val="22"/>
          <w:szCs w:val="22"/>
        </w:rPr>
        <w:t>ensured that there is robust scrutiny of the Force’s ‘Policing in Your Neighbourhood’ and other change programmes to ensure that significant and complex change programmes are monitored, reviewed and delivered effectively;</w:t>
      </w:r>
    </w:p>
    <w:p w:rsidR="00D835CC" w:rsidRPr="00226D5E" w:rsidRDefault="00D835CC" w:rsidP="00D835CC">
      <w:pPr>
        <w:numPr>
          <w:ilvl w:val="0"/>
          <w:numId w:val="19"/>
        </w:numPr>
        <w:suppressAutoHyphens/>
        <w:jc w:val="both"/>
        <w:rPr>
          <w:rFonts w:ascii="Calibri" w:hAnsi="Calibri"/>
          <w:sz w:val="22"/>
          <w:szCs w:val="22"/>
        </w:rPr>
      </w:pPr>
      <w:r w:rsidRPr="00226D5E">
        <w:rPr>
          <w:rFonts w:ascii="Calibri" w:hAnsi="Calibri"/>
          <w:sz w:val="22"/>
          <w:szCs w:val="22"/>
        </w:rPr>
        <w:t>ensured regular and focussed communication with the public via a communication planner regarding communication strategies supporting force priorities and alignment of public campaigns with those priorities;</w:t>
      </w:r>
    </w:p>
    <w:p w:rsidR="00D835CC" w:rsidRPr="00226D5E" w:rsidRDefault="00D835CC" w:rsidP="00D835CC">
      <w:pPr>
        <w:numPr>
          <w:ilvl w:val="0"/>
          <w:numId w:val="19"/>
        </w:numPr>
        <w:suppressAutoHyphens/>
        <w:jc w:val="both"/>
        <w:rPr>
          <w:rFonts w:ascii="Calibri" w:hAnsi="Calibri"/>
          <w:sz w:val="22"/>
          <w:szCs w:val="22"/>
        </w:rPr>
      </w:pPr>
      <w:r w:rsidRPr="00226D5E">
        <w:rPr>
          <w:rFonts w:ascii="Calibri" w:hAnsi="Calibri"/>
          <w:sz w:val="22"/>
          <w:szCs w:val="22"/>
        </w:rPr>
        <w:t>used monthly victim satisfaction surveys to monitor service delivery outcome satisfaction and compliance with the Victim Code.</w:t>
      </w:r>
    </w:p>
    <w:p w:rsidR="00D835CC" w:rsidRDefault="00D835CC" w:rsidP="00D835CC">
      <w:pPr>
        <w:numPr>
          <w:ilvl w:val="0"/>
          <w:numId w:val="19"/>
        </w:numPr>
        <w:suppressAutoHyphens/>
        <w:jc w:val="both"/>
        <w:rPr>
          <w:rFonts w:ascii="Calibri" w:hAnsi="Calibri"/>
          <w:sz w:val="22"/>
          <w:szCs w:val="22"/>
        </w:rPr>
      </w:pPr>
      <w:r>
        <w:rPr>
          <w:rFonts w:ascii="Calibri" w:hAnsi="Calibri"/>
          <w:sz w:val="22"/>
          <w:szCs w:val="22"/>
        </w:rPr>
        <w:t>developed the governance related to change to better prioritise and drive delivery and better enable decision-making – this change governance process is supported by three levels of governance boards: Change Engagement Meeting; Change Assessment Board and Strategic Change Board which continue to work well for the organisation;</w:t>
      </w:r>
    </w:p>
    <w:p w:rsidR="00D835CC" w:rsidRPr="00967FC4" w:rsidRDefault="00D835CC" w:rsidP="00D835CC">
      <w:pPr>
        <w:numPr>
          <w:ilvl w:val="0"/>
          <w:numId w:val="19"/>
        </w:numPr>
        <w:suppressAutoHyphens/>
        <w:jc w:val="both"/>
        <w:rPr>
          <w:rFonts w:ascii="Calibri" w:hAnsi="Calibri"/>
          <w:sz w:val="22"/>
          <w:szCs w:val="22"/>
        </w:rPr>
      </w:pPr>
      <w:r w:rsidRPr="00967FC4">
        <w:rPr>
          <w:rFonts w:ascii="Calibri" w:hAnsi="Calibri"/>
          <w:sz w:val="22"/>
          <w:szCs w:val="22"/>
        </w:rPr>
        <w:t>ensured post implementation reviews have been undertaken of key change programmes to provide assurance of benefit delivery, with processes in place for follow up on the completion of any additional actions.</w:t>
      </w:r>
    </w:p>
    <w:p w:rsidR="00D835CC" w:rsidRDefault="00D835CC" w:rsidP="00D835CC">
      <w:pPr>
        <w:ind w:left="1080"/>
        <w:jc w:val="both"/>
        <w:rPr>
          <w:rFonts w:ascii="Calibri" w:hAnsi="Calibri"/>
          <w:sz w:val="22"/>
          <w:szCs w:val="22"/>
        </w:rPr>
      </w:pPr>
    </w:p>
    <w:p w:rsidR="00D835CC" w:rsidRPr="00226D5E" w:rsidRDefault="00D835CC" w:rsidP="00D835CC">
      <w:pPr>
        <w:ind w:left="720"/>
        <w:jc w:val="both"/>
        <w:rPr>
          <w:rFonts w:ascii="Calibri" w:hAnsi="Calibri"/>
          <w:sz w:val="22"/>
          <w:szCs w:val="22"/>
        </w:rPr>
      </w:pPr>
      <w:r w:rsidRPr="005960FD">
        <w:rPr>
          <w:rFonts w:ascii="Calibri" w:hAnsi="Calibri"/>
          <w:sz w:val="22"/>
          <w:szCs w:val="22"/>
        </w:rPr>
        <w:t>In 2018-19 HMICFRS assessed Surrey Police through the PEEL programme of inspections and assessed Surrey as “</w:t>
      </w:r>
      <w:r w:rsidRPr="00226D5E">
        <w:rPr>
          <w:rFonts w:ascii="Calibri" w:hAnsi="Calibri"/>
          <w:sz w:val="22"/>
          <w:szCs w:val="22"/>
        </w:rPr>
        <w:t>Requires Improvement” for Efficiency, identifying that the</w:t>
      </w:r>
      <w:r w:rsidRPr="00226D5E">
        <w:rPr>
          <w:rFonts w:ascii="Calibri" w:hAnsi="Calibri"/>
          <w:color w:val="282828"/>
          <w:sz w:val="22"/>
          <w:szCs w:val="22"/>
        </w:rPr>
        <w:t xml:space="preserve"> force “needs to analyse data more effectively to understand demand (including hidden demand) to better serve the public” and recommended that the force should gain a better understanding of how it uses and prioritises resources to meet current demand.</w:t>
      </w:r>
    </w:p>
    <w:p w:rsidR="00D835CC" w:rsidRPr="00226D5E" w:rsidRDefault="00D835CC" w:rsidP="00D835CC">
      <w:pPr>
        <w:ind w:left="1080"/>
        <w:jc w:val="both"/>
        <w:rPr>
          <w:rFonts w:ascii="Calibri" w:hAnsi="Calibri"/>
          <w:sz w:val="22"/>
          <w:szCs w:val="22"/>
        </w:rPr>
      </w:pPr>
    </w:p>
    <w:p w:rsidR="00D835CC" w:rsidRPr="00226D5E" w:rsidRDefault="00D835CC" w:rsidP="00D835CC">
      <w:pPr>
        <w:numPr>
          <w:ilvl w:val="1"/>
          <w:numId w:val="17"/>
        </w:numPr>
        <w:suppressAutoHyphens/>
        <w:jc w:val="both"/>
        <w:rPr>
          <w:rFonts w:ascii="Calibri" w:hAnsi="Calibri"/>
          <w:b/>
          <w:sz w:val="22"/>
          <w:szCs w:val="22"/>
        </w:rPr>
      </w:pPr>
      <w:r w:rsidRPr="00226D5E">
        <w:rPr>
          <w:rFonts w:ascii="Calibri" w:hAnsi="Calibri"/>
          <w:b/>
          <w:i/>
          <w:sz w:val="22"/>
          <w:szCs w:val="22"/>
        </w:rPr>
        <w:t>Principle of Good Governance E:</w:t>
      </w:r>
      <w:r w:rsidRPr="00226D5E">
        <w:rPr>
          <w:rFonts w:ascii="Calibri" w:hAnsi="Calibri"/>
          <w:i/>
          <w:sz w:val="22"/>
          <w:szCs w:val="22"/>
        </w:rPr>
        <w:t xml:space="preserve">   </w:t>
      </w:r>
      <w:r w:rsidRPr="00226D5E">
        <w:rPr>
          <w:rFonts w:ascii="Calibri" w:hAnsi="Calibri" w:cs="FS Lola"/>
          <w:b/>
          <w:color w:val="000000"/>
          <w:sz w:val="22"/>
          <w:szCs w:val="22"/>
        </w:rPr>
        <w:t>Developing the entity’s capacity, including the capability of its leadership and the individuals within it.</w:t>
      </w:r>
    </w:p>
    <w:p w:rsidR="00D835CC" w:rsidRPr="00226D5E" w:rsidRDefault="00D835CC" w:rsidP="00D835CC">
      <w:pPr>
        <w:ind w:left="720"/>
        <w:jc w:val="both"/>
        <w:rPr>
          <w:rFonts w:ascii="Calibri" w:hAnsi="Calibri"/>
          <w:b/>
          <w:i/>
          <w:sz w:val="10"/>
          <w:szCs w:val="10"/>
        </w:rPr>
      </w:pPr>
    </w:p>
    <w:p w:rsidR="00D835CC" w:rsidRPr="00226D5E" w:rsidRDefault="00D835CC" w:rsidP="00D835CC">
      <w:pPr>
        <w:ind w:firstLine="720"/>
        <w:jc w:val="both"/>
        <w:rPr>
          <w:rFonts w:ascii="Calibri" w:hAnsi="Calibri"/>
          <w:sz w:val="22"/>
          <w:szCs w:val="22"/>
        </w:rPr>
      </w:pPr>
      <w:r w:rsidRPr="00226D5E">
        <w:rPr>
          <w:rFonts w:ascii="Calibri" w:hAnsi="Calibri"/>
          <w:sz w:val="22"/>
          <w:szCs w:val="22"/>
        </w:rPr>
        <w:t>To achieve this, the Chief Constable has:</w:t>
      </w:r>
    </w:p>
    <w:p w:rsidR="00D835CC" w:rsidRPr="00226D5E" w:rsidRDefault="00D835CC" w:rsidP="00D835CC">
      <w:pPr>
        <w:numPr>
          <w:ilvl w:val="0"/>
          <w:numId w:val="2"/>
        </w:numPr>
        <w:tabs>
          <w:tab w:val="num" w:pos="1080"/>
        </w:tabs>
        <w:suppressAutoHyphens/>
        <w:ind w:left="1080"/>
        <w:jc w:val="both"/>
        <w:rPr>
          <w:rFonts w:ascii="Calibri" w:hAnsi="Calibri"/>
          <w:sz w:val="22"/>
          <w:szCs w:val="22"/>
        </w:rPr>
      </w:pPr>
      <w:r w:rsidRPr="00226D5E">
        <w:rPr>
          <w:rFonts w:ascii="Calibri" w:hAnsi="Calibri"/>
          <w:sz w:val="22"/>
          <w:szCs w:val="22"/>
        </w:rPr>
        <w:t xml:space="preserve">established clear roles and responsibilities for each of the Force’s senior officers; </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rPr>
        <w:t>developed a workforce plan introduced across Surrey Police and Sussex Police and reviewed quarterly, which identifies the future workforce mix and profile requirements, this is reviewed at the DCC’s Strategic Board and quarterly at the Workforce Capability and Capacity Board and the Surrey Resource Management meeting attended by business representatives and used to understand and review priorities;</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rPr>
        <w:t>undertaken a skills audit for officers and staff to establish the current level of leadership skills with the force and enabling better planning of training which more effectively meets the needs of officers and staff e.g. work is underway for core skills for Response (Prevention and Detectives to follow);</w:t>
      </w:r>
      <w:r w:rsidRPr="00226D5E">
        <w:rPr>
          <w:sz w:val="18"/>
          <w:szCs w:val="18"/>
        </w:rPr>
        <w:t xml:space="preserve"> </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rPr>
        <w:t>used the skill product “Licence to Police” to baseline essential skills for all police officers;</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rPr>
        <w:t xml:space="preserve">introduced a new process from July 2018 for individual performance review and management – “Focus”, which sets out a new approach for regular constructive feedback on performance and areas for improvement;          </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lang w:eastAsia="en-GB"/>
        </w:rPr>
        <w:t>introduced in 2019-20 a Succession Planning Framework, known as Future Focus</w:t>
      </w:r>
      <w:r w:rsidRPr="00226D5E">
        <w:rPr>
          <w:sz w:val="18"/>
          <w:szCs w:val="18"/>
          <w:lang w:eastAsia="en-GB"/>
        </w:rPr>
        <w:t>,</w:t>
      </w:r>
      <w:r w:rsidRPr="00226D5E">
        <w:rPr>
          <w:rFonts w:ascii="Calibri" w:hAnsi="Calibri"/>
          <w:sz w:val="22"/>
          <w:szCs w:val="22"/>
        </w:rPr>
        <w:t xml:space="preserve"> which enables line managers to undertake career planning with staff and officers, identifying talent at the same time as succession planning for critical roles within departments and putting in place plans to minimise risks if this is required;</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lang w:eastAsia="en-GB"/>
        </w:rPr>
        <w:t>ensured local talent pools are embedded in the Force to develop and support future leaders in conjunction with Future Focus;</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rPr>
        <w:t>developed a leadership</w:t>
      </w:r>
      <w:r w:rsidRPr="00226D5E">
        <w:rPr>
          <w:rFonts w:ascii="Calibri" w:hAnsi="Calibri"/>
          <w:sz w:val="22"/>
          <w:szCs w:val="22"/>
          <w:lang w:eastAsia="en-GB"/>
        </w:rPr>
        <w:t xml:space="preserve"> strategy and framework based on the national Competency and Values Framework as part of the leadership programme aiming to increase capability in good leadership for officers and staff across Surrey Police and Sussex Police, this includes </w:t>
      </w:r>
      <w:r w:rsidRPr="00226D5E">
        <w:rPr>
          <w:rFonts w:ascii="Calibri" w:hAnsi="Calibri"/>
          <w:sz w:val="22"/>
          <w:szCs w:val="22"/>
        </w:rPr>
        <w:t>the First Line Leaders Development (FLLD) pathway which was a key priority for people services in 2019/20 to unblock barriers and develop skills, the Second Line Leaders Development Programme was launched in 2020 aimed at Inspectors/Chief Inspectors and staff equivalents</w:t>
      </w:r>
      <w:r w:rsidRPr="00226D5E">
        <w:rPr>
          <w:rFonts w:ascii="Calibri" w:hAnsi="Calibri"/>
          <w:sz w:val="22"/>
          <w:szCs w:val="22"/>
          <w:lang w:eastAsia="en-GB"/>
        </w:rPr>
        <w:t xml:space="preserve">; </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lang w:eastAsia="en-GB"/>
        </w:rPr>
        <w:t xml:space="preserve">ensured that </w:t>
      </w:r>
      <w:r w:rsidRPr="00226D5E">
        <w:rPr>
          <w:rFonts w:ascii="Calibri" w:hAnsi="Calibri"/>
          <w:sz w:val="22"/>
          <w:szCs w:val="22"/>
        </w:rPr>
        <w:t xml:space="preserve">Force capability continues to be monitored at the Capacity, Capability and Performance Board (CCPB) which was relaunched in June 2019 with revised terms of reference;  </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rPr>
        <w:t xml:space="preserve">ensured specific work was undertaken to address the gap in detectives the Force is experiencing with the Heads of Crime Investigative Improvement Programme (HocIIP), including a fast track detective degree holder entry programme; </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rPr>
        <w:t xml:space="preserve">promoted an ethos of continuous improvement across the Force and been proactive in promoting innovative practice in order to reduce organisation costs and improve performance, including ensuring that staff have every opportunity to help shape organisational change and service improvement, </w:t>
      </w:r>
      <w:r w:rsidRPr="00226D5E">
        <w:rPr>
          <w:rFonts w:ascii="Calibri" w:hAnsi="Calibri"/>
          <w:sz w:val="22"/>
          <w:szCs w:val="22"/>
          <w:lang w:eastAsia="en-GB"/>
        </w:rPr>
        <w:t>with an intranet Development Hub to support officers and staff via a central point of reference to Leadership Development programmes, Continuing Professional Development (CPD) and national tools</w:t>
      </w:r>
      <w:r w:rsidRPr="00226D5E">
        <w:rPr>
          <w:rFonts w:ascii="Calibri" w:hAnsi="Calibri"/>
          <w:sz w:val="22"/>
          <w:szCs w:val="22"/>
        </w:rPr>
        <w:t>;</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rPr>
        <w:t>continued to work with Unison, the Police Federation and the Superintendent’s Association using the seven point plan (launched Feb 2017) to enable a consistent approach to how assaults on staff and officers are dealt with;</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rPr>
        <w:t>conducted a third employee opinion survey jointly with Sussex Police as part of Durham University’s national UK policing research project concluding in October 2019 looking at key themes of Leadership, Wellbeing and Organisational Justice resulting in three areas of focus for chief officers of Wellbeing and energy, Hindrance stressors and Vision clarity.</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rPr>
        <w:t>developed the work of the Wellbeing Board, attended by representatives from Surrey Police and Sussex Police as well as staff associations, allowing workforce concerns to be raised and acted upon;</w:t>
      </w:r>
    </w:p>
    <w:p w:rsidR="00D835CC" w:rsidRPr="00226D5E" w:rsidRDefault="00D835CC" w:rsidP="00D835CC">
      <w:pPr>
        <w:numPr>
          <w:ilvl w:val="0"/>
          <w:numId w:val="3"/>
        </w:numPr>
        <w:tabs>
          <w:tab w:val="num" w:pos="1080"/>
        </w:tabs>
        <w:suppressAutoHyphens/>
        <w:ind w:left="1080"/>
        <w:jc w:val="both"/>
        <w:rPr>
          <w:rFonts w:ascii="Calibri" w:hAnsi="Calibri"/>
          <w:sz w:val="22"/>
          <w:szCs w:val="22"/>
        </w:rPr>
      </w:pPr>
      <w:r w:rsidRPr="00226D5E">
        <w:rPr>
          <w:rFonts w:ascii="Calibri" w:hAnsi="Calibri"/>
          <w:sz w:val="22"/>
          <w:szCs w:val="22"/>
        </w:rPr>
        <w:t xml:space="preserve">established a Wellbeing Strategy and Action Plan, </w:t>
      </w:r>
      <w:r w:rsidRPr="00226D5E">
        <w:rPr>
          <w:rFonts w:ascii="Calibri" w:eastAsia="Calibri" w:hAnsi="Calibri" w:cs="Segoe UI"/>
          <w:sz w:val="22"/>
          <w:szCs w:val="22"/>
        </w:rPr>
        <w:t xml:space="preserve">revised every year to factor in emerging and identified needs, which </w:t>
      </w:r>
      <w:r w:rsidRPr="00226D5E">
        <w:rPr>
          <w:rFonts w:ascii="Calibri" w:hAnsi="Calibri"/>
          <w:sz w:val="22"/>
          <w:szCs w:val="22"/>
        </w:rPr>
        <w:t>defines</w:t>
      </w:r>
      <w:r w:rsidRPr="00226D5E">
        <w:rPr>
          <w:rFonts w:ascii="Calibri" w:eastAsia="Calibri" w:hAnsi="Calibri" w:cs="Segoe UI"/>
          <w:sz w:val="22"/>
          <w:szCs w:val="22"/>
        </w:rPr>
        <w:t xml:space="preserve"> the meaning of “wellbeing” and why it is important.</w:t>
      </w:r>
    </w:p>
    <w:p w:rsidR="00D835CC" w:rsidRPr="00226D5E" w:rsidRDefault="00D835CC" w:rsidP="00D835CC">
      <w:pPr>
        <w:jc w:val="both"/>
        <w:rPr>
          <w:rFonts w:ascii="Calibri" w:hAnsi="Calibri"/>
          <w:sz w:val="22"/>
          <w:szCs w:val="22"/>
        </w:rPr>
      </w:pPr>
    </w:p>
    <w:p w:rsidR="00D835CC" w:rsidRPr="00226D5E" w:rsidRDefault="00D835CC" w:rsidP="00D835CC">
      <w:pPr>
        <w:jc w:val="both"/>
        <w:rPr>
          <w:rFonts w:ascii="Calibri" w:hAnsi="Calibri"/>
          <w:color w:val="0000FF"/>
          <w:sz w:val="22"/>
          <w:szCs w:val="22"/>
        </w:rPr>
      </w:pPr>
    </w:p>
    <w:p w:rsidR="00D835CC" w:rsidRPr="00226D5E" w:rsidRDefault="00D835CC" w:rsidP="00D835CC">
      <w:pPr>
        <w:numPr>
          <w:ilvl w:val="1"/>
          <w:numId w:val="17"/>
        </w:numPr>
        <w:suppressAutoHyphens/>
        <w:jc w:val="both"/>
        <w:rPr>
          <w:rFonts w:ascii="Calibri" w:hAnsi="Calibri"/>
          <w:b/>
          <w:sz w:val="22"/>
          <w:szCs w:val="22"/>
        </w:rPr>
      </w:pPr>
      <w:r w:rsidRPr="00226D5E">
        <w:rPr>
          <w:rFonts w:ascii="Calibri" w:hAnsi="Calibri"/>
          <w:b/>
          <w:i/>
          <w:sz w:val="22"/>
          <w:szCs w:val="22"/>
        </w:rPr>
        <w:t xml:space="preserve">Principle of Good Governance F: </w:t>
      </w:r>
      <w:r w:rsidRPr="00226D5E">
        <w:rPr>
          <w:rFonts w:ascii="Calibri" w:hAnsi="Calibri" w:cs="FS Lola"/>
          <w:b/>
          <w:color w:val="000000"/>
          <w:sz w:val="22"/>
          <w:szCs w:val="22"/>
        </w:rPr>
        <w:t>Managing risks and performance through robust internal control and strong public financial management.</w:t>
      </w:r>
    </w:p>
    <w:p w:rsidR="00D835CC" w:rsidRPr="00226D5E" w:rsidRDefault="00D835CC" w:rsidP="00D835CC">
      <w:pPr>
        <w:ind w:left="720"/>
        <w:jc w:val="both"/>
        <w:rPr>
          <w:rFonts w:ascii="Calibri" w:hAnsi="Calibri"/>
          <w:b/>
          <w:i/>
          <w:sz w:val="22"/>
          <w:szCs w:val="22"/>
        </w:rPr>
      </w:pPr>
    </w:p>
    <w:p w:rsidR="00D835CC" w:rsidRPr="00226D5E" w:rsidRDefault="00D835CC" w:rsidP="00D835CC">
      <w:pPr>
        <w:ind w:firstLine="720"/>
        <w:jc w:val="both"/>
        <w:rPr>
          <w:rFonts w:ascii="Calibri" w:hAnsi="Calibri"/>
          <w:sz w:val="22"/>
          <w:szCs w:val="22"/>
        </w:rPr>
      </w:pPr>
      <w:r w:rsidRPr="00226D5E">
        <w:rPr>
          <w:rFonts w:ascii="Calibri" w:hAnsi="Calibri"/>
          <w:sz w:val="22"/>
          <w:szCs w:val="22"/>
        </w:rPr>
        <w:t>To achieve this, the Chief Constable has:</w:t>
      </w:r>
    </w:p>
    <w:p w:rsidR="00D835CC" w:rsidRPr="00226D5E" w:rsidRDefault="00D835CC" w:rsidP="00D835CC">
      <w:pPr>
        <w:numPr>
          <w:ilvl w:val="0"/>
          <w:numId w:val="10"/>
        </w:numPr>
        <w:tabs>
          <w:tab w:val="num" w:pos="1080"/>
        </w:tabs>
        <w:suppressAutoHyphens/>
        <w:ind w:left="1080"/>
        <w:jc w:val="both"/>
        <w:rPr>
          <w:rFonts w:ascii="Calibri" w:hAnsi="Calibri"/>
          <w:sz w:val="22"/>
          <w:szCs w:val="22"/>
        </w:rPr>
      </w:pPr>
      <w:r w:rsidRPr="00226D5E">
        <w:rPr>
          <w:rFonts w:ascii="Calibri" w:hAnsi="Calibri"/>
          <w:sz w:val="22"/>
          <w:szCs w:val="22"/>
        </w:rPr>
        <w:t>ensured that all decision making is carried out in accordance with the governance framework as set out in the Code of Corporate Governance;</w:t>
      </w:r>
    </w:p>
    <w:p w:rsidR="00D835CC" w:rsidRPr="00226D5E" w:rsidRDefault="00D835CC" w:rsidP="00D835CC">
      <w:pPr>
        <w:numPr>
          <w:ilvl w:val="0"/>
          <w:numId w:val="10"/>
        </w:numPr>
        <w:tabs>
          <w:tab w:val="num" w:pos="1080"/>
        </w:tabs>
        <w:suppressAutoHyphens/>
        <w:ind w:left="1080"/>
        <w:jc w:val="both"/>
        <w:rPr>
          <w:rFonts w:ascii="Calibri" w:hAnsi="Calibri"/>
          <w:sz w:val="22"/>
          <w:szCs w:val="22"/>
        </w:rPr>
      </w:pPr>
      <w:r w:rsidRPr="00226D5E">
        <w:rPr>
          <w:rFonts w:ascii="Calibri" w:hAnsi="Calibri"/>
          <w:sz w:val="22"/>
          <w:szCs w:val="22"/>
        </w:rPr>
        <w:t>continued to work to embed ethical decision making at all levels following the National Decision Model (NDM), which has at its centre the policing Code of Ethics;</w:t>
      </w:r>
    </w:p>
    <w:p w:rsidR="00D835CC" w:rsidRPr="00226D5E" w:rsidRDefault="00D835CC" w:rsidP="00D835CC">
      <w:pPr>
        <w:jc w:val="both"/>
        <w:rPr>
          <w:rFonts w:ascii="Calibri" w:hAnsi="Calibri"/>
          <w:sz w:val="22"/>
          <w:szCs w:val="22"/>
        </w:rPr>
      </w:pPr>
    </w:p>
    <w:p w:rsidR="00D835CC" w:rsidRPr="00226D5E" w:rsidRDefault="00D835CC" w:rsidP="00D835CC">
      <w:pPr>
        <w:jc w:val="center"/>
        <w:rPr>
          <w:rFonts w:ascii="Calibri" w:hAnsi="Calibri"/>
          <w:sz w:val="22"/>
          <w:szCs w:val="22"/>
        </w:rPr>
      </w:pPr>
      <w:r w:rsidRPr="00226D5E">
        <w:rPr>
          <w:noProof/>
          <w:lang w:val="en-GB" w:eastAsia="en-GB"/>
        </w:rPr>
        <w:drawing>
          <wp:inline distT="0" distB="0" distL="0" distR="0">
            <wp:extent cx="2689860" cy="1645920"/>
            <wp:effectExtent l="0" t="0" r="0" b="0"/>
            <wp:docPr id="8" name="Picture 8" descr="NEW-National-decision-mod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National-decision-model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9860" cy="1645920"/>
                    </a:xfrm>
                    <a:prstGeom prst="rect">
                      <a:avLst/>
                    </a:prstGeom>
                    <a:noFill/>
                    <a:ln>
                      <a:noFill/>
                    </a:ln>
                  </pic:spPr>
                </pic:pic>
              </a:graphicData>
            </a:graphic>
          </wp:inline>
        </w:drawing>
      </w:r>
    </w:p>
    <w:p w:rsidR="00D835CC" w:rsidRPr="00226D5E" w:rsidRDefault="00D835CC" w:rsidP="00D835CC">
      <w:pPr>
        <w:jc w:val="both"/>
        <w:rPr>
          <w:rFonts w:ascii="Calibri" w:hAnsi="Calibri"/>
          <w:sz w:val="22"/>
          <w:szCs w:val="22"/>
        </w:rPr>
      </w:pPr>
    </w:p>
    <w:p w:rsidR="00D835CC" w:rsidRPr="00917144" w:rsidRDefault="00D835CC" w:rsidP="00D835CC">
      <w:pPr>
        <w:numPr>
          <w:ilvl w:val="0"/>
          <w:numId w:val="10"/>
        </w:numPr>
        <w:tabs>
          <w:tab w:val="num" w:pos="1080"/>
        </w:tabs>
        <w:suppressAutoHyphens/>
        <w:ind w:left="1080"/>
        <w:jc w:val="both"/>
        <w:rPr>
          <w:rFonts w:ascii="Calibri" w:hAnsi="Calibri"/>
          <w:sz w:val="22"/>
          <w:szCs w:val="22"/>
        </w:rPr>
      </w:pPr>
      <w:r w:rsidRPr="00226D5E">
        <w:rPr>
          <w:rFonts w:ascii="Calibri" w:hAnsi="Calibri"/>
          <w:sz w:val="22"/>
          <w:szCs w:val="22"/>
        </w:rPr>
        <w:t xml:space="preserve">NDM is explained on dedicated intranet pages and posters promoting principles of the Code of Ethics. NDM is </w:t>
      </w:r>
      <w:r w:rsidRPr="00917144">
        <w:rPr>
          <w:rFonts w:ascii="Calibri" w:hAnsi="Calibri"/>
          <w:sz w:val="22"/>
          <w:szCs w:val="22"/>
        </w:rPr>
        <w:t>included in all learning material, selection/promotion processes, on investigators notebooks and pocket books as an aid to regular use and decision making process;</w:t>
      </w:r>
    </w:p>
    <w:p w:rsidR="00D835CC" w:rsidRPr="00917144" w:rsidRDefault="00D835CC" w:rsidP="00D835CC">
      <w:pPr>
        <w:numPr>
          <w:ilvl w:val="0"/>
          <w:numId w:val="10"/>
        </w:numPr>
        <w:tabs>
          <w:tab w:val="num" w:pos="1080"/>
        </w:tabs>
        <w:suppressAutoHyphens/>
        <w:ind w:left="1080"/>
        <w:jc w:val="both"/>
        <w:rPr>
          <w:rFonts w:ascii="Calibri" w:hAnsi="Calibri"/>
          <w:sz w:val="22"/>
          <w:szCs w:val="22"/>
        </w:rPr>
      </w:pPr>
      <w:r w:rsidRPr="00917144">
        <w:rPr>
          <w:rFonts w:ascii="Calibri" w:hAnsi="Calibri"/>
          <w:sz w:val="22"/>
          <w:szCs w:val="22"/>
        </w:rPr>
        <w:t>set strategic direction and priorities via the Chief Officer Group (COG) for Surrey, and the Chief Officer Meeting (COM) for matters across Surrey Police and Sussex Police. The extended Chief Officer Group (ECOG) includes Chief Superintendents and Heads of Department providing a forum to agree changes to policy and practice, and maintain oversight of financial and workforce planning.</w:t>
      </w:r>
    </w:p>
    <w:p w:rsidR="00D835CC" w:rsidRPr="00345718" w:rsidRDefault="00D835CC" w:rsidP="00D835CC">
      <w:pPr>
        <w:numPr>
          <w:ilvl w:val="0"/>
          <w:numId w:val="10"/>
        </w:numPr>
        <w:tabs>
          <w:tab w:val="num" w:pos="1080"/>
        </w:tabs>
        <w:suppressAutoHyphens/>
        <w:ind w:left="1080"/>
        <w:jc w:val="both"/>
        <w:rPr>
          <w:rFonts w:ascii="Calibri" w:hAnsi="Calibri"/>
          <w:sz w:val="22"/>
          <w:szCs w:val="22"/>
        </w:rPr>
      </w:pPr>
      <w:r w:rsidRPr="00917144">
        <w:rPr>
          <w:rFonts w:ascii="Calibri" w:hAnsi="Calibri"/>
          <w:sz w:val="22"/>
          <w:szCs w:val="22"/>
        </w:rPr>
        <w:t>compared performance against peer data as provided by HMICFRS 2019 Value for Money profiles,</w:t>
      </w:r>
      <w:r w:rsidRPr="00917144">
        <w:rPr>
          <w:rStyle w:val="FootnoteReference"/>
          <w:rFonts w:ascii="Calibri" w:hAnsi="Calibri"/>
          <w:sz w:val="22"/>
          <w:szCs w:val="22"/>
        </w:rPr>
        <w:footnoteReference w:id="16"/>
      </w:r>
      <w:r w:rsidRPr="00917144">
        <w:rPr>
          <w:rFonts w:ascii="Calibri" w:hAnsi="Calibri"/>
          <w:sz w:val="22"/>
          <w:szCs w:val="22"/>
        </w:rPr>
        <w:t xml:space="preserve"> seeking improvement</w:t>
      </w:r>
      <w:r w:rsidRPr="00345718">
        <w:rPr>
          <w:rFonts w:ascii="Calibri" w:hAnsi="Calibri"/>
          <w:sz w:val="22"/>
          <w:szCs w:val="22"/>
        </w:rPr>
        <w:t xml:space="preserve"> where best practice was identified;</w:t>
      </w:r>
    </w:p>
    <w:p w:rsidR="00D835CC" w:rsidRPr="00345718" w:rsidRDefault="00D835CC" w:rsidP="00D835CC">
      <w:pPr>
        <w:numPr>
          <w:ilvl w:val="0"/>
          <w:numId w:val="10"/>
        </w:numPr>
        <w:tabs>
          <w:tab w:val="num" w:pos="1080"/>
        </w:tabs>
        <w:suppressAutoHyphens/>
        <w:ind w:left="1080"/>
        <w:jc w:val="both"/>
        <w:rPr>
          <w:rFonts w:ascii="Calibri" w:hAnsi="Calibri"/>
          <w:sz w:val="22"/>
          <w:szCs w:val="22"/>
        </w:rPr>
      </w:pPr>
      <w:r>
        <w:rPr>
          <w:rFonts w:ascii="Calibri" w:hAnsi="Calibri"/>
          <w:sz w:val="22"/>
          <w:szCs w:val="22"/>
        </w:rPr>
        <w:t>e</w:t>
      </w:r>
      <w:r w:rsidRPr="00345718">
        <w:rPr>
          <w:rFonts w:ascii="Calibri" w:hAnsi="Calibri"/>
          <w:sz w:val="22"/>
          <w:szCs w:val="22"/>
        </w:rPr>
        <w:t xml:space="preserve">nsured individual change programmes are built on comprehensive business cases to secure value for money,  effective resources management, and projected benefits; </w:t>
      </w:r>
    </w:p>
    <w:p w:rsidR="00D835CC" w:rsidRDefault="00D835CC" w:rsidP="00D835CC">
      <w:pPr>
        <w:numPr>
          <w:ilvl w:val="0"/>
          <w:numId w:val="10"/>
        </w:numPr>
        <w:tabs>
          <w:tab w:val="num" w:pos="1080"/>
        </w:tabs>
        <w:suppressAutoHyphens/>
        <w:ind w:left="1080"/>
        <w:jc w:val="both"/>
        <w:rPr>
          <w:rFonts w:ascii="Calibri" w:hAnsi="Calibri"/>
          <w:sz w:val="22"/>
          <w:szCs w:val="22"/>
        </w:rPr>
      </w:pPr>
      <w:r>
        <w:rPr>
          <w:rFonts w:ascii="Calibri" w:hAnsi="Calibri"/>
          <w:sz w:val="22"/>
          <w:szCs w:val="22"/>
        </w:rPr>
        <w:t>e</w:t>
      </w:r>
      <w:r w:rsidRPr="00345718">
        <w:rPr>
          <w:rFonts w:ascii="Calibri" w:hAnsi="Calibri"/>
          <w:sz w:val="22"/>
          <w:szCs w:val="22"/>
        </w:rPr>
        <w:t>nsured change programme and project expenditure was</w:t>
      </w:r>
      <w:r>
        <w:rPr>
          <w:rFonts w:ascii="Calibri" w:hAnsi="Calibri"/>
          <w:sz w:val="22"/>
          <w:szCs w:val="22"/>
        </w:rPr>
        <w:t xml:space="preserve"> scrutinised and challenged by c</w:t>
      </w:r>
      <w:r w:rsidRPr="00345718">
        <w:rPr>
          <w:rFonts w:ascii="Calibri" w:hAnsi="Calibri"/>
          <w:sz w:val="22"/>
          <w:szCs w:val="22"/>
        </w:rPr>
        <w:t xml:space="preserve">hief </w:t>
      </w:r>
      <w:r>
        <w:rPr>
          <w:rFonts w:ascii="Calibri" w:hAnsi="Calibri"/>
          <w:sz w:val="22"/>
          <w:szCs w:val="22"/>
        </w:rPr>
        <w:t>o</w:t>
      </w:r>
      <w:r w:rsidRPr="00345718">
        <w:rPr>
          <w:rFonts w:ascii="Calibri" w:hAnsi="Calibri"/>
          <w:sz w:val="22"/>
          <w:szCs w:val="22"/>
        </w:rPr>
        <w:t>fficers via relevant progr</w:t>
      </w:r>
      <w:r>
        <w:rPr>
          <w:rFonts w:ascii="Calibri" w:hAnsi="Calibri"/>
          <w:sz w:val="22"/>
          <w:szCs w:val="22"/>
        </w:rPr>
        <w:t>amme and project boards led by chief o</w:t>
      </w:r>
      <w:r w:rsidRPr="00345718">
        <w:rPr>
          <w:rFonts w:ascii="Calibri" w:hAnsi="Calibri"/>
          <w:sz w:val="22"/>
          <w:szCs w:val="22"/>
        </w:rPr>
        <w:t>fficers;</w:t>
      </w:r>
    </w:p>
    <w:p w:rsidR="00D835CC" w:rsidRPr="00D053E7" w:rsidRDefault="00D835CC" w:rsidP="00D835CC">
      <w:pPr>
        <w:numPr>
          <w:ilvl w:val="0"/>
          <w:numId w:val="10"/>
        </w:numPr>
        <w:tabs>
          <w:tab w:val="num" w:pos="1080"/>
        </w:tabs>
        <w:suppressAutoHyphens/>
        <w:ind w:left="1080"/>
        <w:jc w:val="both"/>
        <w:rPr>
          <w:rFonts w:ascii="Calibri" w:hAnsi="Calibri"/>
          <w:sz w:val="22"/>
          <w:szCs w:val="22"/>
        </w:rPr>
      </w:pPr>
      <w:r>
        <w:rPr>
          <w:rFonts w:ascii="Calibri" w:hAnsi="Calibri"/>
          <w:sz w:val="22"/>
          <w:szCs w:val="22"/>
        </w:rPr>
        <w:t>ensured that there is a process in place between Change Delivery and finance to manage and monitor the delivery of savings, which has been incorporated into the budget setting process.</w:t>
      </w:r>
    </w:p>
    <w:p w:rsidR="00D835CC" w:rsidRDefault="00D835CC" w:rsidP="00D835CC">
      <w:pPr>
        <w:numPr>
          <w:ilvl w:val="0"/>
          <w:numId w:val="10"/>
        </w:numPr>
        <w:tabs>
          <w:tab w:val="num" w:pos="1080"/>
        </w:tabs>
        <w:suppressAutoHyphens/>
        <w:ind w:left="1080"/>
        <w:jc w:val="both"/>
        <w:rPr>
          <w:sz w:val="22"/>
          <w:szCs w:val="22"/>
        </w:rPr>
      </w:pPr>
      <w:r>
        <w:rPr>
          <w:rFonts w:ascii="Calibri" w:hAnsi="Calibri"/>
          <w:sz w:val="22"/>
          <w:szCs w:val="22"/>
        </w:rPr>
        <w:t>e</w:t>
      </w:r>
      <w:r w:rsidRPr="00345718">
        <w:rPr>
          <w:rFonts w:ascii="Calibri" w:hAnsi="Calibri"/>
          <w:sz w:val="22"/>
          <w:szCs w:val="22"/>
        </w:rPr>
        <w:t xml:space="preserve">nsured that a risk management strategy </w:t>
      </w:r>
      <w:r>
        <w:rPr>
          <w:rFonts w:ascii="Calibri" w:hAnsi="Calibri"/>
          <w:sz w:val="22"/>
          <w:szCs w:val="22"/>
        </w:rPr>
        <w:t>and policy is</w:t>
      </w:r>
      <w:r w:rsidRPr="00345718">
        <w:rPr>
          <w:rFonts w:ascii="Calibri" w:hAnsi="Calibri"/>
          <w:sz w:val="22"/>
          <w:szCs w:val="22"/>
        </w:rPr>
        <w:t xml:space="preserve"> embedded in the governance structure and is used effectively to inform and</w:t>
      </w:r>
      <w:r>
        <w:rPr>
          <w:rFonts w:ascii="Calibri" w:hAnsi="Calibri"/>
          <w:sz w:val="22"/>
          <w:szCs w:val="22"/>
        </w:rPr>
        <w:t xml:space="preserve"> focus decision making, including the response to COVID-19;</w:t>
      </w:r>
    </w:p>
    <w:p w:rsidR="00D835CC" w:rsidRPr="000947A4" w:rsidRDefault="00D835CC" w:rsidP="00D835CC">
      <w:pPr>
        <w:numPr>
          <w:ilvl w:val="0"/>
          <w:numId w:val="10"/>
        </w:numPr>
        <w:tabs>
          <w:tab w:val="num" w:pos="1080"/>
        </w:tabs>
        <w:suppressAutoHyphens/>
        <w:ind w:left="1080"/>
        <w:jc w:val="both"/>
        <w:rPr>
          <w:sz w:val="22"/>
          <w:szCs w:val="22"/>
        </w:rPr>
      </w:pPr>
      <w:r w:rsidRPr="000947A4">
        <w:rPr>
          <w:rFonts w:ascii="Calibri" w:hAnsi="Calibri"/>
          <w:sz w:val="22"/>
          <w:szCs w:val="22"/>
        </w:rPr>
        <w:t xml:space="preserve">ensured that effective business continuity arrangements are in place </w:t>
      </w:r>
      <w:r w:rsidRPr="000947A4">
        <w:rPr>
          <w:rFonts w:ascii="Calibri" w:hAnsi="Calibri" w:cs="Times New Roman"/>
          <w:sz w:val="22"/>
          <w:szCs w:val="22"/>
          <w:lang w:eastAsia="en-GB"/>
        </w:rPr>
        <w:t>to meet the requirements outlined in the Civil Contingencies Act 2004.</w:t>
      </w:r>
    </w:p>
    <w:p w:rsidR="00D835CC" w:rsidRPr="00E01AF9" w:rsidRDefault="00D835CC" w:rsidP="00D835CC">
      <w:pPr>
        <w:numPr>
          <w:ilvl w:val="0"/>
          <w:numId w:val="10"/>
        </w:numPr>
        <w:tabs>
          <w:tab w:val="num" w:pos="1080"/>
        </w:tabs>
        <w:suppressAutoHyphens/>
        <w:ind w:left="1080"/>
        <w:jc w:val="both"/>
        <w:rPr>
          <w:sz w:val="22"/>
          <w:szCs w:val="22"/>
        </w:rPr>
      </w:pPr>
      <w:r>
        <w:rPr>
          <w:rFonts w:ascii="Calibri" w:hAnsi="Calibri"/>
          <w:sz w:val="22"/>
          <w:szCs w:val="22"/>
        </w:rPr>
        <w:t xml:space="preserve">ensured data protection and information management policies and strategy are in place to </w:t>
      </w:r>
      <w:r w:rsidRPr="00E01AF9">
        <w:rPr>
          <w:rFonts w:ascii="Calibri" w:hAnsi="Calibri"/>
          <w:sz w:val="22"/>
          <w:szCs w:val="22"/>
        </w:rPr>
        <w:t>ensure that the Force is compliant with General Data Protection Regulation</w:t>
      </w:r>
      <w:r>
        <w:rPr>
          <w:rFonts w:ascii="Calibri" w:hAnsi="Calibri"/>
          <w:sz w:val="22"/>
          <w:szCs w:val="22"/>
        </w:rPr>
        <w:t xml:space="preserve"> (GDPR)</w:t>
      </w:r>
      <w:r w:rsidRPr="00E01AF9">
        <w:rPr>
          <w:rFonts w:ascii="Calibri" w:hAnsi="Calibri"/>
          <w:sz w:val="22"/>
          <w:szCs w:val="22"/>
        </w:rPr>
        <w:t>, which came into force on 25 May 2018, and the Data Protection Act 2018;</w:t>
      </w:r>
    </w:p>
    <w:p w:rsidR="00D835CC" w:rsidRPr="00292DEB" w:rsidRDefault="00D835CC" w:rsidP="00D835CC">
      <w:pPr>
        <w:ind w:left="360"/>
        <w:jc w:val="both"/>
        <w:rPr>
          <w:rFonts w:ascii="Calibri" w:hAnsi="Calibri"/>
          <w:b/>
          <w:i/>
          <w:sz w:val="22"/>
          <w:szCs w:val="22"/>
        </w:rPr>
      </w:pPr>
    </w:p>
    <w:p w:rsidR="00D835CC" w:rsidRPr="007B7C3C" w:rsidRDefault="00D835CC" w:rsidP="00D835CC">
      <w:pPr>
        <w:numPr>
          <w:ilvl w:val="1"/>
          <w:numId w:val="17"/>
        </w:numPr>
        <w:suppressAutoHyphens/>
        <w:jc w:val="both"/>
        <w:rPr>
          <w:rFonts w:ascii="Calibri" w:hAnsi="Calibri"/>
          <w:b/>
          <w:sz w:val="22"/>
          <w:szCs w:val="22"/>
        </w:rPr>
      </w:pPr>
      <w:r w:rsidRPr="000803AE">
        <w:rPr>
          <w:rFonts w:ascii="Calibri" w:hAnsi="Calibri"/>
          <w:b/>
          <w:i/>
          <w:sz w:val="22"/>
          <w:szCs w:val="22"/>
        </w:rPr>
        <w:t>Principle of Good Governance: G</w:t>
      </w:r>
      <w:r w:rsidRPr="000803AE">
        <w:rPr>
          <w:rFonts w:ascii="Calibri" w:hAnsi="Calibri" w:cs="FS Lola"/>
          <w:color w:val="000000"/>
          <w:sz w:val="22"/>
          <w:szCs w:val="22"/>
        </w:rPr>
        <w:t xml:space="preserve"> </w:t>
      </w:r>
      <w:r w:rsidRPr="007B7C3C">
        <w:rPr>
          <w:rFonts w:ascii="Calibri" w:hAnsi="Calibri" w:cs="FS Lola"/>
          <w:b/>
          <w:color w:val="000000"/>
          <w:sz w:val="22"/>
          <w:szCs w:val="22"/>
        </w:rPr>
        <w:t>Implementing good practices in transparency, reporting and audit to deliver effective accountability</w:t>
      </w:r>
      <w:r>
        <w:rPr>
          <w:rFonts w:ascii="Calibri" w:hAnsi="Calibri" w:cs="FS Lola"/>
          <w:b/>
          <w:color w:val="000000"/>
          <w:sz w:val="22"/>
          <w:szCs w:val="22"/>
        </w:rPr>
        <w:t>.</w:t>
      </w:r>
    </w:p>
    <w:p w:rsidR="00D835CC" w:rsidRPr="000803AE" w:rsidRDefault="00D835CC" w:rsidP="00D835CC">
      <w:pPr>
        <w:jc w:val="both"/>
        <w:rPr>
          <w:rFonts w:ascii="Calibri" w:hAnsi="Calibri"/>
          <w:sz w:val="22"/>
          <w:szCs w:val="22"/>
        </w:rPr>
      </w:pPr>
    </w:p>
    <w:p w:rsidR="00D835CC" w:rsidRPr="00D30ED5" w:rsidRDefault="00D835CC" w:rsidP="00D835CC">
      <w:pPr>
        <w:ind w:firstLine="720"/>
        <w:jc w:val="both"/>
        <w:rPr>
          <w:rFonts w:ascii="Calibri" w:hAnsi="Calibri"/>
          <w:b/>
          <w:sz w:val="22"/>
          <w:szCs w:val="22"/>
        </w:rPr>
      </w:pPr>
      <w:r w:rsidRPr="00D30ED5">
        <w:rPr>
          <w:rFonts w:ascii="Calibri" w:hAnsi="Calibri"/>
          <w:sz w:val="22"/>
          <w:szCs w:val="22"/>
        </w:rPr>
        <w:t>To achieve this, the Chief Constable has:</w:t>
      </w:r>
    </w:p>
    <w:p w:rsidR="00D835CC" w:rsidRPr="00345718" w:rsidRDefault="00D835CC" w:rsidP="00D835CC">
      <w:pPr>
        <w:numPr>
          <w:ilvl w:val="0"/>
          <w:numId w:val="10"/>
        </w:numPr>
        <w:tabs>
          <w:tab w:val="num" w:pos="1080"/>
        </w:tabs>
        <w:suppressAutoHyphens/>
        <w:ind w:left="1080"/>
        <w:jc w:val="both"/>
        <w:rPr>
          <w:rFonts w:ascii="Calibri" w:hAnsi="Calibri"/>
          <w:sz w:val="22"/>
          <w:szCs w:val="22"/>
        </w:rPr>
      </w:pPr>
      <w:r>
        <w:rPr>
          <w:rFonts w:ascii="Calibri" w:hAnsi="Calibri"/>
          <w:sz w:val="22"/>
          <w:szCs w:val="22"/>
        </w:rPr>
        <w:t>e</w:t>
      </w:r>
      <w:r w:rsidRPr="00345718">
        <w:rPr>
          <w:rFonts w:ascii="Calibri" w:hAnsi="Calibri"/>
          <w:sz w:val="22"/>
          <w:szCs w:val="22"/>
        </w:rPr>
        <w:t>nsured that the Force undergoes extensive int</w:t>
      </w:r>
      <w:r w:rsidRPr="001E150D">
        <w:rPr>
          <w:rFonts w:ascii="Calibri" w:hAnsi="Calibri"/>
          <w:sz w:val="22"/>
          <w:szCs w:val="22"/>
        </w:rPr>
        <w:t>ernal and external inspection and that the results of these inspections area available on line;</w:t>
      </w:r>
      <w:r>
        <w:rPr>
          <w:rFonts w:ascii="Calibri" w:hAnsi="Calibri"/>
          <w:sz w:val="22"/>
          <w:szCs w:val="22"/>
        </w:rPr>
        <w:t xml:space="preserve"> </w:t>
      </w:r>
    </w:p>
    <w:p w:rsidR="00D835CC" w:rsidRPr="00233561" w:rsidRDefault="00D835CC" w:rsidP="00D835CC">
      <w:pPr>
        <w:numPr>
          <w:ilvl w:val="0"/>
          <w:numId w:val="10"/>
        </w:numPr>
        <w:tabs>
          <w:tab w:val="num" w:pos="1080"/>
        </w:tabs>
        <w:suppressAutoHyphens/>
        <w:ind w:left="1080"/>
        <w:jc w:val="both"/>
        <w:rPr>
          <w:rFonts w:ascii="Calibri" w:hAnsi="Calibri"/>
          <w:sz w:val="22"/>
          <w:szCs w:val="22"/>
        </w:rPr>
      </w:pPr>
      <w:r>
        <w:rPr>
          <w:rFonts w:ascii="Calibri" w:hAnsi="Calibri"/>
          <w:sz w:val="22"/>
          <w:szCs w:val="22"/>
        </w:rPr>
        <w:t>ensured that i</w:t>
      </w:r>
      <w:r w:rsidRPr="00345718">
        <w:rPr>
          <w:rFonts w:ascii="Calibri" w:hAnsi="Calibri"/>
          <w:sz w:val="22"/>
          <w:szCs w:val="22"/>
        </w:rPr>
        <w:t xml:space="preserve">nternal audit is provided through a managed service contract with </w:t>
      </w:r>
      <w:r>
        <w:rPr>
          <w:rFonts w:ascii="Calibri" w:hAnsi="Calibri"/>
          <w:sz w:val="22"/>
          <w:szCs w:val="22"/>
        </w:rPr>
        <w:t>the Southern Internal Audit Partnership</w:t>
      </w:r>
      <w:r w:rsidRPr="00345718">
        <w:rPr>
          <w:rFonts w:ascii="Calibri" w:hAnsi="Calibri"/>
          <w:sz w:val="22"/>
          <w:szCs w:val="22"/>
        </w:rPr>
        <w:t xml:space="preserve"> and regular updates are provided </w:t>
      </w:r>
      <w:r w:rsidRPr="00233561">
        <w:rPr>
          <w:rFonts w:ascii="Calibri" w:hAnsi="Calibri"/>
          <w:sz w:val="22"/>
          <w:szCs w:val="22"/>
        </w:rPr>
        <w:t>to the Joint Audit Committee</w:t>
      </w:r>
      <w:r w:rsidRPr="00233561">
        <w:rPr>
          <w:rStyle w:val="FootnoteReference"/>
          <w:rFonts w:ascii="Calibri" w:hAnsi="Calibri"/>
          <w:sz w:val="22"/>
          <w:szCs w:val="22"/>
        </w:rPr>
        <w:footnoteReference w:id="17"/>
      </w:r>
      <w:r w:rsidRPr="00233561">
        <w:rPr>
          <w:rFonts w:ascii="Calibri" w:hAnsi="Calibri"/>
          <w:sz w:val="22"/>
          <w:szCs w:val="22"/>
        </w:rPr>
        <w:t>;</w:t>
      </w:r>
    </w:p>
    <w:p w:rsidR="00D835CC" w:rsidRPr="007A6B5E" w:rsidRDefault="00D835CC" w:rsidP="00D835CC">
      <w:pPr>
        <w:numPr>
          <w:ilvl w:val="0"/>
          <w:numId w:val="10"/>
        </w:numPr>
        <w:tabs>
          <w:tab w:val="num" w:pos="1080"/>
        </w:tabs>
        <w:suppressAutoHyphens/>
        <w:ind w:left="1080"/>
        <w:jc w:val="both"/>
        <w:rPr>
          <w:rFonts w:ascii="Calibri" w:hAnsi="Calibri"/>
          <w:sz w:val="22"/>
          <w:szCs w:val="22"/>
        </w:rPr>
      </w:pPr>
      <w:r>
        <w:rPr>
          <w:rFonts w:ascii="Calibri" w:hAnsi="Calibri"/>
          <w:sz w:val="22"/>
          <w:szCs w:val="22"/>
        </w:rPr>
        <w:t>e</w:t>
      </w:r>
      <w:r w:rsidRPr="00345718">
        <w:rPr>
          <w:rFonts w:ascii="Calibri" w:hAnsi="Calibri"/>
          <w:sz w:val="22"/>
          <w:szCs w:val="22"/>
        </w:rPr>
        <w:t xml:space="preserve">nsured that information is published to allow appropriate </w:t>
      </w:r>
      <w:r w:rsidRPr="007A6B5E">
        <w:rPr>
          <w:rFonts w:ascii="Calibri" w:hAnsi="Calibri"/>
          <w:sz w:val="22"/>
          <w:szCs w:val="22"/>
        </w:rPr>
        <w:t>scrutiny of decision making</w:t>
      </w:r>
      <w:r w:rsidRPr="007A6B5E">
        <w:rPr>
          <w:rStyle w:val="FootnoteReference"/>
          <w:rFonts w:ascii="Calibri" w:hAnsi="Calibri"/>
          <w:sz w:val="22"/>
          <w:szCs w:val="22"/>
        </w:rPr>
        <w:footnoteReference w:id="18"/>
      </w:r>
      <w:r w:rsidRPr="007A6B5E">
        <w:rPr>
          <w:rFonts w:ascii="Calibri" w:hAnsi="Calibri"/>
          <w:sz w:val="22"/>
          <w:szCs w:val="22"/>
        </w:rPr>
        <w:t xml:space="preserve">; </w:t>
      </w:r>
    </w:p>
    <w:p w:rsidR="00D835CC" w:rsidRPr="007A6B5E" w:rsidRDefault="00D835CC" w:rsidP="00D835CC">
      <w:pPr>
        <w:numPr>
          <w:ilvl w:val="0"/>
          <w:numId w:val="10"/>
        </w:numPr>
        <w:tabs>
          <w:tab w:val="num" w:pos="1080"/>
        </w:tabs>
        <w:suppressAutoHyphens/>
        <w:ind w:left="1080"/>
        <w:jc w:val="both"/>
        <w:rPr>
          <w:rFonts w:ascii="Calibri" w:hAnsi="Calibri"/>
          <w:sz w:val="22"/>
          <w:szCs w:val="22"/>
        </w:rPr>
      </w:pPr>
      <w:r>
        <w:rPr>
          <w:rFonts w:ascii="Calibri" w:hAnsi="Calibri"/>
          <w:sz w:val="22"/>
          <w:szCs w:val="22"/>
        </w:rPr>
        <w:t>e</w:t>
      </w:r>
      <w:r w:rsidRPr="00345718">
        <w:rPr>
          <w:rFonts w:ascii="Calibri" w:hAnsi="Calibri"/>
          <w:sz w:val="22"/>
          <w:szCs w:val="22"/>
        </w:rPr>
        <w:t xml:space="preserve">nsured that the public are able to attend police disciplinary </w:t>
      </w:r>
      <w:r w:rsidRPr="007A6B5E">
        <w:rPr>
          <w:rFonts w:ascii="Calibri" w:hAnsi="Calibri"/>
          <w:sz w:val="22"/>
          <w:szCs w:val="22"/>
        </w:rPr>
        <w:t>hearings to observe proceedings</w:t>
      </w:r>
      <w:r w:rsidRPr="007A6B5E">
        <w:rPr>
          <w:rStyle w:val="FootnoteReference"/>
          <w:rFonts w:ascii="Calibri" w:hAnsi="Calibri"/>
          <w:sz w:val="22"/>
          <w:szCs w:val="22"/>
        </w:rPr>
        <w:footnoteReference w:id="19"/>
      </w:r>
      <w:r w:rsidRPr="007A6B5E">
        <w:rPr>
          <w:rFonts w:ascii="Calibri" w:hAnsi="Calibri"/>
          <w:sz w:val="22"/>
          <w:szCs w:val="22"/>
        </w:rPr>
        <w:t xml:space="preserve"> </w:t>
      </w:r>
    </w:p>
    <w:p w:rsidR="00D835CC" w:rsidRPr="007A6B5E" w:rsidRDefault="00D835CC" w:rsidP="00D835CC">
      <w:pPr>
        <w:numPr>
          <w:ilvl w:val="0"/>
          <w:numId w:val="10"/>
        </w:numPr>
        <w:tabs>
          <w:tab w:val="num" w:pos="1080"/>
        </w:tabs>
        <w:suppressAutoHyphens/>
        <w:ind w:left="1080"/>
        <w:jc w:val="both"/>
        <w:rPr>
          <w:sz w:val="22"/>
          <w:szCs w:val="22"/>
        </w:rPr>
      </w:pPr>
      <w:r w:rsidRPr="007A6B5E">
        <w:rPr>
          <w:rFonts w:ascii="Calibri" w:hAnsi="Calibri"/>
          <w:sz w:val="22"/>
          <w:szCs w:val="22"/>
        </w:rPr>
        <w:t>continued to support the work of the Joint Audit Committee in its role of monitoring Force governance and internal control.</w:t>
      </w:r>
    </w:p>
    <w:p w:rsidR="00D835CC" w:rsidRPr="000803AE" w:rsidRDefault="00D835CC" w:rsidP="00D835CC">
      <w:pPr>
        <w:autoSpaceDE w:val="0"/>
        <w:jc w:val="both"/>
        <w:rPr>
          <w:rFonts w:ascii="Calibri" w:hAnsi="Calibri"/>
          <w:sz w:val="22"/>
          <w:szCs w:val="22"/>
        </w:rPr>
      </w:pPr>
    </w:p>
    <w:p w:rsidR="00D835CC" w:rsidRPr="002F4708" w:rsidRDefault="00D835CC" w:rsidP="00D835CC">
      <w:pPr>
        <w:shd w:val="clear" w:color="auto" w:fill="0070C0"/>
        <w:jc w:val="both"/>
        <w:rPr>
          <w:rFonts w:ascii="Calibri" w:hAnsi="Calibri"/>
          <w:b/>
          <w:color w:val="FFFFFF"/>
          <w:sz w:val="22"/>
          <w:szCs w:val="22"/>
        </w:rPr>
      </w:pPr>
      <w:r>
        <w:rPr>
          <w:rFonts w:ascii="Calibri" w:hAnsi="Calibri"/>
          <w:b/>
          <w:color w:val="FFFFFF"/>
          <w:sz w:val="22"/>
          <w:szCs w:val="22"/>
        </w:rPr>
        <w:t>6</w:t>
      </w:r>
      <w:r w:rsidRPr="00481D6C">
        <w:rPr>
          <w:rFonts w:ascii="Calibri" w:hAnsi="Calibri"/>
          <w:b/>
          <w:color w:val="FFFFFF"/>
          <w:sz w:val="22"/>
          <w:szCs w:val="22"/>
        </w:rPr>
        <w:tab/>
      </w:r>
      <w:r w:rsidRPr="002F4708">
        <w:rPr>
          <w:rFonts w:ascii="Calibri" w:hAnsi="Calibri"/>
          <w:b/>
          <w:color w:val="FFFFFF"/>
          <w:sz w:val="22"/>
          <w:szCs w:val="22"/>
        </w:rPr>
        <w:t>Review of Effectiveness</w:t>
      </w:r>
    </w:p>
    <w:p w:rsidR="00D835CC" w:rsidRPr="0001003B" w:rsidRDefault="00D835CC" w:rsidP="00D835CC">
      <w:pPr>
        <w:ind w:left="720"/>
        <w:jc w:val="both"/>
        <w:rPr>
          <w:rFonts w:ascii="Calibri" w:hAnsi="Calibri"/>
          <w:sz w:val="22"/>
          <w:szCs w:val="22"/>
        </w:rPr>
      </w:pPr>
    </w:p>
    <w:p w:rsidR="00D835CC" w:rsidRPr="0001003B" w:rsidRDefault="00D835CC" w:rsidP="00D835CC">
      <w:pPr>
        <w:pStyle w:val="ListParagraph"/>
        <w:numPr>
          <w:ilvl w:val="0"/>
          <w:numId w:val="9"/>
        </w:numPr>
        <w:tabs>
          <w:tab w:val="num" w:pos="360"/>
        </w:tabs>
        <w:suppressAutoHyphens/>
        <w:ind w:left="360"/>
        <w:contextualSpacing w:val="0"/>
        <w:jc w:val="both"/>
        <w:rPr>
          <w:rFonts w:ascii="Calibri" w:hAnsi="Calibri"/>
          <w:vanish/>
          <w:color w:val="000000"/>
          <w:sz w:val="22"/>
          <w:szCs w:val="22"/>
        </w:rPr>
      </w:pPr>
    </w:p>
    <w:p w:rsidR="00D835CC" w:rsidRPr="0001003B" w:rsidRDefault="00D835CC" w:rsidP="00D835CC">
      <w:pPr>
        <w:pStyle w:val="ListParagraph"/>
        <w:numPr>
          <w:ilvl w:val="0"/>
          <w:numId w:val="9"/>
        </w:numPr>
        <w:tabs>
          <w:tab w:val="num" w:pos="360"/>
        </w:tabs>
        <w:suppressAutoHyphens/>
        <w:ind w:left="360"/>
        <w:contextualSpacing w:val="0"/>
        <w:jc w:val="both"/>
        <w:rPr>
          <w:rFonts w:ascii="Calibri" w:hAnsi="Calibri"/>
          <w:vanish/>
          <w:color w:val="000000"/>
          <w:sz w:val="22"/>
          <w:szCs w:val="22"/>
        </w:rPr>
      </w:pPr>
    </w:p>
    <w:p w:rsidR="00D835CC" w:rsidRPr="0058717A" w:rsidRDefault="00DA4E8D" w:rsidP="00DA4E8D">
      <w:pPr>
        <w:suppressAutoHyphens/>
        <w:ind w:left="720" w:hanging="720"/>
        <w:jc w:val="both"/>
        <w:rPr>
          <w:rFonts w:ascii="Calibri" w:hAnsi="Calibri"/>
          <w:sz w:val="22"/>
          <w:szCs w:val="22"/>
        </w:rPr>
      </w:pPr>
      <w:r>
        <w:rPr>
          <w:rFonts w:ascii="Calibri" w:hAnsi="Calibri"/>
          <w:color w:val="000000"/>
          <w:sz w:val="22"/>
          <w:szCs w:val="22"/>
        </w:rPr>
        <w:t>6.1</w:t>
      </w:r>
      <w:r>
        <w:rPr>
          <w:rFonts w:ascii="Calibri" w:hAnsi="Calibri"/>
          <w:color w:val="000000"/>
          <w:sz w:val="22"/>
          <w:szCs w:val="22"/>
        </w:rPr>
        <w:tab/>
      </w:r>
      <w:r w:rsidR="00D835CC" w:rsidRPr="00345718">
        <w:rPr>
          <w:rFonts w:ascii="Calibri" w:hAnsi="Calibri"/>
          <w:color w:val="000000"/>
          <w:sz w:val="22"/>
          <w:szCs w:val="22"/>
        </w:rPr>
        <w:t xml:space="preserve">The Chief Constable has responsibility for conducting a regular review of the effectiveness of the governance framework, including the system of internal audit and control. </w:t>
      </w:r>
      <w:r w:rsidR="00D835CC" w:rsidRPr="00345718">
        <w:rPr>
          <w:rFonts w:ascii="Calibri" w:hAnsi="Calibri"/>
          <w:sz w:val="22"/>
          <w:szCs w:val="22"/>
        </w:rPr>
        <w:t xml:space="preserve">This annual governance statement provides a summary of activities undertaken and areas for </w:t>
      </w:r>
      <w:r w:rsidR="00D835CC">
        <w:rPr>
          <w:rFonts w:ascii="Calibri" w:hAnsi="Calibri"/>
          <w:sz w:val="22"/>
          <w:szCs w:val="22"/>
        </w:rPr>
        <w:t xml:space="preserve">continuous </w:t>
      </w:r>
      <w:r w:rsidR="00D835CC" w:rsidRPr="00345718">
        <w:rPr>
          <w:rFonts w:ascii="Calibri" w:hAnsi="Calibri"/>
          <w:sz w:val="22"/>
          <w:szCs w:val="22"/>
        </w:rPr>
        <w:t xml:space="preserve">improvement </w:t>
      </w:r>
      <w:r w:rsidR="00D835CC">
        <w:rPr>
          <w:rFonts w:ascii="Calibri" w:hAnsi="Calibri"/>
          <w:sz w:val="22"/>
          <w:szCs w:val="22"/>
        </w:rPr>
        <w:t xml:space="preserve">identified </w:t>
      </w:r>
      <w:r w:rsidR="00D835CC" w:rsidRPr="0058717A">
        <w:rPr>
          <w:rFonts w:ascii="Calibri" w:hAnsi="Calibri"/>
          <w:sz w:val="22"/>
          <w:szCs w:val="22"/>
        </w:rPr>
        <w:t>through the Force review of the governance arrangements; these have been included in the action plan for 2020-21.</w:t>
      </w:r>
    </w:p>
    <w:p w:rsidR="00D835CC" w:rsidRPr="00345718" w:rsidRDefault="00D835CC" w:rsidP="00D835CC">
      <w:pPr>
        <w:jc w:val="both"/>
        <w:rPr>
          <w:rFonts w:ascii="Calibri" w:hAnsi="Calibri"/>
          <w:color w:val="000000"/>
          <w:sz w:val="22"/>
          <w:szCs w:val="22"/>
        </w:rPr>
      </w:pPr>
    </w:p>
    <w:p w:rsidR="00D835CC" w:rsidRPr="002D7A76" w:rsidRDefault="00DA4E8D" w:rsidP="00DA4E8D">
      <w:pPr>
        <w:suppressAutoHyphens/>
        <w:ind w:left="720" w:hanging="720"/>
        <w:jc w:val="both"/>
        <w:rPr>
          <w:rFonts w:ascii="Calibri" w:hAnsi="Calibri"/>
          <w:sz w:val="22"/>
          <w:szCs w:val="22"/>
        </w:rPr>
      </w:pPr>
      <w:r>
        <w:rPr>
          <w:rFonts w:ascii="Calibri" w:hAnsi="Calibri"/>
          <w:sz w:val="22"/>
          <w:szCs w:val="22"/>
        </w:rPr>
        <w:t>6.2</w:t>
      </w:r>
      <w:r>
        <w:rPr>
          <w:rFonts w:ascii="Calibri" w:hAnsi="Calibri"/>
          <w:sz w:val="22"/>
          <w:szCs w:val="22"/>
        </w:rPr>
        <w:tab/>
      </w:r>
      <w:r w:rsidR="00D835CC" w:rsidRPr="002D7A76">
        <w:rPr>
          <w:rFonts w:ascii="Calibri" w:hAnsi="Calibri"/>
          <w:sz w:val="22"/>
          <w:szCs w:val="22"/>
        </w:rPr>
        <w:t xml:space="preserve">This review has been co-ordinated by the Corporate Finance team and informed by senior managers across the Force in order to assess the Force compliance with the CIPFA guidance. </w:t>
      </w:r>
    </w:p>
    <w:p w:rsidR="00D835CC" w:rsidRPr="002D7A76" w:rsidRDefault="00D835CC" w:rsidP="00D835CC">
      <w:pPr>
        <w:ind w:left="720"/>
        <w:jc w:val="both"/>
        <w:rPr>
          <w:rFonts w:ascii="Calibri" w:hAnsi="Calibri"/>
          <w:sz w:val="22"/>
          <w:szCs w:val="22"/>
        </w:rPr>
      </w:pPr>
    </w:p>
    <w:p w:rsidR="00D835CC" w:rsidRPr="002D7A76" w:rsidRDefault="00DA4E8D" w:rsidP="00DA4E8D">
      <w:pPr>
        <w:suppressAutoHyphens/>
        <w:ind w:left="720" w:hanging="720"/>
        <w:jc w:val="both"/>
        <w:rPr>
          <w:rFonts w:ascii="Calibri" w:hAnsi="Calibri"/>
          <w:sz w:val="22"/>
          <w:szCs w:val="22"/>
        </w:rPr>
      </w:pPr>
      <w:r>
        <w:rPr>
          <w:rFonts w:ascii="Calibri" w:hAnsi="Calibri"/>
          <w:sz w:val="22"/>
          <w:szCs w:val="22"/>
        </w:rPr>
        <w:t>6.3</w:t>
      </w:r>
      <w:r>
        <w:rPr>
          <w:rFonts w:ascii="Calibri" w:hAnsi="Calibri"/>
          <w:sz w:val="22"/>
          <w:szCs w:val="22"/>
        </w:rPr>
        <w:tab/>
      </w:r>
      <w:r w:rsidR="00D835CC" w:rsidRPr="002D7A76">
        <w:rPr>
          <w:rFonts w:ascii="Calibri" w:hAnsi="Calibri"/>
          <w:sz w:val="22"/>
          <w:szCs w:val="22"/>
        </w:rPr>
        <w:t xml:space="preserve">The review of the evidence for the effectiveness of the governance framework, to confirm that the current arrangements are fit for purpose, are presented to meetings of the Force Organisational Reassurance Board and the Joint Audit Committee. The review also provided updates and confirmation regarding the completion of areas for improvement identified in 2018-19 annual governance statement. </w:t>
      </w:r>
    </w:p>
    <w:p w:rsidR="00D835CC" w:rsidRPr="002D7A76" w:rsidRDefault="00D835CC" w:rsidP="00D835CC">
      <w:pPr>
        <w:ind w:left="720"/>
        <w:jc w:val="both"/>
        <w:rPr>
          <w:rFonts w:ascii="Calibri" w:hAnsi="Calibri"/>
          <w:sz w:val="22"/>
          <w:szCs w:val="22"/>
        </w:rPr>
      </w:pPr>
    </w:p>
    <w:p w:rsidR="00D835CC" w:rsidRPr="00345718" w:rsidRDefault="00DA4E8D" w:rsidP="00DA4E8D">
      <w:pPr>
        <w:suppressAutoHyphens/>
        <w:ind w:left="720" w:hanging="720"/>
        <w:jc w:val="both"/>
        <w:rPr>
          <w:rFonts w:ascii="Calibri" w:hAnsi="Calibri"/>
          <w:color w:val="000000"/>
          <w:sz w:val="22"/>
          <w:szCs w:val="22"/>
        </w:rPr>
      </w:pPr>
      <w:r>
        <w:rPr>
          <w:rFonts w:ascii="Calibri" w:hAnsi="Calibri"/>
          <w:sz w:val="22"/>
          <w:szCs w:val="22"/>
        </w:rPr>
        <w:t>6.4</w:t>
      </w:r>
      <w:r>
        <w:rPr>
          <w:rFonts w:ascii="Calibri" w:hAnsi="Calibri"/>
          <w:sz w:val="22"/>
          <w:szCs w:val="22"/>
        </w:rPr>
        <w:tab/>
      </w:r>
      <w:r w:rsidR="00D835CC" w:rsidRPr="002D7A76">
        <w:rPr>
          <w:rFonts w:ascii="Calibri" w:hAnsi="Calibri"/>
          <w:sz w:val="22"/>
          <w:szCs w:val="22"/>
        </w:rPr>
        <w:t>Assessments and recommendations made by the internal and external auditors and other review a</w:t>
      </w:r>
      <w:r w:rsidR="00D835CC" w:rsidRPr="00345718">
        <w:rPr>
          <w:rFonts w:ascii="Calibri" w:hAnsi="Calibri"/>
          <w:sz w:val="22"/>
          <w:szCs w:val="22"/>
        </w:rPr>
        <w:t xml:space="preserve">gencies and inspectorates have also informed this review. </w:t>
      </w:r>
    </w:p>
    <w:p w:rsidR="00D835CC" w:rsidRPr="00345718" w:rsidRDefault="00D835CC" w:rsidP="00D835CC">
      <w:pPr>
        <w:ind w:left="720"/>
        <w:jc w:val="both"/>
        <w:rPr>
          <w:rFonts w:ascii="Calibri" w:hAnsi="Calibri"/>
          <w:color w:val="000000"/>
          <w:sz w:val="22"/>
          <w:szCs w:val="22"/>
        </w:rPr>
      </w:pPr>
    </w:p>
    <w:p w:rsidR="00D835CC" w:rsidRPr="00345718" w:rsidRDefault="00DA4E8D" w:rsidP="00DA4E8D">
      <w:pPr>
        <w:suppressAutoHyphens/>
        <w:ind w:left="720" w:hanging="720"/>
        <w:jc w:val="both"/>
        <w:rPr>
          <w:rFonts w:ascii="Calibri" w:hAnsi="Calibri"/>
          <w:color w:val="000000"/>
          <w:sz w:val="22"/>
          <w:szCs w:val="22"/>
        </w:rPr>
      </w:pPr>
      <w:r>
        <w:rPr>
          <w:rFonts w:ascii="Calibri" w:hAnsi="Calibri"/>
          <w:color w:val="000000"/>
          <w:sz w:val="22"/>
          <w:szCs w:val="22"/>
        </w:rPr>
        <w:t>6.5</w:t>
      </w:r>
      <w:r>
        <w:rPr>
          <w:rFonts w:ascii="Calibri" w:hAnsi="Calibri"/>
          <w:color w:val="000000"/>
          <w:sz w:val="22"/>
          <w:szCs w:val="22"/>
        </w:rPr>
        <w:tab/>
      </w:r>
      <w:r w:rsidR="00D835CC" w:rsidRPr="00345718">
        <w:rPr>
          <w:rFonts w:ascii="Calibri" w:hAnsi="Calibri"/>
          <w:color w:val="000000"/>
          <w:sz w:val="22"/>
          <w:szCs w:val="22"/>
        </w:rPr>
        <w:t xml:space="preserve">The Joint Audit Committee has been consulted on the development of the annual governance statement. </w:t>
      </w:r>
      <w:r w:rsidR="00D835CC">
        <w:rPr>
          <w:rFonts w:ascii="Calibri" w:hAnsi="Calibri"/>
          <w:color w:val="000000"/>
          <w:sz w:val="22"/>
          <w:szCs w:val="22"/>
        </w:rPr>
        <w:t>The final statement is</w:t>
      </w:r>
      <w:r w:rsidR="00D835CC" w:rsidRPr="00345718">
        <w:rPr>
          <w:rFonts w:ascii="Calibri" w:hAnsi="Calibri"/>
          <w:color w:val="000000"/>
          <w:sz w:val="22"/>
          <w:szCs w:val="22"/>
        </w:rPr>
        <w:t xml:space="preserve"> considered at its meeting for recommendation for approval by the Chief Constable. The Committee </w:t>
      </w:r>
      <w:r w:rsidR="00D835CC">
        <w:rPr>
          <w:rFonts w:ascii="Calibri" w:hAnsi="Calibri"/>
          <w:color w:val="000000"/>
          <w:sz w:val="22"/>
          <w:szCs w:val="22"/>
        </w:rPr>
        <w:t xml:space="preserve">aims to </w:t>
      </w:r>
      <w:r w:rsidR="00D835CC" w:rsidRPr="00345718">
        <w:rPr>
          <w:rFonts w:ascii="Calibri" w:hAnsi="Calibri"/>
          <w:color w:val="000000"/>
          <w:sz w:val="22"/>
          <w:szCs w:val="22"/>
        </w:rPr>
        <w:t xml:space="preserve">ensure </w:t>
      </w:r>
      <w:r w:rsidR="00D835CC">
        <w:rPr>
          <w:rFonts w:ascii="Calibri" w:hAnsi="Calibri"/>
          <w:color w:val="000000"/>
          <w:sz w:val="22"/>
          <w:szCs w:val="22"/>
        </w:rPr>
        <w:t xml:space="preserve">that </w:t>
      </w:r>
      <w:r w:rsidR="00D835CC" w:rsidRPr="00345718">
        <w:rPr>
          <w:rFonts w:ascii="Calibri" w:hAnsi="Calibri"/>
          <w:color w:val="000000"/>
          <w:sz w:val="22"/>
          <w:szCs w:val="22"/>
        </w:rPr>
        <w:t>there is continuous improvement in the process and endorses the resulting annual action plan.</w:t>
      </w:r>
      <w:r w:rsidR="00D835CC">
        <w:rPr>
          <w:rFonts w:ascii="Calibri" w:hAnsi="Calibri"/>
          <w:color w:val="000000"/>
          <w:sz w:val="22"/>
          <w:szCs w:val="22"/>
        </w:rPr>
        <w:t xml:space="preserve">  Regular u</w:t>
      </w:r>
      <w:r w:rsidR="00D835CC" w:rsidRPr="00345718">
        <w:rPr>
          <w:rFonts w:ascii="Calibri" w:hAnsi="Calibri"/>
          <w:color w:val="000000"/>
          <w:sz w:val="22"/>
          <w:szCs w:val="22"/>
        </w:rPr>
        <w:t>pdates on progress to address the areas for improvement are provided to the Committee.</w:t>
      </w:r>
    </w:p>
    <w:p w:rsidR="00D835CC" w:rsidRPr="00345718" w:rsidRDefault="00D835CC" w:rsidP="00D835CC">
      <w:pPr>
        <w:jc w:val="both"/>
        <w:rPr>
          <w:rFonts w:ascii="Calibri" w:hAnsi="Calibri"/>
          <w:color w:val="000000"/>
          <w:sz w:val="22"/>
          <w:szCs w:val="22"/>
        </w:rPr>
      </w:pPr>
    </w:p>
    <w:p w:rsidR="00D835CC" w:rsidRDefault="00DA4E8D" w:rsidP="00DA4E8D">
      <w:pPr>
        <w:suppressAutoHyphens/>
        <w:ind w:left="720" w:hanging="720"/>
        <w:jc w:val="both"/>
        <w:rPr>
          <w:rFonts w:ascii="Calibri" w:hAnsi="Calibri"/>
          <w:sz w:val="22"/>
          <w:szCs w:val="22"/>
        </w:rPr>
      </w:pPr>
      <w:r>
        <w:rPr>
          <w:rFonts w:ascii="Calibri" w:hAnsi="Calibri"/>
          <w:color w:val="000000"/>
          <w:sz w:val="22"/>
          <w:szCs w:val="22"/>
        </w:rPr>
        <w:t>6.6</w:t>
      </w:r>
      <w:r>
        <w:rPr>
          <w:rFonts w:ascii="Calibri" w:hAnsi="Calibri"/>
          <w:color w:val="000000"/>
          <w:sz w:val="22"/>
          <w:szCs w:val="22"/>
        </w:rPr>
        <w:tab/>
      </w:r>
      <w:r w:rsidR="00D835CC" w:rsidRPr="00345718">
        <w:rPr>
          <w:rFonts w:ascii="Calibri" w:hAnsi="Calibri"/>
          <w:color w:val="000000"/>
          <w:sz w:val="22"/>
          <w:szCs w:val="22"/>
        </w:rPr>
        <w:t xml:space="preserve">A process is established to ensure the Chief Constable and </w:t>
      </w:r>
      <w:r w:rsidR="00D835CC">
        <w:rPr>
          <w:rFonts w:ascii="Calibri" w:hAnsi="Calibri"/>
          <w:color w:val="000000"/>
          <w:sz w:val="22"/>
          <w:szCs w:val="22"/>
        </w:rPr>
        <w:t>Surrey</w:t>
      </w:r>
      <w:r w:rsidR="00D835CC" w:rsidRPr="00345718">
        <w:rPr>
          <w:rFonts w:ascii="Calibri" w:hAnsi="Calibri"/>
          <w:color w:val="000000"/>
          <w:sz w:val="22"/>
          <w:szCs w:val="22"/>
        </w:rPr>
        <w:t xml:space="preserve"> PCC, approve and sign off the annual governance statement</w:t>
      </w:r>
      <w:r w:rsidR="00D835CC" w:rsidRPr="00345718">
        <w:rPr>
          <w:rFonts w:ascii="Calibri" w:hAnsi="Calibri"/>
          <w:sz w:val="22"/>
          <w:szCs w:val="22"/>
        </w:rPr>
        <w:t>, in accordance with the CIPFA guidance.</w:t>
      </w:r>
    </w:p>
    <w:p w:rsidR="00D835CC" w:rsidRDefault="00D835CC" w:rsidP="00D835CC">
      <w:pPr>
        <w:jc w:val="both"/>
        <w:rPr>
          <w:rFonts w:ascii="Calibri" w:hAnsi="Calibri"/>
          <w:sz w:val="22"/>
          <w:szCs w:val="22"/>
        </w:rPr>
      </w:pPr>
    </w:p>
    <w:p w:rsidR="00C5423F" w:rsidRPr="002F4708" w:rsidRDefault="00C5423F" w:rsidP="00C5423F">
      <w:pPr>
        <w:shd w:val="clear" w:color="auto" w:fill="0070C0"/>
        <w:jc w:val="both"/>
        <w:rPr>
          <w:rFonts w:ascii="Calibri" w:hAnsi="Calibri"/>
          <w:b/>
          <w:color w:val="FFFFFF"/>
          <w:sz w:val="22"/>
          <w:szCs w:val="22"/>
        </w:rPr>
      </w:pPr>
      <w:r>
        <w:rPr>
          <w:rFonts w:ascii="Calibri" w:hAnsi="Calibri"/>
          <w:b/>
          <w:color w:val="FFFFFF"/>
          <w:sz w:val="22"/>
          <w:szCs w:val="22"/>
        </w:rPr>
        <w:t>7</w:t>
      </w:r>
      <w:r w:rsidRPr="00481D6C">
        <w:rPr>
          <w:rFonts w:ascii="Calibri" w:hAnsi="Calibri"/>
          <w:b/>
          <w:color w:val="FFFFFF"/>
          <w:sz w:val="22"/>
          <w:szCs w:val="22"/>
        </w:rPr>
        <w:tab/>
      </w:r>
      <w:r>
        <w:rPr>
          <w:rFonts w:ascii="Calibri" w:hAnsi="Calibri"/>
          <w:b/>
          <w:color w:val="FFFFFF"/>
          <w:sz w:val="22"/>
          <w:szCs w:val="22"/>
        </w:rPr>
        <w:t>Internal Audit Opinion</w:t>
      </w:r>
    </w:p>
    <w:p w:rsidR="00C5423F" w:rsidRPr="002E3D0B" w:rsidRDefault="00C5423F" w:rsidP="00C5423F">
      <w:pPr>
        <w:jc w:val="both"/>
        <w:rPr>
          <w:sz w:val="22"/>
          <w:szCs w:val="22"/>
        </w:rPr>
      </w:pPr>
    </w:p>
    <w:p w:rsidR="00C5423F" w:rsidRDefault="00C5423F" w:rsidP="00C5423F">
      <w:pPr>
        <w:ind w:left="709" w:hanging="709"/>
        <w:jc w:val="both"/>
        <w:rPr>
          <w:rFonts w:ascii="Calibri" w:hAnsi="Calibri"/>
          <w:bCs/>
          <w:sz w:val="22"/>
          <w:szCs w:val="22"/>
        </w:rPr>
      </w:pPr>
      <w:r>
        <w:rPr>
          <w:rFonts w:ascii="Calibri" w:hAnsi="Calibri"/>
          <w:bCs/>
          <w:sz w:val="22"/>
          <w:szCs w:val="22"/>
        </w:rPr>
        <w:t>7</w:t>
      </w:r>
      <w:r w:rsidRPr="00345718">
        <w:rPr>
          <w:rFonts w:ascii="Calibri" w:hAnsi="Calibri"/>
          <w:bCs/>
          <w:sz w:val="22"/>
          <w:szCs w:val="22"/>
        </w:rPr>
        <w:t>.1</w:t>
      </w:r>
      <w:r w:rsidRPr="00345718">
        <w:rPr>
          <w:rFonts w:ascii="Calibri" w:hAnsi="Calibri"/>
          <w:bCs/>
          <w:sz w:val="22"/>
          <w:szCs w:val="22"/>
        </w:rPr>
        <w:tab/>
      </w:r>
      <w:r w:rsidRPr="00D51E3B">
        <w:rPr>
          <w:rFonts w:ascii="Calibri" w:hAnsi="Calibri"/>
          <w:sz w:val="22"/>
          <w:szCs w:val="22"/>
          <w:lang w:eastAsia="en-GB"/>
        </w:rPr>
        <w:t>The CIPFA code requires Internal Audit to provide an opinion on the overall adequacy and effectiveness of the governance framework.  That opinion is provided below:</w:t>
      </w:r>
    </w:p>
    <w:p w:rsidR="00C5423F" w:rsidRDefault="00C5423F" w:rsidP="00C5423F">
      <w:pPr>
        <w:ind w:left="709" w:hanging="709"/>
        <w:jc w:val="both"/>
        <w:rPr>
          <w:rFonts w:ascii="Calibri" w:hAnsi="Calibri"/>
          <w:bCs/>
          <w:sz w:val="22"/>
          <w:szCs w:val="22"/>
        </w:rPr>
      </w:pPr>
    </w:p>
    <w:p w:rsidR="00C5423F" w:rsidRPr="009D78BB" w:rsidRDefault="00C5423F" w:rsidP="00C5423F">
      <w:pPr>
        <w:ind w:left="709"/>
        <w:jc w:val="both"/>
        <w:rPr>
          <w:rFonts w:ascii="Calibri" w:hAnsi="Calibri"/>
          <w:b/>
          <w:sz w:val="22"/>
          <w:szCs w:val="22"/>
          <w:lang w:eastAsia="en-GB"/>
        </w:rPr>
      </w:pPr>
      <w:r>
        <w:rPr>
          <w:rFonts w:ascii="Calibri" w:hAnsi="Calibri"/>
          <w:b/>
          <w:sz w:val="22"/>
          <w:szCs w:val="22"/>
          <w:lang w:eastAsia="en-GB"/>
        </w:rPr>
        <w:t>Annual Internal Audit O</w:t>
      </w:r>
      <w:r w:rsidRPr="00D51E3B">
        <w:rPr>
          <w:rFonts w:ascii="Calibri" w:hAnsi="Calibri"/>
          <w:b/>
          <w:sz w:val="22"/>
          <w:szCs w:val="22"/>
          <w:lang w:eastAsia="en-GB"/>
        </w:rPr>
        <w:t>pinion</w:t>
      </w:r>
      <w:r>
        <w:rPr>
          <w:rFonts w:ascii="Calibri" w:hAnsi="Calibri"/>
          <w:b/>
          <w:sz w:val="22"/>
          <w:szCs w:val="22"/>
          <w:lang w:eastAsia="en-GB"/>
        </w:rPr>
        <w:t xml:space="preserve"> 2019-20</w:t>
      </w:r>
      <w:r w:rsidRPr="00D51E3B">
        <w:rPr>
          <w:rFonts w:ascii="Calibri" w:hAnsi="Calibri"/>
          <w:b/>
          <w:sz w:val="22"/>
          <w:szCs w:val="22"/>
          <w:lang w:eastAsia="en-GB"/>
        </w:rPr>
        <w:t>:</w:t>
      </w:r>
    </w:p>
    <w:p w:rsidR="00C5423F" w:rsidRDefault="00C5423F" w:rsidP="00C5423F">
      <w:pPr>
        <w:ind w:left="709"/>
        <w:jc w:val="both"/>
        <w:rPr>
          <w:rFonts w:ascii="Calibri" w:hAnsi="Calibri"/>
          <w:color w:val="FF0000"/>
          <w:sz w:val="22"/>
          <w:szCs w:val="22"/>
          <w:lang w:eastAsia="en-GB"/>
        </w:rPr>
      </w:pPr>
      <w:r w:rsidRPr="00ED2551">
        <w:rPr>
          <w:rFonts w:ascii="Calibri" w:hAnsi="Calibri"/>
          <w:sz w:val="22"/>
          <w:szCs w:val="22"/>
          <w:lang w:eastAsia="en-GB"/>
        </w:rPr>
        <w:t>For t</w:t>
      </w:r>
      <w:r>
        <w:rPr>
          <w:rFonts w:ascii="Calibri" w:hAnsi="Calibri"/>
          <w:sz w:val="22"/>
          <w:szCs w:val="22"/>
          <w:lang w:eastAsia="en-GB"/>
        </w:rPr>
        <w:t>he 12 months ended 31 March 2020</w:t>
      </w:r>
      <w:r w:rsidRPr="00ED2551">
        <w:rPr>
          <w:rFonts w:ascii="Calibri" w:hAnsi="Calibri"/>
          <w:sz w:val="22"/>
          <w:szCs w:val="22"/>
          <w:lang w:eastAsia="en-GB"/>
        </w:rPr>
        <w:t xml:space="preserve">, the Chief Internal Auditor’s opinion for </w:t>
      </w:r>
      <w:r>
        <w:rPr>
          <w:rFonts w:ascii="Calibri" w:hAnsi="Calibri"/>
          <w:sz w:val="22"/>
          <w:szCs w:val="22"/>
          <w:lang w:eastAsia="en-GB"/>
        </w:rPr>
        <w:t>Surrey</w:t>
      </w:r>
      <w:r w:rsidRPr="00ED2551">
        <w:rPr>
          <w:rFonts w:ascii="Calibri" w:hAnsi="Calibri"/>
          <w:sz w:val="22"/>
          <w:szCs w:val="22"/>
          <w:lang w:eastAsia="en-GB"/>
        </w:rPr>
        <w:t xml:space="preserve"> Police Force is as </w:t>
      </w:r>
      <w:r w:rsidRPr="00B75DDA">
        <w:rPr>
          <w:rFonts w:ascii="Calibri" w:hAnsi="Calibri"/>
          <w:sz w:val="22"/>
          <w:szCs w:val="22"/>
          <w:lang w:eastAsia="en-GB"/>
        </w:rPr>
        <w:t>follows</w:t>
      </w:r>
      <w:r w:rsidRPr="00B75DDA">
        <w:rPr>
          <w:rStyle w:val="FootnoteReference"/>
          <w:rFonts w:ascii="Calibri" w:hAnsi="Calibri"/>
          <w:sz w:val="22"/>
          <w:szCs w:val="22"/>
        </w:rPr>
        <w:footnoteReference w:id="20"/>
      </w:r>
      <w:r w:rsidRPr="00B75DDA">
        <w:rPr>
          <w:rFonts w:ascii="Calibri" w:hAnsi="Calibri"/>
          <w:sz w:val="22"/>
          <w:szCs w:val="22"/>
          <w:lang w:eastAsia="en-GB"/>
        </w:rPr>
        <w:t>:</w:t>
      </w:r>
      <w:r>
        <w:rPr>
          <w:rFonts w:ascii="Calibri" w:hAnsi="Calibri"/>
          <w:sz w:val="22"/>
          <w:szCs w:val="22"/>
          <w:lang w:eastAsia="en-GB"/>
        </w:rPr>
        <w:t xml:space="preserve"> </w:t>
      </w:r>
    </w:p>
    <w:p w:rsidR="00C5423F" w:rsidRDefault="00C5423F" w:rsidP="00C5423F">
      <w:pPr>
        <w:autoSpaceDE w:val="0"/>
        <w:jc w:val="both"/>
        <w:rPr>
          <w:rFonts w:ascii="Calibri" w:hAnsi="Calibri"/>
          <w:sz w:val="22"/>
          <w:szCs w:val="22"/>
        </w:rPr>
      </w:pPr>
    </w:p>
    <w:p w:rsidR="00C5423F" w:rsidRDefault="00C5423F" w:rsidP="00C5423F">
      <w:pPr>
        <w:autoSpaceDE w:val="0"/>
        <w:ind w:left="709" w:firstLine="11"/>
        <w:jc w:val="both"/>
        <w:rPr>
          <w:rFonts w:ascii="Calibri" w:hAnsi="Calibri"/>
          <w:i/>
          <w:sz w:val="22"/>
          <w:szCs w:val="22"/>
        </w:rPr>
      </w:pPr>
      <w:r>
        <w:rPr>
          <w:rFonts w:ascii="Calibri" w:hAnsi="Calibri"/>
          <w:i/>
          <w:sz w:val="22"/>
          <w:szCs w:val="22"/>
        </w:rPr>
        <w:t>“I am satisfied that sufficient assurance work has been carried out to allow me to form a reasonable conclusion on the adequacy and effectiveness of the internal control environment.</w:t>
      </w:r>
    </w:p>
    <w:p w:rsidR="00C5423F" w:rsidRDefault="00C5423F" w:rsidP="00C5423F">
      <w:pPr>
        <w:autoSpaceDE w:val="0"/>
        <w:jc w:val="both"/>
        <w:rPr>
          <w:rFonts w:ascii="Calibri" w:hAnsi="Calibri"/>
          <w:i/>
          <w:sz w:val="22"/>
          <w:szCs w:val="22"/>
        </w:rPr>
      </w:pPr>
      <w:r>
        <w:rPr>
          <w:rFonts w:ascii="Calibri" w:hAnsi="Calibri"/>
          <w:i/>
          <w:sz w:val="22"/>
          <w:szCs w:val="22"/>
        </w:rPr>
        <w:tab/>
      </w:r>
    </w:p>
    <w:p w:rsidR="00C5423F" w:rsidRDefault="00C5423F" w:rsidP="00C5423F">
      <w:pPr>
        <w:autoSpaceDE w:val="0"/>
        <w:ind w:left="709"/>
        <w:jc w:val="both"/>
        <w:rPr>
          <w:rFonts w:ascii="Calibri" w:hAnsi="Calibri"/>
          <w:i/>
          <w:sz w:val="22"/>
          <w:szCs w:val="22"/>
        </w:rPr>
      </w:pPr>
      <w:r>
        <w:rPr>
          <w:rFonts w:ascii="Calibri" w:hAnsi="Calibri"/>
          <w:i/>
          <w:sz w:val="22"/>
          <w:szCs w:val="22"/>
        </w:rPr>
        <w:tab/>
        <w:t>In my opinion I can give limited assurance over the framework of governance, risk management and management control based on the audit work undertaken during the year.</w:t>
      </w:r>
    </w:p>
    <w:p w:rsidR="00C5423F" w:rsidRDefault="00C5423F" w:rsidP="00C5423F">
      <w:pPr>
        <w:autoSpaceDE w:val="0"/>
        <w:ind w:left="709"/>
        <w:jc w:val="both"/>
        <w:rPr>
          <w:rFonts w:ascii="Calibri" w:hAnsi="Calibri"/>
          <w:i/>
          <w:sz w:val="22"/>
          <w:szCs w:val="22"/>
        </w:rPr>
      </w:pPr>
    </w:p>
    <w:p w:rsidR="00C5423F" w:rsidRDefault="00C5423F" w:rsidP="00C5423F">
      <w:pPr>
        <w:autoSpaceDE w:val="0"/>
        <w:ind w:left="709"/>
        <w:jc w:val="both"/>
        <w:rPr>
          <w:rFonts w:ascii="Calibri" w:hAnsi="Calibri"/>
          <w:i/>
          <w:sz w:val="22"/>
          <w:szCs w:val="22"/>
        </w:rPr>
      </w:pPr>
      <w:r>
        <w:rPr>
          <w:rFonts w:ascii="Calibri" w:hAnsi="Calibri"/>
          <w:i/>
          <w:sz w:val="22"/>
          <w:szCs w:val="22"/>
        </w:rPr>
        <w:t>Historically there has been very little assurance work completed in the collaborative area of IT and following our appointment from April 2019, a joint internal audit plan was agreed with Sussex Police to address this going forwards. The results of the IT related reviews conducted during the year are the primary reason for this limited assurance opinion as outlined in section 5 below, given that this is such a critical area of control.</w:t>
      </w:r>
    </w:p>
    <w:p w:rsidR="00C5423F" w:rsidRDefault="00C5423F" w:rsidP="00C5423F">
      <w:pPr>
        <w:autoSpaceDE w:val="0"/>
        <w:ind w:left="709"/>
        <w:jc w:val="both"/>
        <w:rPr>
          <w:rFonts w:ascii="Calibri" w:hAnsi="Calibri"/>
          <w:i/>
          <w:sz w:val="22"/>
          <w:szCs w:val="22"/>
        </w:rPr>
      </w:pPr>
    </w:p>
    <w:p w:rsidR="00C5423F" w:rsidRDefault="00C5423F" w:rsidP="00C5423F">
      <w:pPr>
        <w:autoSpaceDE w:val="0"/>
        <w:ind w:left="709"/>
        <w:jc w:val="both"/>
        <w:rPr>
          <w:rFonts w:ascii="Calibri" w:hAnsi="Calibri"/>
          <w:i/>
          <w:sz w:val="22"/>
          <w:szCs w:val="22"/>
        </w:rPr>
      </w:pPr>
      <w:r>
        <w:rPr>
          <w:rFonts w:ascii="Calibri" w:hAnsi="Calibri"/>
          <w:i/>
          <w:sz w:val="22"/>
          <w:szCs w:val="22"/>
        </w:rPr>
        <w:t>Where weaknesses have been identified through internal audit review, we have worked with management to agree appropriate corrective actions and a timescale for improvement.”</w:t>
      </w:r>
    </w:p>
    <w:p w:rsidR="00C5423F" w:rsidRPr="00B75DDA" w:rsidRDefault="00C5423F" w:rsidP="00C5423F">
      <w:pPr>
        <w:autoSpaceDE w:val="0"/>
        <w:jc w:val="both"/>
        <w:rPr>
          <w:rFonts w:ascii="Calibri" w:hAnsi="Calibri"/>
          <w:i/>
          <w:sz w:val="22"/>
          <w:szCs w:val="22"/>
        </w:rPr>
      </w:pPr>
      <w:r>
        <w:rPr>
          <w:rFonts w:ascii="Calibri" w:hAnsi="Calibri"/>
          <w:i/>
          <w:sz w:val="22"/>
          <w:szCs w:val="22"/>
        </w:rPr>
        <w:t xml:space="preserve"> </w:t>
      </w:r>
    </w:p>
    <w:p w:rsidR="00C5423F" w:rsidRDefault="00C5423F" w:rsidP="00C5423F">
      <w:pPr>
        <w:ind w:left="709" w:hanging="709"/>
        <w:jc w:val="both"/>
        <w:rPr>
          <w:rFonts w:ascii="Calibri" w:hAnsi="Calibri"/>
          <w:sz w:val="22"/>
          <w:szCs w:val="22"/>
          <w:lang w:eastAsia="en-GB"/>
        </w:rPr>
      </w:pPr>
      <w:r w:rsidRPr="002D7A76">
        <w:rPr>
          <w:rFonts w:ascii="Calibri" w:hAnsi="Calibri"/>
          <w:bCs/>
          <w:sz w:val="22"/>
          <w:szCs w:val="22"/>
        </w:rPr>
        <w:t>7.2</w:t>
      </w:r>
      <w:r w:rsidRPr="002D7A76">
        <w:rPr>
          <w:rFonts w:ascii="Calibri" w:hAnsi="Calibri"/>
          <w:bCs/>
          <w:sz w:val="22"/>
          <w:szCs w:val="22"/>
        </w:rPr>
        <w:tab/>
      </w:r>
      <w:r>
        <w:rPr>
          <w:rFonts w:ascii="Calibri" w:hAnsi="Calibri"/>
          <w:sz w:val="22"/>
          <w:szCs w:val="22"/>
          <w:lang w:eastAsia="en-GB"/>
        </w:rPr>
        <w:t>Section 5 – Key observations (Extract from the Annual Internal Audit Report &amp; Opinion 2019-20)</w:t>
      </w:r>
    </w:p>
    <w:p w:rsidR="00C5423F" w:rsidRDefault="00C5423F" w:rsidP="00C5423F">
      <w:pPr>
        <w:ind w:left="709" w:hanging="709"/>
        <w:jc w:val="both"/>
        <w:rPr>
          <w:rFonts w:ascii="Calibri" w:hAnsi="Calibri"/>
          <w:sz w:val="22"/>
          <w:szCs w:val="22"/>
          <w:lang w:eastAsia="en-GB"/>
        </w:rPr>
      </w:pPr>
      <w:r w:rsidRPr="002D7A76">
        <w:rPr>
          <w:rFonts w:ascii="Calibri" w:hAnsi="Calibri"/>
          <w:sz w:val="22"/>
          <w:szCs w:val="22"/>
          <w:lang w:eastAsia="en-GB"/>
        </w:rPr>
        <w:t xml:space="preserve"> </w:t>
      </w:r>
    </w:p>
    <w:p w:rsidR="00C5423F" w:rsidRDefault="00C5423F" w:rsidP="00C5423F">
      <w:pPr>
        <w:ind w:left="709" w:hanging="709"/>
        <w:jc w:val="both"/>
        <w:rPr>
          <w:rFonts w:ascii="Calibri" w:hAnsi="Calibri"/>
          <w:sz w:val="22"/>
          <w:szCs w:val="22"/>
          <w:lang w:eastAsia="en-GB"/>
        </w:rPr>
      </w:pPr>
      <w:r>
        <w:rPr>
          <w:rFonts w:ascii="Calibri" w:hAnsi="Calibri"/>
          <w:sz w:val="22"/>
          <w:szCs w:val="22"/>
          <w:lang w:eastAsia="en-GB"/>
        </w:rPr>
        <w:tab/>
        <w:t>There were some areas identified that provide challenge to the organisations’ risk environment. Where our work identified risks that we considered fell outside the parameters acceptable to the PCC and Chief Constable, we agreed appropriate corrective actions and a timescale for improvement with the responsible managers. The implementation of these actions has been tracked by the Joint Audit Committee throughout the year through their review of the quarterly internal audit progress reports and reports from management which provide an update on any overdue actions.</w:t>
      </w:r>
    </w:p>
    <w:p w:rsidR="00C5423F" w:rsidRDefault="00C5423F" w:rsidP="00C5423F">
      <w:pPr>
        <w:ind w:left="709" w:hanging="709"/>
        <w:jc w:val="both"/>
        <w:rPr>
          <w:rFonts w:ascii="Calibri" w:hAnsi="Calibri"/>
          <w:sz w:val="22"/>
          <w:szCs w:val="22"/>
          <w:lang w:eastAsia="en-GB"/>
        </w:rPr>
      </w:pPr>
      <w:r>
        <w:rPr>
          <w:rFonts w:ascii="Calibri" w:hAnsi="Calibri"/>
          <w:sz w:val="22"/>
          <w:szCs w:val="22"/>
          <w:lang w:eastAsia="en-GB"/>
        </w:rPr>
        <w:tab/>
      </w:r>
    </w:p>
    <w:p w:rsidR="00C5423F" w:rsidRDefault="00C5423F" w:rsidP="00C5423F">
      <w:pPr>
        <w:ind w:left="709" w:hanging="709"/>
        <w:jc w:val="both"/>
        <w:rPr>
          <w:rFonts w:ascii="Calibri" w:hAnsi="Calibri"/>
          <w:sz w:val="22"/>
          <w:szCs w:val="22"/>
          <w:lang w:eastAsia="en-GB"/>
        </w:rPr>
      </w:pPr>
      <w:r>
        <w:rPr>
          <w:rFonts w:ascii="Calibri" w:hAnsi="Calibri"/>
          <w:sz w:val="22"/>
          <w:szCs w:val="22"/>
          <w:lang w:eastAsia="en-GB"/>
        </w:rPr>
        <w:tab/>
        <w:t>Prior to commencement of our work with Surrey Police in April 2019, we raised concerns regarding the historic level of assurance work completed in the collaborative area of IT. As a result, during 2018-19 a full IT needs assessment was commissioned by Sussex Police and shared with Surrey Police to inform future internal audit plans. The 2019-20 joint internal audit plan with Sussex Police included the first full year of delivery against this assessment, resulting in a significant increase in audit activity in this area.</w:t>
      </w:r>
    </w:p>
    <w:p w:rsidR="00C5423F" w:rsidRDefault="00C5423F" w:rsidP="00C5423F">
      <w:pPr>
        <w:ind w:left="709" w:hanging="709"/>
        <w:jc w:val="both"/>
        <w:rPr>
          <w:rFonts w:ascii="Calibri" w:hAnsi="Calibri"/>
          <w:sz w:val="22"/>
          <w:szCs w:val="22"/>
          <w:lang w:eastAsia="en-GB"/>
        </w:rPr>
      </w:pPr>
      <w:r>
        <w:rPr>
          <w:rFonts w:ascii="Calibri" w:hAnsi="Calibri"/>
          <w:sz w:val="22"/>
          <w:szCs w:val="22"/>
          <w:lang w:eastAsia="en-GB"/>
        </w:rPr>
        <w:tab/>
      </w:r>
    </w:p>
    <w:p w:rsidR="00C5423F" w:rsidRDefault="00C5423F" w:rsidP="00C5423F">
      <w:pPr>
        <w:ind w:left="709" w:hanging="709"/>
        <w:jc w:val="both"/>
        <w:rPr>
          <w:rFonts w:ascii="Calibri" w:hAnsi="Calibri"/>
          <w:sz w:val="22"/>
          <w:szCs w:val="22"/>
          <w:lang w:eastAsia="en-GB"/>
        </w:rPr>
      </w:pPr>
      <w:r>
        <w:rPr>
          <w:rFonts w:ascii="Calibri" w:hAnsi="Calibri"/>
          <w:sz w:val="22"/>
          <w:szCs w:val="22"/>
          <w:lang w:eastAsia="en-GB"/>
        </w:rPr>
        <w:tab/>
        <w:t>Despite full support from senior managers, due to changes in key personnel and pressures within the team, we experienced significant delays in completing the work in this area, and at the time of writing this annual report four reviews were still in progress (cyber security; disaster recovery and business continuity; application management; commercial unit). All four of the IT related reviews that were completed results in a limited assurance opinion. In my opinion this is reflective of a combination of pressures within the team, staff turnover and the very limited audit scrutiny in recent years, leading to control and compliance issues. This in turn increases the risk in this critical area which underpins all business systems and processes.</w:t>
      </w:r>
    </w:p>
    <w:p w:rsidR="00C5423F" w:rsidRDefault="00C5423F" w:rsidP="00C5423F">
      <w:pPr>
        <w:ind w:left="709" w:hanging="709"/>
        <w:jc w:val="both"/>
        <w:rPr>
          <w:rFonts w:ascii="Calibri" w:hAnsi="Calibri"/>
          <w:sz w:val="22"/>
          <w:szCs w:val="22"/>
          <w:lang w:eastAsia="en-GB"/>
        </w:rPr>
      </w:pPr>
    </w:p>
    <w:p w:rsidR="00C5423F" w:rsidRDefault="00C5423F" w:rsidP="00C5423F">
      <w:pPr>
        <w:ind w:left="709" w:hanging="709"/>
        <w:jc w:val="both"/>
        <w:rPr>
          <w:rFonts w:ascii="Calibri" w:hAnsi="Calibri"/>
          <w:sz w:val="22"/>
          <w:szCs w:val="22"/>
          <w:lang w:eastAsia="en-GB"/>
        </w:rPr>
      </w:pPr>
      <w:r>
        <w:rPr>
          <w:rFonts w:ascii="Calibri" w:hAnsi="Calibri"/>
          <w:sz w:val="22"/>
          <w:szCs w:val="22"/>
          <w:lang w:eastAsia="en-GB"/>
        </w:rPr>
        <w:tab/>
        <w:t>Limited assurance was also provided in four other areas during the year as outlined in Appendix A, however I do not consider the issues raised in these reviews to be significant in the context of the overall governance, risk management and control system.</w:t>
      </w:r>
    </w:p>
    <w:p w:rsidR="00C5423F" w:rsidRDefault="00C5423F" w:rsidP="00C5423F">
      <w:pPr>
        <w:ind w:left="709" w:hanging="709"/>
        <w:jc w:val="both"/>
        <w:rPr>
          <w:rFonts w:ascii="Calibri" w:hAnsi="Calibri"/>
          <w:sz w:val="22"/>
          <w:szCs w:val="22"/>
          <w:lang w:eastAsia="en-GB"/>
        </w:rPr>
      </w:pPr>
    </w:p>
    <w:p w:rsidR="00C5423F" w:rsidRDefault="00C5423F" w:rsidP="00C5423F">
      <w:pPr>
        <w:ind w:left="709" w:hanging="709"/>
        <w:jc w:val="both"/>
        <w:rPr>
          <w:rFonts w:ascii="Calibri" w:hAnsi="Calibri"/>
          <w:sz w:val="22"/>
          <w:szCs w:val="22"/>
          <w:lang w:eastAsia="en-GB"/>
        </w:rPr>
      </w:pPr>
      <w:r>
        <w:rPr>
          <w:rFonts w:ascii="Calibri" w:hAnsi="Calibri"/>
          <w:sz w:val="22"/>
          <w:szCs w:val="22"/>
          <w:lang w:eastAsia="en-GB"/>
        </w:rPr>
        <w:tab/>
        <w:t>Although the PCC and Chief Constable continue to work on a Tri-Force endeavor with Sussex and Thames Valley Police and Police and Crime Commissioners to develop the Equip programme, the project continues to experience significant delays. Equip is a large and complex undertaking, working with KPMG and Microsoft to develop solutions and at the time of writing continues to experience a cost over-run primarily due to the delay in implementation.</w:t>
      </w:r>
    </w:p>
    <w:p w:rsidR="00C5423F" w:rsidRDefault="00C5423F" w:rsidP="00C5423F">
      <w:pPr>
        <w:ind w:left="709" w:hanging="709"/>
        <w:jc w:val="both"/>
        <w:rPr>
          <w:rFonts w:ascii="Calibri" w:hAnsi="Calibri"/>
          <w:sz w:val="22"/>
          <w:szCs w:val="22"/>
          <w:lang w:eastAsia="en-GB"/>
        </w:rPr>
      </w:pPr>
    </w:p>
    <w:p w:rsidR="00154A58" w:rsidRDefault="00C5423F" w:rsidP="00C5423F">
      <w:pPr>
        <w:ind w:left="709" w:hanging="709"/>
        <w:jc w:val="both"/>
        <w:rPr>
          <w:rFonts w:ascii="Calibri" w:hAnsi="Calibri"/>
          <w:sz w:val="22"/>
          <w:szCs w:val="22"/>
          <w:lang w:eastAsia="en-GB"/>
        </w:rPr>
      </w:pPr>
      <w:r>
        <w:rPr>
          <w:rFonts w:ascii="Calibri" w:hAnsi="Calibri"/>
          <w:sz w:val="22"/>
          <w:szCs w:val="22"/>
          <w:lang w:eastAsia="en-GB"/>
        </w:rPr>
        <w:tab/>
        <w:t xml:space="preserve">Following the appointment of the new SRO during the year, the respective roles and expectations of the in-house team and the supplier have been reviewed and a further review of the delivery plan and timescales for implementation is underway. Regular reports on the progress and issues experienced by the project are presented to the Joint Audit Committee. The PCC and Chief Constable made arrangements with specialist advisers to provide assurance over the governance and project management arrangements for this programme and as a result this has not featured heavily in the internal audit plan to date. </w:t>
      </w:r>
    </w:p>
    <w:p w:rsidR="00154A58" w:rsidRDefault="00154A58" w:rsidP="00EA146B">
      <w:pPr>
        <w:ind w:left="709"/>
        <w:jc w:val="both"/>
        <w:rPr>
          <w:rFonts w:ascii="Calibri" w:hAnsi="Calibri"/>
          <w:sz w:val="22"/>
          <w:szCs w:val="22"/>
          <w:lang w:eastAsia="en-GB"/>
        </w:rPr>
      </w:pPr>
    </w:p>
    <w:p w:rsidR="00C5423F" w:rsidRDefault="00C5423F" w:rsidP="00EA146B">
      <w:pPr>
        <w:ind w:left="709"/>
        <w:jc w:val="both"/>
        <w:rPr>
          <w:rFonts w:ascii="Calibri" w:hAnsi="Calibri"/>
          <w:sz w:val="22"/>
          <w:szCs w:val="22"/>
          <w:lang w:eastAsia="en-GB"/>
        </w:rPr>
      </w:pPr>
      <w:r>
        <w:rPr>
          <w:rFonts w:ascii="Calibri" w:hAnsi="Calibri"/>
          <w:sz w:val="22"/>
          <w:szCs w:val="22"/>
          <w:lang w:eastAsia="en-GB"/>
        </w:rPr>
        <w:t>Once the programme moves towards implementation, however, it will feature heavily in the shared internal audit plan with Sussex Police to provide ongoing assurance that the controls in place, following the system and process changes, are adequate.</w:t>
      </w:r>
    </w:p>
    <w:p w:rsidR="00D835CC" w:rsidRPr="000803AE" w:rsidRDefault="00D835CC" w:rsidP="00D835CC">
      <w:pPr>
        <w:autoSpaceDE w:val="0"/>
        <w:jc w:val="both"/>
        <w:rPr>
          <w:rFonts w:ascii="Calibri" w:hAnsi="Calibri"/>
          <w:sz w:val="22"/>
          <w:szCs w:val="22"/>
        </w:rPr>
      </w:pPr>
    </w:p>
    <w:p w:rsidR="00D835CC" w:rsidRPr="002F4708" w:rsidRDefault="00C5423F" w:rsidP="00D835CC">
      <w:pPr>
        <w:shd w:val="clear" w:color="auto" w:fill="0070C0"/>
        <w:jc w:val="both"/>
        <w:rPr>
          <w:rFonts w:ascii="Calibri" w:hAnsi="Calibri"/>
          <w:b/>
          <w:color w:val="FFFFFF"/>
          <w:sz w:val="22"/>
          <w:szCs w:val="22"/>
        </w:rPr>
      </w:pPr>
      <w:r>
        <w:rPr>
          <w:rFonts w:ascii="Calibri" w:hAnsi="Calibri"/>
          <w:b/>
          <w:color w:val="FFFFFF"/>
          <w:sz w:val="22"/>
          <w:szCs w:val="22"/>
        </w:rPr>
        <w:t>8</w:t>
      </w:r>
      <w:r w:rsidR="00D835CC" w:rsidRPr="00481D6C">
        <w:rPr>
          <w:rFonts w:ascii="Calibri" w:hAnsi="Calibri"/>
          <w:b/>
          <w:color w:val="FFFFFF"/>
          <w:sz w:val="22"/>
          <w:szCs w:val="22"/>
        </w:rPr>
        <w:tab/>
      </w:r>
      <w:r w:rsidR="00D835CC">
        <w:rPr>
          <w:rFonts w:ascii="Calibri" w:hAnsi="Calibri"/>
          <w:b/>
          <w:color w:val="FFFFFF"/>
          <w:sz w:val="22"/>
          <w:szCs w:val="22"/>
        </w:rPr>
        <w:t>Governance Issues</w:t>
      </w:r>
    </w:p>
    <w:p w:rsidR="00D835CC" w:rsidRPr="002E3D0B" w:rsidRDefault="00D835CC" w:rsidP="00D835CC">
      <w:pPr>
        <w:jc w:val="both"/>
        <w:rPr>
          <w:sz w:val="22"/>
          <w:szCs w:val="22"/>
        </w:rPr>
      </w:pPr>
    </w:p>
    <w:p w:rsidR="00D835CC" w:rsidRDefault="00C5423F" w:rsidP="00D835CC">
      <w:pPr>
        <w:ind w:left="709" w:hanging="709"/>
        <w:jc w:val="both"/>
        <w:rPr>
          <w:rFonts w:ascii="Calibri" w:hAnsi="Calibri"/>
          <w:bCs/>
          <w:sz w:val="22"/>
          <w:szCs w:val="22"/>
        </w:rPr>
      </w:pPr>
      <w:r>
        <w:rPr>
          <w:rFonts w:ascii="Calibri" w:hAnsi="Calibri"/>
          <w:bCs/>
          <w:sz w:val="22"/>
          <w:szCs w:val="22"/>
        </w:rPr>
        <w:t>8</w:t>
      </w:r>
      <w:r w:rsidR="00D835CC" w:rsidRPr="00345718">
        <w:rPr>
          <w:rFonts w:ascii="Calibri" w:hAnsi="Calibri"/>
          <w:bCs/>
          <w:sz w:val="22"/>
          <w:szCs w:val="22"/>
        </w:rPr>
        <w:t>.1</w:t>
      </w:r>
      <w:r w:rsidR="00D835CC" w:rsidRPr="00345718">
        <w:rPr>
          <w:rFonts w:ascii="Calibri" w:hAnsi="Calibri"/>
          <w:bCs/>
          <w:sz w:val="22"/>
          <w:szCs w:val="22"/>
        </w:rPr>
        <w:tab/>
      </w:r>
      <w:r w:rsidR="00D835CC" w:rsidRPr="00345718">
        <w:rPr>
          <w:rFonts w:ascii="Calibri" w:hAnsi="Calibri"/>
          <w:sz w:val="22"/>
          <w:szCs w:val="22"/>
        </w:rPr>
        <w:t xml:space="preserve">No significant concerns were </w:t>
      </w:r>
      <w:r w:rsidR="00D835CC">
        <w:rPr>
          <w:rFonts w:ascii="Calibri" w:hAnsi="Calibri"/>
          <w:sz w:val="22"/>
          <w:szCs w:val="22"/>
        </w:rPr>
        <w:t>raised during the internal review</w:t>
      </w:r>
      <w:r w:rsidR="00D835CC" w:rsidRPr="00345718">
        <w:rPr>
          <w:rFonts w:ascii="Calibri" w:hAnsi="Calibri"/>
          <w:sz w:val="22"/>
          <w:szCs w:val="22"/>
        </w:rPr>
        <w:t xml:space="preserve"> of the </w:t>
      </w:r>
      <w:r w:rsidR="00D835CC">
        <w:rPr>
          <w:rFonts w:ascii="Calibri" w:hAnsi="Calibri"/>
          <w:sz w:val="22"/>
          <w:szCs w:val="22"/>
        </w:rPr>
        <w:t xml:space="preserve">effectiveness of </w:t>
      </w:r>
      <w:r w:rsidR="00D835CC" w:rsidRPr="00345718">
        <w:rPr>
          <w:rFonts w:ascii="Calibri" w:hAnsi="Calibri"/>
          <w:sz w:val="22"/>
          <w:szCs w:val="22"/>
        </w:rPr>
        <w:t>governan</w:t>
      </w:r>
      <w:r w:rsidR="00D835CC">
        <w:rPr>
          <w:rFonts w:ascii="Calibri" w:hAnsi="Calibri"/>
          <w:sz w:val="22"/>
          <w:szCs w:val="22"/>
        </w:rPr>
        <w:t xml:space="preserve">ce arrangements </w:t>
      </w:r>
      <w:r w:rsidR="00D835CC" w:rsidRPr="00345718">
        <w:rPr>
          <w:rFonts w:ascii="Calibri" w:hAnsi="Calibri"/>
          <w:sz w:val="22"/>
          <w:szCs w:val="22"/>
        </w:rPr>
        <w:t xml:space="preserve">however, </w:t>
      </w:r>
      <w:r w:rsidR="00D835CC" w:rsidRPr="00345718">
        <w:rPr>
          <w:rFonts w:ascii="Calibri" w:hAnsi="Calibri"/>
          <w:bCs/>
          <w:sz w:val="22"/>
          <w:szCs w:val="22"/>
        </w:rPr>
        <w:t xml:space="preserve">a </w:t>
      </w:r>
      <w:r w:rsidR="00D835CC" w:rsidRPr="002D7A76">
        <w:rPr>
          <w:rFonts w:ascii="Calibri" w:hAnsi="Calibri"/>
          <w:bCs/>
          <w:sz w:val="22"/>
          <w:szCs w:val="22"/>
        </w:rPr>
        <w:t xml:space="preserve">number of areas for improvement were identified. These improvements, to further enhance the Force governance arrangements, are detailed in Appendix A together with any on-going areas for improvement continued from the action plan included in the 2018-19 </w:t>
      </w:r>
      <w:r w:rsidR="00D835CC" w:rsidRPr="002D7A76">
        <w:rPr>
          <w:rFonts w:ascii="Calibri" w:hAnsi="Calibri"/>
          <w:sz w:val="22"/>
          <w:szCs w:val="22"/>
        </w:rPr>
        <w:t>annual governance statement</w:t>
      </w:r>
      <w:r w:rsidR="00D835CC" w:rsidRPr="002D7A76">
        <w:rPr>
          <w:rFonts w:ascii="Calibri" w:hAnsi="Calibri"/>
          <w:bCs/>
          <w:sz w:val="22"/>
          <w:szCs w:val="22"/>
        </w:rPr>
        <w:t>. The actions to achieve these improvements will be monitored through the Force Organisational Reassurance Board and reported to the Joint Audit Committee.</w:t>
      </w:r>
    </w:p>
    <w:p w:rsidR="00121FED" w:rsidRPr="002D7A76" w:rsidRDefault="00121FED" w:rsidP="00D835CC">
      <w:pPr>
        <w:ind w:left="709" w:hanging="709"/>
        <w:jc w:val="both"/>
        <w:rPr>
          <w:rFonts w:ascii="Calibri" w:hAnsi="Calibri"/>
          <w:bCs/>
          <w:sz w:val="22"/>
          <w:szCs w:val="22"/>
        </w:rPr>
      </w:pPr>
    </w:p>
    <w:p w:rsidR="00D835CC" w:rsidRPr="00D51E3B" w:rsidRDefault="00C5423F" w:rsidP="00D835CC">
      <w:pPr>
        <w:ind w:left="709" w:hanging="709"/>
        <w:jc w:val="both"/>
        <w:rPr>
          <w:rFonts w:ascii="Calibri" w:hAnsi="Calibri"/>
          <w:sz w:val="22"/>
          <w:szCs w:val="22"/>
          <w:lang w:eastAsia="en-GB"/>
        </w:rPr>
      </w:pPr>
      <w:r>
        <w:rPr>
          <w:rFonts w:ascii="Calibri" w:hAnsi="Calibri"/>
          <w:bCs/>
          <w:sz w:val="22"/>
          <w:szCs w:val="22"/>
        </w:rPr>
        <w:t>8</w:t>
      </w:r>
      <w:r w:rsidR="00D835CC" w:rsidRPr="002D7A76">
        <w:rPr>
          <w:rFonts w:ascii="Calibri" w:hAnsi="Calibri"/>
          <w:bCs/>
          <w:sz w:val="22"/>
          <w:szCs w:val="22"/>
        </w:rPr>
        <w:t>.2</w:t>
      </w:r>
      <w:r w:rsidR="00D835CC" w:rsidRPr="002D7A76">
        <w:rPr>
          <w:rFonts w:ascii="Calibri" w:hAnsi="Calibri"/>
          <w:bCs/>
          <w:sz w:val="22"/>
          <w:szCs w:val="22"/>
        </w:rPr>
        <w:tab/>
      </w:r>
      <w:r w:rsidR="00D835CC" w:rsidRPr="002D7A76">
        <w:rPr>
          <w:rFonts w:ascii="Calibri" w:hAnsi="Calibri"/>
          <w:sz w:val="22"/>
          <w:szCs w:val="22"/>
          <w:lang w:eastAsia="en-GB"/>
        </w:rPr>
        <w:t xml:space="preserve">The internal </w:t>
      </w:r>
      <w:r w:rsidR="00D835CC" w:rsidRPr="00D51E3B">
        <w:rPr>
          <w:rFonts w:ascii="Calibri" w:hAnsi="Calibri"/>
          <w:sz w:val="22"/>
          <w:szCs w:val="22"/>
          <w:lang w:eastAsia="en-GB"/>
        </w:rPr>
        <w:t xml:space="preserve">audit function is carried out by Southern Internal Audit Partnership for both the PCC and the Chief Constable. Audit reviews are undertaken in line with an annual internal audit plan, which is recommended by the Joint Audit Committee. </w:t>
      </w:r>
    </w:p>
    <w:p w:rsidR="00C5423F" w:rsidRDefault="00C5423F" w:rsidP="00C5423F">
      <w:pPr>
        <w:ind w:left="709" w:hanging="709"/>
        <w:jc w:val="both"/>
        <w:rPr>
          <w:rFonts w:ascii="Calibri" w:hAnsi="Calibri"/>
          <w:sz w:val="22"/>
          <w:szCs w:val="22"/>
          <w:lang w:eastAsia="en-GB"/>
        </w:rPr>
      </w:pPr>
    </w:p>
    <w:p w:rsidR="00C5423F" w:rsidRDefault="00C5423F" w:rsidP="00C5423F">
      <w:pPr>
        <w:ind w:left="709" w:hanging="709"/>
        <w:jc w:val="both"/>
        <w:rPr>
          <w:rFonts w:ascii="Calibri" w:hAnsi="Calibri"/>
          <w:sz w:val="22"/>
          <w:szCs w:val="22"/>
          <w:lang w:eastAsia="en-GB"/>
        </w:rPr>
      </w:pPr>
      <w:r>
        <w:rPr>
          <w:rFonts w:ascii="Calibri" w:hAnsi="Calibri"/>
          <w:sz w:val="22"/>
          <w:szCs w:val="22"/>
          <w:lang w:eastAsia="en-GB"/>
        </w:rPr>
        <w:t>8.3</w:t>
      </w:r>
      <w:r>
        <w:rPr>
          <w:rFonts w:ascii="Calibri" w:hAnsi="Calibri"/>
          <w:sz w:val="22"/>
          <w:szCs w:val="22"/>
          <w:lang w:eastAsia="en-GB"/>
        </w:rPr>
        <w:tab/>
        <w:t>The overall Annual Internal Audit Opinion for 2019-20 from the Chief Internal Auditor of SIAP was limited, this indicates weaknesses in the internal control environment, representing a significant governance issue in year.</w:t>
      </w:r>
    </w:p>
    <w:p w:rsidR="00C5423F" w:rsidRDefault="00C5423F" w:rsidP="00C5423F">
      <w:pPr>
        <w:ind w:left="709" w:hanging="709"/>
        <w:jc w:val="both"/>
        <w:rPr>
          <w:rFonts w:ascii="Calibri" w:hAnsi="Calibri"/>
          <w:sz w:val="22"/>
          <w:szCs w:val="22"/>
          <w:lang w:eastAsia="en-GB"/>
        </w:rPr>
      </w:pPr>
    </w:p>
    <w:p w:rsidR="00C5423F" w:rsidRDefault="00C5423F" w:rsidP="00C5423F">
      <w:pPr>
        <w:ind w:left="709" w:hanging="709"/>
        <w:jc w:val="both"/>
        <w:rPr>
          <w:rFonts w:ascii="Calibri" w:hAnsi="Calibri"/>
          <w:sz w:val="22"/>
          <w:szCs w:val="22"/>
        </w:rPr>
      </w:pPr>
      <w:r>
        <w:rPr>
          <w:rFonts w:ascii="Calibri" w:hAnsi="Calibri"/>
          <w:sz w:val="22"/>
          <w:szCs w:val="22"/>
          <w:lang w:eastAsia="en-GB"/>
        </w:rPr>
        <w:t>8.4</w:t>
      </w:r>
      <w:r>
        <w:rPr>
          <w:rFonts w:ascii="Calibri" w:hAnsi="Calibri"/>
          <w:sz w:val="22"/>
          <w:szCs w:val="22"/>
          <w:lang w:eastAsia="en-GB"/>
        </w:rPr>
        <w:tab/>
      </w:r>
      <w:r>
        <w:rPr>
          <w:rFonts w:ascii="Calibri" w:hAnsi="Calibri"/>
          <w:sz w:val="22"/>
          <w:szCs w:val="22"/>
        </w:rPr>
        <w:t>I</w:t>
      </w:r>
      <w:r w:rsidRPr="00D51E3B">
        <w:rPr>
          <w:rFonts w:ascii="Calibri" w:hAnsi="Calibri"/>
          <w:sz w:val="22"/>
          <w:szCs w:val="22"/>
        </w:rPr>
        <w:t xml:space="preserve">n 2019-20 no </w:t>
      </w:r>
      <w:r>
        <w:rPr>
          <w:rFonts w:ascii="Calibri" w:hAnsi="Calibri"/>
          <w:sz w:val="22"/>
          <w:szCs w:val="22"/>
        </w:rPr>
        <w:t xml:space="preserve">Internal Audit </w:t>
      </w:r>
      <w:r w:rsidRPr="00D51E3B">
        <w:rPr>
          <w:rFonts w:ascii="Calibri" w:hAnsi="Calibri"/>
          <w:sz w:val="22"/>
          <w:szCs w:val="22"/>
        </w:rPr>
        <w:t>re</w:t>
      </w:r>
      <w:r>
        <w:rPr>
          <w:rFonts w:ascii="Calibri" w:hAnsi="Calibri"/>
          <w:sz w:val="22"/>
          <w:szCs w:val="22"/>
        </w:rPr>
        <w:t>views</w:t>
      </w:r>
      <w:r w:rsidRPr="00D51E3B">
        <w:rPr>
          <w:rFonts w:ascii="Calibri" w:hAnsi="Calibri"/>
          <w:sz w:val="22"/>
          <w:szCs w:val="22"/>
        </w:rPr>
        <w:t xml:space="preserve"> </w:t>
      </w:r>
      <w:r>
        <w:rPr>
          <w:rFonts w:ascii="Calibri" w:hAnsi="Calibri"/>
          <w:sz w:val="22"/>
          <w:szCs w:val="22"/>
        </w:rPr>
        <w:t>gave</w:t>
      </w:r>
      <w:r w:rsidRPr="00D51E3B">
        <w:rPr>
          <w:rFonts w:ascii="Calibri" w:hAnsi="Calibri"/>
          <w:sz w:val="22"/>
          <w:szCs w:val="22"/>
        </w:rPr>
        <w:t xml:space="preserve"> an opinion of no assurance</w:t>
      </w:r>
      <w:r>
        <w:rPr>
          <w:rFonts w:ascii="Calibri" w:hAnsi="Calibri"/>
          <w:sz w:val="22"/>
          <w:szCs w:val="22"/>
        </w:rPr>
        <w:t>, four Internal Audit reviews resulted in substantial assurance opinions and a further eight Internal Audit reviews provided adequate assurance of the governance framework</w:t>
      </w:r>
      <w:r w:rsidRPr="00D51E3B">
        <w:rPr>
          <w:rFonts w:ascii="Calibri" w:hAnsi="Calibri"/>
          <w:sz w:val="22"/>
          <w:szCs w:val="22"/>
        </w:rPr>
        <w:t xml:space="preserve">.  </w:t>
      </w:r>
    </w:p>
    <w:p w:rsidR="00C5423F" w:rsidRDefault="00C5423F" w:rsidP="00C5423F">
      <w:pPr>
        <w:ind w:left="709" w:hanging="709"/>
        <w:jc w:val="both"/>
        <w:rPr>
          <w:rFonts w:ascii="Calibri" w:hAnsi="Calibri"/>
          <w:sz w:val="22"/>
          <w:szCs w:val="22"/>
        </w:rPr>
      </w:pPr>
    </w:p>
    <w:p w:rsidR="00C5423F" w:rsidRDefault="00C5423F" w:rsidP="00C5423F">
      <w:pPr>
        <w:ind w:left="709" w:hanging="709"/>
        <w:jc w:val="both"/>
        <w:rPr>
          <w:rFonts w:ascii="Calibri" w:hAnsi="Calibri"/>
          <w:sz w:val="22"/>
          <w:szCs w:val="22"/>
        </w:rPr>
      </w:pPr>
      <w:r>
        <w:rPr>
          <w:rFonts w:ascii="Calibri" w:hAnsi="Calibri"/>
          <w:sz w:val="22"/>
          <w:szCs w:val="22"/>
        </w:rPr>
        <w:t>8.5</w:t>
      </w:r>
      <w:r>
        <w:rPr>
          <w:rFonts w:ascii="Calibri" w:hAnsi="Calibri"/>
          <w:sz w:val="22"/>
          <w:szCs w:val="22"/>
        </w:rPr>
        <w:tab/>
        <w:t>In 2019-20 t</w:t>
      </w:r>
      <w:r w:rsidRPr="00D51E3B">
        <w:rPr>
          <w:rFonts w:ascii="Calibri" w:hAnsi="Calibri"/>
          <w:sz w:val="22"/>
          <w:szCs w:val="22"/>
        </w:rPr>
        <w:t xml:space="preserve">he following </w:t>
      </w:r>
      <w:r>
        <w:rPr>
          <w:rFonts w:ascii="Calibri" w:hAnsi="Calibri"/>
          <w:sz w:val="22"/>
          <w:szCs w:val="22"/>
        </w:rPr>
        <w:t>Internal Audit reports</w:t>
      </w:r>
      <w:r w:rsidRPr="00D51E3B">
        <w:rPr>
          <w:rFonts w:ascii="Calibri" w:hAnsi="Calibri"/>
          <w:sz w:val="22"/>
          <w:szCs w:val="22"/>
        </w:rPr>
        <w:t xml:space="preserve"> were given an opinion of limited assurance</w:t>
      </w:r>
      <w:r>
        <w:rPr>
          <w:rFonts w:ascii="Calibri" w:hAnsi="Calibri"/>
          <w:sz w:val="22"/>
          <w:szCs w:val="22"/>
        </w:rPr>
        <w:t>, however the issues raised in these reviews were not considered by SIAP to be significant in the context of the overall governance, risk management and control system:</w:t>
      </w:r>
    </w:p>
    <w:p w:rsidR="00C5423F" w:rsidRDefault="00C5423F" w:rsidP="00C5423F">
      <w:pPr>
        <w:pStyle w:val="ListParagraph"/>
        <w:numPr>
          <w:ilvl w:val="0"/>
          <w:numId w:val="45"/>
        </w:numPr>
        <w:jc w:val="both"/>
        <w:rPr>
          <w:rFonts w:ascii="Calibri" w:hAnsi="Calibri"/>
          <w:sz w:val="22"/>
          <w:szCs w:val="22"/>
        </w:rPr>
      </w:pPr>
      <w:r>
        <w:rPr>
          <w:rFonts w:ascii="Calibri" w:hAnsi="Calibri"/>
          <w:sz w:val="22"/>
          <w:szCs w:val="22"/>
        </w:rPr>
        <w:t xml:space="preserve">Victims Code </w:t>
      </w:r>
    </w:p>
    <w:p w:rsidR="00C5423F" w:rsidRPr="00B75DDA" w:rsidRDefault="00C5423F" w:rsidP="00C5423F">
      <w:pPr>
        <w:pStyle w:val="ListParagraph"/>
        <w:numPr>
          <w:ilvl w:val="0"/>
          <w:numId w:val="45"/>
        </w:numPr>
        <w:jc w:val="both"/>
        <w:rPr>
          <w:rFonts w:ascii="Calibri" w:hAnsi="Calibri"/>
          <w:sz w:val="22"/>
          <w:szCs w:val="22"/>
        </w:rPr>
      </w:pPr>
      <w:r w:rsidRPr="00B75DDA">
        <w:rPr>
          <w:rFonts w:ascii="Calibri" w:hAnsi="Calibri"/>
          <w:sz w:val="22"/>
          <w:szCs w:val="22"/>
        </w:rPr>
        <w:t>Crime Recording Data Quality</w:t>
      </w:r>
    </w:p>
    <w:p w:rsidR="00C5423F" w:rsidRPr="00B75DDA" w:rsidRDefault="00C5423F" w:rsidP="00C5423F">
      <w:pPr>
        <w:pStyle w:val="ListParagraph"/>
        <w:numPr>
          <w:ilvl w:val="0"/>
          <w:numId w:val="45"/>
        </w:numPr>
        <w:jc w:val="both"/>
        <w:rPr>
          <w:rFonts w:ascii="Calibri" w:hAnsi="Calibri"/>
          <w:sz w:val="22"/>
          <w:szCs w:val="22"/>
        </w:rPr>
      </w:pPr>
      <w:r w:rsidRPr="00B75DDA">
        <w:rPr>
          <w:rFonts w:ascii="Calibri" w:hAnsi="Calibri"/>
          <w:sz w:val="22"/>
          <w:szCs w:val="22"/>
        </w:rPr>
        <w:t>Fleet Management (joint)</w:t>
      </w:r>
    </w:p>
    <w:p w:rsidR="00C5423F" w:rsidRPr="00B75DDA" w:rsidRDefault="00C5423F" w:rsidP="00C5423F">
      <w:pPr>
        <w:pStyle w:val="ListParagraph"/>
        <w:numPr>
          <w:ilvl w:val="0"/>
          <w:numId w:val="45"/>
        </w:numPr>
        <w:jc w:val="both"/>
        <w:rPr>
          <w:rFonts w:ascii="Calibri" w:hAnsi="Calibri"/>
          <w:sz w:val="22"/>
          <w:szCs w:val="22"/>
        </w:rPr>
      </w:pPr>
      <w:r w:rsidRPr="00B75DDA">
        <w:rPr>
          <w:rFonts w:ascii="Calibri" w:hAnsi="Calibri"/>
          <w:sz w:val="22"/>
          <w:szCs w:val="22"/>
        </w:rPr>
        <w:t>Pension Administration Arrangements (joint)</w:t>
      </w:r>
    </w:p>
    <w:p w:rsidR="00C5423F" w:rsidRPr="00B75DDA" w:rsidRDefault="00C5423F" w:rsidP="00C5423F">
      <w:pPr>
        <w:ind w:left="709" w:hanging="709"/>
        <w:jc w:val="both"/>
        <w:rPr>
          <w:rFonts w:ascii="Calibri" w:hAnsi="Calibri"/>
          <w:sz w:val="22"/>
          <w:szCs w:val="22"/>
        </w:rPr>
      </w:pPr>
    </w:p>
    <w:p w:rsidR="00C5423F" w:rsidRDefault="00C5423F" w:rsidP="00C5423F">
      <w:pPr>
        <w:ind w:left="709" w:hanging="709"/>
        <w:jc w:val="both"/>
        <w:rPr>
          <w:rFonts w:ascii="Calibri" w:hAnsi="Calibri"/>
          <w:sz w:val="22"/>
          <w:szCs w:val="22"/>
        </w:rPr>
      </w:pPr>
      <w:r w:rsidRPr="00B75DDA">
        <w:rPr>
          <w:rFonts w:ascii="Calibri" w:hAnsi="Calibri"/>
          <w:sz w:val="22"/>
          <w:szCs w:val="22"/>
        </w:rPr>
        <w:t>8.6</w:t>
      </w:r>
      <w:r w:rsidRPr="00B75DDA">
        <w:rPr>
          <w:rFonts w:ascii="Calibri" w:hAnsi="Calibri"/>
          <w:sz w:val="22"/>
          <w:szCs w:val="22"/>
        </w:rPr>
        <w:tab/>
        <w:t>In 2019-20 the following Internal Audit reports were given an opinion of limited assurance, resulting in a</w:t>
      </w:r>
      <w:r>
        <w:rPr>
          <w:rFonts w:ascii="Calibri" w:hAnsi="Calibri"/>
          <w:sz w:val="22"/>
          <w:szCs w:val="22"/>
        </w:rPr>
        <w:t xml:space="preserve"> limited assurance opinion for the year overall because they were considered by SIAP to be significant in the context of the overall governance, risk management and control system:</w:t>
      </w:r>
      <w:r w:rsidRPr="00F000E7">
        <w:rPr>
          <w:rFonts w:ascii="Calibri" w:hAnsi="Calibri"/>
          <w:sz w:val="22"/>
          <w:szCs w:val="22"/>
        </w:rPr>
        <w:t xml:space="preserve"> </w:t>
      </w:r>
    </w:p>
    <w:p w:rsidR="00C5423F" w:rsidRDefault="00C5423F" w:rsidP="00C5423F">
      <w:pPr>
        <w:pStyle w:val="ListParagraph"/>
        <w:numPr>
          <w:ilvl w:val="0"/>
          <w:numId w:val="45"/>
        </w:numPr>
        <w:jc w:val="both"/>
        <w:rPr>
          <w:rFonts w:ascii="Calibri" w:hAnsi="Calibri"/>
          <w:sz w:val="22"/>
          <w:szCs w:val="22"/>
        </w:rPr>
      </w:pPr>
      <w:r>
        <w:rPr>
          <w:rFonts w:ascii="Calibri" w:hAnsi="Calibri"/>
          <w:sz w:val="22"/>
          <w:szCs w:val="22"/>
        </w:rPr>
        <w:t>IT resource management (joint)</w:t>
      </w:r>
    </w:p>
    <w:p w:rsidR="00C5423F" w:rsidRDefault="00C5423F" w:rsidP="00C5423F">
      <w:pPr>
        <w:pStyle w:val="ListParagraph"/>
        <w:numPr>
          <w:ilvl w:val="0"/>
          <w:numId w:val="45"/>
        </w:numPr>
        <w:jc w:val="both"/>
        <w:rPr>
          <w:rFonts w:ascii="Calibri" w:hAnsi="Calibri"/>
          <w:sz w:val="22"/>
          <w:szCs w:val="22"/>
        </w:rPr>
      </w:pPr>
      <w:r>
        <w:rPr>
          <w:rFonts w:ascii="Calibri" w:hAnsi="Calibri"/>
          <w:sz w:val="22"/>
          <w:szCs w:val="22"/>
        </w:rPr>
        <w:t>Data centre facilities and management (joint)</w:t>
      </w:r>
    </w:p>
    <w:p w:rsidR="00C5423F" w:rsidRDefault="00C5423F" w:rsidP="00C5423F">
      <w:pPr>
        <w:pStyle w:val="ListParagraph"/>
        <w:numPr>
          <w:ilvl w:val="0"/>
          <w:numId w:val="45"/>
        </w:numPr>
        <w:jc w:val="both"/>
        <w:rPr>
          <w:rFonts w:ascii="Calibri" w:hAnsi="Calibri"/>
          <w:sz w:val="22"/>
          <w:szCs w:val="22"/>
        </w:rPr>
      </w:pPr>
      <w:r>
        <w:rPr>
          <w:rFonts w:ascii="Calibri" w:hAnsi="Calibri"/>
          <w:sz w:val="22"/>
          <w:szCs w:val="22"/>
        </w:rPr>
        <w:t>Data storage and data back-up (joint)</w:t>
      </w:r>
    </w:p>
    <w:p w:rsidR="00C5423F" w:rsidRDefault="00C5423F" w:rsidP="00C5423F">
      <w:pPr>
        <w:pStyle w:val="ListParagraph"/>
        <w:numPr>
          <w:ilvl w:val="0"/>
          <w:numId w:val="45"/>
        </w:numPr>
        <w:jc w:val="both"/>
        <w:rPr>
          <w:rFonts w:ascii="Calibri" w:hAnsi="Calibri"/>
          <w:sz w:val="22"/>
          <w:szCs w:val="22"/>
        </w:rPr>
      </w:pPr>
      <w:r>
        <w:rPr>
          <w:rFonts w:ascii="Calibri" w:hAnsi="Calibri"/>
          <w:sz w:val="22"/>
          <w:szCs w:val="22"/>
        </w:rPr>
        <w:t>Capacity and performance monitoring (joint)</w:t>
      </w:r>
    </w:p>
    <w:p w:rsidR="003A37E3" w:rsidRDefault="003A37E3" w:rsidP="00C5423F">
      <w:pPr>
        <w:pStyle w:val="ListParagraph"/>
        <w:numPr>
          <w:ilvl w:val="0"/>
          <w:numId w:val="45"/>
        </w:numPr>
        <w:jc w:val="both"/>
        <w:rPr>
          <w:rFonts w:ascii="Calibri" w:hAnsi="Calibri"/>
          <w:sz w:val="22"/>
          <w:szCs w:val="22"/>
        </w:rPr>
      </w:pPr>
      <w:r>
        <w:rPr>
          <w:rFonts w:ascii="Calibri" w:hAnsi="Calibri"/>
          <w:sz w:val="22"/>
          <w:szCs w:val="22"/>
        </w:rPr>
        <w:t>Commercial Unit (joint)</w:t>
      </w:r>
    </w:p>
    <w:p w:rsidR="003A37E3" w:rsidRDefault="003A37E3" w:rsidP="00C5423F">
      <w:pPr>
        <w:pStyle w:val="ListParagraph"/>
        <w:numPr>
          <w:ilvl w:val="0"/>
          <w:numId w:val="45"/>
        </w:numPr>
        <w:jc w:val="both"/>
        <w:rPr>
          <w:rFonts w:ascii="Calibri" w:hAnsi="Calibri"/>
          <w:sz w:val="22"/>
          <w:szCs w:val="22"/>
        </w:rPr>
      </w:pPr>
      <w:r>
        <w:rPr>
          <w:rFonts w:ascii="Calibri" w:hAnsi="Calibri"/>
          <w:sz w:val="22"/>
          <w:szCs w:val="22"/>
        </w:rPr>
        <w:t>Cyber Security (joint)</w:t>
      </w:r>
    </w:p>
    <w:p w:rsidR="003A37E3" w:rsidRDefault="003A37E3" w:rsidP="00EA146B">
      <w:pPr>
        <w:pStyle w:val="ListParagraph"/>
        <w:numPr>
          <w:ilvl w:val="1"/>
          <w:numId w:val="45"/>
        </w:numPr>
        <w:jc w:val="both"/>
        <w:rPr>
          <w:rFonts w:ascii="Calibri" w:hAnsi="Calibri"/>
          <w:sz w:val="22"/>
          <w:szCs w:val="22"/>
        </w:rPr>
      </w:pPr>
      <w:r>
        <w:rPr>
          <w:rFonts w:ascii="Calibri" w:hAnsi="Calibri"/>
          <w:sz w:val="22"/>
          <w:szCs w:val="22"/>
        </w:rPr>
        <w:t>Network Security and Access Controls – Limited assurance</w:t>
      </w:r>
    </w:p>
    <w:p w:rsidR="003A37E3" w:rsidRDefault="003A37E3" w:rsidP="00EA146B">
      <w:pPr>
        <w:pStyle w:val="ListParagraph"/>
        <w:numPr>
          <w:ilvl w:val="1"/>
          <w:numId w:val="45"/>
        </w:numPr>
        <w:jc w:val="both"/>
        <w:rPr>
          <w:rFonts w:ascii="Calibri" w:hAnsi="Calibri"/>
          <w:sz w:val="22"/>
          <w:szCs w:val="22"/>
        </w:rPr>
      </w:pPr>
      <w:r>
        <w:rPr>
          <w:rFonts w:ascii="Calibri" w:hAnsi="Calibri"/>
          <w:sz w:val="22"/>
          <w:szCs w:val="22"/>
        </w:rPr>
        <w:t>Cyber Security – Adequate assurance</w:t>
      </w:r>
    </w:p>
    <w:p w:rsidR="003A37E3" w:rsidRDefault="003A37E3" w:rsidP="00C5423F">
      <w:pPr>
        <w:pStyle w:val="ListParagraph"/>
        <w:numPr>
          <w:ilvl w:val="0"/>
          <w:numId w:val="45"/>
        </w:numPr>
        <w:jc w:val="both"/>
        <w:rPr>
          <w:rFonts w:ascii="Calibri" w:hAnsi="Calibri"/>
          <w:sz w:val="22"/>
          <w:szCs w:val="22"/>
        </w:rPr>
      </w:pPr>
      <w:r>
        <w:rPr>
          <w:rFonts w:ascii="Calibri" w:hAnsi="Calibri"/>
          <w:sz w:val="22"/>
          <w:szCs w:val="22"/>
        </w:rPr>
        <w:t>Application management (joint)</w:t>
      </w:r>
    </w:p>
    <w:p w:rsidR="00C5423F" w:rsidRPr="00D51E3B" w:rsidRDefault="00C5423F" w:rsidP="00C5423F">
      <w:pPr>
        <w:ind w:left="709" w:hanging="709"/>
        <w:jc w:val="both"/>
        <w:rPr>
          <w:rFonts w:ascii="Calibri" w:hAnsi="Calibri"/>
          <w:sz w:val="22"/>
          <w:szCs w:val="22"/>
          <w:lang w:eastAsia="en-GB"/>
        </w:rPr>
      </w:pPr>
    </w:p>
    <w:p w:rsidR="00C5423F" w:rsidRDefault="00C5423F" w:rsidP="00C5423F">
      <w:pPr>
        <w:ind w:left="709" w:hanging="709"/>
        <w:jc w:val="both"/>
        <w:rPr>
          <w:rFonts w:ascii="Calibri" w:hAnsi="Calibri"/>
          <w:sz w:val="22"/>
          <w:szCs w:val="22"/>
          <w:lang w:eastAsia="en-GB"/>
        </w:rPr>
      </w:pPr>
      <w:r>
        <w:rPr>
          <w:rFonts w:ascii="Calibri" w:hAnsi="Calibri"/>
          <w:sz w:val="22"/>
          <w:szCs w:val="22"/>
          <w:lang w:eastAsia="en-GB"/>
        </w:rPr>
        <w:t>8.7</w:t>
      </w:r>
      <w:r>
        <w:rPr>
          <w:rFonts w:ascii="Calibri" w:hAnsi="Calibri"/>
          <w:sz w:val="22"/>
          <w:szCs w:val="22"/>
          <w:lang w:eastAsia="en-GB"/>
        </w:rPr>
        <w:tab/>
        <w:t>The key areas of weakness were all within the collaborative area of IT which had not been subject to internal audit for several years. 2019-20 was the first full year of delivery against a full IT needs assessment, resulting in a significant increase in audit activity in this area of the business. This required significant input from a single department of the business, which put additional pressure on IT resource capacity and contributed to some of the delays in providing audit information, whilst critical IT services to the business had to be maintained.</w:t>
      </w:r>
    </w:p>
    <w:p w:rsidR="00C5423F" w:rsidRDefault="00C5423F" w:rsidP="00C5423F">
      <w:pPr>
        <w:ind w:left="709" w:hanging="709"/>
        <w:jc w:val="both"/>
        <w:rPr>
          <w:rFonts w:ascii="Calibri" w:hAnsi="Calibri"/>
          <w:sz w:val="22"/>
          <w:szCs w:val="22"/>
          <w:lang w:eastAsia="en-GB"/>
        </w:rPr>
      </w:pPr>
    </w:p>
    <w:p w:rsidR="00C5423F" w:rsidRDefault="00C5423F" w:rsidP="00C5423F">
      <w:pPr>
        <w:ind w:left="709" w:hanging="709"/>
        <w:jc w:val="both"/>
        <w:rPr>
          <w:rFonts w:ascii="Calibri" w:hAnsi="Calibri"/>
          <w:sz w:val="22"/>
          <w:szCs w:val="22"/>
          <w:lang w:eastAsia="en-GB"/>
        </w:rPr>
      </w:pPr>
      <w:r>
        <w:rPr>
          <w:rFonts w:ascii="Calibri" w:hAnsi="Calibri"/>
          <w:sz w:val="22"/>
          <w:szCs w:val="22"/>
          <w:lang w:eastAsia="en-GB"/>
        </w:rPr>
        <w:t>8.8</w:t>
      </w:r>
      <w:r>
        <w:rPr>
          <w:rFonts w:ascii="Calibri" w:hAnsi="Calibri"/>
          <w:sz w:val="22"/>
          <w:szCs w:val="22"/>
          <w:lang w:eastAsia="en-GB"/>
        </w:rPr>
        <w:tab/>
        <w:t xml:space="preserve">The Chief Digital &amp; Information Officer heading up the ICT department has since put in place a monthly review process to assess progress of agreed actions and provide regular updates to the </w:t>
      </w:r>
      <w:r w:rsidR="00AE7D24">
        <w:rPr>
          <w:rFonts w:ascii="Calibri" w:hAnsi="Calibri"/>
          <w:sz w:val="22"/>
          <w:szCs w:val="22"/>
          <w:lang w:eastAsia="en-GB"/>
        </w:rPr>
        <w:t xml:space="preserve">Deputy Chief Constables, </w:t>
      </w:r>
      <w:r>
        <w:rPr>
          <w:rFonts w:ascii="Calibri" w:hAnsi="Calibri"/>
          <w:sz w:val="22"/>
          <w:szCs w:val="22"/>
          <w:lang w:eastAsia="en-GB"/>
        </w:rPr>
        <w:t xml:space="preserve">Chief Finance Officers, Joint Audit Committee, Internal Auditors and External Auditors of both Surrey Police and Sussex Police forces and PCC’s. This is in addition to the general governance framework detailed above and provides a strong and continual framework to address the audit findings and weaknesses in these areas of ICT. </w:t>
      </w:r>
    </w:p>
    <w:p w:rsidR="00C5423F" w:rsidRDefault="00C5423F" w:rsidP="00C5423F">
      <w:pPr>
        <w:ind w:left="709" w:hanging="709"/>
        <w:jc w:val="both"/>
        <w:rPr>
          <w:rFonts w:ascii="Calibri" w:hAnsi="Calibri"/>
          <w:sz w:val="22"/>
          <w:szCs w:val="22"/>
          <w:lang w:eastAsia="en-GB"/>
        </w:rPr>
      </w:pPr>
    </w:p>
    <w:p w:rsidR="00C5423F" w:rsidRPr="00B75DDA" w:rsidRDefault="00C5423F" w:rsidP="00C5423F">
      <w:pPr>
        <w:ind w:left="709" w:hanging="709"/>
        <w:jc w:val="both"/>
        <w:rPr>
          <w:rFonts w:ascii="Calibri" w:hAnsi="Calibri"/>
          <w:sz w:val="22"/>
          <w:szCs w:val="22"/>
          <w:lang w:eastAsia="en-GB"/>
        </w:rPr>
      </w:pPr>
      <w:r>
        <w:rPr>
          <w:rFonts w:ascii="Calibri" w:hAnsi="Calibri"/>
          <w:sz w:val="22"/>
          <w:szCs w:val="22"/>
          <w:lang w:eastAsia="en-GB"/>
        </w:rPr>
        <w:t>8</w:t>
      </w:r>
      <w:r w:rsidRPr="00D51E3B">
        <w:rPr>
          <w:rFonts w:ascii="Calibri" w:hAnsi="Calibri"/>
          <w:sz w:val="22"/>
          <w:szCs w:val="22"/>
          <w:lang w:eastAsia="en-GB"/>
        </w:rPr>
        <w:t>.</w:t>
      </w:r>
      <w:r>
        <w:rPr>
          <w:rFonts w:ascii="Calibri" w:hAnsi="Calibri"/>
          <w:sz w:val="22"/>
          <w:szCs w:val="22"/>
          <w:lang w:eastAsia="en-GB"/>
        </w:rPr>
        <w:t>9</w:t>
      </w:r>
      <w:r w:rsidRPr="00D51E3B">
        <w:rPr>
          <w:rFonts w:ascii="Calibri" w:hAnsi="Calibri"/>
          <w:sz w:val="22"/>
          <w:szCs w:val="22"/>
          <w:lang w:eastAsia="en-GB"/>
        </w:rPr>
        <w:tab/>
        <w:t xml:space="preserve">Management have agreed recommendations to address all the findings reported by the internal audit service </w:t>
      </w:r>
      <w:r w:rsidRPr="00B75DDA">
        <w:rPr>
          <w:rFonts w:ascii="Calibri" w:hAnsi="Calibri"/>
          <w:sz w:val="22"/>
          <w:szCs w:val="22"/>
          <w:lang w:eastAsia="en-GB"/>
        </w:rPr>
        <w:t>during 2019/20.</w:t>
      </w:r>
    </w:p>
    <w:p w:rsidR="00C5423F" w:rsidRPr="00B75DDA" w:rsidRDefault="00C5423F" w:rsidP="00C5423F">
      <w:pPr>
        <w:ind w:left="709" w:hanging="709"/>
        <w:jc w:val="both"/>
        <w:rPr>
          <w:rFonts w:ascii="Calibri" w:hAnsi="Calibri"/>
          <w:sz w:val="22"/>
          <w:szCs w:val="22"/>
        </w:rPr>
      </w:pPr>
    </w:p>
    <w:p w:rsidR="00C5423F" w:rsidRPr="00D51E3B" w:rsidRDefault="00C5423F" w:rsidP="00C5423F">
      <w:pPr>
        <w:ind w:left="709" w:hanging="709"/>
        <w:jc w:val="both"/>
        <w:rPr>
          <w:rFonts w:ascii="Calibri" w:hAnsi="Calibri"/>
          <w:sz w:val="22"/>
          <w:szCs w:val="22"/>
        </w:rPr>
      </w:pPr>
      <w:r w:rsidRPr="00B75DDA">
        <w:rPr>
          <w:rFonts w:ascii="Calibri" w:hAnsi="Calibri"/>
          <w:sz w:val="22"/>
          <w:szCs w:val="22"/>
        </w:rPr>
        <w:t>8.</w:t>
      </w:r>
      <w:r>
        <w:rPr>
          <w:rFonts w:ascii="Calibri" w:hAnsi="Calibri"/>
          <w:sz w:val="22"/>
          <w:szCs w:val="22"/>
        </w:rPr>
        <w:t>10</w:t>
      </w:r>
      <w:r w:rsidRPr="00B75DDA">
        <w:rPr>
          <w:rFonts w:ascii="Calibri" w:hAnsi="Calibri"/>
          <w:sz w:val="22"/>
          <w:szCs w:val="22"/>
        </w:rPr>
        <w:tab/>
      </w:r>
      <w:r w:rsidRPr="00B75DDA">
        <w:rPr>
          <w:rFonts w:ascii="Calibri" w:hAnsi="Calibri"/>
          <w:sz w:val="22"/>
          <w:szCs w:val="22"/>
          <w:lang w:eastAsia="en-GB"/>
        </w:rPr>
        <w:t>Although Covid-19 slowed progress, SIAP continued to work remotely to complete the 2019/20 review, however Covid-19 has had a significant impact on SIAP’s ability to commence work on the 2020/21 plan, due</w:t>
      </w:r>
      <w:r w:rsidRPr="00D51E3B">
        <w:rPr>
          <w:rFonts w:ascii="Calibri" w:hAnsi="Calibri"/>
          <w:sz w:val="22"/>
          <w:szCs w:val="22"/>
          <w:lang w:eastAsia="en-GB"/>
        </w:rPr>
        <w:t xml:space="preserve"> to the request to delay any work impacting on operational staff. Regular discussions are planned to review the plan and assess whether it remains appropriate and relevant and whether changes will be needed to incorporate new risk areas arising from the challenges presented by Covid-19.</w:t>
      </w:r>
    </w:p>
    <w:p w:rsidR="00D835CC" w:rsidRPr="006708B2" w:rsidRDefault="00D835CC" w:rsidP="00D835CC">
      <w:pPr>
        <w:ind w:firstLine="720"/>
        <w:jc w:val="both"/>
        <w:outlineLvl w:val="0"/>
        <w:rPr>
          <w:b/>
          <w:sz w:val="22"/>
          <w:szCs w:val="22"/>
        </w:rPr>
      </w:pPr>
    </w:p>
    <w:p w:rsidR="00D835CC" w:rsidRPr="002F4708" w:rsidRDefault="007A7597" w:rsidP="00D835CC">
      <w:pPr>
        <w:shd w:val="clear" w:color="auto" w:fill="0070C0"/>
        <w:tabs>
          <w:tab w:val="left" w:pos="709"/>
        </w:tabs>
        <w:jc w:val="both"/>
        <w:rPr>
          <w:rFonts w:ascii="Calibri" w:hAnsi="Calibri"/>
          <w:b/>
          <w:color w:val="FFFFFF"/>
          <w:sz w:val="22"/>
          <w:szCs w:val="22"/>
        </w:rPr>
      </w:pPr>
      <w:r>
        <w:rPr>
          <w:rFonts w:ascii="Calibri" w:hAnsi="Calibri"/>
          <w:b/>
          <w:color w:val="FFFFFF"/>
          <w:sz w:val="22"/>
          <w:szCs w:val="22"/>
        </w:rPr>
        <w:t>9</w:t>
      </w:r>
      <w:r w:rsidR="00D835CC" w:rsidRPr="002F4708">
        <w:rPr>
          <w:rFonts w:ascii="Calibri" w:hAnsi="Calibri"/>
          <w:b/>
          <w:color w:val="FFFFFF"/>
          <w:sz w:val="22"/>
          <w:szCs w:val="22"/>
        </w:rPr>
        <w:t xml:space="preserve"> </w:t>
      </w:r>
      <w:r w:rsidR="00D835CC" w:rsidRPr="002F4708">
        <w:rPr>
          <w:rFonts w:ascii="Calibri" w:hAnsi="Calibri"/>
          <w:b/>
          <w:color w:val="FFFFFF"/>
          <w:sz w:val="22"/>
          <w:szCs w:val="22"/>
        </w:rPr>
        <w:tab/>
        <w:t>Certification</w:t>
      </w:r>
    </w:p>
    <w:p w:rsidR="00D835CC" w:rsidRDefault="00D835CC" w:rsidP="00D835CC">
      <w:pPr>
        <w:jc w:val="both"/>
        <w:rPr>
          <w:rFonts w:ascii="Calibri" w:hAnsi="Calibri"/>
          <w:sz w:val="22"/>
          <w:szCs w:val="22"/>
        </w:rPr>
      </w:pPr>
    </w:p>
    <w:p w:rsidR="008A6FEA" w:rsidRDefault="00D835CC" w:rsidP="00D835CC">
      <w:pPr>
        <w:jc w:val="both"/>
        <w:rPr>
          <w:rFonts w:ascii="Calibri" w:hAnsi="Calibri"/>
          <w:sz w:val="22"/>
          <w:szCs w:val="22"/>
        </w:rPr>
      </w:pPr>
      <w:r w:rsidRPr="00345718">
        <w:rPr>
          <w:rFonts w:ascii="Calibri" w:hAnsi="Calibri"/>
          <w:sz w:val="22"/>
          <w:szCs w:val="22"/>
        </w:rPr>
        <w:t xml:space="preserve">This statement has been prepared on the basis of the review of effectiveness of governance arrangements. Advice and recommendations on the annual governance statement have been received from internal and external auditors and the JAC. It represents a fair and reasonable assessment of current arrangements and plans for improvement within </w:t>
      </w:r>
      <w:r>
        <w:rPr>
          <w:rFonts w:ascii="Calibri" w:hAnsi="Calibri"/>
          <w:sz w:val="22"/>
          <w:szCs w:val="22"/>
        </w:rPr>
        <w:t>Surrey</w:t>
      </w:r>
      <w:r w:rsidRPr="00345718">
        <w:rPr>
          <w:rFonts w:ascii="Calibri" w:hAnsi="Calibri"/>
          <w:sz w:val="22"/>
          <w:szCs w:val="22"/>
        </w:rPr>
        <w:t xml:space="preserve"> Police.</w:t>
      </w:r>
      <w:r w:rsidR="00DA4E8D">
        <w:rPr>
          <w:rFonts w:ascii="Calibri" w:hAnsi="Calibri"/>
          <w:sz w:val="22"/>
          <w:szCs w:val="22"/>
        </w:rPr>
        <w:t xml:space="preserve"> </w:t>
      </w:r>
      <w:r w:rsidR="008A6FEA">
        <w:rPr>
          <w:rFonts w:ascii="Calibri" w:hAnsi="Calibri"/>
          <w:sz w:val="22"/>
          <w:szCs w:val="22"/>
        </w:rPr>
        <w:t>The arrangements continue to be regarded as fit for purpose in accordance with the governance framework.</w:t>
      </w:r>
    </w:p>
    <w:p w:rsidR="008A6FEA" w:rsidRDefault="008A6FEA" w:rsidP="00D835CC">
      <w:pPr>
        <w:jc w:val="both"/>
        <w:rPr>
          <w:rFonts w:ascii="Calibri" w:hAnsi="Calibri"/>
          <w:sz w:val="22"/>
          <w:szCs w:val="22"/>
        </w:rPr>
      </w:pPr>
    </w:p>
    <w:p w:rsidR="00DA4E8D" w:rsidRDefault="00DA4E8D" w:rsidP="00D835CC">
      <w:pPr>
        <w:jc w:val="both"/>
        <w:rPr>
          <w:rFonts w:ascii="Calibri" w:hAnsi="Calibri"/>
          <w:sz w:val="22"/>
          <w:szCs w:val="22"/>
        </w:rPr>
      </w:pPr>
    </w:p>
    <w:p w:rsidR="00C5423F" w:rsidRDefault="00C5423F" w:rsidP="00D835CC">
      <w:pPr>
        <w:jc w:val="both"/>
        <w:rPr>
          <w:rFonts w:ascii="Calibri" w:hAnsi="Calibri"/>
          <w:sz w:val="22"/>
          <w:szCs w:val="22"/>
        </w:rPr>
      </w:pPr>
    </w:p>
    <w:p w:rsidR="00C5423F" w:rsidRDefault="00C5423F" w:rsidP="00D835CC">
      <w:pPr>
        <w:jc w:val="both"/>
        <w:rPr>
          <w:rFonts w:ascii="Calibri" w:hAnsi="Calibri"/>
          <w:sz w:val="22"/>
          <w:szCs w:val="22"/>
        </w:rPr>
      </w:pPr>
    </w:p>
    <w:p w:rsidR="008A6FEA" w:rsidRDefault="008A6FEA" w:rsidP="00D835CC">
      <w:pPr>
        <w:jc w:val="both"/>
        <w:rPr>
          <w:rFonts w:ascii="Calibri" w:hAnsi="Calibri"/>
          <w:sz w:val="22"/>
          <w:szCs w:val="22"/>
        </w:rPr>
      </w:pPr>
    </w:p>
    <w:p w:rsidR="008512CC" w:rsidRDefault="008512CC" w:rsidP="00D835CC">
      <w:pPr>
        <w:jc w:val="both"/>
        <w:rPr>
          <w:rFonts w:ascii="Calibri" w:hAnsi="Calibri"/>
          <w:sz w:val="22"/>
          <w:szCs w:val="22"/>
        </w:rPr>
      </w:pPr>
    </w:p>
    <w:p w:rsidR="008A6FEA" w:rsidRDefault="008A6FEA" w:rsidP="00D835CC">
      <w:pPr>
        <w:jc w:val="both"/>
        <w:rPr>
          <w:rFonts w:ascii="Calibri" w:hAnsi="Calibri"/>
          <w:sz w:val="22"/>
          <w:szCs w:val="22"/>
        </w:rPr>
      </w:pPr>
      <w:r w:rsidRPr="00DA4E8D">
        <w:rPr>
          <w:rFonts w:ascii="Calibri" w:hAnsi="Calibri"/>
          <w:b/>
          <w:sz w:val="22"/>
          <w:szCs w:val="22"/>
        </w:rPr>
        <w:t>Gavin Stephens</w:t>
      </w:r>
      <w:r>
        <w:rPr>
          <w:rFonts w:ascii="Calibri" w:hAnsi="Calibri"/>
          <w:sz w:val="22"/>
          <w:szCs w:val="22"/>
        </w:rPr>
        <w:t>, Chief Constable of Surrey</w:t>
      </w:r>
    </w:p>
    <w:p w:rsidR="00F742F5" w:rsidRDefault="00F742F5" w:rsidP="00D835CC">
      <w:pPr>
        <w:jc w:val="both"/>
        <w:rPr>
          <w:rFonts w:ascii="Calibri" w:hAnsi="Calibri"/>
          <w:sz w:val="22"/>
          <w:szCs w:val="22"/>
        </w:rPr>
      </w:pPr>
    </w:p>
    <w:p w:rsidR="008A6FEA" w:rsidRDefault="00435DBD" w:rsidP="00D835CC">
      <w:pPr>
        <w:jc w:val="both"/>
        <w:rPr>
          <w:rFonts w:ascii="Calibri" w:hAnsi="Calibri"/>
          <w:sz w:val="22"/>
          <w:szCs w:val="22"/>
        </w:rPr>
      </w:pPr>
      <w:r>
        <w:rPr>
          <w:rFonts w:ascii="Calibri" w:hAnsi="Calibri"/>
          <w:sz w:val="22"/>
          <w:szCs w:val="22"/>
        </w:rPr>
        <w:t>Date:</w:t>
      </w:r>
    </w:p>
    <w:p w:rsidR="00DA4E8D" w:rsidRDefault="00DA4E8D" w:rsidP="00D835CC">
      <w:pPr>
        <w:jc w:val="both"/>
        <w:rPr>
          <w:rFonts w:ascii="Calibri" w:hAnsi="Calibri"/>
          <w:sz w:val="22"/>
          <w:szCs w:val="22"/>
        </w:rPr>
      </w:pPr>
    </w:p>
    <w:p w:rsidR="00C5423F" w:rsidRDefault="00C5423F" w:rsidP="00D835CC">
      <w:pPr>
        <w:jc w:val="both"/>
        <w:rPr>
          <w:rFonts w:ascii="Calibri" w:hAnsi="Calibri"/>
          <w:sz w:val="22"/>
          <w:szCs w:val="22"/>
        </w:rPr>
      </w:pPr>
    </w:p>
    <w:p w:rsidR="007A7597" w:rsidRDefault="007A7597" w:rsidP="00D835CC">
      <w:pPr>
        <w:jc w:val="both"/>
        <w:rPr>
          <w:rFonts w:ascii="Calibri" w:hAnsi="Calibri"/>
          <w:sz w:val="22"/>
          <w:szCs w:val="22"/>
        </w:rPr>
      </w:pPr>
    </w:p>
    <w:p w:rsidR="00C5423F" w:rsidRDefault="00C5423F" w:rsidP="00D835CC">
      <w:pPr>
        <w:jc w:val="both"/>
        <w:rPr>
          <w:rFonts w:ascii="Calibri" w:hAnsi="Calibri"/>
          <w:sz w:val="22"/>
          <w:szCs w:val="22"/>
        </w:rPr>
      </w:pPr>
    </w:p>
    <w:p w:rsidR="00C5423F" w:rsidRDefault="00C5423F" w:rsidP="00D835CC">
      <w:pPr>
        <w:jc w:val="both"/>
        <w:rPr>
          <w:rFonts w:ascii="Calibri" w:hAnsi="Calibri"/>
          <w:sz w:val="22"/>
          <w:szCs w:val="22"/>
        </w:rPr>
      </w:pPr>
    </w:p>
    <w:p w:rsidR="00DA4E8D" w:rsidRDefault="00DA4E8D" w:rsidP="00D835CC">
      <w:pPr>
        <w:jc w:val="both"/>
        <w:rPr>
          <w:rFonts w:ascii="Calibri" w:hAnsi="Calibri"/>
          <w:b/>
          <w:sz w:val="22"/>
          <w:szCs w:val="22"/>
        </w:rPr>
      </w:pPr>
    </w:p>
    <w:p w:rsidR="008A6FEA" w:rsidRDefault="008A6FEA" w:rsidP="00D835CC">
      <w:pPr>
        <w:jc w:val="both"/>
        <w:rPr>
          <w:rFonts w:ascii="Calibri" w:hAnsi="Calibri"/>
          <w:sz w:val="22"/>
          <w:szCs w:val="22"/>
        </w:rPr>
      </w:pPr>
      <w:r w:rsidRPr="00DA4E8D">
        <w:rPr>
          <w:rFonts w:ascii="Calibri" w:hAnsi="Calibri"/>
          <w:b/>
          <w:sz w:val="22"/>
          <w:szCs w:val="22"/>
        </w:rPr>
        <w:t>Nev Kemp QPM</w:t>
      </w:r>
      <w:r>
        <w:rPr>
          <w:rFonts w:ascii="Calibri" w:hAnsi="Calibri"/>
          <w:sz w:val="22"/>
          <w:szCs w:val="22"/>
        </w:rPr>
        <w:t>, Deputy Chief Constable, The Chief Constable of Surrey</w:t>
      </w:r>
    </w:p>
    <w:p w:rsidR="00F742F5" w:rsidRDefault="00F742F5" w:rsidP="00D835CC">
      <w:pPr>
        <w:jc w:val="both"/>
        <w:rPr>
          <w:rFonts w:ascii="Calibri" w:hAnsi="Calibri"/>
          <w:sz w:val="22"/>
          <w:szCs w:val="22"/>
        </w:rPr>
      </w:pPr>
    </w:p>
    <w:p w:rsidR="008A6FEA" w:rsidRDefault="00435DBD" w:rsidP="00D835CC">
      <w:pPr>
        <w:jc w:val="both"/>
        <w:rPr>
          <w:rFonts w:ascii="Calibri" w:hAnsi="Calibri"/>
          <w:sz w:val="22"/>
          <w:szCs w:val="22"/>
        </w:rPr>
      </w:pPr>
      <w:r>
        <w:rPr>
          <w:rFonts w:ascii="Calibri" w:hAnsi="Calibri"/>
          <w:sz w:val="22"/>
          <w:szCs w:val="22"/>
        </w:rPr>
        <w:t>Date:</w:t>
      </w:r>
    </w:p>
    <w:p w:rsidR="00DA4E8D" w:rsidRDefault="00DA4E8D" w:rsidP="00D835CC">
      <w:pPr>
        <w:jc w:val="both"/>
        <w:rPr>
          <w:rFonts w:ascii="Calibri" w:hAnsi="Calibri"/>
          <w:sz w:val="22"/>
          <w:szCs w:val="22"/>
        </w:rPr>
      </w:pPr>
    </w:p>
    <w:p w:rsidR="00C5423F" w:rsidRDefault="00C5423F" w:rsidP="00D835CC">
      <w:pPr>
        <w:jc w:val="both"/>
        <w:rPr>
          <w:rFonts w:ascii="Calibri" w:hAnsi="Calibri"/>
          <w:sz w:val="22"/>
          <w:szCs w:val="22"/>
        </w:rPr>
      </w:pPr>
    </w:p>
    <w:p w:rsidR="00C5423F" w:rsidRDefault="00C5423F" w:rsidP="00D835CC">
      <w:pPr>
        <w:jc w:val="both"/>
        <w:rPr>
          <w:rFonts w:ascii="Calibri" w:hAnsi="Calibri"/>
          <w:sz w:val="22"/>
          <w:szCs w:val="22"/>
        </w:rPr>
      </w:pPr>
    </w:p>
    <w:p w:rsidR="007A7597" w:rsidRDefault="007A7597" w:rsidP="00D835CC">
      <w:pPr>
        <w:jc w:val="both"/>
        <w:rPr>
          <w:rFonts w:ascii="Calibri" w:hAnsi="Calibri"/>
          <w:sz w:val="22"/>
          <w:szCs w:val="22"/>
        </w:rPr>
      </w:pPr>
    </w:p>
    <w:p w:rsidR="00C5423F" w:rsidRDefault="00C5423F" w:rsidP="00D835CC">
      <w:pPr>
        <w:jc w:val="both"/>
        <w:rPr>
          <w:rFonts w:ascii="Calibri" w:hAnsi="Calibri"/>
          <w:sz w:val="22"/>
          <w:szCs w:val="22"/>
        </w:rPr>
      </w:pPr>
    </w:p>
    <w:p w:rsidR="00DA4E8D" w:rsidRDefault="00DA4E8D" w:rsidP="00D835CC">
      <w:pPr>
        <w:jc w:val="both"/>
        <w:rPr>
          <w:rFonts w:ascii="Calibri" w:hAnsi="Calibri"/>
          <w:b/>
          <w:sz w:val="22"/>
          <w:szCs w:val="22"/>
        </w:rPr>
      </w:pPr>
    </w:p>
    <w:p w:rsidR="008A6FEA" w:rsidRDefault="008A6FEA" w:rsidP="00D835CC">
      <w:pPr>
        <w:jc w:val="both"/>
        <w:rPr>
          <w:rFonts w:ascii="Calibri" w:hAnsi="Calibri"/>
          <w:sz w:val="22"/>
          <w:szCs w:val="22"/>
        </w:rPr>
      </w:pPr>
      <w:r w:rsidRPr="00DA4E8D">
        <w:rPr>
          <w:rFonts w:ascii="Calibri" w:hAnsi="Calibri"/>
          <w:b/>
          <w:sz w:val="22"/>
          <w:szCs w:val="22"/>
        </w:rPr>
        <w:t>Peter Gillett</w:t>
      </w:r>
      <w:r>
        <w:rPr>
          <w:rFonts w:ascii="Calibri" w:hAnsi="Calibri"/>
          <w:sz w:val="22"/>
          <w:szCs w:val="22"/>
        </w:rPr>
        <w:t>, Executive Director of Commercial and Finance Services,</w:t>
      </w:r>
      <w:r w:rsidR="00B60B19">
        <w:rPr>
          <w:rFonts w:ascii="Calibri" w:hAnsi="Calibri"/>
          <w:sz w:val="22"/>
          <w:szCs w:val="22"/>
        </w:rPr>
        <w:t xml:space="preserve"> Chief Finance Officer to</w:t>
      </w:r>
      <w:r>
        <w:rPr>
          <w:rFonts w:ascii="Calibri" w:hAnsi="Calibri"/>
          <w:sz w:val="22"/>
          <w:szCs w:val="22"/>
        </w:rPr>
        <w:t xml:space="preserve"> The Chief Constable of Surrey</w:t>
      </w:r>
    </w:p>
    <w:p w:rsidR="00F742F5" w:rsidRDefault="00F742F5" w:rsidP="00D835CC">
      <w:pPr>
        <w:jc w:val="both"/>
        <w:rPr>
          <w:rFonts w:ascii="Calibri" w:hAnsi="Calibri"/>
          <w:sz w:val="22"/>
          <w:szCs w:val="22"/>
        </w:rPr>
      </w:pPr>
    </w:p>
    <w:p w:rsidR="008A6FEA" w:rsidRDefault="00435DBD" w:rsidP="00D835CC">
      <w:pPr>
        <w:jc w:val="both"/>
        <w:rPr>
          <w:rFonts w:ascii="Calibri" w:hAnsi="Calibri"/>
          <w:sz w:val="22"/>
          <w:szCs w:val="22"/>
        </w:rPr>
      </w:pPr>
      <w:r>
        <w:rPr>
          <w:rFonts w:ascii="Calibri" w:hAnsi="Calibri"/>
          <w:sz w:val="22"/>
          <w:szCs w:val="22"/>
        </w:rPr>
        <w:t>Date:</w:t>
      </w:r>
    </w:p>
    <w:p w:rsidR="00435DBD" w:rsidRDefault="00435DBD" w:rsidP="00D835CC">
      <w:pPr>
        <w:jc w:val="both"/>
        <w:rPr>
          <w:rFonts w:ascii="Calibri" w:hAnsi="Calibri"/>
          <w:sz w:val="22"/>
          <w:szCs w:val="22"/>
        </w:rPr>
      </w:pPr>
    </w:p>
    <w:p w:rsidR="00435DBD" w:rsidRDefault="00435DBD" w:rsidP="00D835CC">
      <w:pPr>
        <w:jc w:val="both"/>
        <w:rPr>
          <w:rFonts w:ascii="Calibri" w:hAnsi="Calibri"/>
          <w:sz w:val="22"/>
          <w:szCs w:val="22"/>
        </w:rPr>
      </w:pPr>
    </w:p>
    <w:p w:rsidR="00435DBD" w:rsidRDefault="00435DBD" w:rsidP="00D835CC">
      <w:pPr>
        <w:jc w:val="both"/>
        <w:rPr>
          <w:rFonts w:ascii="Calibri" w:hAnsi="Calibri"/>
          <w:sz w:val="22"/>
          <w:szCs w:val="22"/>
        </w:rPr>
      </w:pPr>
    </w:p>
    <w:p w:rsidR="008A6FEA" w:rsidRDefault="008A6FEA" w:rsidP="00D835CC">
      <w:pPr>
        <w:jc w:val="both"/>
        <w:rPr>
          <w:rFonts w:ascii="Calibri" w:hAnsi="Calibri"/>
          <w:sz w:val="22"/>
          <w:szCs w:val="22"/>
        </w:rPr>
      </w:pPr>
      <w:r>
        <w:rPr>
          <w:rFonts w:ascii="Calibri" w:hAnsi="Calibri"/>
          <w:sz w:val="22"/>
          <w:szCs w:val="22"/>
        </w:rPr>
        <w:t xml:space="preserve">Contact details: </w:t>
      </w:r>
    </w:p>
    <w:p w:rsidR="008A6FEA" w:rsidRDefault="008A6FEA" w:rsidP="00D835CC">
      <w:pPr>
        <w:jc w:val="both"/>
        <w:rPr>
          <w:rFonts w:ascii="Calibri" w:hAnsi="Calibri"/>
          <w:sz w:val="22"/>
          <w:szCs w:val="22"/>
        </w:rPr>
      </w:pPr>
      <w:r>
        <w:rPr>
          <w:rFonts w:ascii="Calibri" w:hAnsi="Calibri"/>
          <w:sz w:val="22"/>
          <w:szCs w:val="22"/>
        </w:rPr>
        <w:t>Peter Gillett, Executive Director of Commercial and Finance Services</w:t>
      </w:r>
      <w:r w:rsidR="008C239A">
        <w:rPr>
          <w:rFonts w:ascii="Calibri" w:hAnsi="Calibri"/>
          <w:sz w:val="22"/>
          <w:szCs w:val="22"/>
        </w:rPr>
        <w:t xml:space="preserve"> and Chief Finance Officer to the Chief Constable of Surrey</w:t>
      </w:r>
    </w:p>
    <w:p w:rsidR="008A6FEA" w:rsidRDefault="00EA146B" w:rsidP="00D835CC">
      <w:pPr>
        <w:jc w:val="both"/>
        <w:rPr>
          <w:rFonts w:ascii="Calibri" w:hAnsi="Calibri"/>
          <w:sz w:val="22"/>
          <w:szCs w:val="22"/>
        </w:rPr>
      </w:pPr>
      <w:hyperlink r:id="rId19" w:history="1">
        <w:r w:rsidR="008A6FEA" w:rsidRPr="00E520B1">
          <w:rPr>
            <w:rStyle w:val="Hyperlink"/>
            <w:rFonts w:ascii="Calibri" w:hAnsi="Calibri"/>
            <w:sz w:val="22"/>
            <w:szCs w:val="22"/>
          </w:rPr>
          <w:t>Peter.Gillett@Surrey.pnn.police.uk</w:t>
        </w:r>
      </w:hyperlink>
    </w:p>
    <w:p w:rsidR="00D835CC" w:rsidRPr="00345718" w:rsidRDefault="00D835CC" w:rsidP="00D835CC">
      <w:pPr>
        <w:pStyle w:val="NormalWeb1"/>
        <w:rPr>
          <w:rFonts w:ascii="Calibri" w:hAnsi="Calibri" w:cs="Arial"/>
          <w:b/>
          <w:sz w:val="22"/>
          <w:szCs w:val="22"/>
        </w:rPr>
      </w:pPr>
      <w:r w:rsidRPr="00345718">
        <w:rPr>
          <w:rFonts w:ascii="Calibri" w:hAnsi="Calibri" w:cs="Arial"/>
          <w:sz w:val="22"/>
          <w:szCs w:val="22"/>
        </w:rPr>
        <w:br w:type="page"/>
      </w:r>
      <w:r w:rsidRPr="00345718">
        <w:rPr>
          <w:rFonts w:ascii="Calibri" w:hAnsi="Calibri" w:cs="Arial"/>
          <w:b/>
          <w:sz w:val="22"/>
          <w:szCs w:val="22"/>
        </w:rPr>
        <w:t>Appendix A:  Areas for Improvement - Action Plan</w:t>
      </w:r>
      <w:r>
        <w:rPr>
          <w:rFonts w:ascii="Calibri" w:hAnsi="Calibri" w:cs="Arial"/>
          <w:b/>
          <w:sz w:val="22"/>
          <w:szCs w:val="22"/>
        </w:rPr>
        <w:t xml:space="preserve"> 2020-2021</w:t>
      </w:r>
    </w:p>
    <w:p w:rsidR="00D835CC" w:rsidRDefault="00D835CC" w:rsidP="00D835CC">
      <w:pPr>
        <w:pStyle w:val="NormalWeb1"/>
        <w:rPr>
          <w:rFonts w:ascii="Calibri" w:hAnsi="Calibri" w:cs="Arial"/>
          <w:b/>
          <w:sz w:val="22"/>
          <w:szCs w:val="22"/>
        </w:rPr>
      </w:pP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8"/>
        <w:gridCol w:w="6064"/>
        <w:gridCol w:w="1823"/>
        <w:gridCol w:w="2319"/>
      </w:tblGrid>
      <w:tr w:rsidR="00D835CC" w:rsidRPr="0081221D" w:rsidTr="00B461E8">
        <w:tc>
          <w:tcPr>
            <w:tcW w:w="691" w:type="dxa"/>
            <w:shd w:val="clear" w:color="auto" w:fill="F2F2F2"/>
          </w:tcPr>
          <w:p w:rsidR="00D835CC" w:rsidRPr="0081221D" w:rsidRDefault="00D835CC" w:rsidP="00D835CC">
            <w:pPr>
              <w:spacing w:before="40" w:after="40" w:line="259" w:lineRule="auto"/>
              <w:jc w:val="center"/>
              <w:rPr>
                <w:rFonts w:ascii="Calibri" w:eastAsia="Calibri" w:hAnsi="Calibri"/>
                <w:b/>
                <w:i/>
                <w:color w:val="333333"/>
                <w:sz w:val="18"/>
                <w:szCs w:val="18"/>
              </w:rPr>
            </w:pPr>
            <w:r>
              <w:rPr>
                <w:rFonts w:ascii="Calibri" w:eastAsia="Calibri" w:hAnsi="Calibri"/>
                <w:b/>
                <w:i/>
                <w:color w:val="333333"/>
                <w:sz w:val="18"/>
                <w:szCs w:val="18"/>
              </w:rPr>
              <w:t>Ref</w:t>
            </w:r>
          </w:p>
        </w:tc>
        <w:tc>
          <w:tcPr>
            <w:tcW w:w="6082" w:type="dxa"/>
            <w:gridSpan w:val="2"/>
            <w:shd w:val="clear" w:color="auto" w:fill="F2F2F2"/>
          </w:tcPr>
          <w:p w:rsidR="00D835CC" w:rsidRPr="0081221D" w:rsidRDefault="00D835CC" w:rsidP="00D835CC">
            <w:pPr>
              <w:spacing w:before="40" w:after="40" w:line="259" w:lineRule="auto"/>
              <w:jc w:val="center"/>
              <w:rPr>
                <w:rFonts w:ascii="Calibri" w:eastAsia="Calibri" w:hAnsi="Calibri"/>
                <w:b/>
                <w:i/>
                <w:color w:val="333333"/>
                <w:sz w:val="22"/>
                <w:szCs w:val="22"/>
              </w:rPr>
            </w:pPr>
            <w:r w:rsidRPr="0081221D">
              <w:rPr>
                <w:rFonts w:ascii="Calibri" w:eastAsia="Calibri" w:hAnsi="Calibri"/>
                <w:b/>
                <w:i/>
                <w:color w:val="333333"/>
                <w:sz w:val="22"/>
                <w:szCs w:val="22"/>
              </w:rPr>
              <w:t>Area for improvement</w:t>
            </w:r>
          </w:p>
        </w:tc>
        <w:tc>
          <w:tcPr>
            <w:tcW w:w="1823" w:type="dxa"/>
            <w:shd w:val="clear" w:color="auto" w:fill="F2F2F2"/>
          </w:tcPr>
          <w:p w:rsidR="00D835CC" w:rsidRPr="0081221D" w:rsidRDefault="00D835CC" w:rsidP="00D835CC">
            <w:pPr>
              <w:spacing w:before="40" w:after="40" w:line="259" w:lineRule="auto"/>
              <w:jc w:val="center"/>
              <w:rPr>
                <w:rFonts w:ascii="Calibri" w:eastAsia="Calibri" w:hAnsi="Calibri"/>
                <w:b/>
                <w:i/>
                <w:color w:val="333333"/>
                <w:sz w:val="22"/>
                <w:szCs w:val="22"/>
              </w:rPr>
            </w:pPr>
            <w:r w:rsidRPr="0081221D">
              <w:rPr>
                <w:rFonts w:ascii="Calibri" w:eastAsia="Calibri" w:hAnsi="Calibri"/>
                <w:b/>
                <w:i/>
                <w:color w:val="333333"/>
                <w:sz w:val="22"/>
                <w:szCs w:val="22"/>
              </w:rPr>
              <w:t>Owner</w:t>
            </w:r>
          </w:p>
        </w:tc>
        <w:tc>
          <w:tcPr>
            <w:tcW w:w="2319" w:type="dxa"/>
            <w:shd w:val="clear" w:color="auto" w:fill="F2F2F2"/>
          </w:tcPr>
          <w:p w:rsidR="00D835CC" w:rsidRPr="0081221D" w:rsidRDefault="00D835CC" w:rsidP="00D835CC">
            <w:pPr>
              <w:spacing w:before="40" w:after="40" w:line="259" w:lineRule="auto"/>
              <w:jc w:val="center"/>
              <w:rPr>
                <w:rFonts w:ascii="Calibri" w:eastAsia="Calibri" w:hAnsi="Calibri"/>
                <w:b/>
                <w:i/>
                <w:color w:val="333333"/>
                <w:sz w:val="22"/>
                <w:szCs w:val="22"/>
              </w:rPr>
            </w:pPr>
            <w:r>
              <w:rPr>
                <w:rFonts w:ascii="Calibri" w:eastAsia="Calibri" w:hAnsi="Calibri"/>
                <w:b/>
                <w:i/>
                <w:color w:val="333333"/>
                <w:sz w:val="22"/>
                <w:szCs w:val="22"/>
              </w:rPr>
              <w:t>Anticipated completion dates</w:t>
            </w:r>
          </w:p>
        </w:tc>
      </w:tr>
      <w:tr w:rsidR="00D835CC" w:rsidRPr="0081221D" w:rsidTr="00B461E8">
        <w:tc>
          <w:tcPr>
            <w:tcW w:w="10915" w:type="dxa"/>
            <w:gridSpan w:val="5"/>
            <w:shd w:val="clear" w:color="auto" w:fill="BDD6EE"/>
          </w:tcPr>
          <w:p w:rsidR="00D835CC" w:rsidRPr="005F3A78" w:rsidRDefault="00D835CC">
            <w:pPr>
              <w:spacing w:before="60" w:after="60"/>
              <w:rPr>
                <w:rFonts w:ascii="Calibri" w:eastAsia="Calibri" w:hAnsi="Calibri"/>
                <w:b/>
                <w:caps/>
              </w:rPr>
            </w:pPr>
            <w:r w:rsidRPr="005F3A78">
              <w:rPr>
                <w:rFonts w:ascii="Calibri" w:eastAsia="Calibri" w:hAnsi="Calibri"/>
                <w:b/>
                <w:caps/>
              </w:rPr>
              <w:t>Issues carried over from 201</w:t>
            </w:r>
            <w:r w:rsidR="000C5C8B">
              <w:rPr>
                <w:rFonts w:ascii="Calibri" w:eastAsia="Calibri" w:hAnsi="Calibri"/>
                <w:b/>
                <w:caps/>
              </w:rPr>
              <w:t>8</w:t>
            </w:r>
            <w:r w:rsidRPr="005F3A78">
              <w:rPr>
                <w:rFonts w:ascii="Calibri" w:eastAsia="Calibri" w:hAnsi="Calibri"/>
                <w:b/>
                <w:caps/>
              </w:rPr>
              <w:t>-</w:t>
            </w:r>
            <w:r w:rsidR="000C5C8B">
              <w:rPr>
                <w:rFonts w:ascii="Calibri" w:eastAsia="Calibri" w:hAnsi="Calibri"/>
                <w:b/>
                <w:caps/>
              </w:rPr>
              <w:t>19</w:t>
            </w:r>
            <w:r w:rsidRPr="005F3A78">
              <w:rPr>
                <w:rFonts w:ascii="Calibri" w:eastAsia="Calibri" w:hAnsi="Calibri"/>
                <w:b/>
                <w:caps/>
              </w:rPr>
              <w:t xml:space="preserve"> AGS action plan</w:t>
            </w:r>
          </w:p>
        </w:tc>
      </w:tr>
      <w:tr w:rsidR="00D835CC" w:rsidRPr="0081221D" w:rsidTr="00B461E8">
        <w:trPr>
          <w:trHeight w:val="1248"/>
        </w:trPr>
        <w:tc>
          <w:tcPr>
            <w:tcW w:w="691" w:type="dxa"/>
            <w:shd w:val="clear" w:color="auto" w:fill="auto"/>
          </w:tcPr>
          <w:p w:rsidR="00D835CC" w:rsidRPr="00CB2BF2" w:rsidRDefault="00D835CC" w:rsidP="00D835CC">
            <w:pPr>
              <w:spacing w:before="40" w:after="40"/>
              <w:jc w:val="center"/>
              <w:rPr>
                <w:rFonts w:ascii="Calibri" w:eastAsia="Calibri" w:hAnsi="Calibri"/>
                <w:sz w:val="18"/>
                <w:szCs w:val="18"/>
              </w:rPr>
            </w:pPr>
            <w:r w:rsidRPr="00CB2BF2">
              <w:rPr>
                <w:rFonts w:ascii="Calibri" w:eastAsia="Calibri" w:hAnsi="Calibri"/>
                <w:sz w:val="18"/>
                <w:szCs w:val="18"/>
              </w:rPr>
              <w:t>1</w:t>
            </w:r>
          </w:p>
        </w:tc>
        <w:tc>
          <w:tcPr>
            <w:tcW w:w="6082" w:type="dxa"/>
            <w:gridSpan w:val="2"/>
            <w:shd w:val="clear" w:color="auto" w:fill="auto"/>
          </w:tcPr>
          <w:p w:rsidR="00D835CC" w:rsidRPr="00CB2BF2" w:rsidRDefault="00D835CC" w:rsidP="00D835CC">
            <w:pPr>
              <w:spacing w:before="40" w:after="40"/>
              <w:rPr>
                <w:rFonts w:ascii="Calibri" w:hAnsi="Calibri"/>
                <w:sz w:val="18"/>
                <w:szCs w:val="18"/>
                <w:lang w:eastAsia="en-GB"/>
              </w:rPr>
            </w:pPr>
            <w:r w:rsidRPr="00CB2BF2">
              <w:rPr>
                <w:rFonts w:ascii="Calibri" w:hAnsi="Calibri"/>
                <w:b/>
                <w:color w:val="002060"/>
                <w:sz w:val="18"/>
                <w:szCs w:val="18"/>
              </w:rPr>
              <w:t>Further improvements to financial reporting identified by the Executive Director Finance Commercial Services</w:t>
            </w:r>
            <w:r w:rsidRPr="00CB2BF2">
              <w:rPr>
                <w:rFonts w:ascii="Calibri" w:hAnsi="Calibri"/>
                <w:color w:val="000000"/>
                <w:sz w:val="18"/>
                <w:szCs w:val="18"/>
              </w:rPr>
              <w:t xml:space="preserve"> – including improvements required in processes used by the joint Surrey/Sussex Management Accounting team, and enhanced frequency/content of external financial reporting agreed with the OSPCC CFO</w:t>
            </w:r>
            <w:r w:rsidRPr="00CB2BF2">
              <w:rPr>
                <w:rFonts w:ascii="Calibri" w:hAnsi="Calibri"/>
                <w:sz w:val="18"/>
                <w:szCs w:val="18"/>
                <w:lang w:eastAsia="en-GB"/>
              </w:rPr>
              <w:t>.</w:t>
            </w:r>
          </w:p>
        </w:tc>
        <w:tc>
          <w:tcPr>
            <w:tcW w:w="1823" w:type="dxa"/>
            <w:shd w:val="clear" w:color="auto" w:fill="auto"/>
          </w:tcPr>
          <w:p w:rsidR="00D835CC" w:rsidRPr="00CB2BF2" w:rsidRDefault="00D835CC" w:rsidP="00D835CC">
            <w:pPr>
              <w:spacing w:before="40" w:after="40"/>
              <w:rPr>
                <w:rFonts w:ascii="Calibri" w:eastAsia="Calibri" w:hAnsi="Calibri"/>
                <w:color w:val="333333"/>
                <w:sz w:val="18"/>
                <w:szCs w:val="18"/>
              </w:rPr>
            </w:pPr>
            <w:r w:rsidRPr="00CB2BF2">
              <w:rPr>
                <w:rFonts w:ascii="Calibri" w:hAnsi="Calibri"/>
                <w:sz w:val="18"/>
                <w:szCs w:val="18"/>
                <w:lang w:eastAsia="en-GB"/>
              </w:rPr>
              <w:t>Executive Director of Commercial and Finance</w:t>
            </w:r>
          </w:p>
          <w:p w:rsidR="00D835CC" w:rsidRPr="00CB2BF2" w:rsidRDefault="00D835CC" w:rsidP="00D835CC">
            <w:pPr>
              <w:spacing w:before="40" w:after="40"/>
              <w:rPr>
                <w:rFonts w:ascii="Calibri" w:eastAsia="Calibri" w:hAnsi="Calibri"/>
                <w:color w:val="333333"/>
                <w:sz w:val="18"/>
                <w:szCs w:val="18"/>
              </w:rPr>
            </w:pPr>
          </w:p>
        </w:tc>
        <w:tc>
          <w:tcPr>
            <w:tcW w:w="2319" w:type="dxa"/>
          </w:tcPr>
          <w:p w:rsidR="00D835CC" w:rsidRPr="00CB2BF2" w:rsidRDefault="00D835CC" w:rsidP="00EA146B">
            <w:pPr>
              <w:tabs>
                <w:tab w:val="left" w:pos="0"/>
              </w:tabs>
              <w:overflowPunct w:val="0"/>
              <w:autoSpaceDE w:val="0"/>
              <w:autoSpaceDN w:val="0"/>
              <w:adjustRightInd w:val="0"/>
              <w:spacing w:before="40" w:after="40"/>
              <w:jc w:val="center"/>
              <w:textAlignment w:val="baseline"/>
              <w:rPr>
                <w:rFonts w:ascii="Calibri" w:eastAsia="Calibri" w:hAnsi="Calibri"/>
                <w:sz w:val="18"/>
                <w:szCs w:val="18"/>
              </w:rPr>
            </w:pPr>
            <w:r w:rsidRPr="00CB2BF2">
              <w:rPr>
                <w:rFonts w:ascii="Calibri" w:eastAsia="Calibri" w:hAnsi="Calibri"/>
                <w:sz w:val="18"/>
                <w:szCs w:val="18"/>
              </w:rPr>
              <w:t>31.03.21</w:t>
            </w:r>
          </w:p>
        </w:tc>
      </w:tr>
      <w:tr w:rsidR="00D835CC" w:rsidRPr="0081221D" w:rsidTr="00B461E8">
        <w:tc>
          <w:tcPr>
            <w:tcW w:w="691" w:type="dxa"/>
            <w:shd w:val="clear" w:color="auto" w:fill="auto"/>
          </w:tcPr>
          <w:p w:rsidR="00D835CC" w:rsidRPr="00CB2BF2" w:rsidRDefault="00D835CC" w:rsidP="00D835CC">
            <w:pPr>
              <w:spacing w:before="40" w:after="40"/>
              <w:jc w:val="center"/>
              <w:rPr>
                <w:rFonts w:ascii="Calibri" w:eastAsia="Calibri" w:hAnsi="Calibri"/>
                <w:sz w:val="18"/>
                <w:szCs w:val="18"/>
              </w:rPr>
            </w:pPr>
            <w:r w:rsidRPr="00CB2BF2">
              <w:rPr>
                <w:rFonts w:ascii="Calibri" w:eastAsia="Calibri" w:hAnsi="Calibri"/>
                <w:sz w:val="18"/>
                <w:szCs w:val="18"/>
              </w:rPr>
              <w:t>2</w:t>
            </w:r>
          </w:p>
        </w:tc>
        <w:tc>
          <w:tcPr>
            <w:tcW w:w="6082" w:type="dxa"/>
            <w:gridSpan w:val="2"/>
            <w:shd w:val="clear" w:color="auto" w:fill="auto"/>
          </w:tcPr>
          <w:p w:rsidR="00D835CC" w:rsidRPr="00CB2BF2" w:rsidRDefault="00D835CC" w:rsidP="00D835CC">
            <w:pPr>
              <w:spacing w:before="40" w:after="40"/>
              <w:rPr>
                <w:rFonts w:ascii="Calibri" w:hAnsi="Calibri"/>
                <w:b/>
                <w:color w:val="002060"/>
                <w:sz w:val="18"/>
                <w:szCs w:val="18"/>
              </w:rPr>
            </w:pPr>
            <w:r w:rsidRPr="00CB2BF2">
              <w:rPr>
                <w:rFonts w:ascii="Calibri" w:hAnsi="Calibri"/>
                <w:b/>
                <w:color w:val="002060"/>
                <w:sz w:val="18"/>
                <w:szCs w:val="18"/>
              </w:rPr>
              <w:t>ERP Payroll Extra Costs – limited assurance internal audit opinion</w:t>
            </w:r>
          </w:p>
          <w:p w:rsidR="00D835CC" w:rsidRPr="00CB2BF2" w:rsidRDefault="00D835CC" w:rsidP="00D835CC">
            <w:pPr>
              <w:spacing w:before="40" w:after="40"/>
              <w:rPr>
                <w:rFonts w:ascii="Calibri" w:hAnsi="Calibri" w:cs="Times New Roman"/>
                <w:bCs/>
                <w:color w:val="000000"/>
                <w:sz w:val="18"/>
                <w:szCs w:val="18"/>
                <w:lang w:eastAsia="en-GB"/>
              </w:rPr>
            </w:pPr>
            <w:r w:rsidRPr="00CB2BF2">
              <w:rPr>
                <w:rFonts w:ascii="Calibri" w:hAnsi="Calibri" w:cs="Times New Roman"/>
                <w:bCs/>
                <w:color w:val="000000"/>
                <w:sz w:val="18"/>
                <w:szCs w:val="18"/>
                <w:lang w:eastAsia="en-GB"/>
              </w:rPr>
              <w:t>Lack of detailed definition and agreement of the costs to be included in any recharges could lead to dispute. Costs are not captured and recharged completely and accurately. Actions as set out in the report.</w:t>
            </w:r>
          </w:p>
        </w:tc>
        <w:tc>
          <w:tcPr>
            <w:tcW w:w="1823" w:type="dxa"/>
            <w:shd w:val="clear" w:color="auto" w:fill="auto"/>
          </w:tcPr>
          <w:p w:rsidR="00D835CC" w:rsidRPr="00CB2BF2" w:rsidRDefault="00D835CC" w:rsidP="00D835CC">
            <w:pPr>
              <w:spacing w:before="40" w:after="40"/>
              <w:rPr>
                <w:rFonts w:ascii="Calibri" w:eastAsia="Calibri" w:hAnsi="Calibri"/>
                <w:sz w:val="18"/>
                <w:szCs w:val="18"/>
              </w:rPr>
            </w:pPr>
            <w:r w:rsidRPr="00CB2BF2">
              <w:rPr>
                <w:rFonts w:ascii="Calibri" w:eastAsia="Calibri" w:hAnsi="Calibri"/>
                <w:sz w:val="18"/>
                <w:szCs w:val="18"/>
              </w:rPr>
              <w:t xml:space="preserve"> Chief Digital and Information Officer</w:t>
            </w:r>
          </w:p>
        </w:tc>
        <w:tc>
          <w:tcPr>
            <w:tcW w:w="2319" w:type="dxa"/>
          </w:tcPr>
          <w:p w:rsidR="00D835CC" w:rsidRPr="00CB2BF2" w:rsidRDefault="00D835CC" w:rsidP="00D835C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CB2BF2">
              <w:rPr>
                <w:rFonts w:ascii="Calibri" w:eastAsia="Calibri" w:hAnsi="Calibri" w:cs="Calibri"/>
                <w:sz w:val="18"/>
                <w:szCs w:val="18"/>
              </w:rPr>
              <w:t>Dependent upon project go-live</w:t>
            </w:r>
          </w:p>
        </w:tc>
      </w:tr>
      <w:tr w:rsidR="00D835CC" w:rsidRPr="0081221D" w:rsidTr="00B461E8">
        <w:tc>
          <w:tcPr>
            <w:tcW w:w="691" w:type="dxa"/>
            <w:shd w:val="clear" w:color="auto" w:fill="auto"/>
          </w:tcPr>
          <w:p w:rsidR="00D835CC" w:rsidRPr="005B35E6" w:rsidRDefault="00D835CC" w:rsidP="00D835CC">
            <w:pPr>
              <w:spacing w:before="40" w:after="40"/>
              <w:jc w:val="center"/>
              <w:rPr>
                <w:rFonts w:ascii="Calibri" w:eastAsia="Calibri" w:hAnsi="Calibri"/>
                <w:sz w:val="18"/>
                <w:szCs w:val="18"/>
              </w:rPr>
            </w:pPr>
            <w:r w:rsidRPr="005B35E6">
              <w:rPr>
                <w:rFonts w:ascii="Calibri" w:eastAsia="Calibri" w:hAnsi="Calibri"/>
                <w:sz w:val="18"/>
                <w:szCs w:val="18"/>
              </w:rPr>
              <w:t>3</w:t>
            </w:r>
          </w:p>
        </w:tc>
        <w:tc>
          <w:tcPr>
            <w:tcW w:w="6082" w:type="dxa"/>
            <w:gridSpan w:val="2"/>
            <w:shd w:val="clear" w:color="auto" w:fill="auto"/>
          </w:tcPr>
          <w:p w:rsidR="00D835CC" w:rsidRPr="005B35E6" w:rsidRDefault="00D835CC" w:rsidP="00D835CC">
            <w:pPr>
              <w:spacing w:before="40" w:after="40"/>
              <w:rPr>
                <w:rFonts w:ascii="Calibri" w:eastAsia="Calibri" w:hAnsi="Calibri" w:cs="Times New Roman"/>
                <w:b/>
                <w:color w:val="1F3864"/>
                <w:sz w:val="18"/>
                <w:szCs w:val="18"/>
              </w:rPr>
            </w:pPr>
            <w:r w:rsidRPr="005B35E6">
              <w:rPr>
                <w:rFonts w:ascii="Calibri" w:eastAsia="Calibri" w:hAnsi="Calibri" w:cs="Times New Roman"/>
                <w:b/>
                <w:color w:val="1F3864"/>
                <w:sz w:val="18"/>
                <w:szCs w:val="18"/>
              </w:rPr>
              <w:t>ERP/EQUIP Programme</w:t>
            </w:r>
          </w:p>
          <w:p w:rsidR="00D835CC" w:rsidRPr="005B35E6" w:rsidRDefault="00D835CC" w:rsidP="00D835CC">
            <w:pPr>
              <w:spacing w:before="40" w:after="40"/>
              <w:rPr>
                <w:rFonts w:ascii="Calibri" w:eastAsia="Calibri" w:hAnsi="Calibri" w:cs="Times New Roman"/>
                <w:b/>
                <w:color w:val="1F3864"/>
                <w:sz w:val="18"/>
                <w:szCs w:val="18"/>
              </w:rPr>
            </w:pPr>
            <w:r w:rsidRPr="005B35E6">
              <w:rPr>
                <w:rFonts w:ascii="Calibri" w:eastAsia="Calibri" w:hAnsi="Calibri" w:cs="Times New Roman"/>
                <w:sz w:val="18"/>
                <w:szCs w:val="18"/>
              </w:rPr>
              <w:t>The Equip Programme will proactively clear the outstanding actions from all previous audit/Gateway reviews and initiate further reviews at strategic points prior to go-live.</w:t>
            </w:r>
          </w:p>
        </w:tc>
        <w:tc>
          <w:tcPr>
            <w:tcW w:w="1823" w:type="dxa"/>
            <w:shd w:val="clear" w:color="auto" w:fill="auto"/>
          </w:tcPr>
          <w:p w:rsidR="00D835CC" w:rsidRPr="005B35E6" w:rsidRDefault="00D835CC" w:rsidP="00D835CC">
            <w:pPr>
              <w:spacing w:before="40" w:after="40"/>
              <w:rPr>
                <w:rFonts w:ascii="Calibri" w:eastAsia="Calibri" w:hAnsi="Calibri"/>
                <w:sz w:val="18"/>
                <w:szCs w:val="18"/>
              </w:rPr>
            </w:pPr>
            <w:r w:rsidRPr="005B35E6">
              <w:rPr>
                <w:rFonts w:ascii="Calibri" w:eastAsia="Calibri" w:hAnsi="Calibri"/>
                <w:sz w:val="18"/>
                <w:szCs w:val="18"/>
              </w:rPr>
              <w:t>Chief Digital and Information Officer</w:t>
            </w:r>
          </w:p>
        </w:tc>
        <w:tc>
          <w:tcPr>
            <w:tcW w:w="2319" w:type="dxa"/>
          </w:tcPr>
          <w:p w:rsidR="00D835CC" w:rsidRPr="005B35E6" w:rsidRDefault="00D835CC" w:rsidP="00D835CC">
            <w:pPr>
              <w:spacing w:before="40" w:after="40"/>
              <w:rPr>
                <w:rFonts w:ascii="Calibri" w:eastAsia="Calibri" w:hAnsi="Calibri"/>
                <w:sz w:val="18"/>
                <w:szCs w:val="18"/>
              </w:rPr>
            </w:pPr>
            <w:r w:rsidRPr="005B35E6">
              <w:rPr>
                <w:rFonts w:ascii="Calibri" w:eastAsia="Calibri" w:hAnsi="Calibri" w:cs="Calibri"/>
                <w:sz w:val="18"/>
                <w:szCs w:val="18"/>
              </w:rPr>
              <w:t>Dependent upon project go-live</w:t>
            </w:r>
          </w:p>
        </w:tc>
      </w:tr>
      <w:tr w:rsidR="008A6FEA" w:rsidRPr="0081221D" w:rsidTr="00B461E8">
        <w:tc>
          <w:tcPr>
            <w:tcW w:w="691" w:type="dxa"/>
            <w:shd w:val="clear" w:color="auto" w:fill="auto"/>
          </w:tcPr>
          <w:p w:rsidR="008A6FEA" w:rsidRPr="005B35E6" w:rsidRDefault="008A6FEA" w:rsidP="008A6FEA">
            <w:pPr>
              <w:spacing w:before="40" w:after="40"/>
              <w:jc w:val="center"/>
              <w:rPr>
                <w:rFonts w:ascii="Calibri" w:eastAsia="Calibri" w:hAnsi="Calibri"/>
                <w:sz w:val="18"/>
                <w:szCs w:val="18"/>
              </w:rPr>
            </w:pPr>
          </w:p>
        </w:tc>
        <w:tc>
          <w:tcPr>
            <w:tcW w:w="6082" w:type="dxa"/>
            <w:gridSpan w:val="2"/>
            <w:shd w:val="clear" w:color="auto" w:fill="auto"/>
          </w:tcPr>
          <w:p w:rsidR="008A6FEA" w:rsidRPr="004A190F" w:rsidRDefault="008A6FEA" w:rsidP="008A6FEA">
            <w:pPr>
              <w:spacing w:before="40" w:after="40"/>
              <w:rPr>
                <w:rFonts w:ascii="Calibri" w:eastAsia="Calibri" w:hAnsi="Calibri" w:cs="Times New Roman"/>
                <w:sz w:val="18"/>
                <w:szCs w:val="18"/>
              </w:rPr>
            </w:pPr>
            <w:r w:rsidRPr="004A190F">
              <w:rPr>
                <w:rFonts w:ascii="Calibri" w:eastAsia="Calibri" w:hAnsi="Calibri" w:cs="Times New Roman"/>
                <w:b/>
                <w:color w:val="1F3864" w:themeColor="accent5" w:themeShade="80"/>
                <w:sz w:val="18"/>
                <w:szCs w:val="18"/>
              </w:rPr>
              <w:t>Uniform and Small Assets</w:t>
            </w:r>
            <w:r w:rsidRPr="004A190F">
              <w:rPr>
                <w:rFonts w:ascii="Calibri" w:eastAsia="Calibri" w:hAnsi="Calibri" w:cs="Times New Roman"/>
                <w:color w:val="1F3864" w:themeColor="accent5" w:themeShade="80"/>
                <w:sz w:val="18"/>
                <w:szCs w:val="18"/>
              </w:rPr>
              <w:t xml:space="preserve"> </w:t>
            </w:r>
            <w:r w:rsidRPr="004A190F">
              <w:rPr>
                <w:rFonts w:ascii="Calibri" w:eastAsia="Calibri" w:hAnsi="Calibri" w:cs="Times New Roman"/>
                <w:sz w:val="18"/>
                <w:szCs w:val="18"/>
              </w:rPr>
              <w:t>– No assurance internal audit opinion (2018-19)</w:t>
            </w:r>
          </w:p>
          <w:p w:rsidR="008A6FEA" w:rsidRPr="004A190F" w:rsidRDefault="008A6FEA" w:rsidP="008A6FEA">
            <w:pPr>
              <w:spacing w:before="40" w:after="40"/>
              <w:rPr>
                <w:rFonts w:ascii="Calibri" w:eastAsia="Calibri" w:hAnsi="Calibri" w:cs="Times New Roman"/>
                <w:sz w:val="18"/>
                <w:szCs w:val="18"/>
              </w:rPr>
            </w:pPr>
            <w:r w:rsidRPr="004A190F">
              <w:rPr>
                <w:rFonts w:ascii="Calibri" w:eastAsia="Calibri" w:hAnsi="Calibri" w:cs="Times New Roman"/>
                <w:sz w:val="18"/>
                <w:szCs w:val="18"/>
              </w:rPr>
              <w:t>2 high, 3 medium management actions</w:t>
            </w:r>
          </w:p>
        </w:tc>
        <w:tc>
          <w:tcPr>
            <w:tcW w:w="1823" w:type="dxa"/>
            <w:shd w:val="clear" w:color="auto" w:fill="auto"/>
          </w:tcPr>
          <w:p w:rsidR="008A6FEA" w:rsidRPr="001921D8" w:rsidRDefault="008A6FEA" w:rsidP="008A6FEA">
            <w:pPr>
              <w:spacing w:before="40" w:after="40"/>
              <w:rPr>
                <w:rFonts w:ascii="Calibri" w:eastAsia="Calibri" w:hAnsi="Calibri"/>
                <w:sz w:val="18"/>
                <w:szCs w:val="18"/>
                <w:lang w:eastAsia="en-GB"/>
              </w:rPr>
            </w:pPr>
            <w:r w:rsidRPr="001921D8">
              <w:rPr>
                <w:rFonts w:ascii="Calibri" w:eastAsia="Calibri" w:hAnsi="Calibri"/>
                <w:sz w:val="18"/>
                <w:szCs w:val="18"/>
                <w:lang w:eastAsia="en-GB"/>
              </w:rPr>
              <w:t>Service Director, Estates &amp; Facilities</w:t>
            </w:r>
          </w:p>
        </w:tc>
        <w:tc>
          <w:tcPr>
            <w:tcW w:w="2319" w:type="dxa"/>
          </w:tcPr>
          <w:p w:rsidR="008A6FEA" w:rsidRPr="001921D8" w:rsidRDefault="008C239A" w:rsidP="00EA146B">
            <w:pPr>
              <w:spacing w:before="40" w:after="40"/>
              <w:jc w:val="center"/>
              <w:rPr>
                <w:rFonts w:ascii="Calibri" w:eastAsia="Calibri" w:hAnsi="Calibri" w:cs="Times New Roman"/>
                <w:sz w:val="18"/>
                <w:szCs w:val="18"/>
              </w:rPr>
            </w:pPr>
            <w:r>
              <w:rPr>
                <w:rFonts w:ascii="Calibri" w:eastAsia="Calibri" w:hAnsi="Calibri" w:cs="Times New Roman"/>
                <w:sz w:val="18"/>
                <w:szCs w:val="18"/>
              </w:rPr>
              <w:t>31.03.21</w:t>
            </w:r>
          </w:p>
        </w:tc>
      </w:tr>
      <w:tr w:rsidR="00D835CC" w:rsidRPr="0081221D" w:rsidTr="00B461E8">
        <w:tc>
          <w:tcPr>
            <w:tcW w:w="10915" w:type="dxa"/>
            <w:gridSpan w:val="5"/>
            <w:shd w:val="clear" w:color="auto" w:fill="BDD6EE"/>
          </w:tcPr>
          <w:p w:rsidR="00D835CC" w:rsidRPr="0087453B" w:rsidRDefault="00D835CC" w:rsidP="00D835CC">
            <w:pPr>
              <w:spacing w:before="40" w:after="40" w:line="252" w:lineRule="auto"/>
              <w:rPr>
                <w:rFonts w:ascii="Calibri" w:hAnsi="Calibri"/>
                <w:caps/>
                <w:sz w:val="18"/>
                <w:szCs w:val="18"/>
                <w:highlight w:val="yellow"/>
              </w:rPr>
            </w:pPr>
            <w:r w:rsidRPr="00CB2BF2">
              <w:rPr>
                <w:rFonts w:ascii="Calibri" w:eastAsia="Calibri" w:hAnsi="Calibri"/>
                <w:b/>
                <w:caps/>
              </w:rPr>
              <w:t>Issues identified from internal audit 2019-20</w:t>
            </w:r>
          </w:p>
        </w:tc>
      </w:tr>
      <w:tr w:rsidR="00D835CC" w:rsidRPr="0081221D" w:rsidTr="00B461E8">
        <w:tc>
          <w:tcPr>
            <w:tcW w:w="709" w:type="dxa"/>
            <w:gridSpan w:val="2"/>
            <w:shd w:val="clear" w:color="auto" w:fill="auto"/>
          </w:tcPr>
          <w:p w:rsidR="00D835CC" w:rsidRPr="00CB2BF2" w:rsidRDefault="00D835CC" w:rsidP="00D835CC">
            <w:pPr>
              <w:spacing w:before="40" w:after="40" w:line="259" w:lineRule="auto"/>
              <w:jc w:val="center"/>
              <w:rPr>
                <w:rFonts w:ascii="Calibri" w:eastAsia="Calibri" w:hAnsi="Calibri"/>
                <w:sz w:val="18"/>
                <w:szCs w:val="18"/>
              </w:rPr>
            </w:pPr>
          </w:p>
        </w:tc>
        <w:tc>
          <w:tcPr>
            <w:tcW w:w="6064" w:type="dxa"/>
            <w:shd w:val="clear" w:color="auto" w:fill="auto"/>
          </w:tcPr>
          <w:p w:rsidR="00D835CC" w:rsidRDefault="00D835CC" w:rsidP="00D835CC">
            <w:pPr>
              <w:spacing w:before="40" w:after="40"/>
              <w:rPr>
                <w:rFonts w:ascii="Calibri" w:hAnsi="Calibri"/>
                <w:b/>
                <w:color w:val="002060"/>
                <w:sz w:val="18"/>
                <w:szCs w:val="18"/>
              </w:rPr>
            </w:pPr>
            <w:r w:rsidRPr="00CB2BF2">
              <w:rPr>
                <w:rFonts w:ascii="Calibri" w:hAnsi="Calibri"/>
                <w:b/>
                <w:color w:val="002060"/>
                <w:sz w:val="18"/>
                <w:szCs w:val="18"/>
              </w:rPr>
              <w:t>Surrey Police Victims Code 2019/20</w:t>
            </w:r>
            <w:r>
              <w:rPr>
                <w:rFonts w:ascii="Calibri" w:hAnsi="Calibri"/>
                <w:b/>
                <w:color w:val="002060"/>
                <w:sz w:val="18"/>
                <w:szCs w:val="18"/>
              </w:rPr>
              <w:t xml:space="preserve"> – Limited Assurance</w:t>
            </w:r>
          </w:p>
          <w:p w:rsidR="00D835CC" w:rsidRPr="00CB2BF2" w:rsidRDefault="00D835CC" w:rsidP="00D835CC">
            <w:pPr>
              <w:spacing w:before="40" w:after="40"/>
              <w:rPr>
                <w:rFonts w:ascii="Calibri" w:hAnsi="Calibri"/>
                <w:color w:val="002060"/>
                <w:sz w:val="18"/>
                <w:szCs w:val="18"/>
              </w:rPr>
            </w:pPr>
            <w:r w:rsidRPr="00C5423F">
              <w:rPr>
                <w:rFonts w:ascii="Calibri" w:hAnsi="Calibri"/>
                <w:sz w:val="18"/>
                <w:szCs w:val="18"/>
              </w:rPr>
              <w:t>9 high, 3 medium management actions</w:t>
            </w:r>
          </w:p>
        </w:tc>
        <w:tc>
          <w:tcPr>
            <w:tcW w:w="1823" w:type="dxa"/>
            <w:shd w:val="clear" w:color="auto" w:fill="auto"/>
          </w:tcPr>
          <w:p w:rsidR="00D835CC" w:rsidRPr="00CB2BF2" w:rsidRDefault="00D835CC" w:rsidP="00D835CC">
            <w:pPr>
              <w:tabs>
                <w:tab w:val="left" w:pos="0"/>
              </w:tabs>
              <w:overflowPunct w:val="0"/>
              <w:autoSpaceDE w:val="0"/>
              <w:autoSpaceDN w:val="0"/>
              <w:adjustRightInd w:val="0"/>
              <w:spacing w:before="40" w:after="40"/>
              <w:jc w:val="center"/>
              <w:textAlignment w:val="baseline"/>
              <w:rPr>
                <w:rFonts w:ascii="Calibri" w:eastAsia="Calibri" w:hAnsi="Calibri"/>
                <w:sz w:val="18"/>
                <w:szCs w:val="18"/>
              </w:rPr>
            </w:pPr>
            <w:r w:rsidRPr="00CB2BF2">
              <w:rPr>
                <w:rFonts w:ascii="Calibri" w:eastAsia="Calibri" w:hAnsi="Calibri"/>
                <w:sz w:val="18"/>
                <w:szCs w:val="18"/>
              </w:rPr>
              <w:t>Surrey OPCC CEO and Head of Victims &amp; Witness Care Unit</w:t>
            </w:r>
          </w:p>
        </w:tc>
        <w:tc>
          <w:tcPr>
            <w:tcW w:w="2319" w:type="dxa"/>
          </w:tcPr>
          <w:p w:rsidR="00D835CC" w:rsidRPr="00CB2BF2" w:rsidRDefault="00D835CC">
            <w:pPr>
              <w:spacing w:before="40" w:after="40"/>
              <w:jc w:val="center"/>
              <w:rPr>
                <w:rFonts w:ascii="Calibri" w:hAnsi="Calibri"/>
                <w:sz w:val="18"/>
                <w:szCs w:val="18"/>
              </w:rPr>
            </w:pPr>
            <w:r w:rsidRPr="00CB2BF2">
              <w:rPr>
                <w:rFonts w:ascii="Calibri" w:hAnsi="Calibri"/>
                <w:sz w:val="18"/>
                <w:szCs w:val="18"/>
              </w:rPr>
              <w:t>17</w:t>
            </w:r>
            <w:r w:rsidR="002A69A9">
              <w:rPr>
                <w:rFonts w:ascii="Calibri" w:hAnsi="Calibri"/>
                <w:sz w:val="18"/>
                <w:szCs w:val="18"/>
              </w:rPr>
              <w:t>.</w:t>
            </w:r>
            <w:r w:rsidRPr="00CB2BF2">
              <w:rPr>
                <w:rFonts w:ascii="Calibri" w:hAnsi="Calibri"/>
                <w:sz w:val="18"/>
                <w:szCs w:val="18"/>
              </w:rPr>
              <w:t>12</w:t>
            </w:r>
            <w:r w:rsidR="002A69A9">
              <w:rPr>
                <w:rFonts w:ascii="Calibri" w:hAnsi="Calibri"/>
                <w:sz w:val="18"/>
                <w:szCs w:val="18"/>
              </w:rPr>
              <w:t>.</w:t>
            </w:r>
            <w:r w:rsidRPr="00CB2BF2">
              <w:rPr>
                <w:rFonts w:ascii="Calibri" w:hAnsi="Calibri"/>
                <w:sz w:val="18"/>
                <w:szCs w:val="18"/>
              </w:rPr>
              <w:t>20</w:t>
            </w:r>
          </w:p>
        </w:tc>
      </w:tr>
      <w:tr w:rsidR="00D835CC" w:rsidRPr="0081221D" w:rsidTr="00B461E8">
        <w:tc>
          <w:tcPr>
            <w:tcW w:w="709" w:type="dxa"/>
            <w:gridSpan w:val="2"/>
            <w:shd w:val="clear" w:color="auto" w:fill="auto"/>
          </w:tcPr>
          <w:p w:rsidR="00D835CC" w:rsidRPr="0087453B" w:rsidRDefault="00D835CC" w:rsidP="00D835CC">
            <w:pPr>
              <w:spacing w:before="40" w:after="40" w:line="259" w:lineRule="auto"/>
              <w:jc w:val="center"/>
              <w:rPr>
                <w:rFonts w:ascii="Calibri" w:eastAsia="Calibri" w:hAnsi="Calibri"/>
                <w:sz w:val="18"/>
                <w:szCs w:val="18"/>
                <w:highlight w:val="yellow"/>
              </w:rPr>
            </w:pPr>
          </w:p>
        </w:tc>
        <w:tc>
          <w:tcPr>
            <w:tcW w:w="6064" w:type="dxa"/>
            <w:shd w:val="clear" w:color="auto" w:fill="auto"/>
          </w:tcPr>
          <w:p w:rsidR="00D835CC" w:rsidRDefault="00D835CC" w:rsidP="00D835CC">
            <w:pPr>
              <w:spacing w:before="40" w:after="40"/>
              <w:rPr>
                <w:rFonts w:ascii="Calibri" w:hAnsi="Calibri"/>
                <w:b/>
                <w:color w:val="002060"/>
                <w:sz w:val="18"/>
                <w:szCs w:val="18"/>
              </w:rPr>
            </w:pPr>
            <w:r w:rsidRPr="00CB2BF2">
              <w:rPr>
                <w:rFonts w:ascii="Calibri" w:hAnsi="Calibri"/>
                <w:b/>
                <w:color w:val="002060"/>
                <w:sz w:val="18"/>
                <w:szCs w:val="18"/>
              </w:rPr>
              <w:t>Crime Recording Data Quality</w:t>
            </w:r>
            <w:r>
              <w:rPr>
                <w:rFonts w:ascii="Calibri" w:hAnsi="Calibri"/>
                <w:b/>
                <w:color w:val="002060"/>
                <w:sz w:val="18"/>
                <w:szCs w:val="18"/>
              </w:rPr>
              <w:t xml:space="preserve"> – Limited Assurance</w:t>
            </w:r>
          </w:p>
          <w:p w:rsidR="00D835CC" w:rsidRPr="00CB2BF2" w:rsidRDefault="00D835CC" w:rsidP="00D835CC">
            <w:pPr>
              <w:spacing w:before="40" w:after="40"/>
              <w:rPr>
                <w:rFonts w:ascii="Calibri" w:hAnsi="Calibri"/>
                <w:color w:val="002060"/>
                <w:sz w:val="18"/>
                <w:szCs w:val="18"/>
              </w:rPr>
            </w:pPr>
            <w:r w:rsidRPr="00C5423F">
              <w:rPr>
                <w:rFonts w:ascii="Calibri" w:hAnsi="Calibri"/>
                <w:sz w:val="18"/>
                <w:szCs w:val="18"/>
              </w:rPr>
              <w:t>6 medium, 7 low management actions</w:t>
            </w:r>
          </w:p>
        </w:tc>
        <w:tc>
          <w:tcPr>
            <w:tcW w:w="1823" w:type="dxa"/>
            <w:shd w:val="clear" w:color="auto" w:fill="auto"/>
          </w:tcPr>
          <w:p w:rsidR="00D835CC" w:rsidRPr="00CB2BF2" w:rsidRDefault="00D835CC" w:rsidP="00D835C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CB2BF2">
              <w:rPr>
                <w:rFonts w:ascii="Calibri" w:eastAsia="Calibri" w:hAnsi="Calibri"/>
                <w:sz w:val="18"/>
                <w:szCs w:val="18"/>
              </w:rPr>
              <w:t>Head of Service Quality</w:t>
            </w:r>
          </w:p>
        </w:tc>
        <w:tc>
          <w:tcPr>
            <w:tcW w:w="2319" w:type="dxa"/>
          </w:tcPr>
          <w:p w:rsidR="00D835CC" w:rsidRPr="00CB2BF2" w:rsidRDefault="00D835CC" w:rsidP="00D835CC">
            <w:pPr>
              <w:spacing w:before="40" w:after="40"/>
              <w:jc w:val="center"/>
              <w:rPr>
                <w:rFonts w:ascii="Calibri" w:hAnsi="Calibri"/>
                <w:sz w:val="18"/>
                <w:szCs w:val="18"/>
              </w:rPr>
            </w:pPr>
            <w:r>
              <w:rPr>
                <w:rFonts w:ascii="Calibri" w:hAnsi="Calibri"/>
                <w:sz w:val="18"/>
                <w:szCs w:val="18"/>
              </w:rPr>
              <w:t>Complete</w:t>
            </w:r>
          </w:p>
        </w:tc>
      </w:tr>
      <w:tr w:rsidR="00C5423F" w:rsidRPr="0081221D" w:rsidTr="00B461E8">
        <w:tc>
          <w:tcPr>
            <w:tcW w:w="709" w:type="dxa"/>
            <w:gridSpan w:val="2"/>
            <w:shd w:val="clear" w:color="auto" w:fill="auto"/>
          </w:tcPr>
          <w:p w:rsidR="00C5423F" w:rsidRPr="0087453B" w:rsidRDefault="00C5423F" w:rsidP="00C5423F">
            <w:pPr>
              <w:spacing w:before="40" w:after="40" w:line="259" w:lineRule="auto"/>
              <w:jc w:val="center"/>
              <w:rPr>
                <w:rFonts w:ascii="Calibri" w:eastAsia="Calibri" w:hAnsi="Calibri"/>
                <w:sz w:val="18"/>
                <w:szCs w:val="18"/>
                <w:highlight w:val="yellow"/>
              </w:rPr>
            </w:pPr>
          </w:p>
        </w:tc>
        <w:tc>
          <w:tcPr>
            <w:tcW w:w="6064" w:type="dxa"/>
            <w:shd w:val="clear" w:color="auto" w:fill="auto"/>
          </w:tcPr>
          <w:p w:rsidR="00C5423F" w:rsidRPr="005B35E6" w:rsidRDefault="00C5423F" w:rsidP="00C5423F">
            <w:pPr>
              <w:spacing w:before="40" w:after="40"/>
              <w:ind w:left="709" w:hanging="709"/>
              <w:jc w:val="both"/>
              <w:rPr>
                <w:rFonts w:ascii="Calibri" w:hAnsi="Calibri"/>
                <w:sz w:val="18"/>
                <w:szCs w:val="18"/>
              </w:rPr>
            </w:pPr>
            <w:r w:rsidRPr="005B35E6">
              <w:rPr>
                <w:rFonts w:ascii="Calibri" w:hAnsi="Calibri"/>
                <w:b/>
                <w:color w:val="002060"/>
                <w:sz w:val="18"/>
                <w:szCs w:val="18"/>
              </w:rPr>
              <w:t>Transport – Fleet Management – Limited Assurance</w:t>
            </w:r>
          </w:p>
          <w:p w:rsidR="00C5423F" w:rsidRPr="005B35E6" w:rsidRDefault="00C5423F" w:rsidP="00C5423F">
            <w:pPr>
              <w:spacing w:before="40" w:after="40"/>
              <w:rPr>
                <w:rFonts w:ascii="Calibri" w:hAnsi="Calibri"/>
                <w:sz w:val="18"/>
                <w:szCs w:val="18"/>
              </w:rPr>
            </w:pPr>
            <w:r w:rsidRPr="00C5423F">
              <w:rPr>
                <w:rFonts w:ascii="Calibri" w:hAnsi="Calibri"/>
                <w:sz w:val="18"/>
                <w:szCs w:val="18"/>
              </w:rPr>
              <w:t>4 high, 5 medium, 5 low level management actions</w:t>
            </w:r>
          </w:p>
        </w:tc>
        <w:tc>
          <w:tcPr>
            <w:tcW w:w="1823" w:type="dxa"/>
            <w:shd w:val="clear" w:color="auto" w:fill="auto"/>
          </w:tcPr>
          <w:p w:rsidR="00C5423F" w:rsidRPr="005B35E6" w:rsidRDefault="00C5423F" w:rsidP="00C5423F">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B35E6">
              <w:rPr>
                <w:rFonts w:ascii="Calibri" w:eastAsia="Calibri" w:hAnsi="Calibri"/>
                <w:sz w:val="18"/>
                <w:szCs w:val="18"/>
              </w:rPr>
              <w:t>Executive Director Commercial and Financ</w:t>
            </w:r>
            <w:r w:rsidR="00EA424E">
              <w:rPr>
                <w:rFonts w:ascii="Calibri" w:eastAsia="Calibri" w:hAnsi="Calibri"/>
                <w:sz w:val="18"/>
                <w:szCs w:val="18"/>
              </w:rPr>
              <w:t>e</w:t>
            </w:r>
            <w:r w:rsidRPr="005B35E6">
              <w:rPr>
                <w:rFonts w:ascii="Calibri" w:eastAsia="Calibri" w:hAnsi="Calibri"/>
                <w:sz w:val="18"/>
                <w:szCs w:val="18"/>
              </w:rPr>
              <w:t xml:space="preserve"> Services/</w:t>
            </w:r>
          </w:p>
          <w:p w:rsidR="00C5423F" w:rsidRPr="005B35E6" w:rsidRDefault="00C5423F" w:rsidP="00C5423F">
            <w:pPr>
              <w:spacing w:before="40" w:after="40"/>
              <w:rPr>
                <w:rFonts w:ascii="Calibri" w:eastAsia="Calibri" w:hAnsi="Calibri"/>
                <w:sz w:val="18"/>
                <w:szCs w:val="18"/>
              </w:rPr>
            </w:pPr>
            <w:r w:rsidRPr="005B35E6">
              <w:rPr>
                <w:rFonts w:ascii="Calibri" w:eastAsia="Calibri" w:hAnsi="Calibri"/>
                <w:sz w:val="18"/>
                <w:szCs w:val="18"/>
              </w:rPr>
              <w:t>Head of Joint Transport</w:t>
            </w:r>
          </w:p>
        </w:tc>
        <w:tc>
          <w:tcPr>
            <w:tcW w:w="2319" w:type="dxa"/>
          </w:tcPr>
          <w:p w:rsidR="00C5423F" w:rsidRPr="005B35E6" w:rsidRDefault="00C5423F" w:rsidP="00C5423F">
            <w:pPr>
              <w:spacing w:before="40" w:after="40"/>
              <w:jc w:val="center"/>
              <w:rPr>
                <w:rFonts w:ascii="Calibri" w:hAnsi="Calibri"/>
                <w:sz w:val="18"/>
                <w:szCs w:val="18"/>
              </w:rPr>
            </w:pPr>
            <w:r>
              <w:rPr>
                <w:rFonts w:ascii="Calibri" w:hAnsi="Calibri"/>
                <w:sz w:val="18"/>
                <w:szCs w:val="18"/>
              </w:rPr>
              <w:t>Complete</w:t>
            </w:r>
          </w:p>
        </w:tc>
      </w:tr>
      <w:tr w:rsidR="00C5423F" w:rsidRPr="0081221D" w:rsidTr="00B461E8">
        <w:tc>
          <w:tcPr>
            <w:tcW w:w="709" w:type="dxa"/>
            <w:gridSpan w:val="2"/>
            <w:shd w:val="clear" w:color="auto" w:fill="auto"/>
          </w:tcPr>
          <w:p w:rsidR="00C5423F" w:rsidRPr="0087453B" w:rsidRDefault="00C5423F" w:rsidP="00C5423F">
            <w:pPr>
              <w:spacing w:before="40" w:after="40" w:line="259" w:lineRule="auto"/>
              <w:jc w:val="center"/>
              <w:rPr>
                <w:rFonts w:ascii="Calibri" w:eastAsia="Calibri" w:hAnsi="Calibri"/>
                <w:sz w:val="18"/>
                <w:szCs w:val="18"/>
                <w:highlight w:val="yellow"/>
              </w:rPr>
            </w:pPr>
          </w:p>
        </w:tc>
        <w:tc>
          <w:tcPr>
            <w:tcW w:w="6064" w:type="dxa"/>
            <w:shd w:val="clear" w:color="auto" w:fill="auto"/>
          </w:tcPr>
          <w:p w:rsidR="00C5423F" w:rsidRDefault="00C5423F" w:rsidP="00C5423F">
            <w:pPr>
              <w:spacing w:before="40" w:after="40"/>
              <w:ind w:left="709" w:hanging="709"/>
              <w:jc w:val="both"/>
              <w:rPr>
                <w:rFonts w:ascii="Calibri" w:eastAsia="Calibri" w:hAnsi="Calibri" w:cs="FS Lola"/>
                <w:b/>
                <w:color w:val="1F3864" w:themeColor="accent5" w:themeShade="80"/>
                <w:sz w:val="18"/>
                <w:szCs w:val="18"/>
                <w:lang w:eastAsia="en-GB"/>
              </w:rPr>
            </w:pPr>
            <w:r w:rsidRPr="004A190F">
              <w:rPr>
                <w:rFonts w:ascii="Calibri" w:eastAsia="Calibri" w:hAnsi="Calibri" w:cs="FS Lola"/>
                <w:b/>
                <w:color w:val="1F3864" w:themeColor="accent5" w:themeShade="80"/>
                <w:sz w:val="18"/>
                <w:szCs w:val="18"/>
                <w:lang w:eastAsia="en-GB"/>
              </w:rPr>
              <w:t>Pensions Administration &amp; Contract Management 2019/20 – Limited Assurance</w:t>
            </w:r>
          </w:p>
          <w:p w:rsidR="00C5423F" w:rsidRPr="004A190F" w:rsidRDefault="00C5423F" w:rsidP="00C5423F">
            <w:pPr>
              <w:spacing w:before="40" w:after="40"/>
              <w:ind w:left="709" w:hanging="709"/>
              <w:jc w:val="both"/>
              <w:rPr>
                <w:rFonts w:ascii="Calibri" w:hAnsi="Calibri"/>
                <w:b/>
                <w:color w:val="002060"/>
                <w:sz w:val="18"/>
                <w:szCs w:val="18"/>
              </w:rPr>
            </w:pPr>
            <w:r w:rsidRPr="00C5423F">
              <w:rPr>
                <w:rFonts w:ascii="Calibri" w:hAnsi="Calibri"/>
                <w:sz w:val="18"/>
                <w:szCs w:val="18"/>
              </w:rPr>
              <w:t>Actions to be confirmed</w:t>
            </w:r>
          </w:p>
        </w:tc>
        <w:tc>
          <w:tcPr>
            <w:tcW w:w="1823" w:type="dxa"/>
            <w:shd w:val="clear" w:color="auto" w:fill="auto"/>
          </w:tcPr>
          <w:p w:rsidR="00C5423F" w:rsidRPr="00D33B2A" w:rsidRDefault="00C5423F" w:rsidP="00C5423F">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Director of People Services</w:t>
            </w:r>
          </w:p>
        </w:tc>
        <w:tc>
          <w:tcPr>
            <w:tcW w:w="2319" w:type="dxa"/>
          </w:tcPr>
          <w:p w:rsidR="00C5423F" w:rsidRPr="00D33B2A" w:rsidRDefault="00C5423F" w:rsidP="00C5423F">
            <w:pPr>
              <w:spacing w:before="40" w:after="40"/>
              <w:jc w:val="center"/>
              <w:rPr>
                <w:rFonts w:ascii="Calibri" w:hAnsi="Calibri"/>
                <w:sz w:val="18"/>
                <w:szCs w:val="18"/>
              </w:rPr>
            </w:pPr>
            <w:r>
              <w:rPr>
                <w:rFonts w:ascii="Calibri" w:hAnsi="Calibri"/>
                <w:sz w:val="18"/>
                <w:szCs w:val="18"/>
              </w:rPr>
              <w:t>31.03.21</w:t>
            </w:r>
          </w:p>
        </w:tc>
      </w:tr>
      <w:tr w:rsidR="00C5423F" w:rsidRPr="0081221D" w:rsidTr="00B461E8">
        <w:tc>
          <w:tcPr>
            <w:tcW w:w="709" w:type="dxa"/>
            <w:gridSpan w:val="2"/>
            <w:shd w:val="clear" w:color="auto" w:fill="auto"/>
          </w:tcPr>
          <w:p w:rsidR="00C5423F" w:rsidRPr="0087453B" w:rsidRDefault="00C5423F" w:rsidP="00C5423F">
            <w:pPr>
              <w:spacing w:before="40" w:after="40" w:line="259" w:lineRule="auto"/>
              <w:jc w:val="center"/>
              <w:rPr>
                <w:rFonts w:ascii="Calibri" w:eastAsia="Calibri" w:hAnsi="Calibri"/>
                <w:sz w:val="18"/>
                <w:szCs w:val="18"/>
                <w:highlight w:val="yellow"/>
              </w:rPr>
            </w:pPr>
          </w:p>
        </w:tc>
        <w:tc>
          <w:tcPr>
            <w:tcW w:w="6064" w:type="dxa"/>
            <w:shd w:val="clear" w:color="auto" w:fill="auto"/>
          </w:tcPr>
          <w:p w:rsidR="00C5423F" w:rsidRPr="005B35E6" w:rsidRDefault="00C5423F" w:rsidP="00C5423F">
            <w:pPr>
              <w:spacing w:before="40" w:after="40"/>
              <w:rPr>
                <w:rFonts w:ascii="Calibri" w:hAnsi="Calibri"/>
                <w:sz w:val="18"/>
                <w:szCs w:val="18"/>
              </w:rPr>
            </w:pPr>
            <w:r w:rsidRPr="005B35E6">
              <w:rPr>
                <w:rFonts w:ascii="Calibri" w:hAnsi="Calibri"/>
                <w:b/>
                <w:color w:val="002060"/>
                <w:sz w:val="18"/>
                <w:szCs w:val="18"/>
              </w:rPr>
              <w:t xml:space="preserve">IT – </w:t>
            </w:r>
            <w:r>
              <w:rPr>
                <w:rFonts w:ascii="Calibri" w:hAnsi="Calibri"/>
                <w:b/>
                <w:color w:val="002060"/>
                <w:sz w:val="18"/>
                <w:szCs w:val="18"/>
              </w:rPr>
              <w:t>Resource Management</w:t>
            </w:r>
            <w:r w:rsidRPr="005B35E6">
              <w:rPr>
                <w:rFonts w:ascii="Calibri" w:hAnsi="Calibri"/>
                <w:b/>
                <w:color w:val="002060"/>
                <w:sz w:val="18"/>
                <w:szCs w:val="18"/>
              </w:rPr>
              <w:t xml:space="preserve"> – Limited Assurance</w:t>
            </w:r>
          </w:p>
          <w:p w:rsidR="00C5423F" w:rsidRPr="005B35E6" w:rsidRDefault="00C5423F" w:rsidP="00C5423F">
            <w:pPr>
              <w:spacing w:before="40" w:after="40"/>
              <w:rPr>
                <w:rFonts w:ascii="Calibri" w:hAnsi="Calibri"/>
                <w:b/>
                <w:color w:val="002060"/>
                <w:sz w:val="18"/>
                <w:szCs w:val="18"/>
              </w:rPr>
            </w:pPr>
            <w:r>
              <w:rPr>
                <w:rFonts w:ascii="Calibri" w:hAnsi="Calibri"/>
                <w:sz w:val="18"/>
                <w:szCs w:val="18"/>
              </w:rPr>
              <w:t>15</w:t>
            </w:r>
            <w:r w:rsidRPr="00366DB4">
              <w:rPr>
                <w:rFonts w:ascii="Calibri" w:hAnsi="Calibri"/>
                <w:sz w:val="18"/>
                <w:szCs w:val="18"/>
              </w:rPr>
              <w:t xml:space="preserve"> high, </w:t>
            </w:r>
            <w:r>
              <w:rPr>
                <w:rFonts w:ascii="Calibri" w:hAnsi="Calibri"/>
                <w:sz w:val="18"/>
                <w:szCs w:val="18"/>
              </w:rPr>
              <w:t>1</w:t>
            </w:r>
            <w:r w:rsidRPr="00366DB4">
              <w:rPr>
                <w:rFonts w:ascii="Calibri" w:hAnsi="Calibri"/>
                <w:sz w:val="18"/>
                <w:szCs w:val="18"/>
              </w:rPr>
              <w:t xml:space="preserve"> medium level management actions</w:t>
            </w:r>
          </w:p>
        </w:tc>
        <w:tc>
          <w:tcPr>
            <w:tcW w:w="1823" w:type="dxa"/>
            <w:shd w:val="clear" w:color="auto" w:fill="auto"/>
          </w:tcPr>
          <w:p w:rsidR="00C5423F" w:rsidRPr="005B35E6" w:rsidRDefault="00C5423F" w:rsidP="00C5423F">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B35E6">
              <w:rPr>
                <w:rFonts w:ascii="Calibri" w:eastAsia="Calibri" w:hAnsi="Calibri"/>
                <w:sz w:val="18"/>
                <w:szCs w:val="18"/>
              </w:rPr>
              <w:t>Chief Digital and Information Officer</w:t>
            </w:r>
          </w:p>
        </w:tc>
        <w:tc>
          <w:tcPr>
            <w:tcW w:w="2319" w:type="dxa"/>
          </w:tcPr>
          <w:p w:rsidR="00C5423F" w:rsidRPr="005B35E6" w:rsidRDefault="00C5423F" w:rsidP="00C5423F">
            <w:pPr>
              <w:spacing w:before="40" w:after="40"/>
              <w:jc w:val="center"/>
              <w:rPr>
                <w:rFonts w:ascii="Calibri" w:hAnsi="Calibri"/>
                <w:sz w:val="18"/>
                <w:szCs w:val="18"/>
              </w:rPr>
            </w:pPr>
            <w:r>
              <w:rPr>
                <w:rFonts w:ascii="Calibri" w:hAnsi="Calibri"/>
                <w:sz w:val="18"/>
                <w:szCs w:val="18"/>
              </w:rPr>
              <w:t>30.09.20</w:t>
            </w:r>
          </w:p>
        </w:tc>
      </w:tr>
      <w:tr w:rsidR="00D835CC" w:rsidRPr="0081221D" w:rsidTr="00B461E8">
        <w:tc>
          <w:tcPr>
            <w:tcW w:w="709" w:type="dxa"/>
            <w:gridSpan w:val="2"/>
            <w:shd w:val="clear" w:color="auto" w:fill="auto"/>
          </w:tcPr>
          <w:p w:rsidR="00D835CC" w:rsidRPr="0087453B" w:rsidRDefault="00D835CC" w:rsidP="00D835CC">
            <w:pPr>
              <w:spacing w:before="40" w:after="40" w:line="259" w:lineRule="auto"/>
              <w:jc w:val="center"/>
              <w:rPr>
                <w:rFonts w:ascii="Calibri" w:eastAsia="Calibri" w:hAnsi="Calibri"/>
                <w:sz w:val="18"/>
                <w:szCs w:val="18"/>
                <w:highlight w:val="yellow"/>
              </w:rPr>
            </w:pPr>
          </w:p>
        </w:tc>
        <w:tc>
          <w:tcPr>
            <w:tcW w:w="6064" w:type="dxa"/>
            <w:shd w:val="clear" w:color="auto" w:fill="auto"/>
          </w:tcPr>
          <w:p w:rsidR="00D835CC" w:rsidRPr="005B35E6" w:rsidRDefault="00D835CC" w:rsidP="00D835CC">
            <w:pPr>
              <w:spacing w:before="40" w:after="40"/>
              <w:rPr>
                <w:rFonts w:ascii="Calibri" w:hAnsi="Calibri"/>
                <w:sz w:val="18"/>
                <w:szCs w:val="18"/>
              </w:rPr>
            </w:pPr>
            <w:r w:rsidRPr="005B35E6">
              <w:rPr>
                <w:rFonts w:ascii="Calibri" w:hAnsi="Calibri"/>
                <w:b/>
                <w:color w:val="002060"/>
                <w:sz w:val="18"/>
                <w:szCs w:val="18"/>
              </w:rPr>
              <w:t>IT – Data Centre Facilities &amp; Security – Limited Assurance</w:t>
            </w:r>
          </w:p>
          <w:p w:rsidR="00D835CC" w:rsidRPr="005B35E6" w:rsidRDefault="00D835CC" w:rsidP="00D835CC">
            <w:pPr>
              <w:spacing w:before="40" w:after="40"/>
              <w:rPr>
                <w:rFonts w:ascii="Calibri" w:eastAsia="Calibri" w:hAnsi="Calibri" w:cs="Times New Roman"/>
                <w:sz w:val="18"/>
                <w:szCs w:val="18"/>
              </w:rPr>
            </w:pPr>
            <w:r w:rsidRPr="00C5423F">
              <w:rPr>
                <w:rFonts w:ascii="Calibri" w:hAnsi="Calibri"/>
                <w:sz w:val="18"/>
                <w:szCs w:val="18"/>
              </w:rPr>
              <w:t>2 high, 2 medium, 4 low level management actions</w:t>
            </w:r>
          </w:p>
        </w:tc>
        <w:tc>
          <w:tcPr>
            <w:tcW w:w="1823" w:type="dxa"/>
            <w:shd w:val="clear" w:color="auto" w:fill="auto"/>
          </w:tcPr>
          <w:p w:rsidR="00D835CC" w:rsidRPr="005B35E6" w:rsidRDefault="00D835CC" w:rsidP="00D835C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B35E6">
              <w:rPr>
                <w:rFonts w:ascii="Calibri" w:eastAsia="Calibri" w:hAnsi="Calibri"/>
                <w:sz w:val="18"/>
                <w:szCs w:val="18"/>
              </w:rPr>
              <w:t>Chief Digital and Information Officer</w:t>
            </w:r>
            <w:r w:rsidRPr="005B35E6" w:rsidDel="0031071F">
              <w:rPr>
                <w:rFonts w:ascii="Calibri" w:eastAsia="Calibri" w:hAnsi="Calibri"/>
                <w:sz w:val="18"/>
                <w:szCs w:val="18"/>
              </w:rPr>
              <w:t xml:space="preserve"> </w:t>
            </w:r>
          </w:p>
        </w:tc>
        <w:tc>
          <w:tcPr>
            <w:tcW w:w="2319" w:type="dxa"/>
          </w:tcPr>
          <w:p w:rsidR="00D835CC" w:rsidRPr="005B35E6" w:rsidRDefault="00D835CC" w:rsidP="00D835CC">
            <w:pPr>
              <w:spacing w:before="40" w:after="40"/>
              <w:jc w:val="center"/>
              <w:rPr>
                <w:rFonts w:ascii="Calibri" w:hAnsi="Calibri"/>
                <w:sz w:val="18"/>
                <w:szCs w:val="18"/>
              </w:rPr>
            </w:pPr>
            <w:r w:rsidRPr="005B35E6">
              <w:rPr>
                <w:rFonts w:ascii="Calibri" w:hAnsi="Calibri"/>
                <w:sz w:val="18"/>
                <w:szCs w:val="18"/>
              </w:rPr>
              <w:t>31.10.20</w:t>
            </w:r>
          </w:p>
        </w:tc>
      </w:tr>
      <w:tr w:rsidR="00D835CC" w:rsidRPr="0081221D" w:rsidTr="00B461E8">
        <w:tc>
          <w:tcPr>
            <w:tcW w:w="709" w:type="dxa"/>
            <w:gridSpan w:val="2"/>
            <w:shd w:val="clear" w:color="auto" w:fill="auto"/>
          </w:tcPr>
          <w:p w:rsidR="00D835CC" w:rsidRPr="0087453B" w:rsidRDefault="00D835CC" w:rsidP="00D835CC">
            <w:pPr>
              <w:spacing w:before="40" w:after="40" w:line="259" w:lineRule="auto"/>
              <w:jc w:val="center"/>
              <w:rPr>
                <w:rFonts w:ascii="Calibri" w:eastAsia="Calibri" w:hAnsi="Calibri"/>
                <w:sz w:val="18"/>
                <w:szCs w:val="18"/>
                <w:highlight w:val="yellow"/>
              </w:rPr>
            </w:pPr>
          </w:p>
        </w:tc>
        <w:tc>
          <w:tcPr>
            <w:tcW w:w="6064" w:type="dxa"/>
            <w:shd w:val="clear" w:color="auto" w:fill="auto"/>
          </w:tcPr>
          <w:p w:rsidR="00D835CC" w:rsidRPr="005B35E6" w:rsidRDefault="00D835CC" w:rsidP="00D835CC">
            <w:pPr>
              <w:spacing w:before="40" w:after="40"/>
              <w:rPr>
                <w:rFonts w:ascii="Calibri" w:hAnsi="Calibri"/>
                <w:sz w:val="18"/>
                <w:szCs w:val="18"/>
              </w:rPr>
            </w:pPr>
            <w:r w:rsidRPr="005B35E6">
              <w:rPr>
                <w:rFonts w:ascii="Calibri" w:hAnsi="Calibri"/>
                <w:b/>
                <w:color w:val="002060"/>
                <w:sz w:val="18"/>
                <w:szCs w:val="18"/>
              </w:rPr>
              <w:t>IT – Data Storage and Backup – Limited Assurance</w:t>
            </w:r>
          </w:p>
          <w:p w:rsidR="00D835CC" w:rsidRPr="005B35E6" w:rsidRDefault="00D835CC" w:rsidP="00D835CC">
            <w:pPr>
              <w:spacing w:before="40" w:after="40"/>
              <w:rPr>
                <w:rFonts w:ascii="Calibri" w:eastAsia="Calibri" w:hAnsi="Calibri" w:cs="Times New Roman"/>
                <w:sz w:val="18"/>
                <w:szCs w:val="18"/>
              </w:rPr>
            </w:pPr>
            <w:r w:rsidRPr="00C5423F">
              <w:rPr>
                <w:rFonts w:ascii="Calibri" w:hAnsi="Calibri"/>
                <w:sz w:val="18"/>
                <w:szCs w:val="18"/>
              </w:rPr>
              <w:t>4 high, 6 medium, 1 low level management actions</w:t>
            </w:r>
          </w:p>
        </w:tc>
        <w:tc>
          <w:tcPr>
            <w:tcW w:w="1823" w:type="dxa"/>
            <w:shd w:val="clear" w:color="auto" w:fill="auto"/>
          </w:tcPr>
          <w:p w:rsidR="00D835CC" w:rsidRPr="005B35E6" w:rsidRDefault="00D835CC" w:rsidP="00D835C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B35E6">
              <w:rPr>
                <w:rFonts w:ascii="Calibri" w:eastAsia="Calibri" w:hAnsi="Calibri"/>
                <w:sz w:val="18"/>
                <w:szCs w:val="18"/>
              </w:rPr>
              <w:t>Chief Digital and Information Officer</w:t>
            </w:r>
            <w:r w:rsidRPr="005B35E6" w:rsidDel="0031071F">
              <w:rPr>
                <w:rFonts w:ascii="Calibri" w:eastAsia="Calibri" w:hAnsi="Calibri"/>
                <w:sz w:val="18"/>
                <w:szCs w:val="18"/>
              </w:rPr>
              <w:t xml:space="preserve"> </w:t>
            </w:r>
          </w:p>
        </w:tc>
        <w:tc>
          <w:tcPr>
            <w:tcW w:w="2319" w:type="dxa"/>
          </w:tcPr>
          <w:p w:rsidR="00D835CC" w:rsidRPr="005B35E6" w:rsidRDefault="00D835CC" w:rsidP="00D835CC">
            <w:pPr>
              <w:spacing w:before="40" w:after="40"/>
              <w:jc w:val="center"/>
              <w:rPr>
                <w:rFonts w:ascii="Calibri" w:hAnsi="Calibri"/>
                <w:sz w:val="18"/>
                <w:szCs w:val="18"/>
              </w:rPr>
            </w:pPr>
            <w:r w:rsidRPr="005B35E6">
              <w:rPr>
                <w:rFonts w:ascii="Calibri" w:hAnsi="Calibri"/>
                <w:sz w:val="18"/>
                <w:szCs w:val="18"/>
              </w:rPr>
              <w:t>20.11.20</w:t>
            </w:r>
          </w:p>
        </w:tc>
      </w:tr>
      <w:tr w:rsidR="00D835CC" w:rsidRPr="0081221D" w:rsidTr="00B461E8">
        <w:tc>
          <w:tcPr>
            <w:tcW w:w="709" w:type="dxa"/>
            <w:gridSpan w:val="2"/>
            <w:shd w:val="clear" w:color="auto" w:fill="auto"/>
          </w:tcPr>
          <w:p w:rsidR="00D835CC" w:rsidRPr="0087453B" w:rsidRDefault="00D835CC" w:rsidP="00D835CC">
            <w:pPr>
              <w:spacing w:before="40" w:after="40" w:line="259" w:lineRule="auto"/>
              <w:jc w:val="center"/>
              <w:rPr>
                <w:rFonts w:ascii="Calibri" w:eastAsia="Calibri" w:hAnsi="Calibri"/>
                <w:sz w:val="18"/>
                <w:szCs w:val="18"/>
                <w:highlight w:val="yellow"/>
              </w:rPr>
            </w:pPr>
          </w:p>
        </w:tc>
        <w:tc>
          <w:tcPr>
            <w:tcW w:w="6064" w:type="dxa"/>
            <w:shd w:val="clear" w:color="auto" w:fill="auto"/>
          </w:tcPr>
          <w:p w:rsidR="00D835CC" w:rsidRPr="005B35E6" w:rsidRDefault="00D835CC" w:rsidP="00D835CC">
            <w:pPr>
              <w:spacing w:before="40" w:after="40"/>
              <w:rPr>
                <w:rFonts w:ascii="Calibri" w:hAnsi="Calibri"/>
                <w:sz w:val="18"/>
                <w:szCs w:val="18"/>
              </w:rPr>
            </w:pPr>
            <w:r w:rsidRPr="005B35E6">
              <w:rPr>
                <w:rFonts w:ascii="Calibri" w:hAnsi="Calibri"/>
                <w:b/>
                <w:color w:val="002060"/>
                <w:sz w:val="18"/>
                <w:szCs w:val="18"/>
              </w:rPr>
              <w:t>IT – Capacity and Performance Monitoring – Limited Assurance</w:t>
            </w:r>
          </w:p>
          <w:p w:rsidR="00D835CC" w:rsidRPr="005B35E6" w:rsidRDefault="00D835CC" w:rsidP="00D835CC">
            <w:pPr>
              <w:spacing w:before="40" w:after="40"/>
              <w:rPr>
                <w:rFonts w:ascii="Calibri" w:eastAsia="Calibri" w:hAnsi="Calibri" w:cs="Times New Roman"/>
                <w:color w:val="FF0000"/>
                <w:sz w:val="18"/>
                <w:szCs w:val="18"/>
              </w:rPr>
            </w:pPr>
            <w:r w:rsidRPr="00C5423F">
              <w:rPr>
                <w:rFonts w:ascii="Calibri" w:hAnsi="Calibri"/>
                <w:sz w:val="18"/>
                <w:szCs w:val="18"/>
              </w:rPr>
              <w:t>1 high, 4 medium, 2 low level management actions</w:t>
            </w:r>
          </w:p>
        </w:tc>
        <w:tc>
          <w:tcPr>
            <w:tcW w:w="1823" w:type="dxa"/>
            <w:shd w:val="clear" w:color="auto" w:fill="auto"/>
          </w:tcPr>
          <w:p w:rsidR="00D835CC" w:rsidRPr="005B35E6" w:rsidRDefault="00D835CC" w:rsidP="00D835C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B35E6">
              <w:rPr>
                <w:rFonts w:ascii="Calibri" w:eastAsia="Calibri" w:hAnsi="Calibri"/>
                <w:sz w:val="18"/>
                <w:szCs w:val="18"/>
              </w:rPr>
              <w:t>Chief Digital and Information Officer</w:t>
            </w:r>
            <w:r w:rsidRPr="005B35E6" w:rsidDel="0031071F">
              <w:rPr>
                <w:rFonts w:ascii="Calibri" w:eastAsia="Calibri" w:hAnsi="Calibri"/>
                <w:sz w:val="18"/>
                <w:szCs w:val="18"/>
              </w:rPr>
              <w:t xml:space="preserve"> </w:t>
            </w:r>
          </w:p>
        </w:tc>
        <w:tc>
          <w:tcPr>
            <w:tcW w:w="2319" w:type="dxa"/>
          </w:tcPr>
          <w:p w:rsidR="00D835CC" w:rsidRPr="005B35E6" w:rsidRDefault="00D835CC" w:rsidP="00D835CC">
            <w:pPr>
              <w:spacing w:before="40" w:after="40"/>
              <w:jc w:val="center"/>
              <w:rPr>
                <w:rFonts w:ascii="Calibri" w:hAnsi="Calibri"/>
                <w:sz w:val="18"/>
                <w:szCs w:val="18"/>
              </w:rPr>
            </w:pPr>
            <w:r w:rsidRPr="005B35E6">
              <w:rPr>
                <w:rFonts w:ascii="Calibri" w:hAnsi="Calibri"/>
                <w:sz w:val="18"/>
                <w:szCs w:val="18"/>
              </w:rPr>
              <w:t>31.03.21</w:t>
            </w:r>
          </w:p>
        </w:tc>
      </w:tr>
      <w:tr w:rsidR="00117F6A" w:rsidRPr="0081221D" w:rsidTr="00B461E8">
        <w:tc>
          <w:tcPr>
            <w:tcW w:w="709" w:type="dxa"/>
            <w:gridSpan w:val="2"/>
            <w:shd w:val="clear" w:color="auto" w:fill="auto"/>
          </w:tcPr>
          <w:p w:rsidR="00117F6A" w:rsidRPr="0087453B" w:rsidRDefault="00117F6A" w:rsidP="00117F6A">
            <w:pPr>
              <w:spacing w:before="40" w:after="40" w:line="259" w:lineRule="auto"/>
              <w:jc w:val="center"/>
              <w:rPr>
                <w:rFonts w:ascii="Calibri" w:eastAsia="Calibri" w:hAnsi="Calibri"/>
                <w:sz w:val="18"/>
                <w:szCs w:val="18"/>
                <w:highlight w:val="yellow"/>
              </w:rPr>
            </w:pPr>
          </w:p>
        </w:tc>
        <w:tc>
          <w:tcPr>
            <w:tcW w:w="6064" w:type="dxa"/>
            <w:shd w:val="clear" w:color="auto" w:fill="auto"/>
          </w:tcPr>
          <w:p w:rsidR="00117F6A" w:rsidRDefault="00117F6A" w:rsidP="00117F6A">
            <w:pPr>
              <w:spacing w:before="40" w:after="40"/>
              <w:ind w:left="709" w:hanging="709"/>
              <w:jc w:val="both"/>
              <w:rPr>
                <w:rFonts w:ascii="Calibri" w:hAnsi="Calibri"/>
                <w:b/>
                <w:color w:val="002060"/>
                <w:sz w:val="18"/>
                <w:szCs w:val="18"/>
              </w:rPr>
            </w:pPr>
            <w:r>
              <w:rPr>
                <w:rFonts w:ascii="Calibri" w:hAnsi="Calibri"/>
                <w:b/>
                <w:color w:val="002060"/>
                <w:sz w:val="18"/>
                <w:szCs w:val="18"/>
              </w:rPr>
              <w:t>IT - Commercial Unit</w:t>
            </w:r>
          </w:p>
          <w:p w:rsidR="00117F6A" w:rsidRPr="00117F6A" w:rsidRDefault="00117F6A" w:rsidP="00117F6A">
            <w:pPr>
              <w:spacing w:before="40" w:after="40"/>
              <w:rPr>
                <w:rFonts w:ascii="Calibri" w:hAnsi="Calibri"/>
                <w:b/>
                <w:color w:val="002060"/>
                <w:sz w:val="18"/>
                <w:szCs w:val="18"/>
              </w:rPr>
            </w:pPr>
            <w:r w:rsidRPr="00EA146B">
              <w:rPr>
                <w:rFonts w:ascii="Calibri" w:eastAsia="Calibri" w:hAnsi="Calibri" w:cs="Times New Roman"/>
                <w:sz w:val="18"/>
                <w:szCs w:val="18"/>
              </w:rPr>
              <w:t>8 high, 6 medium level management actions</w:t>
            </w:r>
          </w:p>
        </w:tc>
        <w:tc>
          <w:tcPr>
            <w:tcW w:w="1823" w:type="dxa"/>
            <w:shd w:val="clear" w:color="auto" w:fill="auto"/>
          </w:tcPr>
          <w:p w:rsidR="00117F6A" w:rsidRPr="005B35E6" w:rsidRDefault="00117F6A" w:rsidP="00117F6A">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Chief Digital and Information Officer</w:t>
            </w:r>
          </w:p>
        </w:tc>
        <w:tc>
          <w:tcPr>
            <w:tcW w:w="2319" w:type="dxa"/>
          </w:tcPr>
          <w:p w:rsidR="00117F6A" w:rsidRPr="005B35E6" w:rsidRDefault="00117F6A" w:rsidP="00117F6A">
            <w:pPr>
              <w:spacing w:before="40" w:after="40"/>
              <w:jc w:val="center"/>
              <w:rPr>
                <w:rFonts w:ascii="Calibri" w:hAnsi="Calibri"/>
                <w:sz w:val="18"/>
                <w:szCs w:val="18"/>
              </w:rPr>
            </w:pPr>
            <w:r>
              <w:rPr>
                <w:rFonts w:ascii="Calibri" w:hAnsi="Calibri"/>
                <w:sz w:val="18"/>
                <w:szCs w:val="18"/>
              </w:rPr>
              <w:t>31.12.20</w:t>
            </w:r>
          </w:p>
        </w:tc>
      </w:tr>
      <w:tr w:rsidR="00117F6A" w:rsidRPr="0081221D" w:rsidTr="00B461E8">
        <w:tc>
          <w:tcPr>
            <w:tcW w:w="709" w:type="dxa"/>
            <w:gridSpan w:val="2"/>
            <w:shd w:val="clear" w:color="auto" w:fill="auto"/>
          </w:tcPr>
          <w:p w:rsidR="00117F6A" w:rsidRPr="0087453B" w:rsidRDefault="00117F6A" w:rsidP="00117F6A">
            <w:pPr>
              <w:spacing w:before="40" w:after="40" w:line="259" w:lineRule="auto"/>
              <w:jc w:val="center"/>
              <w:rPr>
                <w:rFonts w:ascii="Calibri" w:eastAsia="Calibri" w:hAnsi="Calibri"/>
                <w:sz w:val="18"/>
                <w:szCs w:val="18"/>
                <w:highlight w:val="yellow"/>
              </w:rPr>
            </w:pPr>
          </w:p>
        </w:tc>
        <w:tc>
          <w:tcPr>
            <w:tcW w:w="6064" w:type="dxa"/>
            <w:shd w:val="clear" w:color="auto" w:fill="auto"/>
          </w:tcPr>
          <w:tbl>
            <w:tblPr>
              <w:tblW w:w="0" w:type="auto"/>
              <w:tblLook w:val="04A0" w:firstRow="1" w:lastRow="0" w:firstColumn="1" w:lastColumn="0" w:noHBand="0" w:noVBand="1"/>
            </w:tblPr>
            <w:tblGrid>
              <w:gridCol w:w="5848"/>
            </w:tblGrid>
            <w:tr w:rsidR="00117F6A">
              <w:trPr>
                <w:trHeight w:val="120"/>
              </w:trPr>
              <w:tc>
                <w:tcPr>
                  <w:tcW w:w="0" w:type="auto"/>
                  <w:tcBorders>
                    <w:top w:val="nil"/>
                    <w:left w:val="nil"/>
                    <w:bottom w:val="nil"/>
                    <w:right w:val="nil"/>
                  </w:tcBorders>
                  <w:hideMark/>
                </w:tcPr>
                <w:p w:rsidR="00117F6A" w:rsidRDefault="00117F6A" w:rsidP="00117F6A">
                  <w:pPr>
                    <w:autoSpaceDE w:val="0"/>
                    <w:autoSpaceDN w:val="0"/>
                    <w:adjustRightInd w:val="0"/>
                    <w:spacing w:before="40" w:after="40"/>
                    <w:ind w:left="-74"/>
                    <w:rPr>
                      <w:rFonts w:ascii="Calibri" w:hAnsi="Calibri"/>
                      <w:b/>
                      <w:color w:val="002060"/>
                      <w:sz w:val="18"/>
                      <w:szCs w:val="18"/>
                    </w:rPr>
                  </w:pPr>
                  <w:r>
                    <w:rPr>
                      <w:rFonts w:ascii="Calibri" w:hAnsi="Calibri"/>
                      <w:b/>
                      <w:color w:val="002060"/>
                      <w:sz w:val="18"/>
                      <w:szCs w:val="18"/>
                    </w:rPr>
                    <w:t>IT- Cyber Security</w:t>
                  </w:r>
                </w:p>
                <w:p w:rsidR="00117F6A" w:rsidRDefault="00117F6A" w:rsidP="00117F6A">
                  <w:pPr>
                    <w:autoSpaceDE w:val="0"/>
                    <w:autoSpaceDN w:val="0"/>
                    <w:adjustRightInd w:val="0"/>
                    <w:spacing w:before="40" w:after="40"/>
                    <w:ind w:left="-74"/>
                    <w:rPr>
                      <w:rFonts w:ascii="Calibri" w:hAnsi="Calibri" w:cs="Times New Roman"/>
                      <w:color w:val="000000"/>
                      <w:sz w:val="18"/>
                      <w:szCs w:val="18"/>
                      <w:lang w:eastAsia="en-GB"/>
                    </w:rPr>
                  </w:pPr>
                  <w:r>
                    <w:rPr>
                      <w:rFonts w:ascii="Calibri" w:hAnsi="Calibri" w:cs="Times New Roman"/>
                      <w:color w:val="000000"/>
                      <w:sz w:val="18"/>
                      <w:szCs w:val="18"/>
                      <w:lang w:eastAsia="en-GB"/>
                    </w:rPr>
                    <w:t xml:space="preserve">N.B.: Network Security &amp; Access Controls (Limited Assurance); Cyber Security (Adequate Assurance) </w:t>
                  </w:r>
                </w:p>
                <w:p w:rsidR="00117F6A" w:rsidRDefault="00117F6A" w:rsidP="00117F6A">
                  <w:pPr>
                    <w:autoSpaceDE w:val="0"/>
                    <w:autoSpaceDN w:val="0"/>
                    <w:adjustRightInd w:val="0"/>
                    <w:spacing w:before="40" w:after="40"/>
                    <w:ind w:left="-74"/>
                    <w:rPr>
                      <w:rFonts w:ascii="Calibri" w:hAnsi="Calibri" w:cs="Times New Roman"/>
                      <w:color w:val="000000"/>
                      <w:sz w:val="18"/>
                      <w:szCs w:val="18"/>
                      <w:lang w:eastAsia="en-GB"/>
                    </w:rPr>
                  </w:pPr>
                  <w:r>
                    <w:rPr>
                      <w:rFonts w:ascii="Calibri" w:hAnsi="Calibri" w:cs="Times New Roman"/>
                      <w:color w:val="000000"/>
                      <w:sz w:val="18"/>
                      <w:szCs w:val="18"/>
                      <w:lang w:eastAsia="en-GB"/>
                    </w:rPr>
                    <w:t>5 medium level management actions</w:t>
                  </w:r>
                </w:p>
              </w:tc>
            </w:tr>
          </w:tbl>
          <w:p w:rsidR="00117F6A" w:rsidRPr="005B35E6" w:rsidRDefault="00117F6A" w:rsidP="00117F6A">
            <w:pPr>
              <w:spacing w:before="40" w:after="40"/>
              <w:rPr>
                <w:rFonts w:ascii="Calibri" w:hAnsi="Calibri"/>
                <w:b/>
                <w:color w:val="002060"/>
                <w:sz w:val="18"/>
                <w:szCs w:val="18"/>
              </w:rPr>
            </w:pPr>
          </w:p>
        </w:tc>
        <w:tc>
          <w:tcPr>
            <w:tcW w:w="1823" w:type="dxa"/>
            <w:shd w:val="clear" w:color="auto" w:fill="auto"/>
          </w:tcPr>
          <w:p w:rsidR="00117F6A" w:rsidRPr="005B35E6" w:rsidRDefault="00117F6A" w:rsidP="00117F6A">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Chief Digital and Information Officer</w:t>
            </w:r>
          </w:p>
        </w:tc>
        <w:tc>
          <w:tcPr>
            <w:tcW w:w="2319" w:type="dxa"/>
          </w:tcPr>
          <w:p w:rsidR="00117F6A" w:rsidRPr="005B35E6" w:rsidRDefault="00117F6A" w:rsidP="00117F6A">
            <w:pPr>
              <w:spacing w:before="40" w:after="40"/>
              <w:jc w:val="center"/>
              <w:rPr>
                <w:rFonts w:ascii="Calibri" w:hAnsi="Calibri"/>
                <w:sz w:val="18"/>
                <w:szCs w:val="18"/>
              </w:rPr>
            </w:pPr>
            <w:r>
              <w:rPr>
                <w:rFonts w:ascii="Calibri" w:hAnsi="Calibri"/>
                <w:sz w:val="18"/>
                <w:szCs w:val="18"/>
              </w:rPr>
              <w:t>31.03.21</w:t>
            </w:r>
          </w:p>
        </w:tc>
      </w:tr>
      <w:tr w:rsidR="00117F6A" w:rsidRPr="0081221D" w:rsidTr="00B461E8">
        <w:tc>
          <w:tcPr>
            <w:tcW w:w="709" w:type="dxa"/>
            <w:gridSpan w:val="2"/>
            <w:shd w:val="clear" w:color="auto" w:fill="auto"/>
          </w:tcPr>
          <w:p w:rsidR="00117F6A" w:rsidRPr="0087453B" w:rsidRDefault="00117F6A" w:rsidP="00117F6A">
            <w:pPr>
              <w:spacing w:before="40" w:after="40" w:line="259" w:lineRule="auto"/>
              <w:jc w:val="center"/>
              <w:rPr>
                <w:rFonts w:ascii="Calibri" w:eastAsia="Calibri" w:hAnsi="Calibri"/>
                <w:sz w:val="18"/>
                <w:szCs w:val="18"/>
                <w:highlight w:val="yellow"/>
              </w:rPr>
            </w:pPr>
          </w:p>
        </w:tc>
        <w:tc>
          <w:tcPr>
            <w:tcW w:w="6064" w:type="dxa"/>
            <w:shd w:val="clear" w:color="auto" w:fill="auto"/>
          </w:tcPr>
          <w:p w:rsidR="00117F6A" w:rsidRDefault="00117F6A" w:rsidP="00117F6A">
            <w:pPr>
              <w:autoSpaceDE w:val="0"/>
              <w:autoSpaceDN w:val="0"/>
              <w:adjustRightInd w:val="0"/>
              <w:spacing w:before="40" w:after="40"/>
              <w:ind w:left="-74"/>
              <w:rPr>
                <w:rFonts w:ascii="Calibri" w:hAnsi="Calibri"/>
                <w:b/>
                <w:color w:val="002060"/>
                <w:sz w:val="18"/>
                <w:szCs w:val="18"/>
              </w:rPr>
            </w:pPr>
            <w:r>
              <w:rPr>
                <w:rFonts w:ascii="Calibri" w:hAnsi="Calibri"/>
                <w:b/>
                <w:color w:val="002060"/>
                <w:sz w:val="18"/>
                <w:szCs w:val="18"/>
              </w:rPr>
              <w:t xml:space="preserve"> IT- Application Management</w:t>
            </w:r>
          </w:p>
          <w:p w:rsidR="00117F6A" w:rsidRPr="00117F6A" w:rsidRDefault="00117F6A" w:rsidP="00117F6A">
            <w:pPr>
              <w:spacing w:before="40" w:after="40"/>
              <w:rPr>
                <w:rFonts w:ascii="Calibri" w:hAnsi="Calibri"/>
                <w:b/>
                <w:color w:val="002060"/>
                <w:sz w:val="18"/>
                <w:szCs w:val="18"/>
              </w:rPr>
            </w:pPr>
            <w:r w:rsidRPr="00EA146B">
              <w:rPr>
                <w:rFonts w:ascii="Calibri" w:eastAsia="Calibri" w:hAnsi="Calibri" w:cs="Times New Roman"/>
                <w:sz w:val="18"/>
                <w:szCs w:val="18"/>
              </w:rPr>
              <w:t>1 high, 2 medium level management actions</w:t>
            </w:r>
          </w:p>
        </w:tc>
        <w:tc>
          <w:tcPr>
            <w:tcW w:w="1823" w:type="dxa"/>
            <w:shd w:val="clear" w:color="auto" w:fill="auto"/>
          </w:tcPr>
          <w:p w:rsidR="00117F6A" w:rsidRPr="005B35E6" w:rsidRDefault="00117F6A" w:rsidP="00117F6A">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Chief Digital and Information Officer</w:t>
            </w:r>
          </w:p>
        </w:tc>
        <w:tc>
          <w:tcPr>
            <w:tcW w:w="2319" w:type="dxa"/>
          </w:tcPr>
          <w:p w:rsidR="00117F6A" w:rsidRPr="005B35E6" w:rsidRDefault="00117F6A" w:rsidP="00117F6A">
            <w:pPr>
              <w:spacing w:before="40" w:after="40"/>
              <w:jc w:val="center"/>
              <w:rPr>
                <w:rFonts w:ascii="Calibri" w:hAnsi="Calibri"/>
                <w:sz w:val="18"/>
                <w:szCs w:val="18"/>
              </w:rPr>
            </w:pPr>
            <w:r>
              <w:rPr>
                <w:rFonts w:ascii="Calibri" w:hAnsi="Calibri"/>
                <w:sz w:val="18"/>
                <w:szCs w:val="18"/>
              </w:rPr>
              <w:t>27.11.20</w:t>
            </w:r>
          </w:p>
        </w:tc>
      </w:tr>
      <w:tr w:rsidR="00D835CC" w:rsidRPr="0081221D" w:rsidTr="00B461E8">
        <w:tc>
          <w:tcPr>
            <w:tcW w:w="8596" w:type="dxa"/>
            <w:gridSpan w:val="4"/>
            <w:shd w:val="clear" w:color="auto" w:fill="BDD6EE"/>
          </w:tcPr>
          <w:p w:rsidR="00D835CC" w:rsidRPr="00CB2BF2" w:rsidRDefault="00D835CC" w:rsidP="00D835CC">
            <w:pPr>
              <w:spacing w:before="40" w:after="40"/>
              <w:rPr>
                <w:rFonts w:ascii="Calibri" w:eastAsia="Calibri" w:hAnsi="Calibri"/>
                <w:caps/>
                <w:color w:val="000000"/>
                <w:sz w:val="18"/>
                <w:szCs w:val="18"/>
              </w:rPr>
            </w:pPr>
            <w:r w:rsidRPr="00CB2BF2">
              <w:rPr>
                <w:rFonts w:ascii="Calibri" w:eastAsia="Calibri" w:hAnsi="Calibri"/>
                <w:b/>
                <w:caps/>
              </w:rPr>
              <w:t>Proposed new Areas of improvement identified by force for 2020-21 AGS action plan</w:t>
            </w:r>
          </w:p>
        </w:tc>
        <w:tc>
          <w:tcPr>
            <w:tcW w:w="2319" w:type="dxa"/>
            <w:shd w:val="clear" w:color="auto" w:fill="BDD6EE"/>
          </w:tcPr>
          <w:p w:rsidR="00D835CC" w:rsidRPr="00CB2BF2" w:rsidRDefault="00D835CC" w:rsidP="00D835CC">
            <w:pPr>
              <w:spacing w:before="40" w:after="40"/>
              <w:rPr>
                <w:rFonts w:ascii="Calibri" w:eastAsia="Calibri" w:hAnsi="Calibri"/>
                <w:b/>
              </w:rPr>
            </w:pPr>
          </w:p>
        </w:tc>
      </w:tr>
      <w:tr w:rsidR="00D835CC" w:rsidRPr="0081221D" w:rsidTr="00B461E8">
        <w:tc>
          <w:tcPr>
            <w:tcW w:w="709" w:type="dxa"/>
            <w:gridSpan w:val="2"/>
            <w:shd w:val="clear" w:color="auto" w:fill="auto"/>
          </w:tcPr>
          <w:p w:rsidR="00D835CC" w:rsidRPr="00CB2BF2" w:rsidRDefault="00D835CC" w:rsidP="00D835CC">
            <w:pPr>
              <w:spacing w:before="40" w:after="40" w:line="259" w:lineRule="auto"/>
              <w:jc w:val="center"/>
              <w:rPr>
                <w:rFonts w:ascii="Calibri" w:eastAsia="Calibri" w:hAnsi="Calibri"/>
                <w:color w:val="333333"/>
                <w:sz w:val="18"/>
                <w:szCs w:val="18"/>
              </w:rPr>
            </w:pPr>
          </w:p>
        </w:tc>
        <w:tc>
          <w:tcPr>
            <w:tcW w:w="6064" w:type="dxa"/>
            <w:shd w:val="clear" w:color="auto" w:fill="auto"/>
          </w:tcPr>
          <w:p w:rsidR="00D835CC" w:rsidRPr="00CB2BF2" w:rsidRDefault="00D835CC" w:rsidP="00D835CC">
            <w:pPr>
              <w:spacing w:before="40" w:after="40"/>
              <w:rPr>
                <w:rFonts w:ascii="Calibri" w:eastAsia="Calibri" w:hAnsi="Calibri" w:cs="Times New Roman"/>
                <w:b/>
                <w:color w:val="002060"/>
                <w:sz w:val="18"/>
                <w:szCs w:val="18"/>
              </w:rPr>
            </w:pPr>
            <w:r w:rsidRPr="00CB2BF2">
              <w:rPr>
                <w:rFonts w:ascii="Calibri" w:eastAsia="Calibri" w:hAnsi="Calibri" w:cs="Times New Roman"/>
                <w:b/>
                <w:color w:val="002060"/>
                <w:sz w:val="18"/>
                <w:szCs w:val="18"/>
              </w:rPr>
              <w:t>Information Commissioner’s Office guidance regarding publication of information</w:t>
            </w:r>
          </w:p>
          <w:p w:rsidR="00D835CC" w:rsidRPr="00CB2BF2" w:rsidRDefault="00D835CC" w:rsidP="00D835CC">
            <w:pPr>
              <w:autoSpaceDE w:val="0"/>
              <w:autoSpaceDN w:val="0"/>
              <w:adjustRightInd w:val="0"/>
              <w:spacing w:before="40" w:after="40"/>
              <w:rPr>
                <w:rFonts w:ascii="Calibri" w:eastAsia="Calibri" w:hAnsi="Calibri"/>
                <w:b/>
                <w:sz w:val="18"/>
                <w:szCs w:val="18"/>
                <w:lang w:eastAsia="en-GB"/>
              </w:rPr>
            </w:pPr>
            <w:r w:rsidRPr="00CB2BF2">
              <w:rPr>
                <w:rFonts w:ascii="Calibri" w:eastAsia="Calibri" w:hAnsi="Calibri" w:cs="Times New Roman"/>
                <w:sz w:val="18"/>
                <w:szCs w:val="18"/>
              </w:rPr>
              <w:t>Ensure force information published on Single On-line Home is compliant with ICO requirements</w:t>
            </w:r>
          </w:p>
        </w:tc>
        <w:tc>
          <w:tcPr>
            <w:tcW w:w="1823" w:type="dxa"/>
            <w:shd w:val="clear" w:color="auto" w:fill="auto"/>
          </w:tcPr>
          <w:p w:rsidR="00D835CC" w:rsidRPr="00CB2BF2" w:rsidRDefault="00D835CC" w:rsidP="00D835C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CB2BF2">
              <w:rPr>
                <w:rFonts w:ascii="Calibri" w:eastAsia="Calibri" w:hAnsi="Calibri"/>
                <w:sz w:val="18"/>
                <w:szCs w:val="18"/>
              </w:rPr>
              <w:t>Chief Digital and Information Officer</w:t>
            </w:r>
            <w:r w:rsidRPr="00CB2BF2" w:rsidDel="0031071F">
              <w:rPr>
                <w:rFonts w:ascii="Calibri" w:eastAsia="Calibri" w:hAnsi="Calibri"/>
                <w:sz w:val="18"/>
                <w:szCs w:val="18"/>
              </w:rPr>
              <w:t xml:space="preserve"> </w:t>
            </w:r>
            <w:r w:rsidRPr="00CB2BF2">
              <w:rPr>
                <w:rFonts w:ascii="Calibri" w:eastAsia="Calibri" w:hAnsi="Calibri"/>
                <w:sz w:val="18"/>
                <w:szCs w:val="18"/>
              </w:rPr>
              <w:t>/</w:t>
            </w:r>
          </w:p>
          <w:p w:rsidR="00D835CC" w:rsidRPr="00CB2BF2" w:rsidRDefault="00D835CC" w:rsidP="00D835CC">
            <w:pPr>
              <w:spacing w:before="40" w:after="40"/>
              <w:rPr>
                <w:rFonts w:ascii="Calibri" w:eastAsia="Calibri" w:hAnsi="Calibri"/>
                <w:color w:val="000000"/>
                <w:sz w:val="18"/>
                <w:szCs w:val="18"/>
              </w:rPr>
            </w:pPr>
            <w:r w:rsidRPr="00CB2BF2">
              <w:rPr>
                <w:rFonts w:ascii="Calibri" w:eastAsia="Calibri" w:hAnsi="Calibri"/>
                <w:sz w:val="18"/>
                <w:szCs w:val="18"/>
              </w:rPr>
              <w:t>Force Information Manager</w:t>
            </w:r>
          </w:p>
        </w:tc>
        <w:tc>
          <w:tcPr>
            <w:tcW w:w="2319" w:type="dxa"/>
          </w:tcPr>
          <w:p w:rsidR="00D835CC" w:rsidRPr="00CB2BF2" w:rsidRDefault="00D835CC" w:rsidP="00EA146B">
            <w:pPr>
              <w:spacing w:before="40" w:after="40" w:line="254" w:lineRule="auto"/>
              <w:jc w:val="center"/>
              <w:rPr>
                <w:rFonts w:ascii="Calibri" w:hAnsi="Calibri"/>
                <w:sz w:val="18"/>
                <w:szCs w:val="18"/>
              </w:rPr>
            </w:pPr>
            <w:r w:rsidRPr="00CB2BF2">
              <w:rPr>
                <w:rFonts w:ascii="Calibri" w:hAnsi="Calibri"/>
                <w:sz w:val="18"/>
                <w:szCs w:val="18"/>
              </w:rPr>
              <w:t>30.09.20</w:t>
            </w:r>
          </w:p>
        </w:tc>
      </w:tr>
      <w:tr w:rsidR="00D835CC" w:rsidRPr="0081221D" w:rsidTr="00B461E8">
        <w:tc>
          <w:tcPr>
            <w:tcW w:w="709" w:type="dxa"/>
            <w:gridSpan w:val="2"/>
            <w:shd w:val="clear" w:color="auto" w:fill="auto"/>
          </w:tcPr>
          <w:p w:rsidR="00D835CC" w:rsidRPr="0087453B" w:rsidRDefault="00D835CC" w:rsidP="00D835CC">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rsidR="00D835CC" w:rsidRPr="00CB2BF2" w:rsidRDefault="00D835CC" w:rsidP="00D835CC">
            <w:pPr>
              <w:spacing w:before="60" w:after="60" w:line="259" w:lineRule="auto"/>
              <w:rPr>
                <w:rFonts w:ascii="Calibri" w:eastAsia="Calibri" w:hAnsi="Calibri" w:cs="Times New Roman"/>
                <w:b/>
                <w:color w:val="002060"/>
                <w:sz w:val="18"/>
                <w:szCs w:val="18"/>
              </w:rPr>
            </w:pPr>
            <w:r w:rsidRPr="00CB2BF2">
              <w:rPr>
                <w:rFonts w:ascii="Calibri" w:eastAsia="Calibri" w:hAnsi="Calibri" w:cs="Times New Roman"/>
                <w:b/>
                <w:color w:val="002060"/>
                <w:sz w:val="18"/>
                <w:szCs w:val="18"/>
              </w:rPr>
              <w:t>Information Sharing Agreements</w:t>
            </w:r>
          </w:p>
          <w:p w:rsidR="00D835CC" w:rsidRPr="00CB2BF2" w:rsidRDefault="00D835CC" w:rsidP="00D835CC">
            <w:pPr>
              <w:autoSpaceDE w:val="0"/>
              <w:autoSpaceDN w:val="0"/>
              <w:adjustRightInd w:val="0"/>
              <w:spacing w:before="40" w:after="40"/>
              <w:rPr>
                <w:rFonts w:ascii="Calibri" w:eastAsia="Calibri" w:hAnsi="Calibri" w:cs="FS Lola"/>
                <w:sz w:val="18"/>
                <w:szCs w:val="18"/>
                <w:lang w:eastAsia="en-GB"/>
              </w:rPr>
            </w:pPr>
            <w:r w:rsidRPr="00CB2BF2">
              <w:rPr>
                <w:rFonts w:ascii="Calibri" w:eastAsia="Calibri" w:hAnsi="Calibri" w:cs="Times New Roman"/>
                <w:sz w:val="18"/>
                <w:szCs w:val="18"/>
              </w:rPr>
              <w:t>Process to be introduced to ensure ISAs are kept up to date</w:t>
            </w:r>
            <w:r w:rsidRPr="00CB2BF2">
              <w:rPr>
                <w:rFonts w:ascii="Calibri" w:eastAsia="Calibri" w:hAnsi="Calibri" w:cs="FS Lola"/>
                <w:sz w:val="18"/>
                <w:szCs w:val="18"/>
                <w:lang w:eastAsia="en-GB"/>
              </w:rPr>
              <w:t xml:space="preserve"> within the resource envelope of the Information Management department.</w:t>
            </w:r>
          </w:p>
          <w:p w:rsidR="00D835CC" w:rsidRPr="00CB2BF2" w:rsidRDefault="00D835CC" w:rsidP="00D835CC">
            <w:pPr>
              <w:autoSpaceDE w:val="0"/>
              <w:autoSpaceDN w:val="0"/>
              <w:adjustRightInd w:val="0"/>
              <w:spacing w:before="40" w:after="40"/>
              <w:rPr>
                <w:rFonts w:ascii="Calibri" w:eastAsia="Calibri" w:hAnsi="Calibri"/>
                <w:sz w:val="18"/>
                <w:szCs w:val="18"/>
                <w:lang w:eastAsia="en-GB"/>
              </w:rPr>
            </w:pPr>
          </w:p>
        </w:tc>
        <w:tc>
          <w:tcPr>
            <w:tcW w:w="1823" w:type="dxa"/>
            <w:shd w:val="clear" w:color="auto" w:fill="auto"/>
          </w:tcPr>
          <w:p w:rsidR="00D835CC" w:rsidRPr="00CB2BF2" w:rsidRDefault="00D835CC" w:rsidP="00D835C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CB2BF2">
              <w:rPr>
                <w:rFonts w:ascii="Calibri" w:eastAsia="Calibri" w:hAnsi="Calibri"/>
                <w:sz w:val="18"/>
                <w:szCs w:val="18"/>
              </w:rPr>
              <w:t>Chief Digital and Information Officer</w:t>
            </w:r>
            <w:r w:rsidRPr="00CB2BF2" w:rsidDel="0031071F">
              <w:rPr>
                <w:rFonts w:ascii="Calibri" w:eastAsia="Calibri" w:hAnsi="Calibri"/>
                <w:sz w:val="18"/>
                <w:szCs w:val="18"/>
              </w:rPr>
              <w:t xml:space="preserve"> </w:t>
            </w:r>
            <w:r w:rsidRPr="00CB2BF2">
              <w:rPr>
                <w:rFonts w:ascii="Calibri" w:eastAsia="Calibri" w:hAnsi="Calibri"/>
                <w:sz w:val="18"/>
                <w:szCs w:val="18"/>
              </w:rPr>
              <w:t>/</w:t>
            </w:r>
          </w:p>
          <w:p w:rsidR="00D835CC" w:rsidRPr="00CB2BF2" w:rsidRDefault="00D835CC" w:rsidP="00D835CC">
            <w:pPr>
              <w:spacing w:before="40" w:after="40"/>
              <w:rPr>
                <w:rFonts w:ascii="Calibri" w:eastAsia="Calibri" w:hAnsi="Calibri"/>
                <w:color w:val="000000"/>
                <w:sz w:val="18"/>
                <w:szCs w:val="18"/>
              </w:rPr>
            </w:pPr>
            <w:r w:rsidRPr="00CB2BF2">
              <w:rPr>
                <w:rFonts w:ascii="Calibri" w:eastAsia="Calibri" w:hAnsi="Calibri"/>
                <w:sz w:val="18"/>
                <w:szCs w:val="18"/>
              </w:rPr>
              <w:t>Force Information Manager</w:t>
            </w:r>
          </w:p>
        </w:tc>
        <w:tc>
          <w:tcPr>
            <w:tcW w:w="2319" w:type="dxa"/>
          </w:tcPr>
          <w:p w:rsidR="00D835CC" w:rsidRPr="00CB2BF2" w:rsidRDefault="00D835CC" w:rsidP="00EA146B">
            <w:pPr>
              <w:spacing w:before="40" w:after="40"/>
              <w:jc w:val="center"/>
              <w:rPr>
                <w:rFonts w:ascii="Calibri" w:eastAsia="Calibri" w:hAnsi="Calibri"/>
                <w:sz w:val="18"/>
                <w:szCs w:val="18"/>
              </w:rPr>
            </w:pPr>
            <w:r w:rsidRPr="00CB2BF2">
              <w:rPr>
                <w:rFonts w:ascii="Calibri" w:eastAsia="Calibri" w:hAnsi="Calibri"/>
                <w:sz w:val="18"/>
                <w:szCs w:val="18"/>
              </w:rPr>
              <w:t>30.09.20</w:t>
            </w:r>
          </w:p>
        </w:tc>
      </w:tr>
      <w:tr w:rsidR="00D835CC" w:rsidRPr="0081221D" w:rsidTr="00B461E8">
        <w:tc>
          <w:tcPr>
            <w:tcW w:w="709" w:type="dxa"/>
            <w:gridSpan w:val="2"/>
            <w:shd w:val="clear" w:color="auto" w:fill="auto"/>
          </w:tcPr>
          <w:p w:rsidR="00D835CC" w:rsidRPr="00CB2BF2" w:rsidRDefault="00D835CC" w:rsidP="00D835CC">
            <w:pPr>
              <w:spacing w:before="40" w:after="40" w:line="259" w:lineRule="auto"/>
              <w:jc w:val="center"/>
              <w:rPr>
                <w:rFonts w:ascii="Calibri" w:eastAsia="Calibri" w:hAnsi="Calibri"/>
                <w:color w:val="333333"/>
                <w:sz w:val="18"/>
                <w:szCs w:val="18"/>
              </w:rPr>
            </w:pPr>
          </w:p>
        </w:tc>
        <w:tc>
          <w:tcPr>
            <w:tcW w:w="6064" w:type="dxa"/>
            <w:shd w:val="clear" w:color="auto" w:fill="auto"/>
          </w:tcPr>
          <w:p w:rsidR="00D835CC" w:rsidRPr="00CB2BF2" w:rsidRDefault="00D835CC" w:rsidP="00D835CC">
            <w:pPr>
              <w:spacing w:before="40" w:after="40"/>
              <w:rPr>
                <w:rFonts w:ascii="Calibri" w:eastAsia="Calibri" w:hAnsi="Calibri" w:cs="Times New Roman"/>
                <w:b/>
                <w:color w:val="002060"/>
                <w:sz w:val="18"/>
                <w:szCs w:val="18"/>
              </w:rPr>
            </w:pPr>
            <w:r w:rsidRPr="00CB2BF2">
              <w:rPr>
                <w:rFonts w:ascii="Calibri" w:eastAsia="Calibri" w:hAnsi="Calibri" w:cs="Times New Roman"/>
                <w:b/>
                <w:color w:val="002060"/>
                <w:sz w:val="18"/>
                <w:szCs w:val="18"/>
              </w:rPr>
              <w:t>Risk assurance mapping:</w:t>
            </w:r>
          </w:p>
          <w:p w:rsidR="00D835CC" w:rsidRPr="00CB2BF2" w:rsidRDefault="00D835CC" w:rsidP="00D835CC">
            <w:pPr>
              <w:spacing w:before="40" w:after="40"/>
              <w:rPr>
                <w:rFonts w:ascii="Calibri" w:eastAsia="Calibri" w:hAnsi="Calibri" w:cs="Times New Roman"/>
                <w:sz w:val="18"/>
                <w:szCs w:val="18"/>
              </w:rPr>
            </w:pPr>
            <w:r w:rsidRPr="00CB2BF2">
              <w:rPr>
                <w:rFonts w:ascii="Calibri" w:eastAsia="Calibri" w:hAnsi="Calibri" w:cs="Times New Roman"/>
                <w:sz w:val="18"/>
                <w:szCs w:val="18"/>
              </w:rPr>
              <w:t>As proposed by Karen Shaw, Deputy Head of Southern Internal Audit Partnership – risk assurance mapping exercise to be undertaken in relation to strategic force risks building on from work undertaken in relation to mapping corporate governance arrangements.</w:t>
            </w:r>
          </w:p>
          <w:p w:rsidR="00D835CC" w:rsidRPr="00CB2BF2" w:rsidRDefault="00D835CC" w:rsidP="00D835CC">
            <w:pPr>
              <w:spacing w:before="40" w:after="40" w:line="259" w:lineRule="auto"/>
              <w:rPr>
                <w:rFonts w:ascii="Calibri" w:eastAsia="Calibri" w:hAnsi="Calibri" w:cs="Times New Roman"/>
                <w:b/>
                <w:color w:val="002060"/>
                <w:sz w:val="18"/>
                <w:szCs w:val="18"/>
              </w:rPr>
            </w:pPr>
          </w:p>
        </w:tc>
        <w:tc>
          <w:tcPr>
            <w:tcW w:w="1823" w:type="dxa"/>
            <w:shd w:val="clear" w:color="auto" w:fill="auto"/>
          </w:tcPr>
          <w:p w:rsidR="00D835CC" w:rsidRPr="00CB2BF2" w:rsidRDefault="00D835CC" w:rsidP="00D835C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CB2BF2">
              <w:rPr>
                <w:rFonts w:ascii="Calibri" w:eastAsia="Calibri" w:hAnsi="Calibri"/>
                <w:sz w:val="18"/>
                <w:szCs w:val="18"/>
              </w:rPr>
              <w:t>Executive Director Commercial and Financial Services/</w:t>
            </w:r>
          </w:p>
          <w:p w:rsidR="00D835CC" w:rsidRPr="00CB2BF2" w:rsidRDefault="00D835CC" w:rsidP="00D835CC">
            <w:pPr>
              <w:spacing w:before="40" w:after="40"/>
              <w:rPr>
                <w:rFonts w:ascii="Calibri" w:eastAsia="Calibri" w:hAnsi="Calibri"/>
                <w:color w:val="000000"/>
                <w:sz w:val="18"/>
                <w:szCs w:val="18"/>
              </w:rPr>
            </w:pPr>
            <w:r w:rsidRPr="00CB2BF2">
              <w:rPr>
                <w:rFonts w:ascii="Calibri" w:eastAsia="Calibri" w:hAnsi="Calibri"/>
                <w:sz w:val="18"/>
                <w:szCs w:val="18"/>
              </w:rPr>
              <w:t>Risk Manager</w:t>
            </w:r>
          </w:p>
        </w:tc>
        <w:tc>
          <w:tcPr>
            <w:tcW w:w="2319" w:type="dxa"/>
          </w:tcPr>
          <w:p w:rsidR="00D835CC" w:rsidRPr="00CB2BF2" w:rsidRDefault="00D835CC" w:rsidP="00EA146B">
            <w:pPr>
              <w:spacing w:before="40" w:after="40"/>
              <w:jc w:val="center"/>
              <w:rPr>
                <w:rFonts w:ascii="Calibri" w:eastAsia="Calibri" w:hAnsi="Calibri"/>
                <w:sz w:val="18"/>
                <w:szCs w:val="18"/>
              </w:rPr>
            </w:pPr>
            <w:r w:rsidRPr="00CB2BF2">
              <w:rPr>
                <w:rFonts w:ascii="Calibri" w:eastAsia="Calibri" w:hAnsi="Calibri"/>
                <w:sz w:val="18"/>
                <w:szCs w:val="18"/>
              </w:rPr>
              <w:t>02.09. 20 report to ORB</w:t>
            </w:r>
          </w:p>
        </w:tc>
      </w:tr>
      <w:tr w:rsidR="00D835CC" w:rsidRPr="0081221D" w:rsidTr="00B461E8">
        <w:tc>
          <w:tcPr>
            <w:tcW w:w="709" w:type="dxa"/>
            <w:gridSpan w:val="2"/>
            <w:shd w:val="clear" w:color="auto" w:fill="auto"/>
          </w:tcPr>
          <w:p w:rsidR="00D835CC" w:rsidRPr="005F3A78" w:rsidRDefault="00D835CC" w:rsidP="00D835CC">
            <w:pPr>
              <w:spacing w:before="40" w:after="40" w:line="259" w:lineRule="auto"/>
              <w:jc w:val="center"/>
              <w:rPr>
                <w:rFonts w:ascii="Calibri" w:eastAsia="Calibri" w:hAnsi="Calibri"/>
                <w:color w:val="333333"/>
                <w:sz w:val="18"/>
                <w:szCs w:val="18"/>
              </w:rPr>
            </w:pPr>
          </w:p>
        </w:tc>
        <w:tc>
          <w:tcPr>
            <w:tcW w:w="6064" w:type="dxa"/>
            <w:shd w:val="clear" w:color="auto" w:fill="auto"/>
          </w:tcPr>
          <w:p w:rsidR="00D835CC" w:rsidRPr="005F3A78" w:rsidRDefault="00D835CC" w:rsidP="00D835CC">
            <w:pPr>
              <w:spacing w:before="40" w:after="40"/>
              <w:rPr>
                <w:rFonts w:ascii="Calibri" w:eastAsia="Calibri" w:hAnsi="Calibri" w:cs="Times New Roman"/>
                <w:b/>
                <w:color w:val="002060"/>
                <w:sz w:val="18"/>
                <w:szCs w:val="18"/>
              </w:rPr>
            </w:pPr>
            <w:r w:rsidRPr="005F3A78">
              <w:rPr>
                <w:rFonts w:ascii="Calibri" w:eastAsia="Calibri" w:hAnsi="Calibri" w:cs="Times New Roman"/>
                <w:b/>
                <w:color w:val="002060"/>
                <w:sz w:val="18"/>
                <w:szCs w:val="18"/>
              </w:rPr>
              <w:t>Covid-19</w:t>
            </w:r>
          </w:p>
          <w:p w:rsidR="00D835CC" w:rsidRPr="005F3A78" w:rsidRDefault="00D835CC" w:rsidP="00D835CC">
            <w:pPr>
              <w:spacing w:before="40" w:after="40"/>
              <w:rPr>
                <w:rFonts w:ascii="Calibri" w:eastAsia="Calibri" w:hAnsi="Calibri" w:cs="Times New Roman"/>
                <w:sz w:val="18"/>
                <w:szCs w:val="18"/>
              </w:rPr>
            </w:pPr>
            <w:r w:rsidRPr="005F3A78">
              <w:rPr>
                <w:rFonts w:ascii="Calibri" w:eastAsia="Calibri" w:hAnsi="Calibri" w:cs="Times New Roman"/>
                <w:sz w:val="18"/>
                <w:szCs w:val="18"/>
              </w:rPr>
              <w:t xml:space="preserve">Keep under review the impact of Covid-19 issues on </w:t>
            </w:r>
            <w:r>
              <w:rPr>
                <w:rFonts w:ascii="Calibri" w:eastAsia="Calibri" w:hAnsi="Calibri" w:cs="Times New Roman"/>
                <w:sz w:val="18"/>
                <w:szCs w:val="18"/>
              </w:rPr>
              <w:t>Surrey</w:t>
            </w:r>
            <w:r w:rsidRPr="005F3A78">
              <w:rPr>
                <w:rFonts w:ascii="Calibri" w:eastAsia="Calibri" w:hAnsi="Calibri" w:cs="Times New Roman"/>
                <w:sz w:val="18"/>
                <w:szCs w:val="18"/>
              </w:rPr>
              <w:t xml:space="preserve"> Police and consider any governance issues arising.</w:t>
            </w:r>
          </w:p>
        </w:tc>
        <w:tc>
          <w:tcPr>
            <w:tcW w:w="1823" w:type="dxa"/>
            <w:shd w:val="clear" w:color="auto" w:fill="auto"/>
          </w:tcPr>
          <w:p w:rsidR="00D835CC" w:rsidRDefault="00D835CC" w:rsidP="00D835C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F3A78">
              <w:rPr>
                <w:rFonts w:ascii="Calibri" w:eastAsia="Calibri" w:hAnsi="Calibri"/>
                <w:sz w:val="18"/>
                <w:szCs w:val="18"/>
              </w:rPr>
              <w:t xml:space="preserve">Deputy Chief Constable / </w:t>
            </w:r>
          </w:p>
          <w:p w:rsidR="00D835CC" w:rsidRPr="005F3A78" w:rsidRDefault="00D835CC" w:rsidP="00D835C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F3A78">
              <w:rPr>
                <w:rFonts w:ascii="Calibri" w:eastAsia="Calibri" w:hAnsi="Calibri"/>
                <w:sz w:val="18"/>
                <w:szCs w:val="18"/>
              </w:rPr>
              <w:t>Executive Director of Commercial and Finance Services</w:t>
            </w:r>
          </w:p>
        </w:tc>
        <w:tc>
          <w:tcPr>
            <w:tcW w:w="2319" w:type="dxa"/>
          </w:tcPr>
          <w:p w:rsidR="00D835CC" w:rsidRPr="005F3A78" w:rsidRDefault="00D835CC" w:rsidP="00EA146B">
            <w:pPr>
              <w:spacing w:before="40" w:after="40"/>
              <w:jc w:val="center"/>
              <w:rPr>
                <w:rFonts w:ascii="Calibri" w:eastAsia="Calibri" w:hAnsi="Calibri"/>
                <w:sz w:val="18"/>
                <w:szCs w:val="18"/>
              </w:rPr>
            </w:pPr>
            <w:r>
              <w:rPr>
                <w:rFonts w:ascii="Calibri" w:eastAsia="Calibri" w:hAnsi="Calibri"/>
                <w:sz w:val="18"/>
                <w:szCs w:val="18"/>
              </w:rPr>
              <w:t>31.03.21</w:t>
            </w:r>
          </w:p>
        </w:tc>
      </w:tr>
      <w:tr w:rsidR="00D835CC" w:rsidRPr="0081221D" w:rsidTr="00B461E8">
        <w:tc>
          <w:tcPr>
            <w:tcW w:w="709" w:type="dxa"/>
            <w:gridSpan w:val="2"/>
            <w:shd w:val="clear" w:color="auto" w:fill="auto"/>
          </w:tcPr>
          <w:p w:rsidR="00D835CC" w:rsidRPr="005F3A78" w:rsidRDefault="00D835CC" w:rsidP="00D835CC">
            <w:pPr>
              <w:spacing w:before="40" w:after="40" w:line="259" w:lineRule="auto"/>
              <w:jc w:val="center"/>
              <w:rPr>
                <w:rFonts w:ascii="Calibri" w:eastAsia="Calibri" w:hAnsi="Calibri"/>
                <w:color w:val="333333"/>
                <w:sz w:val="18"/>
                <w:szCs w:val="18"/>
              </w:rPr>
            </w:pPr>
          </w:p>
        </w:tc>
        <w:tc>
          <w:tcPr>
            <w:tcW w:w="6064" w:type="dxa"/>
            <w:shd w:val="clear" w:color="auto" w:fill="auto"/>
          </w:tcPr>
          <w:p w:rsidR="00D835CC" w:rsidRPr="005F3A78" w:rsidRDefault="00D835CC" w:rsidP="00D835CC">
            <w:pPr>
              <w:spacing w:before="40" w:after="40"/>
              <w:rPr>
                <w:rFonts w:ascii="Calibri" w:eastAsia="Calibri" w:hAnsi="Calibri" w:cs="Times New Roman"/>
                <w:b/>
                <w:color w:val="002060"/>
                <w:sz w:val="18"/>
                <w:szCs w:val="18"/>
              </w:rPr>
            </w:pPr>
            <w:r w:rsidRPr="005F3A78">
              <w:rPr>
                <w:rFonts w:ascii="Calibri" w:eastAsia="Calibri" w:hAnsi="Calibri" w:cs="Times New Roman"/>
                <w:b/>
                <w:color w:val="002060"/>
                <w:sz w:val="18"/>
                <w:szCs w:val="18"/>
              </w:rPr>
              <w:t>Covid-19</w:t>
            </w:r>
          </w:p>
          <w:p w:rsidR="00D835CC" w:rsidRPr="005F3A78" w:rsidRDefault="00D835CC" w:rsidP="00D835CC">
            <w:pPr>
              <w:spacing w:before="40" w:after="40"/>
              <w:rPr>
                <w:rFonts w:ascii="Calibri" w:eastAsia="Calibri" w:hAnsi="Calibri" w:cs="Times New Roman"/>
                <w:b/>
                <w:color w:val="002060"/>
                <w:sz w:val="18"/>
                <w:szCs w:val="18"/>
              </w:rPr>
            </w:pPr>
            <w:r w:rsidRPr="005F3A78">
              <w:rPr>
                <w:rFonts w:ascii="Calibri" w:eastAsia="Calibri" w:hAnsi="Calibri" w:cs="Times New Roman"/>
                <w:sz w:val="18"/>
                <w:szCs w:val="18"/>
              </w:rPr>
              <w:t>Undertake a lessons learned review from the Covid-19 response.</w:t>
            </w:r>
          </w:p>
        </w:tc>
        <w:tc>
          <w:tcPr>
            <w:tcW w:w="1823" w:type="dxa"/>
            <w:shd w:val="clear" w:color="auto" w:fill="auto"/>
          </w:tcPr>
          <w:p w:rsidR="00D835CC" w:rsidRDefault="00D835CC" w:rsidP="00D835C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F3A78">
              <w:rPr>
                <w:rFonts w:ascii="Calibri" w:eastAsia="Calibri" w:hAnsi="Calibri"/>
                <w:sz w:val="18"/>
                <w:szCs w:val="18"/>
              </w:rPr>
              <w:t xml:space="preserve">Deputy Chief Constable / </w:t>
            </w:r>
          </w:p>
          <w:p w:rsidR="00D835CC" w:rsidRPr="005F3A78" w:rsidRDefault="00D835CC" w:rsidP="00D835CC">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F3A78">
              <w:rPr>
                <w:rFonts w:ascii="Calibri" w:eastAsia="Calibri" w:hAnsi="Calibri"/>
                <w:sz w:val="18"/>
                <w:szCs w:val="18"/>
              </w:rPr>
              <w:t>Executive Director of Commercial and Finance Services</w:t>
            </w:r>
          </w:p>
        </w:tc>
        <w:tc>
          <w:tcPr>
            <w:tcW w:w="2319" w:type="dxa"/>
          </w:tcPr>
          <w:p w:rsidR="00D835CC" w:rsidRPr="005F3A78" w:rsidRDefault="00D835CC" w:rsidP="00EA146B">
            <w:pPr>
              <w:spacing w:before="40" w:after="40"/>
              <w:jc w:val="center"/>
              <w:rPr>
                <w:rFonts w:ascii="Calibri" w:eastAsia="Calibri" w:hAnsi="Calibri"/>
                <w:sz w:val="18"/>
                <w:szCs w:val="18"/>
              </w:rPr>
            </w:pPr>
            <w:r>
              <w:rPr>
                <w:rFonts w:ascii="Calibri" w:eastAsia="Calibri" w:hAnsi="Calibri"/>
                <w:sz w:val="18"/>
                <w:szCs w:val="18"/>
              </w:rPr>
              <w:t>31.03.21</w:t>
            </w:r>
          </w:p>
        </w:tc>
      </w:tr>
    </w:tbl>
    <w:p w:rsidR="00D835CC" w:rsidRPr="00345718" w:rsidRDefault="00D835CC" w:rsidP="00D835CC">
      <w:pPr>
        <w:pStyle w:val="NormalWeb1"/>
        <w:rPr>
          <w:rFonts w:ascii="Calibri" w:hAnsi="Calibri" w:cs="Arial"/>
          <w:b/>
          <w:sz w:val="22"/>
          <w:szCs w:val="22"/>
        </w:rPr>
      </w:pPr>
    </w:p>
    <w:p w:rsidR="00D835CC" w:rsidRDefault="00D835CC" w:rsidP="00F227D9">
      <w:pPr>
        <w:pStyle w:val="Heading1"/>
        <w:rPr>
          <w:highlight w:val="yellow"/>
        </w:rPr>
      </w:pPr>
    </w:p>
    <w:p w:rsidR="00F227D9" w:rsidRPr="00FA046A" w:rsidRDefault="00F227D9">
      <w:pPr>
        <w:pStyle w:val="Normal0"/>
        <w:rPr>
          <w:rFonts w:ascii="Verdana" w:hAnsi="Verdana"/>
          <w:sz w:val="22"/>
          <w:szCs w:val="22"/>
        </w:rPr>
        <w:sectPr w:rsidR="00F227D9" w:rsidRPr="00FA046A" w:rsidSect="00F227D9">
          <w:pgSz w:w="11900" w:h="16840"/>
          <w:pgMar w:top="720" w:right="720" w:bottom="720" w:left="720" w:header="708" w:footer="708" w:gutter="0"/>
          <w:cols w:space="708"/>
          <w:docGrid w:linePitch="360"/>
        </w:sectPr>
      </w:pPr>
    </w:p>
    <w:p w:rsidR="00F227D9" w:rsidRDefault="00F227D9" w:rsidP="00F227D9">
      <w:pPr>
        <w:pStyle w:val="Heading1"/>
        <w:spacing w:line="259" w:lineRule="auto"/>
        <w:rPr>
          <w:lang w:val="pt-BR"/>
        </w:rPr>
      </w:pPr>
      <w:bookmarkStart w:id="5" w:name="_Toc55900975"/>
      <w:r w:rsidRPr="00035F1A">
        <w:rPr>
          <w:lang w:val="pt-BR"/>
        </w:rPr>
        <w:t>Movement in Reserves Statement</w:t>
      </w:r>
      <w:bookmarkEnd w:id="5"/>
    </w:p>
    <w:p w:rsidR="00F227D9" w:rsidRPr="00CE30AA" w:rsidRDefault="00F227D9" w:rsidP="00F227D9">
      <w:pPr>
        <w:pStyle w:val="Normal0"/>
        <w:spacing w:after="160" w:line="259" w:lineRule="auto"/>
        <w:rPr>
          <w:sz w:val="22"/>
          <w:szCs w:val="22"/>
          <w:lang w:val="pt-BR"/>
        </w:rPr>
      </w:pPr>
    </w:p>
    <w:p w:rsidR="00F227D9" w:rsidRDefault="00F227D9" w:rsidP="00080023">
      <w:pPr>
        <w:pStyle w:val="Normal0"/>
        <w:spacing w:after="160" w:line="259" w:lineRule="auto"/>
        <w:jc w:val="both"/>
        <w:rPr>
          <w:rFonts w:ascii="Verdana" w:hAnsi="Verdana"/>
          <w:sz w:val="22"/>
          <w:szCs w:val="22"/>
          <w:lang w:val="pt-BR"/>
        </w:rPr>
      </w:pPr>
      <w:r>
        <w:rPr>
          <w:rFonts w:ascii="Verdana" w:eastAsia="Calibri" w:hAnsi="Verdana" w:cs="Arial"/>
          <w:sz w:val="22"/>
          <w:szCs w:val="22"/>
          <w:lang w:val="pt-BR"/>
        </w:rPr>
        <w:t>The Movement in Reserves Statement shows the movement from the start of the year to the end on the different reserves, analysed into ‘usable reserves’ (ie those that can be applied to fund expenditure or reduce local taxation) and other ‘unusable reserves’. The Statement shows how the movements in year of the reserves are broken down between gains and losses incurred in accordance with generally accepted accounting practices and the statutory adjustments required to return to the amounts chargeable to council tax for the year. The Net Increase/Decrease line shows the statutory General Fund Balance movements in the year following those adjustments.</w:t>
      </w:r>
    </w:p>
    <w:tbl>
      <w:tblPr>
        <w:tblpPr w:leftFromText="180" w:rightFromText="180" w:vertAnchor="text" w:tblpY="1"/>
        <w:tblOverlap w:val="never"/>
        <w:tblW w:w="0" w:type="auto"/>
        <w:tblLayout w:type="fixed"/>
        <w:tblLook w:val="04A0" w:firstRow="1" w:lastRow="0" w:firstColumn="1" w:lastColumn="0" w:noHBand="0" w:noVBand="1"/>
      </w:tblPr>
      <w:tblGrid>
        <w:gridCol w:w="3354"/>
        <w:gridCol w:w="1589"/>
        <w:gridCol w:w="1589"/>
        <w:gridCol w:w="1724"/>
        <w:gridCol w:w="1724"/>
      </w:tblGrid>
      <w:tr w:rsidR="0053376B" w:rsidTr="00B60B19">
        <w:trPr>
          <w:trHeight w:val="720"/>
        </w:trPr>
        <w:tc>
          <w:tcPr>
            <w:tcW w:w="3354" w:type="dxa"/>
            <w:shd w:val="clear" w:color="auto" w:fill="auto"/>
            <w:tcMar>
              <w:top w:w="20" w:type="dxa"/>
              <w:left w:w="20" w:type="dxa"/>
              <w:bottom w:w="20" w:type="dxa"/>
              <w:right w:w="20" w:type="dxa"/>
            </w:tcMar>
          </w:tcPr>
          <w:p w:rsidR="0053376B" w:rsidRDefault="00F227D9" w:rsidP="00BD4D89">
            <w:pPr>
              <w:pStyle w:val="T1TableStyle"/>
              <w:jc w:val="center"/>
              <w:rPr>
                <w:rFonts w:ascii="Verdana" w:eastAsia="Verdana" w:hAnsi="Verdana" w:cs="Verdana"/>
                <w:b/>
                <w:color w:val="000000"/>
                <w:sz w:val="2"/>
                <w:szCs w:val="22"/>
                <w:lang w:val="pt-BR"/>
              </w:rPr>
            </w:pPr>
            <w:r>
              <w:rPr>
                <w:rFonts w:ascii="Verdana" w:eastAsia="Verdana" w:hAnsi="Verdana" w:cs="Verdana"/>
                <w:b/>
                <w:color w:val="000000"/>
                <w:sz w:val="2"/>
                <w:szCs w:val="22"/>
                <w:lang w:val="pt-BR"/>
              </w:rPr>
              <w:t xml:space="preserve"> </w:t>
            </w:r>
          </w:p>
        </w:tc>
        <w:tc>
          <w:tcPr>
            <w:tcW w:w="1589" w:type="dxa"/>
            <w:shd w:val="clear" w:color="auto" w:fill="auto"/>
            <w:tcMar>
              <w:top w:w="20" w:type="dxa"/>
              <w:left w:w="20" w:type="dxa"/>
              <w:bottom w:w="20" w:type="dxa"/>
              <w:right w:w="20" w:type="dxa"/>
            </w:tcMar>
            <w:vAlign w:val="bottom"/>
          </w:tcPr>
          <w:p w:rsidR="0053376B" w:rsidRDefault="00F227D9" w:rsidP="00BD4D89">
            <w:pPr>
              <w:pStyle w:val="T1TableStyle"/>
              <w:jc w:val="center"/>
              <w:rPr>
                <w:rFonts w:ascii="Verdana" w:eastAsia="Verdana" w:hAnsi="Verdana" w:cs="Verdana"/>
                <w:b/>
                <w:color w:val="000000"/>
                <w:sz w:val="16"/>
                <w:szCs w:val="22"/>
                <w:lang w:val="pt-BR"/>
              </w:rPr>
            </w:pPr>
            <w:r>
              <w:rPr>
                <w:rFonts w:ascii="Verdana" w:eastAsia="Verdana" w:hAnsi="Verdana" w:cs="Verdana"/>
                <w:b/>
                <w:color w:val="000000"/>
                <w:sz w:val="16"/>
                <w:szCs w:val="22"/>
                <w:lang w:val="pt-BR"/>
              </w:rPr>
              <w:t>General Fund Balance</w:t>
            </w:r>
          </w:p>
        </w:tc>
        <w:tc>
          <w:tcPr>
            <w:tcW w:w="1589" w:type="dxa"/>
            <w:shd w:val="clear" w:color="auto" w:fill="auto"/>
            <w:tcMar>
              <w:top w:w="20" w:type="dxa"/>
              <w:left w:w="20" w:type="dxa"/>
              <w:bottom w:w="20" w:type="dxa"/>
              <w:right w:w="20" w:type="dxa"/>
            </w:tcMar>
            <w:vAlign w:val="bottom"/>
          </w:tcPr>
          <w:p w:rsidR="0053376B" w:rsidRDefault="00F227D9" w:rsidP="00BD4D89">
            <w:pPr>
              <w:pStyle w:val="T1TableStyle"/>
              <w:jc w:val="center"/>
              <w:rPr>
                <w:rFonts w:ascii="Verdana" w:eastAsia="Verdana" w:hAnsi="Verdana" w:cs="Verdana"/>
                <w:b/>
                <w:color w:val="000000"/>
                <w:sz w:val="16"/>
                <w:szCs w:val="22"/>
                <w:lang w:val="pt-BR"/>
              </w:rPr>
            </w:pPr>
            <w:r>
              <w:rPr>
                <w:rFonts w:ascii="Verdana" w:eastAsia="Verdana" w:hAnsi="Verdana" w:cs="Verdana"/>
                <w:b/>
                <w:color w:val="000000"/>
                <w:sz w:val="16"/>
                <w:szCs w:val="22"/>
                <w:lang w:val="pt-BR"/>
              </w:rPr>
              <w:t>Total Usable Reserves</w:t>
            </w:r>
          </w:p>
        </w:tc>
        <w:tc>
          <w:tcPr>
            <w:tcW w:w="1724" w:type="dxa"/>
            <w:shd w:val="clear" w:color="auto" w:fill="auto"/>
            <w:tcMar>
              <w:top w:w="20" w:type="dxa"/>
              <w:left w:w="20" w:type="dxa"/>
              <w:bottom w:w="20" w:type="dxa"/>
              <w:right w:w="20" w:type="dxa"/>
            </w:tcMar>
            <w:vAlign w:val="bottom"/>
          </w:tcPr>
          <w:p w:rsidR="0053376B" w:rsidRDefault="00F227D9" w:rsidP="00BD4D89">
            <w:pPr>
              <w:pStyle w:val="T1TableStyle"/>
              <w:jc w:val="center"/>
              <w:rPr>
                <w:rFonts w:ascii="Verdana" w:eastAsia="Verdana" w:hAnsi="Verdana" w:cs="Verdana"/>
                <w:b/>
                <w:color w:val="000000"/>
                <w:sz w:val="16"/>
                <w:szCs w:val="22"/>
                <w:lang w:val="pt-BR"/>
              </w:rPr>
            </w:pPr>
            <w:r>
              <w:rPr>
                <w:rFonts w:ascii="Verdana" w:eastAsia="Verdana" w:hAnsi="Verdana" w:cs="Verdana"/>
                <w:b/>
                <w:color w:val="000000"/>
                <w:sz w:val="16"/>
                <w:szCs w:val="22"/>
                <w:lang w:val="pt-BR"/>
              </w:rPr>
              <w:t>Unusable Reserves</w:t>
            </w:r>
          </w:p>
        </w:tc>
        <w:tc>
          <w:tcPr>
            <w:tcW w:w="1724" w:type="dxa"/>
            <w:shd w:val="clear" w:color="auto" w:fill="auto"/>
            <w:tcMar>
              <w:top w:w="20" w:type="dxa"/>
              <w:left w:w="20" w:type="dxa"/>
              <w:bottom w:w="20" w:type="dxa"/>
              <w:right w:w="20" w:type="dxa"/>
            </w:tcMar>
            <w:vAlign w:val="bottom"/>
          </w:tcPr>
          <w:p w:rsidR="0053376B" w:rsidRDefault="00F227D9" w:rsidP="00BD4D89">
            <w:pPr>
              <w:pStyle w:val="T1TableStyle"/>
              <w:jc w:val="center"/>
              <w:rPr>
                <w:rFonts w:ascii="Verdana" w:eastAsia="Verdana" w:hAnsi="Verdana" w:cs="Verdana"/>
                <w:b/>
                <w:color w:val="000000"/>
                <w:sz w:val="16"/>
                <w:szCs w:val="22"/>
                <w:lang w:val="pt-BR"/>
              </w:rPr>
            </w:pPr>
            <w:r>
              <w:rPr>
                <w:rFonts w:ascii="Verdana" w:eastAsia="Verdana" w:hAnsi="Verdana" w:cs="Verdana"/>
                <w:b/>
                <w:color w:val="000000"/>
                <w:sz w:val="16"/>
                <w:szCs w:val="22"/>
                <w:lang w:val="pt-BR"/>
              </w:rPr>
              <w:t>Total Reserves</w:t>
            </w:r>
          </w:p>
        </w:tc>
      </w:tr>
      <w:tr w:rsidR="0053376B" w:rsidTr="00B60B19">
        <w:trPr>
          <w:trHeight w:val="167"/>
        </w:trPr>
        <w:tc>
          <w:tcPr>
            <w:tcW w:w="3354" w:type="dxa"/>
            <w:tcBorders>
              <w:bottom w:val="single" w:sz="2" w:space="0" w:color="000000"/>
            </w:tcBorders>
            <w:shd w:val="clear" w:color="auto" w:fill="auto"/>
            <w:tcMar>
              <w:top w:w="20" w:type="dxa"/>
              <w:left w:w="20" w:type="dxa"/>
              <w:bottom w:w="20" w:type="dxa"/>
              <w:right w:w="20" w:type="dxa"/>
            </w:tcMar>
          </w:tcPr>
          <w:p w:rsidR="0053376B" w:rsidRDefault="00F227D9" w:rsidP="00BD4D89">
            <w:pPr>
              <w:pStyle w:val="T1TableStyle"/>
              <w:jc w:val="center"/>
              <w:rPr>
                <w:rFonts w:ascii="Verdana" w:eastAsia="Verdana" w:hAnsi="Verdana" w:cs="Verdana"/>
                <w:b/>
                <w:color w:val="000000"/>
                <w:sz w:val="2"/>
                <w:szCs w:val="22"/>
                <w:lang w:val="pt-BR"/>
              </w:rPr>
            </w:pPr>
            <w:r>
              <w:rPr>
                <w:rFonts w:ascii="Verdana" w:eastAsia="Verdana" w:hAnsi="Verdana" w:cs="Verdana"/>
                <w:b/>
                <w:color w:val="000000"/>
                <w:sz w:val="2"/>
                <w:szCs w:val="22"/>
                <w:lang w:val="pt-BR"/>
              </w:rPr>
              <w:t xml:space="preserve"> </w:t>
            </w:r>
          </w:p>
        </w:tc>
        <w:tc>
          <w:tcPr>
            <w:tcW w:w="1589" w:type="dxa"/>
            <w:tcBorders>
              <w:bottom w:val="single" w:sz="2" w:space="0" w:color="000000"/>
            </w:tcBorders>
            <w:shd w:val="clear" w:color="auto" w:fill="auto"/>
            <w:tcMar>
              <w:top w:w="20" w:type="dxa"/>
              <w:left w:w="20" w:type="dxa"/>
              <w:bottom w:w="20" w:type="dxa"/>
              <w:right w:w="20" w:type="dxa"/>
            </w:tcMar>
          </w:tcPr>
          <w:p w:rsidR="0053376B" w:rsidRDefault="00F227D9" w:rsidP="00BD4D89">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£000</w:t>
            </w:r>
          </w:p>
        </w:tc>
        <w:tc>
          <w:tcPr>
            <w:tcW w:w="1589" w:type="dxa"/>
            <w:tcBorders>
              <w:bottom w:val="single" w:sz="2" w:space="0" w:color="000000"/>
            </w:tcBorders>
            <w:shd w:val="clear" w:color="auto" w:fill="auto"/>
            <w:tcMar>
              <w:top w:w="20" w:type="dxa"/>
              <w:left w:w="20" w:type="dxa"/>
              <w:bottom w:w="20" w:type="dxa"/>
              <w:right w:w="20" w:type="dxa"/>
            </w:tcMar>
          </w:tcPr>
          <w:p w:rsidR="0053376B" w:rsidRDefault="00F227D9" w:rsidP="00BD4D89">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£000</w:t>
            </w:r>
          </w:p>
        </w:tc>
        <w:tc>
          <w:tcPr>
            <w:tcW w:w="1724" w:type="dxa"/>
            <w:tcBorders>
              <w:bottom w:val="single" w:sz="2" w:space="0" w:color="000000"/>
            </w:tcBorders>
            <w:shd w:val="clear" w:color="auto" w:fill="auto"/>
            <w:tcMar>
              <w:top w:w="20" w:type="dxa"/>
              <w:left w:w="20" w:type="dxa"/>
              <w:bottom w:w="20" w:type="dxa"/>
              <w:right w:w="20" w:type="dxa"/>
            </w:tcMar>
          </w:tcPr>
          <w:p w:rsidR="0053376B" w:rsidRDefault="00F227D9" w:rsidP="00BD4D89">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£000</w:t>
            </w:r>
          </w:p>
        </w:tc>
        <w:tc>
          <w:tcPr>
            <w:tcW w:w="1724" w:type="dxa"/>
            <w:tcBorders>
              <w:bottom w:val="single" w:sz="2" w:space="0" w:color="000000"/>
            </w:tcBorders>
            <w:shd w:val="clear" w:color="auto" w:fill="auto"/>
            <w:tcMar>
              <w:top w:w="20" w:type="dxa"/>
              <w:left w:w="20" w:type="dxa"/>
              <w:bottom w:w="20" w:type="dxa"/>
              <w:right w:w="20" w:type="dxa"/>
            </w:tcMar>
          </w:tcPr>
          <w:p w:rsidR="0053376B" w:rsidRDefault="00F227D9" w:rsidP="00BD4D89">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£000</w:t>
            </w:r>
          </w:p>
        </w:tc>
      </w:tr>
      <w:tr w:rsidR="0053376B" w:rsidRPr="00A83C9C" w:rsidTr="00B60B19">
        <w:trPr>
          <w:trHeight w:val="167"/>
        </w:trPr>
        <w:tc>
          <w:tcPr>
            <w:tcW w:w="3354" w:type="dxa"/>
            <w:tcBorders>
              <w:bottom w:val="single" w:sz="2" w:space="0" w:color="000000"/>
            </w:tcBorders>
            <w:shd w:val="clear" w:color="auto" w:fill="auto"/>
            <w:tcMar>
              <w:top w:w="20" w:type="dxa"/>
              <w:left w:w="20" w:type="dxa"/>
              <w:bottom w:w="20" w:type="dxa"/>
              <w:right w:w="20" w:type="dxa"/>
            </w:tcMar>
          </w:tcPr>
          <w:p w:rsidR="0053376B" w:rsidRDefault="00F227D9" w:rsidP="00BD4D89">
            <w:pPr>
              <w:pStyle w:val="T1TableStyle"/>
              <w:rPr>
                <w:rFonts w:ascii="Verdana" w:eastAsia="Verdana" w:hAnsi="Verdana" w:cs="Verdana"/>
                <w:b/>
                <w:color w:val="000000"/>
                <w:sz w:val="16"/>
                <w:szCs w:val="22"/>
                <w:lang w:val="pt-BR"/>
              </w:rPr>
            </w:pPr>
            <w:r>
              <w:rPr>
                <w:rFonts w:ascii="Verdana" w:eastAsia="Verdana" w:hAnsi="Verdana" w:cs="Verdana"/>
                <w:b/>
                <w:color w:val="000000"/>
                <w:sz w:val="16"/>
                <w:szCs w:val="22"/>
                <w:lang w:val="pt-BR"/>
              </w:rPr>
              <w:t>Balance at 31 March 2019</w:t>
            </w:r>
          </w:p>
        </w:tc>
        <w:tc>
          <w:tcPr>
            <w:tcW w:w="1589"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53376B" w:rsidRDefault="00F227D9" w:rsidP="00BD4D89">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0</w:t>
            </w:r>
          </w:p>
        </w:tc>
        <w:tc>
          <w:tcPr>
            <w:tcW w:w="1589"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3376B" w:rsidRDefault="00F227D9" w:rsidP="00BD4D89">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w:t>
            </w:r>
          </w:p>
        </w:tc>
        <w:tc>
          <w:tcPr>
            <w:tcW w:w="1724" w:type="dxa"/>
            <w:tcBorders>
              <w:bottom w:val="single" w:sz="2" w:space="0" w:color="000000"/>
            </w:tcBorders>
            <w:shd w:val="clear" w:color="auto" w:fill="auto"/>
            <w:tcMar>
              <w:top w:w="20" w:type="dxa"/>
              <w:left w:w="20" w:type="dxa"/>
              <w:bottom w:w="20" w:type="dxa"/>
              <w:right w:w="20" w:type="dxa"/>
            </w:tcMar>
          </w:tcPr>
          <w:p w:rsidR="0053376B" w:rsidRPr="00A83C9C" w:rsidRDefault="00F227D9" w:rsidP="00A83C9C">
            <w:pPr>
              <w:pStyle w:val="T1TableStyle"/>
              <w:jc w:val="right"/>
              <w:rPr>
                <w:rFonts w:ascii="Verdana" w:eastAsia="Verdana" w:hAnsi="Verdana" w:cs="Verdana"/>
                <w:color w:val="000000"/>
                <w:sz w:val="16"/>
                <w:szCs w:val="22"/>
                <w:lang w:val="pt-BR"/>
              </w:rPr>
            </w:pPr>
            <w:r w:rsidRPr="00A83C9C">
              <w:rPr>
                <w:rFonts w:ascii="Verdana" w:eastAsia="Verdana" w:hAnsi="Verdana" w:cs="Verdana"/>
                <w:color w:val="000000"/>
                <w:sz w:val="16"/>
                <w:szCs w:val="22"/>
                <w:lang w:val="pt-BR"/>
              </w:rPr>
              <w:t>2,</w:t>
            </w:r>
            <w:r w:rsidR="00B461E8" w:rsidRPr="00A83C9C">
              <w:rPr>
                <w:rFonts w:ascii="Verdana" w:eastAsia="Verdana" w:hAnsi="Verdana" w:cs="Verdana"/>
                <w:color w:val="000000"/>
                <w:sz w:val="16"/>
                <w:szCs w:val="22"/>
                <w:lang w:val="pt-BR"/>
              </w:rPr>
              <w:t>15</w:t>
            </w:r>
            <w:r w:rsidR="00A83C9C" w:rsidRPr="00A83C9C">
              <w:rPr>
                <w:rFonts w:ascii="Verdana" w:eastAsia="Verdana" w:hAnsi="Verdana" w:cs="Verdana"/>
                <w:color w:val="000000"/>
                <w:sz w:val="16"/>
                <w:szCs w:val="22"/>
                <w:lang w:val="pt-BR"/>
              </w:rPr>
              <w:t>7</w:t>
            </w:r>
            <w:r w:rsidR="00B461E8" w:rsidRPr="00A83C9C">
              <w:rPr>
                <w:rFonts w:ascii="Verdana" w:eastAsia="Verdana" w:hAnsi="Verdana" w:cs="Verdana"/>
                <w:color w:val="000000"/>
                <w:sz w:val="16"/>
                <w:szCs w:val="22"/>
                <w:lang w:val="pt-BR"/>
              </w:rPr>
              <w:t>,</w:t>
            </w:r>
            <w:r w:rsidR="00A83C9C" w:rsidRPr="00A83C9C">
              <w:rPr>
                <w:rFonts w:ascii="Verdana" w:eastAsia="Verdana" w:hAnsi="Verdana" w:cs="Verdana"/>
                <w:color w:val="000000"/>
                <w:sz w:val="16"/>
                <w:szCs w:val="22"/>
                <w:lang w:val="pt-BR"/>
              </w:rPr>
              <w:t>838</w:t>
            </w:r>
          </w:p>
        </w:tc>
        <w:tc>
          <w:tcPr>
            <w:tcW w:w="1724" w:type="dxa"/>
            <w:tcBorders>
              <w:left w:val="single" w:sz="2" w:space="0" w:color="000000"/>
              <w:bottom w:val="single" w:sz="2" w:space="0" w:color="000000"/>
            </w:tcBorders>
            <w:shd w:val="clear" w:color="auto" w:fill="auto"/>
            <w:tcMar>
              <w:top w:w="20" w:type="dxa"/>
              <w:left w:w="20" w:type="dxa"/>
              <w:bottom w:w="20" w:type="dxa"/>
              <w:right w:w="20" w:type="dxa"/>
            </w:tcMar>
          </w:tcPr>
          <w:p w:rsidR="0053376B" w:rsidRPr="00A83C9C" w:rsidRDefault="00F227D9" w:rsidP="00B461E8">
            <w:pPr>
              <w:pStyle w:val="T1TableStyle"/>
              <w:jc w:val="right"/>
              <w:rPr>
                <w:rFonts w:ascii="Verdana" w:eastAsia="Verdana" w:hAnsi="Verdana" w:cs="Verdana"/>
                <w:b/>
                <w:color w:val="000000"/>
                <w:sz w:val="16"/>
                <w:szCs w:val="22"/>
                <w:lang w:val="pt-BR"/>
              </w:rPr>
            </w:pPr>
            <w:r w:rsidRPr="00A83C9C">
              <w:rPr>
                <w:rFonts w:ascii="Verdana" w:eastAsia="Verdana" w:hAnsi="Verdana" w:cs="Verdana"/>
                <w:b/>
                <w:color w:val="000000"/>
                <w:sz w:val="16"/>
                <w:szCs w:val="22"/>
                <w:lang w:val="pt-BR"/>
              </w:rPr>
              <w:t>2,</w:t>
            </w:r>
            <w:r w:rsidR="00B461E8" w:rsidRPr="00A83C9C">
              <w:rPr>
                <w:rFonts w:ascii="Verdana" w:eastAsia="Verdana" w:hAnsi="Verdana" w:cs="Verdana"/>
                <w:b/>
                <w:color w:val="000000"/>
                <w:sz w:val="16"/>
                <w:szCs w:val="22"/>
                <w:lang w:val="pt-BR"/>
              </w:rPr>
              <w:t>1</w:t>
            </w:r>
            <w:r w:rsidR="00A83C9C" w:rsidRPr="00A83C9C">
              <w:rPr>
                <w:rFonts w:ascii="Verdana" w:eastAsia="Verdana" w:hAnsi="Verdana" w:cs="Verdana"/>
                <w:b/>
                <w:color w:val="000000"/>
                <w:sz w:val="16"/>
                <w:szCs w:val="22"/>
                <w:lang w:val="pt-BR"/>
              </w:rPr>
              <w:t>57,838</w:t>
            </w:r>
          </w:p>
        </w:tc>
      </w:tr>
      <w:tr w:rsidR="0053376B" w:rsidRPr="00A83C9C" w:rsidTr="00B60B19">
        <w:trPr>
          <w:trHeight w:val="234"/>
        </w:trPr>
        <w:tc>
          <w:tcPr>
            <w:tcW w:w="3354" w:type="dxa"/>
            <w:shd w:val="clear" w:color="auto" w:fill="auto"/>
            <w:tcMar>
              <w:top w:w="20" w:type="dxa"/>
              <w:left w:w="20" w:type="dxa"/>
              <w:bottom w:w="20" w:type="dxa"/>
              <w:right w:w="20" w:type="dxa"/>
            </w:tcMar>
          </w:tcPr>
          <w:p w:rsidR="0053376B" w:rsidRDefault="00F227D9" w:rsidP="00BD4D89">
            <w:pPr>
              <w:pStyle w:val="T1TableStyle"/>
              <w:rPr>
                <w:rFonts w:ascii="Verdana" w:eastAsia="Verdana" w:hAnsi="Verdana" w:cs="Verdana"/>
                <w:b/>
                <w:color w:val="000000"/>
                <w:sz w:val="16"/>
                <w:szCs w:val="22"/>
                <w:lang w:val="pt-BR"/>
              </w:rPr>
            </w:pPr>
            <w:r>
              <w:rPr>
                <w:rFonts w:ascii="Verdana" w:eastAsia="Verdana" w:hAnsi="Verdana" w:cs="Verdana"/>
                <w:b/>
                <w:color w:val="000000"/>
                <w:sz w:val="16"/>
                <w:szCs w:val="22"/>
                <w:lang w:val="pt-BR"/>
              </w:rPr>
              <w:t>Movement in reserves during 2019/20</w:t>
            </w:r>
          </w:p>
        </w:tc>
        <w:tc>
          <w:tcPr>
            <w:tcW w:w="1589" w:type="dxa"/>
            <w:tcBorders>
              <w:left w:val="single" w:sz="2" w:space="0" w:color="000000"/>
            </w:tcBorders>
            <w:shd w:val="clear" w:color="auto" w:fill="auto"/>
            <w:tcMar>
              <w:top w:w="20" w:type="dxa"/>
              <w:left w:w="20" w:type="dxa"/>
              <w:bottom w:w="20" w:type="dxa"/>
              <w:right w:w="20" w:type="dxa"/>
            </w:tcMar>
          </w:tcPr>
          <w:p w:rsidR="0053376B" w:rsidRDefault="00F227D9" w:rsidP="00BD4D89">
            <w:pPr>
              <w:pStyle w:val="T1TableStyle"/>
              <w:jc w:val="right"/>
              <w:rPr>
                <w:rFonts w:ascii="Verdana" w:eastAsia="Verdana" w:hAnsi="Verdana" w:cs="Verdana"/>
                <w:color w:val="000000"/>
                <w:sz w:val="2"/>
                <w:szCs w:val="22"/>
                <w:lang w:val="pt-BR"/>
              </w:rPr>
            </w:pPr>
            <w:r>
              <w:rPr>
                <w:rFonts w:ascii="Verdana" w:eastAsia="Verdana" w:hAnsi="Verdana" w:cs="Verdana"/>
                <w:color w:val="000000"/>
                <w:sz w:val="2"/>
                <w:szCs w:val="22"/>
                <w:lang w:val="pt-BR"/>
              </w:rPr>
              <w:t xml:space="preserve"> </w:t>
            </w:r>
          </w:p>
        </w:tc>
        <w:tc>
          <w:tcPr>
            <w:tcW w:w="1589" w:type="dxa"/>
            <w:tcBorders>
              <w:left w:val="single" w:sz="2" w:space="0" w:color="000000"/>
              <w:right w:val="single" w:sz="2" w:space="0" w:color="000000"/>
            </w:tcBorders>
            <w:shd w:val="clear" w:color="auto" w:fill="auto"/>
            <w:tcMar>
              <w:top w:w="20" w:type="dxa"/>
              <w:left w:w="20" w:type="dxa"/>
              <w:bottom w:w="20" w:type="dxa"/>
              <w:right w:w="20" w:type="dxa"/>
            </w:tcMar>
          </w:tcPr>
          <w:p w:rsidR="0053376B" w:rsidRDefault="00F227D9" w:rsidP="00BD4D89">
            <w:pPr>
              <w:pStyle w:val="T1TableStyle"/>
              <w:jc w:val="right"/>
              <w:rPr>
                <w:rFonts w:ascii="Verdana" w:eastAsia="Verdana" w:hAnsi="Verdana" w:cs="Verdana"/>
                <w:b/>
                <w:color w:val="000000"/>
                <w:sz w:val="2"/>
                <w:szCs w:val="22"/>
                <w:lang w:val="pt-BR"/>
              </w:rPr>
            </w:pPr>
            <w:r>
              <w:rPr>
                <w:rFonts w:ascii="Verdana" w:eastAsia="Verdana" w:hAnsi="Verdana" w:cs="Verdana"/>
                <w:b/>
                <w:color w:val="000000"/>
                <w:sz w:val="2"/>
                <w:szCs w:val="22"/>
                <w:lang w:val="pt-BR"/>
              </w:rPr>
              <w:t xml:space="preserve"> </w:t>
            </w:r>
          </w:p>
        </w:tc>
        <w:tc>
          <w:tcPr>
            <w:tcW w:w="1724" w:type="dxa"/>
            <w:shd w:val="clear" w:color="auto" w:fill="auto"/>
            <w:tcMar>
              <w:top w:w="20" w:type="dxa"/>
              <w:left w:w="20" w:type="dxa"/>
              <w:bottom w:w="20" w:type="dxa"/>
              <w:right w:w="20" w:type="dxa"/>
            </w:tcMar>
          </w:tcPr>
          <w:p w:rsidR="0053376B" w:rsidRPr="00A83C9C" w:rsidRDefault="00F227D9" w:rsidP="00BD4D89">
            <w:pPr>
              <w:pStyle w:val="T1TableStyle"/>
              <w:jc w:val="right"/>
              <w:rPr>
                <w:rFonts w:ascii="Verdana" w:eastAsia="Verdana" w:hAnsi="Verdana" w:cs="Verdana"/>
                <w:color w:val="000000"/>
                <w:sz w:val="2"/>
                <w:szCs w:val="22"/>
                <w:lang w:val="pt-BR"/>
              </w:rPr>
            </w:pPr>
            <w:r w:rsidRPr="00A83C9C">
              <w:rPr>
                <w:rFonts w:ascii="Verdana" w:eastAsia="Verdana" w:hAnsi="Verdana" w:cs="Verdana"/>
                <w:color w:val="000000"/>
                <w:sz w:val="2"/>
                <w:szCs w:val="22"/>
                <w:lang w:val="pt-BR"/>
              </w:rPr>
              <w:t xml:space="preserve"> </w:t>
            </w:r>
          </w:p>
        </w:tc>
        <w:tc>
          <w:tcPr>
            <w:tcW w:w="1724" w:type="dxa"/>
            <w:tcBorders>
              <w:left w:val="single" w:sz="2" w:space="0" w:color="000000"/>
            </w:tcBorders>
            <w:shd w:val="clear" w:color="auto" w:fill="auto"/>
            <w:tcMar>
              <w:top w:w="20" w:type="dxa"/>
              <w:left w:w="20" w:type="dxa"/>
              <w:bottom w:w="20" w:type="dxa"/>
              <w:right w:w="20" w:type="dxa"/>
            </w:tcMar>
          </w:tcPr>
          <w:p w:rsidR="0053376B" w:rsidRPr="00A83C9C" w:rsidRDefault="00F227D9" w:rsidP="00BD4D89">
            <w:pPr>
              <w:pStyle w:val="T1TableStyle"/>
              <w:jc w:val="right"/>
              <w:rPr>
                <w:rFonts w:ascii="Verdana" w:eastAsia="Verdana" w:hAnsi="Verdana" w:cs="Verdana"/>
                <w:b/>
                <w:color w:val="000000"/>
                <w:sz w:val="2"/>
                <w:szCs w:val="22"/>
                <w:lang w:val="pt-BR"/>
              </w:rPr>
            </w:pPr>
            <w:r w:rsidRPr="00A83C9C">
              <w:rPr>
                <w:rFonts w:ascii="Verdana" w:eastAsia="Verdana" w:hAnsi="Verdana" w:cs="Verdana"/>
                <w:b/>
                <w:color w:val="000000"/>
                <w:sz w:val="2"/>
                <w:szCs w:val="22"/>
                <w:lang w:val="pt-BR"/>
              </w:rPr>
              <w:t xml:space="preserve"> </w:t>
            </w:r>
          </w:p>
        </w:tc>
      </w:tr>
      <w:tr w:rsidR="0053376B" w:rsidRPr="00A83C9C" w:rsidTr="00B60B19">
        <w:trPr>
          <w:trHeight w:val="234"/>
        </w:trPr>
        <w:tc>
          <w:tcPr>
            <w:tcW w:w="3354" w:type="dxa"/>
            <w:shd w:val="clear" w:color="auto" w:fill="auto"/>
            <w:tcMar>
              <w:top w:w="20" w:type="dxa"/>
              <w:left w:w="20" w:type="dxa"/>
              <w:bottom w:w="20" w:type="dxa"/>
              <w:right w:w="20" w:type="dxa"/>
            </w:tcMar>
          </w:tcPr>
          <w:p w:rsidR="0053376B" w:rsidRDefault="00F227D9" w:rsidP="00BD4D89">
            <w:pPr>
              <w:pStyle w:val="T1TableStyle"/>
              <w:rPr>
                <w:rFonts w:ascii="Verdana" w:eastAsia="Verdana" w:hAnsi="Verdana" w:cs="Verdana"/>
                <w:color w:val="000000"/>
                <w:sz w:val="16"/>
                <w:szCs w:val="22"/>
                <w:lang w:val="pt-BR"/>
              </w:rPr>
            </w:pPr>
            <w:r>
              <w:rPr>
                <w:rFonts w:ascii="Verdana" w:eastAsia="Verdana" w:hAnsi="Verdana" w:cs="Verdana"/>
                <w:color w:val="000000"/>
                <w:sz w:val="16"/>
                <w:szCs w:val="22"/>
                <w:lang w:val="pt-BR"/>
              </w:rPr>
              <w:t>Surplus or deficit on the provision of services</w:t>
            </w:r>
          </w:p>
        </w:tc>
        <w:tc>
          <w:tcPr>
            <w:tcW w:w="1589" w:type="dxa"/>
            <w:tcBorders>
              <w:left w:val="single" w:sz="2" w:space="0" w:color="000000"/>
            </w:tcBorders>
            <w:shd w:val="clear" w:color="auto" w:fill="auto"/>
            <w:tcMar>
              <w:top w:w="20" w:type="dxa"/>
              <w:left w:w="20" w:type="dxa"/>
              <w:bottom w:w="20" w:type="dxa"/>
              <w:right w:w="20" w:type="dxa"/>
            </w:tcMar>
          </w:tcPr>
          <w:p w:rsidR="0053376B" w:rsidRDefault="004379CE" w:rsidP="00BD4D89">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63,</w:t>
            </w:r>
            <w:r w:rsidR="00AC2334">
              <w:rPr>
                <w:rFonts w:ascii="Verdana" w:eastAsia="Verdana" w:hAnsi="Verdana" w:cs="Verdana"/>
                <w:color w:val="000000"/>
                <w:sz w:val="16"/>
                <w:szCs w:val="22"/>
                <w:lang w:val="pt-BR"/>
              </w:rPr>
              <w:t>031</w:t>
            </w:r>
          </w:p>
          <w:p w:rsidR="0011175D" w:rsidRDefault="0011175D" w:rsidP="00BD4D89">
            <w:pPr>
              <w:pStyle w:val="T1TableStyle"/>
              <w:jc w:val="right"/>
              <w:rPr>
                <w:rFonts w:ascii="Verdana" w:eastAsia="Verdana" w:hAnsi="Verdana" w:cs="Verdana"/>
                <w:color w:val="000000"/>
                <w:sz w:val="16"/>
                <w:szCs w:val="22"/>
                <w:lang w:val="pt-BR"/>
              </w:rPr>
            </w:pPr>
          </w:p>
        </w:tc>
        <w:tc>
          <w:tcPr>
            <w:tcW w:w="1589" w:type="dxa"/>
            <w:tcBorders>
              <w:left w:val="single" w:sz="2" w:space="0" w:color="000000"/>
              <w:right w:val="single" w:sz="2" w:space="0" w:color="000000"/>
            </w:tcBorders>
            <w:shd w:val="clear" w:color="auto" w:fill="auto"/>
            <w:tcMar>
              <w:top w:w="20" w:type="dxa"/>
              <w:left w:w="20" w:type="dxa"/>
              <w:bottom w:w="20" w:type="dxa"/>
              <w:right w:w="20" w:type="dxa"/>
            </w:tcMar>
          </w:tcPr>
          <w:p w:rsidR="0053376B" w:rsidRDefault="004379CE" w:rsidP="003331E5">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63,</w:t>
            </w:r>
            <w:r w:rsidR="00AC2334">
              <w:rPr>
                <w:rFonts w:ascii="Verdana" w:eastAsia="Verdana" w:hAnsi="Verdana" w:cs="Verdana"/>
                <w:b/>
                <w:color w:val="000000"/>
                <w:sz w:val="16"/>
                <w:szCs w:val="22"/>
                <w:lang w:val="pt-BR"/>
              </w:rPr>
              <w:t>031</w:t>
            </w:r>
          </w:p>
        </w:tc>
        <w:tc>
          <w:tcPr>
            <w:tcW w:w="1724" w:type="dxa"/>
            <w:shd w:val="clear" w:color="auto" w:fill="auto"/>
            <w:tcMar>
              <w:top w:w="20" w:type="dxa"/>
              <w:left w:w="20" w:type="dxa"/>
              <w:bottom w:w="20" w:type="dxa"/>
              <w:right w:w="20" w:type="dxa"/>
            </w:tcMar>
          </w:tcPr>
          <w:p w:rsidR="0053376B" w:rsidRPr="00A83C9C" w:rsidRDefault="004379CE" w:rsidP="00BD4D89">
            <w:pPr>
              <w:pStyle w:val="T1TableStyle"/>
              <w:jc w:val="right"/>
              <w:rPr>
                <w:rFonts w:ascii="Verdana" w:eastAsia="Verdana" w:hAnsi="Verdana" w:cs="Verdana"/>
                <w:color w:val="000000"/>
                <w:sz w:val="2"/>
                <w:szCs w:val="22"/>
                <w:lang w:val="pt-BR"/>
              </w:rPr>
            </w:pPr>
            <w:r>
              <w:rPr>
                <w:rFonts w:ascii="Verdana" w:eastAsia="Verdana" w:hAnsi="Verdana" w:cs="Verdana"/>
                <w:color w:val="000000"/>
                <w:sz w:val="2"/>
                <w:szCs w:val="22"/>
                <w:lang w:val="pt-BR"/>
              </w:rPr>
              <w:t>`</w:t>
            </w:r>
          </w:p>
        </w:tc>
        <w:tc>
          <w:tcPr>
            <w:tcW w:w="1724" w:type="dxa"/>
            <w:tcBorders>
              <w:left w:val="single" w:sz="2" w:space="0" w:color="000000"/>
            </w:tcBorders>
            <w:shd w:val="clear" w:color="auto" w:fill="auto"/>
            <w:tcMar>
              <w:top w:w="20" w:type="dxa"/>
              <w:left w:w="20" w:type="dxa"/>
              <w:bottom w:w="20" w:type="dxa"/>
              <w:right w:w="20" w:type="dxa"/>
            </w:tcMar>
          </w:tcPr>
          <w:p w:rsidR="0053376B" w:rsidRPr="00A83C9C" w:rsidRDefault="004379CE" w:rsidP="003331E5">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63,0</w:t>
            </w:r>
            <w:r w:rsidR="00AC2334">
              <w:rPr>
                <w:rFonts w:ascii="Verdana" w:eastAsia="Verdana" w:hAnsi="Verdana" w:cs="Verdana"/>
                <w:b/>
                <w:color w:val="000000"/>
                <w:sz w:val="16"/>
                <w:szCs w:val="22"/>
                <w:lang w:val="pt-BR"/>
              </w:rPr>
              <w:t>31</w:t>
            </w:r>
          </w:p>
        </w:tc>
      </w:tr>
      <w:tr w:rsidR="0053376B" w:rsidRPr="00A83C9C" w:rsidTr="00B60B19">
        <w:trPr>
          <w:trHeight w:val="234"/>
        </w:trPr>
        <w:tc>
          <w:tcPr>
            <w:tcW w:w="3354" w:type="dxa"/>
            <w:tcBorders>
              <w:bottom w:val="single" w:sz="2" w:space="0" w:color="000000"/>
            </w:tcBorders>
            <w:shd w:val="clear" w:color="auto" w:fill="auto"/>
            <w:tcMar>
              <w:top w:w="20" w:type="dxa"/>
              <w:left w:w="20" w:type="dxa"/>
              <w:bottom w:w="20" w:type="dxa"/>
              <w:right w:w="20" w:type="dxa"/>
            </w:tcMar>
          </w:tcPr>
          <w:p w:rsidR="0053376B" w:rsidRDefault="00F227D9" w:rsidP="00BD4D89">
            <w:pPr>
              <w:pStyle w:val="T1TableStyle"/>
              <w:rPr>
                <w:rFonts w:ascii="Verdana" w:eastAsia="Verdana" w:hAnsi="Verdana" w:cs="Verdana"/>
                <w:color w:val="000000"/>
                <w:sz w:val="16"/>
                <w:szCs w:val="22"/>
                <w:lang w:val="pt-BR"/>
              </w:rPr>
            </w:pPr>
            <w:r>
              <w:rPr>
                <w:rFonts w:ascii="Verdana" w:eastAsia="Verdana" w:hAnsi="Verdana" w:cs="Verdana"/>
                <w:color w:val="000000"/>
                <w:sz w:val="16"/>
                <w:szCs w:val="22"/>
                <w:lang w:val="pt-BR"/>
              </w:rPr>
              <w:t>Other Comprehensive Income / Expenditure</w:t>
            </w:r>
          </w:p>
        </w:tc>
        <w:tc>
          <w:tcPr>
            <w:tcW w:w="1589" w:type="dxa"/>
            <w:tcBorders>
              <w:left w:val="single" w:sz="2" w:space="0" w:color="000000"/>
              <w:bottom w:val="single" w:sz="2" w:space="0" w:color="000000"/>
            </w:tcBorders>
            <w:shd w:val="clear" w:color="auto" w:fill="auto"/>
            <w:tcMar>
              <w:top w:w="20" w:type="dxa"/>
              <w:left w:w="20" w:type="dxa"/>
              <w:bottom w:w="20" w:type="dxa"/>
              <w:right w:w="20" w:type="dxa"/>
            </w:tcMar>
          </w:tcPr>
          <w:p w:rsidR="0053376B" w:rsidRDefault="00F227D9" w:rsidP="00BD4D89">
            <w:pPr>
              <w:pStyle w:val="T1TableStyle"/>
              <w:jc w:val="right"/>
              <w:rPr>
                <w:rFonts w:ascii="Verdana" w:eastAsia="Verdana" w:hAnsi="Verdana" w:cs="Verdana"/>
                <w:color w:val="000000"/>
                <w:sz w:val="2"/>
                <w:szCs w:val="22"/>
                <w:lang w:val="pt-BR"/>
              </w:rPr>
            </w:pPr>
            <w:r>
              <w:rPr>
                <w:rFonts w:ascii="Verdana" w:eastAsia="Verdana" w:hAnsi="Verdana" w:cs="Verdana"/>
                <w:color w:val="000000"/>
                <w:sz w:val="2"/>
                <w:szCs w:val="22"/>
                <w:lang w:val="pt-BR"/>
              </w:rPr>
              <w:t xml:space="preserve"> </w:t>
            </w:r>
          </w:p>
        </w:tc>
        <w:tc>
          <w:tcPr>
            <w:tcW w:w="1589"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3376B" w:rsidRDefault="00F227D9" w:rsidP="00BD4D89">
            <w:pPr>
              <w:pStyle w:val="T1TableStyle"/>
              <w:jc w:val="right"/>
              <w:rPr>
                <w:rFonts w:ascii="Verdana" w:eastAsia="Verdana" w:hAnsi="Verdana" w:cs="Verdana"/>
                <w:b/>
                <w:color w:val="000000"/>
                <w:sz w:val="2"/>
                <w:szCs w:val="22"/>
                <w:lang w:val="pt-BR"/>
              </w:rPr>
            </w:pPr>
            <w:r>
              <w:rPr>
                <w:rFonts w:ascii="Verdana" w:eastAsia="Verdana" w:hAnsi="Verdana" w:cs="Verdana"/>
                <w:b/>
                <w:color w:val="000000"/>
                <w:sz w:val="2"/>
                <w:szCs w:val="22"/>
                <w:lang w:val="pt-BR"/>
              </w:rPr>
              <w:t xml:space="preserve"> </w:t>
            </w:r>
          </w:p>
        </w:tc>
        <w:tc>
          <w:tcPr>
            <w:tcW w:w="1724" w:type="dxa"/>
            <w:tcBorders>
              <w:bottom w:val="single" w:sz="2" w:space="0" w:color="000000"/>
            </w:tcBorders>
            <w:shd w:val="clear" w:color="auto" w:fill="auto"/>
            <w:tcMar>
              <w:top w:w="20" w:type="dxa"/>
              <w:left w:w="20" w:type="dxa"/>
              <w:bottom w:w="20" w:type="dxa"/>
              <w:right w:w="20" w:type="dxa"/>
            </w:tcMar>
          </w:tcPr>
          <w:p w:rsidR="0053376B" w:rsidRPr="00A83C9C" w:rsidRDefault="00F227D9" w:rsidP="003331E5">
            <w:pPr>
              <w:pStyle w:val="T1TableStyle"/>
              <w:jc w:val="right"/>
              <w:rPr>
                <w:rFonts w:ascii="Verdana" w:eastAsia="Verdana" w:hAnsi="Verdana" w:cs="Verdana"/>
                <w:color w:val="000000"/>
                <w:sz w:val="16"/>
                <w:szCs w:val="22"/>
                <w:lang w:val="pt-BR"/>
              </w:rPr>
            </w:pPr>
            <w:r w:rsidRPr="00A83C9C">
              <w:rPr>
                <w:rFonts w:ascii="Verdana" w:eastAsia="Verdana" w:hAnsi="Verdana" w:cs="Verdana"/>
                <w:color w:val="000000"/>
                <w:sz w:val="16"/>
                <w:szCs w:val="22"/>
                <w:lang w:val="pt-BR"/>
              </w:rPr>
              <w:t>(19</w:t>
            </w:r>
            <w:r w:rsidR="004379CE">
              <w:rPr>
                <w:rFonts w:ascii="Verdana" w:eastAsia="Verdana" w:hAnsi="Verdana" w:cs="Verdana"/>
                <w:color w:val="000000"/>
                <w:sz w:val="16"/>
                <w:szCs w:val="22"/>
                <w:lang w:val="pt-BR"/>
              </w:rPr>
              <w:t>3</w:t>
            </w:r>
            <w:r w:rsidRPr="00A83C9C">
              <w:rPr>
                <w:rFonts w:ascii="Verdana" w:eastAsia="Verdana" w:hAnsi="Verdana" w:cs="Verdana"/>
                <w:color w:val="000000"/>
                <w:sz w:val="16"/>
                <w:szCs w:val="22"/>
                <w:lang w:val="pt-BR"/>
              </w:rPr>
              <w:t>,</w:t>
            </w:r>
            <w:r w:rsidR="004379CE">
              <w:rPr>
                <w:rFonts w:ascii="Verdana" w:eastAsia="Verdana" w:hAnsi="Verdana" w:cs="Verdana"/>
                <w:color w:val="000000"/>
                <w:sz w:val="16"/>
                <w:szCs w:val="22"/>
                <w:lang w:val="pt-BR"/>
              </w:rPr>
              <w:t>2</w:t>
            </w:r>
            <w:r w:rsidR="00AC2334">
              <w:rPr>
                <w:rFonts w:ascii="Verdana" w:eastAsia="Verdana" w:hAnsi="Verdana" w:cs="Verdana"/>
                <w:color w:val="000000"/>
                <w:sz w:val="16"/>
                <w:szCs w:val="22"/>
                <w:lang w:val="pt-BR"/>
              </w:rPr>
              <w:t>61</w:t>
            </w:r>
            <w:r w:rsidRPr="00A83C9C">
              <w:rPr>
                <w:rFonts w:ascii="Verdana" w:eastAsia="Verdana" w:hAnsi="Verdana" w:cs="Verdana"/>
                <w:color w:val="000000"/>
                <w:sz w:val="16"/>
                <w:szCs w:val="22"/>
                <w:lang w:val="pt-BR"/>
              </w:rPr>
              <w:t>)</w:t>
            </w:r>
          </w:p>
        </w:tc>
        <w:tc>
          <w:tcPr>
            <w:tcW w:w="1724" w:type="dxa"/>
            <w:tcBorders>
              <w:left w:val="single" w:sz="2" w:space="0" w:color="000000"/>
              <w:bottom w:val="single" w:sz="2" w:space="0" w:color="000000"/>
            </w:tcBorders>
            <w:shd w:val="clear" w:color="auto" w:fill="auto"/>
            <w:tcMar>
              <w:top w:w="20" w:type="dxa"/>
              <w:left w:w="20" w:type="dxa"/>
              <w:bottom w:w="20" w:type="dxa"/>
              <w:right w:w="20" w:type="dxa"/>
            </w:tcMar>
          </w:tcPr>
          <w:p w:rsidR="0053376B" w:rsidRPr="00A83C9C" w:rsidRDefault="00F227D9" w:rsidP="001F2A9E">
            <w:pPr>
              <w:pStyle w:val="T1TableStyle"/>
              <w:jc w:val="right"/>
              <w:rPr>
                <w:rFonts w:ascii="Verdana" w:eastAsia="Verdana" w:hAnsi="Verdana" w:cs="Verdana"/>
                <w:b/>
                <w:color w:val="000000"/>
                <w:sz w:val="16"/>
                <w:szCs w:val="22"/>
                <w:lang w:val="pt-BR"/>
              </w:rPr>
            </w:pPr>
            <w:r w:rsidRPr="00A83C9C">
              <w:rPr>
                <w:rFonts w:ascii="Verdana" w:eastAsia="Verdana" w:hAnsi="Verdana" w:cs="Verdana"/>
                <w:b/>
                <w:color w:val="000000"/>
                <w:sz w:val="16"/>
                <w:szCs w:val="22"/>
                <w:lang w:val="pt-BR"/>
              </w:rPr>
              <w:t>(19</w:t>
            </w:r>
            <w:r w:rsidR="004379CE">
              <w:rPr>
                <w:rFonts w:ascii="Verdana" w:eastAsia="Verdana" w:hAnsi="Verdana" w:cs="Verdana"/>
                <w:b/>
                <w:color w:val="000000"/>
                <w:sz w:val="16"/>
                <w:szCs w:val="22"/>
                <w:lang w:val="pt-BR"/>
              </w:rPr>
              <w:t>3</w:t>
            </w:r>
            <w:r w:rsidRPr="00A83C9C">
              <w:rPr>
                <w:rFonts w:ascii="Verdana" w:eastAsia="Verdana" w:hAnsi="Verdana" w:cs="Verdana"/>
                <w:b/>
                <w:color w:val="000000"/>
                <w:sz w:val="16"/>
                <w:szCs w:val="22"/>
                <w:lang w:val="pt-BR"/>
              </w:rPr>
              <w:t>,</w:t>
            </w:r>
            <w:r w:rsidR="004379CE">
              <w:rPr>
                <w:rFonts w:ascii="Verdana" w:eastAsia="Verdana" w:hAnsi="Verdana" w:cs="Verdana"/>
                <w:b/>
                <w:color w:val="000000"/>
                <w:sz w:val="16"/>
                <w:szCs w:val="22"/>
                <w:lang w:val="pt-BR"/>
              </w:rPr>
              <w:t>2</w:t>
            </w:r>
            <w:r w:rsidR="00AC2334">
              <w:rPr>
                <w:rFonts w:ascii="Verdana" w:eastAsia="Verdana" w:hAnsi="Verdana" w:cs="Verdana"/>
                <w:b/>
                <w:color w:val="000000"/>
                <w:sz w:val="16"/>
                <w:szCs w:val="22"/>
                <w:lang w:val="pt-BR"/>
              </w:rPr>
              <w:t>61</w:t>
            </w:r>
            <w:r w:rsidRPr="00A83C9C">
              <w:rPr>
                <w:rFonts w:ascii="Verdana" w:eastAsia="Verdana" w:hAnsi="Verdana" w:cs="Verdana"/>
                <w:b/>
                <w:color w:val="000000"/>
                <w:sz w:val="16"/>
                <w:szCs w:val="22"/>
                <w:lang w:val="pt-BR"/>
              </w:rPr>
              <w:t>)</w:t>
            </w:r>
          </w:p>
        </w:tc>
      </w:tr>
      <w:tr w:rsidR="0053376B" w:rsidRPr="00A83C9C" w:rsidTr="00B60B19">
        <w:trPr>
          <w:trHeight w:val="234"/>
        </w:trPr>
        <w:tc>
          <w:tcPr>
            <w:tcW w:w="3354" w:type="dxa"/>
            <w:shd w:val="clear" w:color="auto" w:fill="auto"/>
            <w:tcMar>
              <w:top w:w="20" w:type="dxa"/>
              <w:left w:w="20" w:type="dxa"/>
              <w:bottom w:w="20" w:type="dxa"/>
              <w:right w:w="20" w:type="dxa"/>
            </w:tcMar>
          </w:tcPr>
          <w:p w:rsidR="0053376B" w:rsidRDefault="00F227D9" w:rsidP="00BD4D89">
            <w:pPr>
              <w:pStyle w:val="T1TableStyle"/>
              <w:rPr>
                <w:rFonts w:ascii="Verdana" w:eastAsia="Verdana" w:hAnsi="Verdana" w:cs="Verdana"/>
                <w:b/>
                <w:color w:val="000000"/>
                <w:sz w:val="16"/>
                <w:szCs w:val="22"/>
                <w:lang w:val="pt-BR"/>
              </w:rPr>
            </w:pPr>
            <w:r>
              <w:rPr>
                <w:rFonts w:ascii="Verdana" w:eastAsia="Verdana" w:hAnsi="Verdana" w:cs="Verdana"/>
                <w:b/>
                <w:color w:val="000000"/>
                <w:sz w:val="16"/>
                <w:szCs w:val="22"/>
                <w:lang w:val="pt-BR"/>
              </w:rPr>
              <w:t>Total Comprehensive Income and Expenditure</w:t>
            </w:r>
          </w:p>
        </w:tc>
        <w:tc>
          <w:tcPr>
            <w:tcW w:w="1589" w:type="dxa"/>
            <w:tcBorders>
              <w:left w:val="single" w:sz="2" w:space="0" w:color="000000"/>
            </w:tcBorders>
            <w:shd w:val="clear" w:color="auto" w:fill="auto"/>
            <w:tcMar>
              <w:top w:w="20" w:type="dxa"/>
              <w:left w:w="20" w:type="dxa"/>
              <w:bottom w:w="20" w:type="dxa"/>
              <w:right w:w="20" w:type="dxa"/>
            </w:tcMar>
          </w:tcPr>
          <w:p w:rsidR="0053376B" w:rsidRDefault="004379CE" w:rsidP="003331E5">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63,</w:t>
            </w:r>
            <w:r w:rsidR="00AC2334">
              <w:rPr>
                <w:rFonts w:ascii="Verdana" w:eastAsia="Verdana" w:hAnsi="Verdana" w:cs="Verdana"/>
                <w:b/>
                <w:color w:val="000000"/>
                <w:sz w:val="16"/>
                <w:szCs w:val="22"/>
                <w:lang w:val="pt-BR"/>
              </w:rPr>
              <w:t>031</w:t>
            </w:r>
          </w:p>
        </w:tc>
        <w:tc>
          <w:tcPr>
            <w:tcW w:w="1589" w:type="dxa"/>
            <w:tcBorders>
              <w:left w:val="single" w:sz="2" w:space="0" w:color="000000"/>
              <w:right w:val="single" w:sz="2" w:space="0" w:color="000000"/>
            </w:tcBorders>
            <w:shd w:val="clear" w:color="auto" w:fill="auto"/>
            <w:tcMar>
              <w:top w:w="20" w:type="dxa"/>
              <w:left w:w="20" w:type="dxa"/>
              <w:bottom w:w="20" w:type="dxa"/>
              <w:right w:w="20" w:type="dxa"/>
            </w:tcMar>
          </w:tcPr>
          <w:p w:rsidR="0053376B" w:rsidRDefault="004379CE" w:rsidP="001F2A9E">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63,</w:t>
            </w:r>
            <w:r w:rsidR="00AC2334">
              <w:rPr>
                <w:rFonts w:ascii="Verdana" w:eastAsia="Verdana" w:hAnsi="Verdana" w:cs="Verdana"/>
                <w:b/>
                <w:color w:val="000000"/>
                <w:sz w:val="16"/>
                <w:szCs w:val="22"/>
                <w:lang w:val="pt-BR"/>
              </w:rPr>
              <w:t>031</w:t>
            </w:r>
          </w:p>
        </w:tc>
        <w:tc>
          <w:tcPr>
            <w:tcW w:w="1724" w:type="dxa"/>
            <w:shd w:val="clear" w:color="auto" w:fill="auto"/>
            <w:tcMar>
              <w:top w:w="20" w:type="dxa"/>
              <w:left w:w="20" w:type="dxa"/>
              <w:bottom w:w="20" w:type="dxa"/>
              <w:right w:w="20" w:type="dxa"/>
            </w:tcMar>
          </w:tcPr>
          <w:p w:rsidR="0053376B" w:rsidRPr="00A83C9C" w:rsidRDefault="00F227D9" w:rsidP="00992C4B">
            <w:pPr>
              <w:pStyle w:val="T1TableStyle"/>
              <w:jc w:val="right"/>
              <w:rPr>
                <w:rFonts w:ascii="Verdana" w:eastAsia="Verdana" w:hAnsi="Verdana" w:cs="Verdana"/>
                <w:b/>
                <w:color w:val="000000"/>
                <w:sz w:val="16"/>
                <w:szCs w:val="22"/>
                <w:lang w:val="pt-BR"/>
              </w:rPr>
            </w:pPr>
            <w:r w:rsidRPr="00A83C9C">
              <w:rPr>
                <w:rFonts w:ascii="Verdana" w:eastAsia="Verdana" w:hAnsi="Verdana" w:cs="Verdana"/>
                <w:b/>
                <w:color w:val="000000"/>
                <w:sz w:val="16"/>
                <w:szCs w:val="22"/>
                <w:lang w:val="pt-BR"/>
              </w:rPr>
              <w:t>(</w:t>
            </w:r>
            <w:r w:rsidR="004379CE">
              <w:rPr>
                <w:rFonts w:ascii="Verdana" w:eastAsia="Verdana" w:hAnsi="Verdana" w:cs="Verdana"/>
                <w:b/>
                <w:color w:val="000000"/>
                <w:sz w:val="16"/>
                <w:szCs w:val="22"/>
                <w:lang w:val="pt-BR"/>
              </w:rPr>
              <w:t>193,</w:t>
            </w:r>
            <w:r w:rsidR="00AC2334">
              <w:rPr>
                <w:rFonts w:ascii="Verdana" w:eastAsia="Verdana" w:hAnsi="Verdana" w:cs="Verdana"/>
                <w:b/>
                <w:color w:val="000000"/>
                <w:sz w:val="16"/>
                <w:szCs w:val="22"/>
                <w:lang w:val="pt-BR"/>
              </w:rPr>
              <w:t>261</w:t>
            </w:r>
            <w:r w:rsidRPr="00A83C9C">
              <w:rPr>
                <w:rFonts w:ascii="Verdana" w:eastAsia="Verdana" w:hAnsi="Verdana" w:cs="Verdana"/>
                <w:b/>
                <w:color w:val="000000"/>
                <w:sz w:val="16"/>
                <w:szCs w:val="22"/>
                <w:lang w:val="pt-BR"/>
              </w:rPr>
              <w:t>)</w:t>
            </w:r>
          </w:p>
        </w:tc>
        <w:tc>
          <w:tcPr>
            <w:tcW w:w="1724" w:type="dxa"/>
            <w:tcBorders>
              <w:left w:val="single" w:sz="2" w:space="0" w:color="000000"/>
            </w:tcBorders>
            <w:shd w:val="clear" w:color="auto" w:fill="auto"/>
            <w:tcMar>
              <w:top w:w="20" w:type="dxa"/>
              <w:left w:w="20" w:type="dxa"/>
              <w:bottom w:w="20" w:type="dxa"/>
              <w:right w:w="20" w:type="dxa"/>
            </w:tcMar>
          </w:tcPr>
          <w:p w:rsidR="0053376B" w:rsidRPr="00A83C9C" w:rsidRDefault="004379CE" w:rsidP="00BD4D89">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(130,230)</w:t>
            </w:r>
          </w:p>
        </w:tc>
      </w:tr>
      <w:tr w:rsidR="001A0AA1" w:rsidRPr="00A83C9C" w:rsidTr="00B60B19">
        <w:trPr>
          <w:trHeight w:val="234"/>
        </w:trPr>
        <w:tc>
          <w:tcPr>
            <w:tcW w:w="3354" w:type="dxa"/>
            <w:tcBorders>
              <w:bottom w:val="single" w:sz="4" w:space="0" w:color="auto"/>
            </w:tcBorders>
            <w:shd w:val="clear" w:color="auto" w:fill="auto"/>
            <w:tcMar>
              <w:top w:w="20" w:type="dxa"/>
              <w:left w:w="20" w:type="dxa"/>
              <w:bottom w:w="20" w:type="dxa"/>
              <w:right w:w="20" w:type="dxa"/>
            </w:tcMar>
          </w:tcPr>
          <w:p w:rsidR="001A0AA1" w:rsidRDefault="001A0AA1" w:rsidP="00BD4D89">
            <w:pPr>
              <w:pStyle w:val="T1TableStyle"/>
              <w:rPr>
                <w:rFonts w:ascii="Verdana" w:eastAsia="Verdana" w:hAnsi="Verdana" w:cs="Verdana"/>
                <w:b/>
                <w:color w:val="000000"/>
                <w:sz w:val="16"/>
                <w:szCs w:val="22"/>
                <w:lang w:val="pt-BR"/>
              </w:rPr>
            </w:pPr>
            <w:r>
              <w:rPr>
                <w:rFonts w:ascii="Verdana" w:eastAsia="Verdana" w:hAnsi="Verdana" w:cs="Verdana"/>
                <w:color w:val="000000"/>
                <w:sz w:val="16"/>
                <w:szCs w:val="22"/>
                <w:lang w:val="pt-BR"/>
              </w:rPr>
              <w:t>Adjustments between accounting basis and funding basis under regulations</w:t>
            </w:r>
          </w:p>
        </w:tc>
        <w:tc>
          <w:tcPr>
            <w:tcW w:w="1589" w:type="dxa"/>
            <w:tcBorders>
              <w:left w:val="single" w:sz="2" w:space="0" w:color="000000"/>
              <w:bottom w:val="single" w:sz="4" w:space="0" w:color="auto"/>
            </w:tcBorders>
            <w:shd w:val="clear" w:color="auto" w:fill="auto"/>
            <w:tcMar>
              <w:top w:w="20" w:type="dxa"/>
              <w:left w:w="20" w:type="dxa"/>
              <w:bottom w:w="20" w:type="dxa"/>
              <w:right w:w="20" w:type="dxa"/>
            </w:tcMar>
          </w:tcPr>
          <w:p w:rsidR="001A0AA1" w:rsidRPr="001A0AA1" w:rsidRDefault="001A0AA1" w:rsidP="003331E5">
            <w:pPr>
              <w:pStyle w:val="T1TableStyle"/>
              <w:jc w:val="right"/>
              <w:rPr>
                <w:rFonts w:ascii="Verdana" w:eastAsia="Verdana" w:hAnsi="Verdana" w:cs="Verdana"/>
                <w:color w:val="000000"/>
                <w:sz w:val="16"/>
                <w:szCs w:val="22"/>
                <w:lang w:val="pt-BR"/>
              </w:rPr>
            </w:pPr>
            <w:r w:rsidRPr="001A0AA1">
              <w:rPr>
                <w:rFonts w:ascii="Verdana" w:eastAsia="Verdana" w:hAnsi="Verdana" w:cs="Verdana"/>
                <w:color w:val="000000"/>
                <w:sz w:val="16"/>
                <w:szCs w:val="22"/>
                <w:lang w:val="pt-BR"/>
              </w:rPr>
              <w:t>(</w:t>
            </w:r>
            <w:r w:rsidR="004379CE">
              <w:rPr>
                <w:rFonts w:ascii="Verdana" w:eastAsia="Verdana" w:hAnsi="Verdana" w:cs="Verdana"/>
                <w:color w:val="000000"/>
                <w:sz w:val="16"/>
                <w:szCs w:val="22"/>
                <w:lang w:val="pt-BR"/>
              </w:rPr>
              <w:t>63,0</w:t>
            </w:r>
            <w:r w:rsidR="00AC2334">
              <w:rPr>
                <w:rFonts w:ascii="Verdana" w:eastAsia="Verdana" w:hAnsi="Verdana" w:cs="Verdana"/>
                <w:color w:val="000000"/>
                <w:sz w:val="16"/>
                <w:szCs w:val="22"/>
                <w:lang w:val="pt-BR"/>
              </w:rPr>
              <w:t>31</w:t>
            </w:r>
            <w:r w:rsidRPr="001A0AA1">
              <w:rPr>
                <w:rFonts w:ascii="Verdana" w:eastAsia="Verdana" w:hAnsi="Verdana" w:cs="Verdana"/>
                <w:color w:val="000000"/>
                <w:sz w:val="16"/>
                <w:szCs w:val="22"/>
                <w:lang w:val="pt-BR"/>
              </w:rPr>
              <w:t>)</w:t>
            </w:r>
          </w:p>
        </w:tc>
        <w:tc>
          <w:tcPr>
            <w:tcW w:w="1589" w:type="dxa"/>
            <w:tcBorders>
              <w:left w:val="single" w:sz="2" w:space="0" w:color="000000"/>
              <w:bottom w:val="single" w:sz="4" w:space="0" w:color="auto"/>
              <w:right w:val="single" w:sz="2" w:space="0" w:color="000000"/>
            </w:tcBorders>
            <w:shd w:val="clear" w:color="auto" w:fill="auto"/>
            <w:tcMar>
              <w:top w:w="20" w:type="dxa"/>
              <w:left w:w="20" w:type="dxa"/>
              <w:bottom w:w="20" w:type="dxa"/>
              <w:right w:w="20" w:type="dxa"/>
            </w:tcMar>
          </w:tcPr>
          <w:p w:rsidR="001A0AA1" w:rsidRDefault="001A0AA1" w:rsidP="001F2A9E">
            <w:pPr>
              <w:pStyle w:val="T1TableStyle"/>
              <w:jc w:val="right"/>
              <w:rPr>
                <w:rFonts w:ascii="Verdana" w:eastAsia="Verdana" w:hAnsi="Verdana" w:cs="Verdana"/>
                <w:b/>
                <w:color w:val="000000"/>
                <w:sz w:val="16"/>
                <w:szCs w:val="22"/>
                <w:lang w:val="pt-BR"/>
              </w:rPr>
            </w:pPr>
            <w:r w:rsidRPr="001A0AA1">
              <w:rPr>
                <w:rFonts w:ascii="Verdana" w:eastAsia="Verdana" w:hAnsi="Verdana" w:cs="Verdana"/>
                <w:color w:val="000000"/>
                <w:sz w:val="16"/>
                <w:szCs w:val="22"/>
                <w:lang w:val="pt-BR"/>
              </w:rPr>
              <w:t>(</w:t>
            </w:r>
            <w:r w:rsidR="004379CE">
              <w:rPr>
                <w:rFonts w:ascii="Verdana" w:eastAsia="Verdana" w:hAnsi="Verdana" w:cs="Verdana"/>
                <w:color w:val="000000"/>
                <w:sz w:val="16"/>
                <w:szCs w:val="22"/>
                <w:lang w:val="pt-BR"/>
              </w:rPr>
              <w:t>63,</w:t>
            </w:r>
            <w:r w:rsidR="00AC2334">
              <w:rPr>
                <w:rFonts w:ascii="Verdana" w:eastAsia="Verdana" w:hAnsi="Verdana" w:cs="Verdana"/>
                <w:color w:val="000000"/>
                <w:sz w:val="16"/>
                <w:szCs w:val="22"/>
                <w:lang w:val="pt-BR"/>
              </w:rPr>
              <w:t>031</w:t>
            </w:r>
            <w:r w:rsidRPr="001A0AA1">
              <w:rPr>
                <w:rFonts w:ascii="Verdana" w:eastAsia="Verdana" w:hAnsi="Verdana" w:cs="Verdana"/>
                <w:color w:val="000000"/>
                <w:sz w:val="16"/>
                <w:szCs w:val="22"/>
                <w:lang w:val="pt-BR"/>
              </w:rPr>
              <w:t>)</w:t>
            </w:r>
          </w:p>
        </w:tc>
        <w:tc>
          <w:tcPr>
            <w:tcW w:w="1724" w:type="dxa"/>
            <w:tcBorders>
              <w:bottom w:val="single" w:sz="4" w:space="0" w:color="auto"/>
            </w:tcBorders>
            <w:shd w:val="clear" w:color="auto" w:fill="auto"/>
            <w:tcMar>
              <w:top w:w="20" w:type="dxa"/>
              <w:left w:w="20" w:type="dxa"/>
              <w:bottom w:w="20" w:type="dxa"/>
              <w:right w:w="20" w:type="dxa"/>
            </w:tcMar>
          </w:tcPr>
          <w:p w:rsidR="001A0AA1" w:rsidRPr="00A83C9C" w:rsidRDefault="004379CE" w:rsidP="00992C4B">
            <w:pPr>
              <w:pStyle w:val="T1TableStyle"/>
              <w:jc w:val="right"/>
              <w:rPr>
                <w:rFonts w:ascii="Verdana" w:eastAsia="Verdana" w:hAnsi="Verdana" w:cs="Verdana"/>
                <w:b/>
                <w:color w:val="000000"/>
                <w:sz w:val="16"/>
                <w:szCs w:val="22"/>
                <w:lang w:val="pt-BR"/>
              </w:rPr>
            </w:pPr>
            <w:r>
              <w:rPr>
                <w:rFonts w:ascii="Verdana" w:eastAsia="Verdana" w:hAnsi="Verdana" w:cs="Verdana"/>
                <w:color w:val="000000"/>
                <w:sz w:val="16"/>
                <w:szCs w:val="22"/>
                <w:lang w:val="pt-BR"/>
              </w:rPr>
              <w:t>63,0</w:t>
            </w:r>
            <w:r w:rsidR="00AC2334">
              <w:rPr>
                <w:rFonts w:ascii="Verdana" w:eastAsia="Verdana" w:hAnsi="Verdana" w:cs="Verdana"/>
                <w:color w:val="000000"/>
                <w:sz w:val="16"/>
                <w:szCs w:val="22"/>
                <w:lang w:val="pt-BR"/>
              </w:rPr>
              <w:t>31</w:t>
            </w:r>
          </w:p>
        </w:tc>
        <w:tc>
          <w:tcPr>
            <w:tcW w:w="1724" w:type="dxa"/>
            <w:tcBorders>
              <w:left w:val="single" w:sz="2" w:space="0" w:color="000000"/>
              <w:bottom w:val="single" w:sz="4" w:space="0" w:color="auto"/>
            </w:tcBorders>
            <w:shd w:val="clear" w:color="auto" w:fill="auto"/>
            <w:tcMar>
              <w:top w:w="20" w:type="dxa"/>
              <w:left w:w="20" w:type="dxa"/>
              <w:bottom w:w="20" w:type="dxa"/>
              <w:right w:w="20" w:type="dxa"/>
            </w:tcMar>
          </w:tcPr>
          <w:p w:rsidR="001A0AA1" w:rsidRPr="00A83C9C" w:rsidRDefault="001A0AA1" w:rsidP="00BD4D89">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w:t>
            </w:r>
          </w:p>
        </w:tc>
      </w:tr>
      <w:tr w:rsidR="001A0AA1" w:rsidRPr="00A83C9C" w:rsidTr="00B60B19">
        <w:trPr>
          <w:trHeight w:val="234"/>
        </w:trPr>
        <w:tc>
          <w:tcPr>
            <w:tcW w:w="3354" w:type="dxa"/>
            <w:tcBorders>
              <w:top w:val="single" w:sz="4" w:space="0" w:color="auto"/>
              <w:bottom w:val="single" w:sz="4" w:space="0" w:color="auto"/>
            </w:tcBorders>
            <w:shd w:val="clear" w:color="auto" w:fill="auto"/>
            <w:tcMar>
              <w:top w:w="20" w:type="dxa"/>
              <w:left w:w="20" w:type="dxa"/>
              <w:bottom w:w="20" w:type="dxa"/>
              <w:right w:w="20" w:type="dxa"/>
            </w:tcMar>
          </w:tcPr>
          <w:p w:rsidR="001A0AA1" w:rsidRDefault="001A0AA1" w:rsidP="001A0AA1">
            <w:pPr>
              <w:pStyle w:val="T1TableStyle"/>
              <w:rPr>
                <w:rFonts w:ascii="Verdana" w:eastAsia="Verdana" w:hAnsi="Verdana" w:cs="Verdana"/>
                <w:b/>
                <w:color w:val="000000"/>
                <w:sz w:val="16"/>
                <w:szCs w:val="22"/>
                <w:lang w:val="pt-BR"/>
              </w:rPr>
            </w:pPr>
            <w:r>
              <w:rPr>
                <w:rFonts w:ascii="Verdana" w:eastAsia="Verdana" w:hAnsi="Verdana" w:cs="Verdana"/>
                <w:b/>
                <w:color w:val="000000"/>
                <w:sz w:val="16"/>
                <w:szCs w:val="22"/>
                <w:lang w:val="pt-BR"/>
              </w:rPr>
              <w:t>Increase or Decrease in 2019/20</w:t>
            </w:r>
          </w:p>
        </w:tc>
        <w:tc>
          <w:tcPr>
            <w:tcW w:w="1589" w:type="dxa"/>
            <w:tcBorders>
              <w:top w:val="single" w:sz="4" w:space="0" w:color="auto"/>
              <w:left w:val="single" w:sz="2" w:space="0" w:color="000000"/>
              <w:bottom w:val="single" w:sz="4" w:space="0" w:color="auto"/>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w:t>
            </w:r>
          </w:p>
        </w:tc>
        <w:tc>
          <w:tcPr>
            <w:tcW w:w="1589" w:type="dxa"/>
            <w:tcBorders>
              <w:top w:val="single" w:sz="4" w:space="0" w:color="auto"/>
              <w:left w:val="single" w:sz="2" w:space="0" w:color="000000"/>
              <w:bottom w:val="single" w:sz="4" w:space="0" w:color="auto"/>
              <w:righ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w:t>
            </w:r>
          </w:p>
        </w:tc>
        <w:tc>
          <w:tcPr>
            <w:tcW w:w="1724" w:type="dxa"/>
            <w:tcBorders>
              <w:top w:val="single" w:sz="4" w:space="0" w:color="auto"/>
              <w:bottom w:val="single" w:sz="4" w:space="0" w:color="auto"/>
            </w:tcBorders>
            <w:shd w:val="clear" w:color="auto" w:fill="auto"/>
            <w:tcMar>
              <w:top w:w="20" w:type="dxa"/>
              <w:left w:w="20" w:type="dxa"/>
              <w:bottom w:w="20" w:type="dxa"/>
              <w:right w:w="20" w:type="dxa"/>
            </w:tcMar>
          </w:tcPr>
          <w:p w:rsidR="001A0AA1" w:rsidRPr="00A83C9C" w:rsidRDefault="001A0AA1" w:rsidP="00177F85">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w:t>
            </w:r>
            <w:r w:rsidR="004379CE">
              <w:rPr>
                <w:rFonts w:ascii="Verdana" w:eastAsia="Verdana" w:hAnsi="Verdana" w:cs="Verdana"/>
                <w:b/>
                <w:color w:val="000000"/>
                <w:sz w:val="16"/>
                <w:szCs w:val="22"/>
                <w:lang w:val="pt-BR"/>
              </w:rPr>
              <w:t>130,230</w:t>
            </w:r>
            <w:r>
              <w:rPr>
                <w:rFonts w:ascii="Verdana" w:eastAsia="Verdana" w:hAnsi="Verdana" w:cs="Verdana"/>
                <w:b/>
                <w:color w:val="000000"/>
                <w:sz w:val="16"/>
                <w:szCs w:val="22"/>
                <w:lang w:val="pt-BR"/>
              </w:rPr>
              <w:t>)</w:t>
            </w:r>
          </w:p>
        </w:tc>
        <w:tc>
          <w:tcPr>
            <w:tcW w:w="1724" w:type="dxa"/>
            <w:tcBorders>
              <w:top w:val="single" w:sz="4" w:space="0" w:color="auto"/>
              <w:left w:val="single" w:sz="2" w:space="0" w:color="000000"/>
              <w:bottom w:val="single" w:sz="4" w:space="0" w:color="auto"/>
            </w:tcBorders>
            <w:shd w:val="clear" w:color="auto" w:fill="auto"/>
            <w:tcMar>
              <w:top w:w="20" w:type="dxa"/>
              <w:left w:w="20" w:type="dxa"/>
              <w:bottom w:w="20" w:type="dxa"/>
              <w:right w:w="20" w:type="dxa"/>
            </w:tcMar>
          </w:tcPr>
          <w:p w:rsidR="001A0AA1" w:rsidRPr="00A83C9C" w:rsidRDefault="001A0AA1" w:rsidP="00154A58">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w:t>
            </w:r>
            <w:r w:rsidR="004379CE">
              <w:rPr>
                <w:rFonts w:ascii="Verdana" w:eastAsia="Verdana" w:hAnsi="Verdana" w:cs="Verdana"/>
                <w:b/>
                <w:color w:val="000000"/>
                <w:sz w:val="16"/>
                <w:szCs w:val="22"/>
                <w:lang w:val="pt-BR"/>
              </w:rPr>
              <w:t>130,230</w:t>
            </w:r>
            <w:r>
              <w:rPr>
                <w:rFonts w:ascii="Verdana" w:eastAsia="Verdana" w:hAnsi="Verdana" w:cs="Verdana"/>
                <w:b/>
                <w:color w:val="000000"/>
                <w:sz w:val="16"/>
                <w:szCs w:val="22"/>
                <w:lang w:val="pt-BR"/>
              </w:rPr>
              <w:t>)</w:t>
            </w:r>
          </w:p>
        </w:tc>
      </w:tr>
      <w:tr w:rsidR="001A0AA1" w:rsidRPr="00A83C9C" w:rsidTr="00B60B19">
        <w:trPr>
          <w:trHeight w:val="234"/>
        </w:trPr>
        <w:tc>
          <w:tcPr>
            <w:tcW w:w="3354" w:type="dxa"/>
            <w:tcBorders>
              <w:top w:val="single" w:sz="4" w:space="0" w:color="auto"/>
              <w:bottom w:val="single" w:sz="4" w:space="0" w:color="auto"/>
            </w:tcBorders>
            <w:shd w:val="clear" w:color="auto" w:fill="auto"/>
            <w:tcMar>
              <w:top w:w="20" w:type="dxa"/>
              <w:left w:w="20" w:type="dxa"/>
              <w:bottom w:w="20" w:type="dxa"/>
              <w:right w:w="20" w:type="dxa"/>
            </w:tcMar>
          </w:tcPr>
          <w:p w:rsidR="001A0AA1" w:rsidRDefault="001A0AA1" w:rsidP="001A0AA1">
            <w:pPr>
              <w:pStyle w:val="T1TableStyle"/>
              <w:rPr>
                <w:rFonts w:ascii="Verdana" w:eastAsia="Verdana" w:hAnsi="Verdana" w:cs="Verdana"/>
                <w:b/>
                <w:color w:val="000000"/>
                <w:sz w:val="16"/>
                <w:szCs w:val="22"/>
                <w:lang w:val="pt-BR"/>
              </w:rPr>
            </w:pPr>
            <w:r>
              <w:rPr>
                <w:rFonts w:ascii="Verdana" w:eastAsia="Verdana" w:hAnsi="Verdana" w:cs="Verdana"/>
                <w:b/>
                <w:color w:val="000000"/>
                <w:sz w:val="16"/>
                <w:szCs w:val="22"/>
                <w:lang w:val="pt-BR"/>
              </w:rPr>
              <w:t>Balance at 31 March 2020</w:t>
            </w:r>
          </w:p>
        </w:tc>
        <w:tc>
          <w:tcPr>
            <w:tcW w:w="1589" w:type="dxa"/>
            <w:tcBorders>
              <w:top w:val="single" w:sz="4" w:space="0" w:color="auto"/>
              <w:left w:val="single" w:sz="2" w:space="0" w:color="000000"/>
              <w:bottom w:val="single" w:sz="4" w:space="0" w:color="auto"/>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w:t>
            </w:r>
          </w:p>
        </w:tc>
        <w:tc>
          <w:tcPr>
            <w:tcW w:w="1589" w:type="dxa"/>
            <w:tcBorders>
              <w:top w:val="single" w:sz="4" w:space="0" w:color="auto"/>
              <w:left w:val="single" w:sz="2" w:space="0" w:color="000000"/>
              <w:bottom w:val="single" w:sz="4" w:space="0" w:color="auto"/>
              <w:righ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w:t>
            </w:r>
          </w:p>
        </w:tc>
        <w:tc>
          <w:tcPr>
            <w:tcW w:w="1724" w:type="dxa"/>
            <w:tcBorders>
              <w:top w:val="single" w:sz="4" w:space="0" w:color="auto"/>
              <w:bottom w:val="single" w:sz="4" w:space="0" w:color="auto"/>
            </w:tcBorders>
            <w:shd w:val="clear" w:color="auto" w:fill="auto"/>
            <w:tcMar>
              <w:top w:w="20" w:type="dxa"/>
              <w:left w:w="20" w:type="dxa"/>
              <w:bottom w:w="20" w:type="dxa"/>
              <w:right w:w="20" w:type="dxa"/>
            </w:tcMar>
          </w:tcPr>
          <w:p w:rsidR="001A0AA1" w:rsidRPr="00A83C9C" w:rsidRDefault="001A0AA1" w:rsidP="00177F85">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2,</w:t>
            </w:r>
            <w:r w:rsidR="004379CE">
              <w:rPr>
                <w:rFonts w:ascii="Verdana" w:eastAsia="Verdana" w:hAnsi="Verdana" w:cs="Verdana"/>
                <w:b/>
                <w:color w:val="000000"/>
                <w:sz w:val="16"/>
                <w:szCs w:val="22"/>
                <w:lang w:val="pt-BR"/>
              </w:rPr>
              <w:t>027</w:t>
            </w:r>
            <w:r>
              <w:rPr>
                <w:rFonts w:ascii="Verdana" w:eastAsia="Verdana" w:hAnsi="Verdana" w:cs="Verdana"/>
                <w:b/>
                <w:color w:val="000000"/>
                <w:sz w:val="16"/>
                <w:szCs w:val="22"/>
                <w:lang w:val="pt-BR"/>
              </w:rPr>
              <w:t>,</w:t>
            </w:r>
            <w:r w:rsidR="004379CE">
              <w:rPr>
                <w:rFonts w:ascii="Verdana" w:eastAsia="Verdana" w:hAnsi="Verdana" w:cs="Verdana"/>
                <w:b/>
                <w:color w:val="000000"/>
                <w:sz w:val="16"/>
                <w:szCs w:val="22"/>
                <w:lang w:val="pt-BR"/>
              </w:rPr>
              <w:t>608</w:t>
            </w:r>
          </w:p>
        </w:tc>
        <w:tc>
          <w:tcPr>
            <w:tcW w:w="1724" w:type="dxa"/>
            <w:tcBorders>
              <w:top w:val="single" w:sz="4" w:space="0" w:color="auto"/>
              <w:left w:val="single" w:sz="2" w:space="0" w:color="000000"/>
              <w:bottom w:val="single" w:sz="4" w:space="0" w:color="auto"/>
            </w:tcBorders>
            <w:shd w:val="clear" w:color="auto" w:fill="auto"/>
            <w:tcMar>
              <w:top w:w="20" w:type="dxa"/>
              <w:left w:w="20" w:type="dxa"/>
              <w:bottom w:w="20" w:type="dxa"/>
              <w:right w:w="20" w:type="dxa"/>
            </w:tcMar>
          </w:tcPr>
          <w:p w:rsidR="001A0AA1" w:rsidRPr="00A83C9C" w:rsidRDefault="001A0AA1" w:rsidP="00154A58">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2,</w:t>
            </w:r>
            <w:r w:rsidR="004379CE">
              <w:rPr>
                <w:rFonts w:ascii="Verdana" w:eastAsia="Verdana" w:hAnsi="Verdana" w:cs="Verdana"/>
                <w:b/>
                <w:color w:val="000000"/>
                <w:sz w:val="16"/>
                <w:szCs w:val="22"/>
                <w:lang w:val="pt-BR"/>
              </w:rPr>
              <w:t>027,608</w:t>
            </w:r>
          </w:p>
        </w:tc>
      </w:tr>
      <w:tr w:rsidR="001A0AA1" w:rsidRPr="00A83C9C" w:rsidTr="00B60B19">
        <w:trPr>
          <w:trHeight w:hRule="exact" w:val="75"/>
        </w:trPr>
        <w:tc>
          <w:tcPr>
            <w:tcW w:w="3354" w:type="dxa"/>
            <w:shd w:val="clear" w:color="auto" w:fill="auto"/>
            <w:tcMar>
              <w:top w:w="20" w:type="dxa"/>
              <w:left w:w="20" w:type="dxa"/>
              <w:bottom w:w="20" w:type="dxa"/>
              <w:right w:w="20" w:type="dxa"/>
            </w:tcMar>
          </w:tcPr>
          <w:p w:rsidR="001A0AA1" w:rsidRDefault="001A0AA1" w:rsidP="001A0AA1">
            <w:pPr>
              <w:pStyle w:val="T1TableStyle"/>
              <w:jc w:val="center"/>
              <w:rPr>
                <w:rFonts w:ascii="Verdana" w:eastAsia="Verdana" w:hAnsi="Verdana" w:cs="Verdana"/>
                <w:color w:val="000000"/>
                <w:sz w:val="2"/>
                <w:szCs w:val="22"/>
                <w:lang w:val="pt-BR"/>
              </w:rPr>
            </w:pPr>
            <w:r>
              <w:rPr>
                <w:rFonts w:ascii="Verdana" w:eastAsia="Verdana" w:hAnsi="Verdana" w:cs="Verdana"/>
                <w:color w:val="000000"/>
                <w:sz w:val="2"/>
                <w:szCs w:val="22"/>
                <w:lang w:val="pt-BR"/>
              </w:rPr>
              <w:t xml:space="preserve"> </w:t>
            </w:r>
          </w:p>
        </w:tc>
        <w:tc>
          <w:tcPr>
            <w:tcW w:w="1589" w:type="dxa"/>
            <w:shd w:val="clear" w:color="auto" w:fill="auto"/>
            <w:tcMar>
              <w:top w:w="20" w:type="dxa"/>
              <w:left w:w="20" w:type="dxa"/>
              <w:bottom w:w="20" w:type="dxa"/>
              <w:right w:w="20" w:type="dxa"/>
            </w:tcMar>
          </w:tcPr>
          <w:p w:rsidR="001A0AA1" w:rsidRDefault="001A0AA1" w:rsidP="001A0AA1">
            <w:pPr>
              <w:pStyle w:val="T1TableStyle"/>
              <w:jc w:val="center"/>
              <w:rPr>
                <w:rFonts w:ascii="Verdana" w:eastAsia="Verdana" w:hAnsi="Verdana" w:cs="Verdana"/>
                <w:color w:val="000000"/>
                <w:sz w:val="2"/>
                <w:szCs w:val="22"/>
                <w:lang w:val="pt-BR"/>
              </w:rPr>
            </w:pPr>
            <w:r>
              <w:rPr>
                <w:rFonts w:ascii="Verdana" w:eastAsia="Verdana" w:hAnsi="Verdana" w:cs="Verdana"/>
                <w:color w:val="000000"/>
                <w:sz w:val="2"/>
                <w:szCs w:val="22"/>
                <w:lang w:val="pt-BR"/>
              </w:rPr>
              <w:t xml:space="preserve"> </w:t>
            </w:r>
          </w:p>
        </w:tc>
        <w:tc>
          <w:tcPr>
            <w:tcW w:w="1589" w:type="dxa"/>
            <w:shd w:val="clear" w:color="auto" w:fill="auto"/>
            <w:tcMar>
              <w:top w:w="20" w:type="dxa"/>
              <w:left w:w="20" w:type="dxa"/>
              <w:bottom w:w="20" w:type="dxa"/>
              <w:right w:w="20" w:type="dxa"/>
            </w:tcMar>
          </w:tcPr>
          <w:p w:rsidR="001A0AA1" w:rsidRDefault="001A0AA1" w:rsidP="001A0AA1">
            <w:pPr>
              <w:pStyle w:val="T1TableStyle"/>
              <w:jc w:val="center"/>
              <w:rPr>
                <w:rFonts w:ascii="Verdana" w:eastAsia="Verdana" w:hAnsi="Verdana" w:cs="Verdana"/>
                <w:color w:val="000000"/>
                <w:sz w:val="2"/>
                <w:szCs w:val="22"/>
                <w:lang w:val="pt-BR"/>
              </w:rPr>
            </w:pPr>
            <w:r>
              <w:rPr>
                <w:rFonts w:ascii="Verdana" w:eastAsia="Verdana" w:hAnsi="Verdana" w:cs="Verdana"/>
                <w:color w:val="000000"/>
                <w:sz w:val="2"/>
                <w:szCs w:val="22"/>
                <w:lang w:val="pt-BR"/>
              </w:rPr>
              <w:t xml:space="preserve"> </w:t>
            </w:r>
          </w:p>
        </w:tc>
        <w:tc>
          <w:tcPr>
            <w:tcW w:w="1724" w:type="dxa"/>
            <w:shd w:val="clear" w:color="auto" w:fill="auto"/>
            <w:tcMar>
              <w:top w:w="20" w:type="dxa"/>
              <w:left w:w="20" w:type="dxa"/>
              <w:bottom w:w="20" w:type="dxa"/>
              <w:right w:w="20" w:type="dxa"/>
            </w:tcMar>
            <w:vAlign w:val="center"/>
          </w:tcPr>
          <w:p w:rsidR="001A0AA1" w:rsidRPr="00A83C9C" w:rsidRDefault="001A0AA1" w:rsidP="001A0AA1">
            <w:pPr>
              <w:pStyle w:val="T1TableStyle"/>
              <w:jc w:val="center"/>
              <w:rPr>
                <w:rFonts w:ascii="Calibri" w:eastAsia="Calibri" w:hAnsi="Calibri" w:cs="Calibri"/>
                <w:color w:val="000000"/>
                <w:sz w:val="2"/>
                <w:szCs w:val="22"/>
                <w:lang w:val="pt-BR"/>
              </w:rPr>
            </w:pPr>
            <w:r w:rsidRPr="00A83C9C">
              <w:rPr>
                <w:rFonts w:ascii="Calibri" w:eastAsia="Calibri" w:hAnsi="Calibri" w:cs="Calibri"/>
                <w:color w:val="000000"/>
                <w:sz w:val="2"/>
                <w:szCs w:val="22"/>
                <w:lang w:val="pt-BR"/>
              </w:rPr>
              <w:t xml:space="preserve"> </w:t>
            </w:r>
          </w:p>
        </w:tc>
        <w:tc>
          <w:tcPr>
            <w:tcW w:w="1724" w:type="dxa"/>
            <w:shd w:val="clear" w:color="auto" w:fill="auto"/>
            <w:tcMar>
              <w:top w:w="20" w:type="dxa"/>
              <w:left w:w="20" w:type="dxa"/>
              <w:bottom w:w="20" w:type="dxa"/>
              <w:right w:w="20" w:type="dxa"/>
            </w:tcMar>
          </w:tcPr>
          <w:p w:rsidR="001A0AA1" w:rsidRPr="00A83C9C" w:rsidRDefault="001A0AA1" w:rsidP="001A0AA1">
            <w:pPr>
              <w:pStyle w:val="T1TableStyle"/>
              <w:jc w:val="center"/>
              <w:rPr>
                <w:rFonts w:ascii="Verdana" w:eastAsia="Verdana" w:hAnsi="Verdana" w:cs="Verdana"/>
                <w:color w:val="000000"/>
                <w:sz w:val="2"/>
                <w:szCs w:val="22"/>
                <w:lang w:val="pt-BR"/>
              </w:rPr>
            </w:pPr>
            <w:r w:rsidRPr="00A83C9C">
              <w:rPr>
                <w:rFonts w:ascii="Verdana" w:eastAsia="Verdana" w:hAnsi="Verdana" w:cs="Verdana"/>
                <w:color w:val="000000"/>
                <w:sz w:val="2"/>
                <w:szCs w:val="22"/>
                <w:lang w:val="pt-BR"/>
              </w:rPr>
              <w:t xml:space="preserve"> </w:t>
            </w:r>
          </w:p>
        </w:tc>
      </w:tr>
      <w:tr w:rsidR="001A0AA1" w:rsidTr="00B60B19">
        <w:trPr>
          <w:trHeight w:val="720"/>
        </w:trPr>
        <w:tc>
          <w:tcPr>
            <w:tcW w:w="3354" w:type="dxa"/>
            <w:shd w:val="clear" w:color="auto" w:fill="auto"/>
            <w:tcMar>
              <w:top w:w="20" w:type="dxa"/>
              <w:left w:w="20" w:type="dxa"/>
              <w:bottom w:w="20" w:type="dxa"/>
              <w:right w:w="20" w:type="dxa"/>
            </w:tcMar>
          </w:tcPr>
          <w:p w:rsidR="001A0AA1" w:rsidRDefault="001A0AA1" w:rsidP="001A0AA1">
            <w:pPr>
              <w:pStyle w:val="T1TableStyle"/>
              <w:jc w:val="center"/>
              <w:rPr>
                <w:rFonts w:ascii="Verdana" w:eastAsia="Verdana" w:hAnsi="Verdana" w:cs="Verdana"/>
                <w:b/>
                <w:color w:val="000000"/>
                <w:sz w:val="2"/>
                <w:szCs w:val="22"/>
                <w:lang w:val="pt-BR"/>
              </w:rPr>
            </w:pPr>
            <w:r>
              <w:rPr>
                <w:rFonts w:ascii="Verdana" w:eastAsia="Verdana" w:hAnsi="Verdana" w:cs="Verdana"/>
                <w:b/>
                <w:color w:val="000000"/>
                <w:sz w:val="2"/>
                <w:szCs w:val="22"/>
                <w:lang w:val="pt-BR"/>
              </w:rPr>
              <w:t xml:space="preserve"> </w:t>
            </w:r>
          </w:p>
        </w:tc>
        <w:tc>
          <w:tcPr>
            <w:tcW w:w="1589" w:type="dxa"/>
            <w:shd w:val="clear" w:color="auto" w:fill="auto"/>
            <w:tcMar>
              <w:top w:w="20" w:type="dxa"/>
              <w:left w:w="20" w:type="dxa"/>
              <w:bottom w:w="20" w:type="dxa"/>
              <w:right w:w="20" w:type="dxa"/>
            </w:tcMar>
            <w:vAlign w:val="bottom"/>
          </w:tcPr>
          <w:p w:rsidR="001A0AA1" w:rsidRDefault="001A0AA1" w:rsidP="001A0AA1">
            <w:pPr>
              <w:pStyle w:val="T1TableStyle"/>
              <w:jc w:val="center"/>
              <w:rPr>
                <w:rFonts w:ascii="Verdana" w:eastAsia="Verdana" w:hAnsi="Verdana" w:cs="Verdana"/>
                <w:b/>
                <w:color w:val="000000"/>
                <w:sz w:val="16"/>
                <w:szCs w:val="22"/>
                <w:lang w:val="pt-BR"/>
              </w:rPr>
            </w:pPr>
            <w:r>
              <w:rPr>
                <w:rFonts w:ascii="Verdana" w:eastAsia="Verdana" w:hAnsi="Verdana" w:cs="Verdana"/>
                <w:b/>
                <w:color w:val="000000"/>
                <w:sz w:val="16"/>
                <w:szCs w:val="22"/>
                <w:lang w:val="pt-BR"/>
              </w:rPr>
              <w:t>General Fund Balance</w:t>
            </w:r>
          </w:p>
        </w:tc>
        <w:tc>
          <w:tcPr>
            <w:tcW w:w="1589" w:type="dxa"/>
            <w:shd w:val="clear" w:color="auto" w:fill="auto"/>
            <w:tcMar>
              <w:top w:w="20" w:type="dxa"/>
              <w:left w:w="20" w:type="dxa"/>
              <w:bottom w:w="20" w:type="dxa"/>
              <w:right w:w="20" w:type="dxa"/>
            </w:tcMar>
            <w:vAlign w:val="bottom"/>
          </w:tcPr>
          <w:p w:rsidR="001A0AA1" w:rsidRDefault="001A0AA1" w:rsidP="001A0AA1">
            <w:pPr>
              <w:pStyle w:val="T1TableStyle"/>
              <w:jc w:val="center"/>
              <w:rPr>
                <w:rFonts w:ascii="Verdana" w:eastAsia="Verdana" w:hAnsi="Verdana" w:cs="Verdana"/>
                <w:b/>
                <w:color w:val="000000"/>
                <w:sz w:val="16"/>
                <w:szCs w:val="22"/>
                <w:lang w:val="pt-BR"/>
              </w:rPr>
            </w:pPr>
            <w:r>
              <w:rPr>
                <w:rFonts w:ascii="Verdana" w:eastAsia="Verdana" w:hAnsi="Verdana" w:cs="Verdana"/>
                <w:b/>
                <w:color w:val="000000"/>
                <w:sz w:val="16"/>
                <w:szCs w:val="22"/>
                <w:lang w:val="pt-BR"/>
              </w:rPr>
              <w:t>Total Usable Reserves</w:t>
            </w:r>
          </w:p>
        </w:tc>
        <w:tc>
          <w:tcPr>
            <w:tcW w:w="1724" w:type="dxa"/>
            <w:shd w:val="clear" w:color="auto" w:fill="auto"/>
            <w:tcMar>
              <w:top w:w="20" w:type="dxa"/>
              <w:left w:w="20" w:type="dxa"/>
              <w:bottom w:w="20" w:type="dxa"/>
              <w:right w:w="20" w:type="dxa"/>
            </w:tcMar>
            <w:vAlign w:val="bottom"/>
          </w:tcPr>
          <w:p w:rsidR="001A0AA1" w:rsidRDefault="001A0AA1" w:rsidP="001A0AA1">
            <w:pPr>
              <w:pStyle w:val="T1TableStyle"/>
              <w:jc w:val="center"/>
              <w:rPr>
                <w:rFonts w:ascii="Verdana" w:eastAsia="Verdana" w:hAnsi="Verdana" w:cs="Verdana"/>
                <w:b/>
                <w:color w:val="000000"/>
                <w:sz w:val="16"/>
                <w:szCs w:val="22"/>
                <w:lang w:val="pt-BR"/>
              </w:rPr>
            </w:pPr>
            <w:r>
              <w:rPr>
                <w:rFonts w:ascii="Verdana" w:eastAsia="Verdana" w:hAnsi="Verdana" w:cs="Verdana"/>
                <w:b/>
                <w:color w:val="000000"/>
                <w:sz w:val="16"/>
                <w:szCs w:val="22"/>
                <w:lang w:val="pt-BR"/>
              </w:rPr>
              <w:t>Unusable Reserves</w:t>
            </w:r>
          </w:p>
        </w:tc>
        <w:tc>
          <w:tcPr>
            <w:tcW w:w="1724" w:type="dxa"/>
            <w:shd w:val="clear" w:color="auto" w:fill="auto"/>
            <w:tcMar>
              <w:top w:w="20" w:type="dxa"/>
              <w:left w:w="20" w:type="dxa"/>
              <w:bottom w:w="20" w:type="dxa"/>
              <w:right w:w="20" w:type="dxa"/>
            </w:tcMar>
            <w:vAlign w:val="bottom"/>
          </w:tcPr>
          <w:p w:rsidR="001A0AA1" w:rsidRDefault="001A0AA1" w:rsidP="001A0AA1">
            <w:pPr>
              <w:pStyle w:val="T1TableStyle"/>
              <w:jc w:val="center"/>
              <w:rPr>
                <w:rFonts w:ascii="Verdana" w:eastAsia="Verdana" w:hAnsi="Verdana" w:cs="Verdana"/>
                <w:b/>
                <w:color w:val="000000"/>
                <w:sz w:val="16"/>
                <w:szCs w:val="22"/>
                <w:lang w:val="pt-BR"/>
              </w:rPr>
            </w:pPr>
            <w:r>
              <w:rPr>
                <w:rFonts w:ascii="Verdana" w:eastAsia="Verdana" w:hAnsi="Verdana" w:cs="Verdana"/>
                <w:b/>
                <w:color w:val="000000"/>
                <w:sz w:val="16"/>
                <w:szCs w:val="22"/>
                <w:lang w:val="pt-BR"/>
              </w:rPr>
              <w:t>Total Reserves</w:t>
            </w:r>
          </w:p>
        </w:tc>
      </w:tr>
      <w:tr w:rsidR="001A0AA1" w:rsidTr="00B60B19">
        <w:trPr>
          <w:trHeight w:val="38"/>
        </w:trPr>
        <w:tc>
          <w:tcPr>
            <w:tcW w:w="3354" w:type="dxa"/>
            <w:tcBorders>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rPr>
                <w:rFonts w:ascii="Verdana" w:eastAsia="Verdana" w:hAnsi="Verdana" w:cs="Verdana"/>
                <w:b/>
                <w:color w:val="000000"/>
                <w:sz w:val="2"/>
                <w:szCs w:val="22"/>
                <w:lang w:val="pt-BR"/>
              </w:rPr>
            </w:pPr>
          </w:p>
        </w:tc>
        <w:tc>
          <w:tcPr>
            <w:tcW w:w="1589" w:type="dxa"/>
            <w:tcBorders>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£000</w:t>
            </w:r>
          </w:p>
        </w:tc>
        <w:tc>
          <w:tcPr>
            <w:tcW w:w="1589" w:type="dxa"/>
            <w:tcBorders>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£000</w:t>
            </w:r>
          </w:p>
        </w:tc>
        <w:tc>
          <w:tcPr>
            <w:tcW w:w="1724" w:type="dxa"/>
            <w:tcBorders>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£000</w:t>
            </w:r>
          </w:p>
        </w:tc>
        <w:tc>
          <w:tcPr>
            <w:tcW w:w="1724" w:type="dxa"/>
            <w:tcBorders>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£000</w:t>
            </w:r>
          </w:p>
        </w:tc>
      </w:tr>
      <w:tr w:rsidR="001A0AA1" w:rsidTr="00B60B19">
        <w:trPr>
          <w:trHeight w:val="167"/>
        </w:trPr>
        <w:tc>
          <w:tcPr>
            <w:tcW w:w="3354" w:type="dxa"/>
            <w:tcBorders>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rPr>
                <w:rFonts w:ascii="Verdana" w:eastAsia="Verdana" w:hAnsi="Verdana" w:cs="Verdana"/>
                <w:b/>
                <w:color w:val="000000"/>
                <w:sz w:val="16"/>
                <w:szCs w:val="22"/>
                <w:lang w:val="pt-BR"/>
              </w:rPr>
            </w:pPr>
            <w:r>
              <w:rPr>
                <w:rFonts w:ascii="Verdana" w:eastAsia="Verdana" w:hAnsi="Verdana" w:cs="Verdana"/>
                <w:b/>
                <w:color w:val="000000"/>
                <w:sz w:val="16"/>
                <w:szCs w:val="22"/>
                <w:lang w:val="pt-BR"/>
              </w:rPr>
              <w:t>Balance at 31 March 2018</w:t>
            </w:r>
          </w:p>
        </w:tc>
        <w:tc>
          <w:tcPr>
            <w:tcW w:w="1589"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0</w:t>
            </w:r>
          </w:p>
        </w:tc>
        <w:tc>
          <w:tcPr>
            <w:tcW w:w="1589"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w:t>
            </w:r>
          </w:p>
        </w:tc>
        <w:tc>
          <w:tcPr>
            <w:tcW w:w="1724" w:type="dxa"/>
            <w:tcBorders>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1,928,827</w:t>
            </w:r>
          </w:p>
        </w:tc>
        <w:tc>
          <w:tcPr>
            <w:tcW w:w="1724" w:type="dxa"/>
            <w:tcBorders>
              <w:left w:val="single" w:sz="2" w:space="0" w:color="000000"/>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1,928,827</w:t>
            </w:r>
          </w:p>
        </w:tc>
      </w:tr>
      <w:tr w:rsidR="001A0AA1" w:rsidTr="00B60B19">
        <w:trPr>
          <w:trHeight w:val="234"/>
        </w:trPr>
        <w:tc>
          <w:tcPr>
            <w:tcW w:w="3354" w:type="dxa"/>
            <w:shd w:val="clear" w:color="auto" w:fill="auto"/>
            <w:tcMar>
              <w:top w:w="20" w:type="dxa"/>
              <w:left w:w="20" w:type="dxa"/>
              <w:bottom w:w="20" w:type="dxa"/>
              <w:right w:w="20" w:type="dxa"/>
            </w:tcMar>
          </w:tcPr>
          <w:p w:rsidR="001A0AA1" w:rsidRDefault="001A0AA1" w:rsidP="001A0AA1">
            <w:pPr>
              <w:pStyle w:val="T1TableStyle"/>
              <w:rPr>
                <w:rFonts w:ascii="Verdana" w:eastAsia="Verdana" w:hAnsi="Verdana" w:cs="Verdana"/>
                <w:b/>
                <w:color w:val="000000"/>
                <w:sz w:val="16"/>
                <w:szCs w:val="22"/>
                <w:lang w:val="pt-BR"/>
              </w:rPr>
            </w:pPr>
            <w:r>
              <w:rPr>
                <w:rFonts w:ascii="Verdana" w:eastAsia="Verdana" w:hAnsi="Verdana" w:cs="Verdana"/>
                <w:b/>
                <w:color w:val="000000"/>
                <w:sz w:val="16"/>
                <w:szCs w:val="22"/>
                <w:lang w:val="pt-BR"/>
              </w:rPr>
              <w:t>Movement in reserves during 2018/19</w:t>
            </w:r>
          </w:p>
        </w:tc>
        <w:tc>
          <w:tcPr>
            <w:tcW w:w="1589" w:type="dxa"/>
            <w:tcBorders>
              <w:lef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color w:val="000000"/>
                <w:sz w:val="2"/>
                <w:szCs w:val="22"/>
                <w:lang w:val="pt-BR"/>
              </w:rPr>
            </w:pPr>
            <w:r>
              <w:rPr>
                <w:rFonts w:ascii="Verdana" w:eastAsia="Verdana" w:hAnsi="Verdana" w:cs="Verdana"/>
                <w:color w:val="000000"/>
                <w:sz w:val="2"/>
                <w:szCs w:val="22"/>
                <w:lang w:val="pt-BR"/>
              </w:rPr>
              <w:t xml:space="preserve"> </w:t>
            </w:r>
          </w:p>
        </w:tc>
        <w:tc>
          <w:tcPr>
            <w:tcW w:w="1589" w:type="dxa"/>
            <w:tcBorders>
              <w:left w:val="single" w:sz="2" w:space="0" w:color="000000"/>
              <w:righ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2"/>
                <w:szCs w:val="22"/>
                <w:lang w:val="pt-BR"/>
              </w:rPr>
            </w:pPr>
            <w:r>
              <w:rPr>
                <w:rFonts w:ascii="Verdana" w:eastAsia="Verdana" w:hAnsi="Verdana" w:cs="Verdana"/>
                <w:b/>
                <w:color w:val="000000"/>
                <w:sz w:val="2"/>
                <w:szCs w:val="22"/>
                <w:lang w:val="pt-BR"/>
              </w:rPr>
              <w:t xml:space="preserve"> </w:t>
            </w:r>
          </w:p>
        </w:tc>
        <w:tc>
          <w:tcPr>
            <w:tcW w:w="1724" w:type="dxa"/>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color w:val="000000"/>
                <w:sz w:val="2"/>
                <w:szCs w:val="22"/>
                <w:lang w:val="pt-BR"/>
              </w:rPr>
            </w:pPr>
            <w:r>
              <w:rPr>
                <w:rFonts w:ascii="Verdana" w:eastAsia="Verdana" w:hAnsi="Verdana" w:cs="Verdana"/>
                <w:color w:val="000000"/>
                <w:sz w:val="2"/>
                <w:szCs w:val="22"/>
                <w:lang w:val="pt-BR"/>
              </w:rPr>
              <w:t xml:space="preserve"> </w:t>
            </w:r>
          </w:p>
        </w:tc>
        <w:tc>
          <w:tcPr>
            <w:tcW w:w="1724" w:type="dxa"/>
            <w:tcBorders>
              <w:lef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2"/>
                <w:szCs w:val="22"/>
                <w:lang w:val="pt-BR"/>
              </w:rPr>
            </w:pPr>
            <w:r>
              <w:rPr>
                <w:rFonts w:ascii="Verdana" w:eastAsia="Verdana" w:hAnsi="Verdana" w:cs="Verdana"/>
                <w:b/>
                <w:color w:val="000000"/>
                <w:sz w:val="2"/>
                <w:szCs w:val="22"/>
                <w:lang w:val="pt-BR"/>
              </w:rPr>
              <w:t xml:space="preserve"> </w:t>
            </w:r>
          </w:p>
        </w:tc>
      </w:tr>
      <w:tr w:rsidR="001A0AA1" w:rsidTr="00B60B19">
        <w:trPr>
          <w:trHeight w:val="234"/>
        </w:trPr>
        <w:tc>
          <w:tcPr>
            <w:tcW w:w="3354" w:type="dxa"/>
            <w:shd w:val="clear" w:color="auto" w:fill="auto"/>
            <w:tcMar>
              <w:top w:w="20" w:type="dxa"/>
              <w:left w:w="20" w:type="dxa"/>
              <w:bottom w:w="20" w:type="dxa"/>
              <w:right w:w="20" w:type="dxa"/>
            </w:tcMar>
          </w:tcPr>
          <w:p w:rsidR="001A0AA1" w:rsidRDefault="001A0AA1" w:rsidP="001A0AA1">
            <w:pPr>
              <w:pStyle w:val="T1TableStyle"/>
              <w:rPr>
                <w:rFonts w:ascii="Verdana" w:eastAsia="Verdana" w:hAnsi="Verdana" w:cs="Verdana"/>
                <w:color w:val="000000"/>
                <w:sz w:val="16"/>
                <w:szCs w:val="22"/>
                <w:lang w:val="pt-BR"/>
              </w:rPr>
            </w:pPr>
            <w:r>
              <w:rPr>
                <w:rFonts w:ascii="Verdana" w:eastAsia="Verdana" w:hAnsi="Verdana" w:cs="Verdana"/>
                <w:color w:val="000000"/>
                <w:sz w:val="16"/>
                <w:szCs w:val="22"/>
                <w:lang w:val="pt-BR"/>
              </w:rPr>
              <w:t>Surplus or deficit on the provision of services</w:t>
            </w:r>
          </w:p>
        </w:tc>
        <w:tc>
          <w:tcPr>
            <w:tcW w:w="1589" w:type="dxa"/>
            <w:tcBorders>
              <w:lef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141,391</w:t>
            </w:r>
          </w:p>
        </w:tc>
        <w:tc>
          <w:tcPr>
            <w:tcW w:w="1589" w:type="dxa"/>
            <w:tcBorders>
              <w:left w:val="single" w:sz="2" w:space="0" w:color="000000"/>
              <w:righ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141,391</w:t>
            </w:r>
          </w:p>
        </w:tc>
        <w:tc>
          <w:tcPr>
            <w:tcW w:w="1724" w:type="dxa"/>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color w:val="000000"/>
                <w:sz w:val="2"/>
                <w:szCs w:val="22"/>
                <w:lang w:val="pt-BR"/>
              </w:rPr>
            </w:pPr>
            <w:r>
              <w:rPr>
                <w:rFonts w:ascii="Verdana" w:eastAsia="Verdana" w:hAnsi="Verdana" w:cs="Verdana"/>
                <w:color w:val="000000"/>
                <w:sz w:val="2"/>
                <w:szCs w:val="22"/>
                <w:lang w:val="pt-BR"/>
              </w:rPr>
              <w:t xml:space="preserve"> </w:t>
            </w:r>
          </w:p>
        </w:tc>
        <w:tc>
          <w:tcPr>
            <w:tcW w:w="1724" w:type="dxa"/>
            <w:tcBorders>
              <w:lef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141,391</w:t>
            </w:r>
          </w:p>
        </w:tc>
      </w:tr>
      <w:tr w:rsidR="001A0AA1" w:rsidTr="00B60B19">
        <w:trPr>
          <w:trHeight w:val="234"/>
        </w:trPr>
        <w:tc>
          <w:tcPr>
            <w:tcW w:w="3354" w:type="dxa"/>
            <w:tcBorders>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rPr>
                <w:rFonts w:ascii="Verdana" w:eastAsia="Verdana" w:hAnsi="Verdana" w:cs="Verdana"/>
                <w:color w:val="000000"/>
                <w:sz w:val="16"/>
                <w:szCs w:val="22"/>
                <w:lang w:val="pt-BR"/>
              </w:rPr>
            </w:pPr>
            <w:r>
              <w:rPr>
                <w:rFonts w:ascii="Verdana" w:eastAsia="Verdana" w:hAnsi="Verdana" w:cs="Verdana"/>
                <w:color w:val="000000"/>
                <w:sz w:val="16"/>
                <w:szCs w:val="22"/>
                <w:lang w:val="pt-BR"/>
              </w:rPr>
              <w:t>Other Comprehensive Income / Expenditure</w:t>
            </w:r>
          </w:p>
        </w:tc>
        <w:tc>
          <w:tcPr>
            <w:tcW w:w="1589" w:type="dxa"/>
            <w:tcBorders>
              <w:left w:val="single" w:sz="2" w:space="0" w:color="000000"/>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color w:val="000000"/>
                <w:sz w:val="2"/>
                <w:szCs w:val="22"/>
                <w:lang w:val="pt-BR"/>
              </w:rPr>
            </w:pPr>
            <w:r>
              <w:rPr>
                <w:rFonts w:ascii="Verdana" w:eastAsia="Verdana" w:hAnsi="Verdana" w:cs="Verdana"/>
                <w:color w:val="000000"/>
                <w:sz w:val="2"/>
                <w:szCs w:val="22"/>
                <w:lang w:val="pt-BR"/>
              </w:rPr>
              <w:t xml:space="preserve"> </w:t>
            </w:r>
          </w:p>
        </w:tc>
        <w:tc>
          <w:tcPr>
            <w:tcW w:w="1589"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2"/>
                <w:szCs w:val="22"/>
                <w:lang w:val="pt-BR"/>
              </w:rPr>
            </w:pPr>
            <w:r>
              <w:rPr>
                <w:rFonts w:ascii="Verdana" w:eastAsia="Verdana" w:hAnsi="Verdana" w:cs="Verdana"/>
                <w:b/>
                <w:color w:val="000000"/>
                <w:sz w:val="2"/>
                <w:szCs w:val="22"/>
                <w:lang w:val="pt-BR"/>
              </w:rPr>
              <w:t xml:space="preserve"> </w:t>
            </w:r>
          </w:p>
        </w:tc>
        <w:tc>
          <w:tcPr>
            <w:tcW w:w="1724" w:type="dxa"/>
            <w:tcBorders>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87,620</w:t>
            </w:r>
          </w:p>
        </w:tc>
        <w:tc>
          <w:tcPr>
            <w:tcW w:w="1724" w:type="dxa"/>
            <w:tcBorders>
              <w:left w:val="single" w:sz="2" w:space="0" w:color="000000"/>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87,620</w:t>
            </w:r>
          </w:p>
        </w:tc>
      </w:tr>
      <w:tr w:rsidR="001A0AA1" w:rsidTr="00B60B19">
        <w:trPr>
          <w:trHeight w:val="234"/>
        </w:trPr>
        <w:tc>
          <w:tcPr>
            <w:tcW w:w="3354" w:type="dxa"/>
            <w:shd w:val="clear" w:color="auto" w:fill="auto"/>
            <w:tcMar>
              <w:top w:w="20" w:type="dxa"/>
              <w:left w:w="20" w:type="dxa"/>
              <w:bottom w:w="20" w:type="dxa"/>
              <w:right w:w="20" w:type="dxa"/>
            </w:tcMar>
          </w:tcPr>
          <w:p w:rsidR="001A0AA1" w:rsidRDefault="001A0AA1" w:rsidP="001A0AA1">
            <w:pPr>
              <w:pStyle w:val="T1TableStyle"/>
              <w:rPr>
                <w:rFonts w:ascii="Verdana" w:eastAsia="Verdana" w:hAnsi="Verdana" w:cs="Verdana"/>
                <w:b/>
                <w:color w:val="000000"/>
                <w:sz w:val="16"/>
                <w:szCs w:val="22"/>
                <w:lang w:val="pt-BR"/>
              </w:rPr>
            </w:pPr>
            <w:r>
              <w:rPr>
                <w:rFonts w:ascii="Verdana" w:eastAsia="Verdana" w:hAnsi="Verdana" w:cs="Verdana"/>
                <w:b/>
                <w:color w:val="000000"/>
                <w:sz w:val="16"/>
                <w:szCs w:val="22"/>
                <w:lang w:val="pt-BR"/>
              </w:rPr>
              <w:t>Total Comprehensive Income and Expenditure</w:t>
            </w:r>
          </w:p>
        </w:tc>
        <w:tc>
          <w:tcPr>
            <w:tcW w:w="1589" w:type="dxa"/>
            <w:tcBorders>
              <w:lef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141,391</w:t>
            </w:r>
          </w:p>
        </w:tc>
        <w:tc>
          <w:tcPr>
            <w:tcW w:w="1589" w:type="dxa"/>
            <w:tcBorders>
              <w:left w:val="single" w:sz="2" w:space="0" w:color="000000"/>
              <w:righ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141,391</w:t>
            </w:r>
          </w:p>
        </w:tc>
        <w:tc>
          <w:tcPr>
            <w:tcW w:w="1724" w:type="dxa"/>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87,620</w:t>
            </w:r>
          </w:p>
        </w:tc>
        <w:tc>
          <w:tcPr>
            <w:tcW w:w="1724" w:type="dxa"/>
            <w:tcBorders>
              <w:lef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229,011</w:t>
            </w:r>
          </w:p>
        </w:tc>
      </w:tr>
      <w:tr w:rsidR="001A0AA1" w:rsidTr="00B60B19">
        <w:trPr>
          <w:trHeight w:val="468"/>
        </w:trPr>
        <w:tc>
          <w:tcPr>
            <w:tcW w:w="3354" w:type="dxa"/>
            <w:shd w:val="clear" w:color="auto" w:fill="auto"/>
            <w:tcMar>
              <w:top w:w="20" w:type="dxa"/>
              <w:left w:w="20" w:type="dxa"/>
              <w:bottom w:w="20" w:type="dxa"/>
              <w:right w:w="20" w:type="dxa"/>
            </w:tcMar>
          </w:tcPr>
          <w:p w:rsidR="001A0AA1" w:rsidRDefault="001A0AA1" w:rsidP="001A0AA1">
            <w:pPr>
              <w:pStyle w:val="T1TableStyle"/>
              <w:rPr>
                <w:rFonts w:ascii="Verdana" w:eastAsia="Verdana" w:hAnsi="Verdana" w:cs="Verdana"/>
                <w:color w:val="000000"/>
                <w:sz w:val="16"/>
                <w:szCs w:val="22"/>
                <w:lang w:val="pt-BR"/>
              </w:rPr>
            </w:pPr>
            <w:r>
              <w:rPr>
                <w:rFonts w:ascii="Verdana" w:eastAsia="Verdana" w:hAnsi="Verdana" w:cs="Verdana"/>
                <w:color w:val="000000"/>
                <w:sz w:val="16"/>
                <w:szCs w:val="22"/>
                <w:lang w:val="pt-BR"/>
              </w:rPr>
              <w:t>Adjustments between accounting basis and funding basis under regulations</w:t>
            </w:r>
          </w:p>
        </w:tc>
        <w:tc>
          <w:tcPr>
            <w:tcW w:w="1589" w:type="dxa"/>
            <w:tcBorders>
              <w:lef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(141,391)</w:t>
            </w:r>
          </w:p>
        </w:tc>
        <w:tc>
          <w:tcPr>
            <w:tcW w:w="1589" w:type="dxa"/>
            <w:tcBorders>
              <w:left w:val="single" w:sz="2" w:space="0" w:color="000000"/>
              <w:righ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(141,391)</w:t>
            </w:r>
          </w:p>
        </w:tc>
        <w:tc>
          <w:tcPr>
            <w:tcW w:w="1724" w:type="dxa"/>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141,391</w:t>
            </w:r>
          </w:p>
        </w:tc>
        <w:tc>
          <w:tcPr>
            <w:tcW w:w="1724" w:type="dxa"/>
            <w:tcBorders>
              <w:lef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w:t>
            </w:r>
          </w:p>
        </w:tc>
      </w:tr>
      <w:tr w:rsidR="001A0AA1" w:rsidTr="00B60B19">
        <w:trPr>
          <w:trHeight w:val="234"/>
        </w:trPr>
        <w:tc>
          <w:tcPr>
            <w:tcW w:w="3354" w:type="dxa"/>
            <w:tcBorders>
              <w:top w:val="single" w:sz="2" w:space="0" w:color="000000"/>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rPr>
                <w:rFonts w:ascii="Verdana" w:eastAsia="Verdana" w:hAnsi="Verdana" w:cs="Verdana"/>
                <w:b/>
                <w:color w:val="000000"/>
                <w:sz w:val="16"/>
                <w:szCs w:val="22"/>
                <w:lang w:val="pt-BR"/>
              </w:rPr>
            </w:pPr>
            <w:r>
              <w:rPr>
                <w:rFonts w:ascii="Verdana" w:eastAsia="Verdana" w:hAnsi="Verdana" w:cs="Verdana"/>
                <w:b/>
                <w:color w:val="000000"/>
                <w:sz w:val="16"/>
                <w:szCs w:val="22"/>
                <w:lang w:val="pt-BR"/>
              </w:rPr>
              <w:t>Increase or Decrease in 2018/19</w:t>
            </w:r>
          </w:p>
        </w:tc>
        <w:tc>
          <w:tcPr>
            <w:tcW w:w="1589"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w:t>
            </w:r>
          </w:p>
        </w:tc>
        <w:tc>
          <w:tcPr>
            <w:tcW w:w="1589"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w:t>
            </w:r>
          </w:p>
        </w:tc>
        <w:tc>
          <w:tcPr>
            <w:tcW w:w="1724" w:type="dxa"/>
            <w:tcBorders>
              <w:top w:val="single" w:sz="2" w:space="0" w:color="000000"/>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229,011</w:t>
            </w:r>
          </w:p>
        </w:tc>
        <w:tc>
          <w:tcPr>
            <w:tcW w:w="1724"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229,011</w:t>
            </w:r>
          </w:p>
        </w:tc>
      </w:tr>
      <w:tr w:rsidR="001A0AA1" w:rsidTr="00B60B19">
        <w:trPr>
          <w:trHeight w:val="167"/>
        </w:trPr>
        <w:tc>
          <w:tcPr>
            <w:tcW w:w="3354" w:type="dxa"/>
            <w:tcBorders>
              <w:top w:val="single" w:sz="2" w:space="0" w:color="000000"/>
              <w:bottom w:val="single" w:sz="12" w:space="0" w:color="000000"/>
            </w:tcBorders>
            <w:shd w:val="clear" w:color="auto" w:fill="auto"/>
            <w:tcMar>
              <w:top w:w="20" w:type="dxa"/>
              <w:left w:w="20" w:type="dxa"/>
              <w:bottom w:w="20" w:type="dxa"/>
              <w:right w:w="20" w:type="dxa"/>
            </w:tcMar>
          </w:tcPr>
          <w:p w:rsidR="001A0AA1" w:rsidRDefault="001A0AA1" w:rsidP="001A0AA1">
            <w:pPr>
              <w:pStyle w:val="T1TableStyle"/>
              <w:rPr>
                <w:rFonts w:ascii="Verdana" w:eastAsia="Verdana" w:hAnsi="Verdana" w:cs="Verdana"/>
                <w:b/>
                <w:color w:val="000000"/>
                <w:sz w:val="16"/>
                <w:szCs w:val="22"/>
                <w:lang w:val="pt-BR"/>
              </w:rPr>
            </w:pPr>
            <w:r>
              <w:rPr>
                <w:rFonts w:ascii="Verdana" w:eastAsia="Verdana" w:hAnsi="Verdana" w:cs="Verdana"/>
                <w:b/>
                <w:color w:val="000000"/>
                <w:sz w:val="16"/>
                <w:szCs w:val="22"/>
                <w:lang w:val="pt-BR"/>
              </w:rPr>
              <w:t>Balance at 31 March 2019</w:t>
            </w:r>
          </w:p>
        </w:tc>
        <w:tc>
          <w:tcPr>
            <w:tcW w:w="1589"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w:t>
            </w:r>
          </w:p>
        </w:tc>
        <w:tc>
          <w:tcPr>
            <w:tcW w:w="1589" w:type="dxa"/>
            <w:tcBorders>
              <w:top w:val="single" w:sz="2" w:space="0" w:color="000000"/>
              <w:left w:val="single" w:sz="2" w:space="0" w:color="000000"/>
              <w:bottom w:val="single" w:sz="12" w:space="0" w:color="000000"/>
              <w:right w:val="single" w:sz="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0</w:t>
            </w:r>
          </w:p>
        </w:tc>
        <w:tc>
          <w:tcPr>
            <w:tcW w:w="1724" w:type="dxa"/>
            <w:tcBorders>
              <w:top w:val="single" w:sz="2" w:space="0" w:color="000000"/>
              <w:bottom w:val="single" w:sz="1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2,157,838</w:t>
            </w:r>
          </w:p>
        </w:tc>
        <w:tc>
          <w:tcPr>
            <w:tcW w:w="1724"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rsidR="001A0AA1" w:rsidRDefault="001A0AA1" w:rsidP="001A0AA1">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2,157,838</w:t>
            </w:r>
          </w:p>
        </w:tc>
      </w:tr>
      <w:tr w:rsidR="001A0AA1" w:rsidTr="00B60B19">
        <w:trPr>
          <w:trHeight w:hRule="exact" w:val="75"/>
        </w:trPr>
        <w:tc>
          <w:tcPr>
            <w:tcW w:w="3354" w:type="dxa"/>
            <w:shd w:val="clear" w:color="auto" w:fill="auto"/>
            <w:tcMar>
              <w:top w:w="20" w:type="dxa"/>
              <w:left w:w="20" w:type="dxa"/>
              <w:bottom w:w="20" w:type="dxa"/>
              <w:right w:w="20" w:type="dxa"/>
            </w:tcMar>
          </w:tcPr>
          <w:p w:rsidR="001A0AA1" w:rsidRDefault="001A0AA1" w:rsidP="001A0AA1">
            <w:pPr>
              <w:pStyle w:val="T1TableStyle"/>
              <w:jc w:val="center"/>
              <w:rPr>
                <w:rFonts w:ascii="Verdana" w:eastAsia="Verdana" w:hAnsi="Verdana" w:cs="Verdana"/>
                <w:color w:val="000000"/>
                <w:sz w:val="2"/>
                <w:szCs w:val="22"/>
                <w:lang w:val="pt-BR"/>
              </w:rPr>
            </w:pPr>
            <w:r>
              <w:rPr>
                <w:rFonts w:ascii="Verdana" w:eastAsia="Verdana" w:hAnsi="Verdana" w:cs="Verdana"/>
                <w:color w:val="000000"/>
                <w:sz w:val="2"/>
                <w:szCs w:val="22"/>
                <w:lang w:val="pt-BR"/>
              </w:rPr>
              <w:t xml:space="preserve"> </w:t>
            </w:r>
          </w:p>
        </w:tc>
        <w:tc>
          <w:tcPr>
            <w:tcW w:w="1589" w:type="dxa"/>
            <w:shd w:val="clear" w:color="auto" w:fill="auto"/>
            <w:tcMar>
              <w:top w:w="20" w:type="dxa"/>
              <w:left w:w="20" w:type="dxa"/>
              <w:bottom w:w="20" w:type="dxa"/>
              <w:right w:w="20" w:type="dxa"/>
            </w:tcMar>
          </w:tcPr>
          <w:p w:rsidR="001A0AA1" w:rsidRDefault="001A0AA1" w:rsidP="001A0AA1">
            <w:pPr>
              <w:pStyle w:val="T1TableStyle"/>
              <w:jc w:val="center"/>
              <w:rPr>
                <w:rFonts w:ascii="Verdana" w:eastAsia="Verdana" w:hAnsi="Verdana" w:cs="Verdana"/>
                <w:color w:val="000000"/>
                <w:sz w:val="2"/>
                <w:szCs w:val="22"/>
                <w:lang w:val="pt-BR"/>
              </w:rPr>
            </w:pPr>
            <w:r>
              <w:rPr>
                <w:rFonts w:ascii="Verdana" w:eastAsia="Verdana" w:hAnsi="Verdana" w:cs="Verdana"/>
                <w:color w:val="000000"/>
                <w:sz w:val="2"/>
                <w:szCs w:val="22"/>
                <w:lang w:val="pt-BR"/>
              </w:rPr>
              <w:t xml:space="preserve"> </w:t>
            </w:r>
          </w:p>
        </w:tc>
        <w:tc>
          <w:tcPr>
            <w:tcW w:w="1589" w:type="dxa"/>
            <w:shd w:val="clear" w:color="auto" w:fill="auto"/>
            <w:tcMar>
              <w:top w:w="20" w:type="dxa"/>
              <w:left w:w="20" w:type="dxa"/>
              <w:bottom w:w="20" w:type="dxa"/>
              <w:right w:w="20" w:type="dxa"/>
            </w:tcMar>
          </w:tcPr>
          <w:p w:rsidR="001A0AA1" w:rsidRDefault="001A0AA1" w:rsidP="001A0AA1">
            <w:pPr>
              <w:pStyle w:val="T1TableStyle"/>
              <w:jc w:val="center"/>
              <w:rPr>
                <w:rFonts w:ascii="Verdana" w:eastAsia="Verdana" w:hAnsi="Verdana" w:cs="Verdana"/>
                <w:color w:val="000000"/>
                <w:sz w:val="2"/>
                <w:szCs w:val="22"/>
                <w:lang w:val="pt-BR"/>
              </w:rPr>
            </w:pPr>
            <w:r>
              <w:rPr>
                <w:rFonts w:ascii="Verdana" w:eastAsia="Verdana" w:hAnsi="Verdana" w:cs="Verdana"/>
                <w:color w:val="000000"/>
                <w:sz w:val="2"/>
                <w:szCs w:val="22"/>
                <w:lang w:val="pt-BR"/>
              </w:rPr>
              <w:t xml:space="preserve"> </w:t>
            </w:r>
          </w:p>
        </w:tc>
        <w:tc>
          <w:tcPr>
            <w:tcW w:w="1724" w:type="dxa"/>
            <w:shd w:val="clear" w:color="auto" w:fill="auto"/>
            <w:tcMar>
              <w:top w:w="20" w:type="dxa"/>
              <w:left w:w="20" w:type="dxa"/>
              <w:bottom w:w="20" w:type="dxa"/>
              <w:right w:w="20" w:type="dxa"/>
            </w:tcMar>
            <w:vAlign w:val="center"/>
          </w:tcPr>
          <w:p w:rsidR="001A0AA1" w:rsidRDefault="001A0AA1" w:rsidP="001A0AA1">
            <w:pPr>
              <w:pStyle w:val="T1TableStyle"/>
              <w:jc w:val="center"/>
              <w:rPr>
                <w:rFonts w:ascii="Calibri" w:eastAsia="Calibri" w:hAnsi="Calibri" w:cs="Calibri"/>
                <w:color w:val="000000"/>
                <w:sz w:val="2"/>
                <w:szCs w:val="22"/>
                <w:lang w:val="pt-BR"/>
              </w:rPr>
            </w:pPr>
            <w:r>
              <w:rPr>
                <w:rFonts w:ascii="Calibri" w:eastAsia="Calibri" w:hAnsi="Calibri" w:cs="Calibri"/>
                <w:color w:val="000000"/>
                <w:sz w:val="2"/>
                <w:szCs w:val="22"/>
                <w:lang w:val="pt-BR"/>
              </w:rPr>
              <w:t xml:space="preserve"> </w:t>
            </w:r>
          </w:p>
        </w:tc>
        <w:tc>
          <w:tcPr>
            <w:tcW w:w="1724" w:type="dxa"/>
            <w:shd w:val="clear" w:color="auto" w:fill="auto"/>
            <w:tcMar>
              <w:top w:w="20" w:type="dxa"/>
              <w:left w:w="20" w:type="dxa"/>
              <w:bottom w:w="20" w:type="dxa"/>
              <w:right w:w="20" w:type="dxa"/>
            </w:tcMar>
          </w:tcPr>
          <w:p w:rsidR="001A0AA1" w:rsidRDefault="001A0AA1" w:rsidP="001A0AA1">
            <w:pPr>
              <w:pStyle w:val="T1TableStyle"/>
              <w:jc w:val="center"/>
              <w:rPr>
                <w:rFonts w:ascii="Verdana" w:eastAsia="Verdana" w:hAnsi="Verdana" w:cs="Verdana"/>
                <w:color w:val="000000"/>
                <w:sz w:val="2"/>
                <w:szCs w:val="22"/>
                <w:lang w:val="pt-BR"/>
              </w:rPr>
            </w:pPr>
            <w:r>
              <w:rPr>
                <w:rFonts w:ascii="Verdana" w:eastAsia="Verdana" w:hAnsi="Verdana" w:cs="Verdana"/>
                <w:color w:val="000000"/>
                <w:sz w:val="2"/>
                <w:szCs w:val="22"/>
                <w:lang w:val="pt-BR"/>
              </w:rPr>
              <w:t xml:space="preserve"> </w:t>
            </w:r>
          </w:p>
        </w:tc>
      </w:tr>
    </w:tbl>
    <w:p w:rsidR="00F227D9" w:rsidRPr="00F81266" w:rsidRDefault="00BD4D89" w:rsidP="001A0AA1">
      <w:pPr>
        <w:pStyle w:val="T1TableStyle"/>
        <w:rPr>
          <w:rFonts w:ascii="Verdana" w:hAnsi="Verdana"/>
          <w:sz w:val="22"/>
          <w:szCs w:val="22"/>
          <w:lang w:val="pt-BR"/>
        </w:rPr>
        <w:sectPr w:rsidR="00F227D9" w:rsidRPr="00F81266" w:rsidSect="00F227D9">
          <w:pgSz w:w="11900" w:h="16840"/>
          <w:pgMar w:top="720" w:right="720" w:bottom="720" w:left="720" w:header="708" w:footer="708" w:gutter="0"/>
          <w:cols w:space="708"/>
          <w:docGrid w:linePitch="360"/>
        </w:sectPr>
      </w:pPr>
      <w:r>
        <w:rPr>
          <w:rFonts w:ascii="Verdana" w:hAnsi="Verdana"/>
          <w:sz w:val="22"/>
          <w:szCs w:val="22"/>
          <w:lang w:val="pt-BR"/>
        </w:rPr>
        <w:br w:type="textWrapping" w:clear="all"/>
      </w:r>
    </w:p>
    <w:p w:rsidR="00F227D9" w:rsidRDefault="00F227D9" w:rsidP="00F227D9">
      <w:pPr>
        <w:pStyle w:val="Heading1"/>
        <w:spacing w:after="240"/>
        <w:rPr>
          <w:lang w:val="pt-BR"/>
        </w:rPr>
      </w:pPr>
      <w:bookmarkStart w:id="6" w:name="_Toc55900976"/>
      <w:r>
        <w:rPr>
          <w:lang w:val="pt-BR"/>
        </w:rPr>
        <w:t>Comprehensive Income and Expenditure Statement</w:t>
      </w:r>
      <w:bookmarkEnd w:id="6"/>
      <w:r>
        <w:rPr>
          <w:lang w:val="pt-BR"/>
        </w:rPr>
        <w:t xml:space="preserve"> </w:t>
      </w:r>
    </w:p>
    <w:p w:rsidR="00F227D9" w:rsidRDefault="00F227D9" w:rsidP="00080023">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 Comprehensive Income and Expenditure Statement shows the accounting cost in the year of providing services in accordance with generally accepted accounting practices, rather than the amount to be funded from taxation. Police and Crime Commissioners raise taxation to cover expenditure in accordance with statutory requirements; this may be different from the accounting cost. The taxation position is shown in both the Expenditure and Funding Analysis and the Movement in Reserves Statement.</w:t>
      </w:r>
    </w:p>
    <w:tbl>
      <w:tblPr>
        <w:tblW w:w="0" w:type="auto"/>
        <w:jc w:val="center"/>
        <w:tblLayout w:type="fixed"/>
        <w:tblLook w:val="04A0" w:firstRow="1" w:lastRow="0" w:firstColumn="1" w:lastColumn="0" w:noHBand="0" w:noVBand="1"/>
      </w:tblPr>
      <w:tblGrid>
        <w:gridCol w:w="1230"/>
        <w:gridCol w:w="1335"/>
        <w:gridCol w:w="1230"/>
        <w:gridCol w:w="600"/>
        <w:gridCol w:w="2280"/>
        <w:gridCol w:w="1230"/>
        <w:gridCol w:w="1335"/>
        <w:gridCol w:w="1230"/>
      </w:tblGrid>
      <w:tr w:rsidR="0053376B" w:rsidTr="00D835CC">
        <w:trPr>
          <w:trHeight w:val="255"/>
          <w:jc w:val="center"/>
        </w:trPr>
        <w:tc>
          <w:tcPr>
            <w:tcW w:w="3795" w:type="dxa"/>
            <w:gridSpan w:val="3"/>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2018/19</w:t>
            </w:r>
          </w:p>
        </w:tc>
        <w:tc>
          <w:tcPr>
            <w:tcW w:w="600" w:type="dxa"/>
            <w:shd w:val="clear" w:color="auto" w:fill="auto"/>
            <w:tcMar>
              <w:top w:w="20" w:type="dxa"/>
              <w:left w:w="20" w:type="dxa"/>
              <w:bottom w:w="20" w:type="dxa"/>
              <w:right w:w="20" w:type="dxa"/>
            </w:tcMar>
            <w:vAlign w:val="bottom"/>
          </w:tcPr>
          <w:p w:rsidR="00F227D9" w:rsidRDefault="00F227D9">
            <w:pPr>
              <w:pStyle w:val="T1TableStyle"/>
              <w:jc w:val="center"/>
              <w:rPr>
                <w:rFonts w:ascii="Calibri" w:eastAsia="Calibri" w:hAnsi="Calibri" w:cs="Calibri"/>
                <w:b/>
                <w:color w:val="000000"/>
                <w:sz w:val="2"/>
                <w:lang w:val="en-GB"/>
              </w:rPr>
            </w:pPr>
            <w:r>
              <w:rPr>
                <w:rFonts w:ascii="Calibri" w:eastAsia="Calibri" w:hAnsi="Calibri" w:cs="Calibri"/>
                <w:b/>
                <w:color w:val="000000"/>
                <w:sz w:val="2"/>
                <w:lang w:val="en-GB"/>
              </w:rPr>
              <w:t xml:space="preserve"> </w:t>
            </w:r>
          </w:p>
        </w:tc>
        <w:tc>
          <w:tcPr>
            <w:tcW w:w="2280"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795" w:type="dxa"/>
            <w:gridSpan w:val="3"/>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2019/20</w:t>
            </w:r>
          </w:p>
        </w:tc>
      </w:tr>
      <w:tr w:rsidR="0053376B" w:rsidTr="00D835CC">
        <w:trPr>
          <w:trHeight w:val="255"/>
          <w:jc w:val="center"/>
        </w:trPr>
        <w:tc>
          <w:tcPr>
            <w:tcW w:w="1230"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Expenditure</w:t>
            </w:r>
          </w:p>
        </w:tc>
        <w:tc>
          <w:tcPr>
            <w:tcW w:w="133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Income</w:t>
            </w:r>
          </w:p>
        </w:tc>
        <w:tc>
          <w:tcPr>
            <w:tcW w:w="1230"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Net</w:t>
            </w:r>
          </w:p>
        </w:tc>
        <w:tc>
          <w:tcPr>
            <w:tcW w:w="600" w:type="dxa"/>
            <w:shd w:val="clear" w:color="auto" w:fill="auto"/>
            <w:tcMar>
              <w:top w:w="20" w:type="dxa"/>
              <w:left w:w="20" w:type="dxa"/>
              <w:bottom w:w="20" w:type="dxa"/>
              <w:right w:w="20" w:type="dxa"/>
            </w:tcMar>
            <w:vAlign w:val="bottom"/>
          </w:tcPr>
          <w:p w:rsidR="00F227D9" w:rsidRDefault="00F227D9">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280"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Expenditure</w:t>
            </w:r>
          </w:p>
        </w:tc>
        <w:tc>
          <w:tcPr>
            <w:tcW w:w="133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Income</w:t>
            </w:r>
          </w:p>
        </w:tc>
        <w:tc>
          <w:tcPr>
            <w:tcW w:w="1230"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Net</w:t>
            </w:r>
          </w:p>
        </w:tc>
      </w:tr>
      <w:tr w:rsidR="0053376B" w:rsidTr="00D835CC">
        <w:trPr>
          <w:trHeight w:val="255"/>
          <w:jc w:val="center"/>
        </w:trPr>
        <w:tc>
          <w:tcPr>
            <w:tcW w:w="1230"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600"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Notes</w:t>
            </w:r>
          </w:p>
        </w:tc>
        <w:tc>
          <w:tcPr>
            <w:tcW w:w="2280"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30"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209,450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209,450</w:t>
            </w:r>
          </w:p>
        </w:tc>
        <w:tc>
          <w:tcPr>
            <w:tcW w:w="600" w:type="dxa"/>
            <w:shd w:val="clear" w:color="auto" w:fill="auto"/>
            <w:tcMar>
              <w:top w:w="20" w:type="dxa"/>
              <w:left w:w="20" w:type="dxa"/>
              <w:bottom w:w="20" w:type="dxa"/>
              <w:right w:w="20" w:type="dxa"/>
            </w:tcMar>
          </w:tcPr>
          <w:p w:rsidR="00F227D9" w:rsidRPr="00EA146B" w:rsidRDefault="00374FBB">
            <w:pPr>
              <w:pStyle w:val="T1TableStyle"/>
              <w:jc w:val="center"/>
              <w:rPr>
                <w:rFonts w:ascii="Verdana" w:eastAsia="Calibri" w:hAnsi="Verdana" w:cs="Calibri"/>
                <w:color w:val="000000"/>
                <w:sz w:val="16"/>
                <w:szCs w:val="16"/>
                <w:lang w:val="en-GB"/>
              </w:rPr>
            </w:pPr>
            <w:r w:rsidRPr="00EA146B">
              <w:rPr>
                <w:rFonts w:ascii="Verdana" w:eastAsia="Calibri" w:hAnsi="Verdana" w:cs="Calibri"/>
                <w:color w:val="000000"/>
                <w:sz w:val="16"/>
                <w:szCs w:val="16"/>
                <w:lang w:val="en-GB"/>
              </w:rPr>
              <w:t xml:space="preserve"> </w:t>
            </w:r>
            <w:r w:rsidR="00F227D9" w:rsidRPr="00EA146B">
              <w:rPr>
                <w:rFonts w:ascii="Verdana" w:eastAsia="Calibri" w:hAnsi="Verdana" w:cs="Calibri"/>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Police Payroll</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r w:rsidR="00177F85">
              <w:rPr>
                <w:rFonts w:ascii="Verdana" w:eastAsia="Verdana" w:hAnsi="Verdana" w:cs="Verdana"/>
                <w:color w:val="000000"/>
                <w:sz w:val="16"/>
                <w:lang w:val="en-GB"/>
              </w:rPr>
              <w:t>30</w:t>
            </w:r>
            <w:r>
              <w:rPr>
                <w:rFonts w:ascii="Verdana" w:eastAsia="Verdana" w:hAnsi="Verdana" w:cs="Verdana"/>
                <w:color w:val="000000"/>
                <w:sz w:val="16"/>
                <w:lang w:val="en-GB"/>
              </w:rPr>
              <w:t>,</w:t>
            </w:r>
            <w:r w:rsidR="003331E5">
              <w:rPr>
                <w:rFonts w:ascii="Verdana" w:eastAsia="Verdana" w:hAnsi="Verdana" w:cs="Verdana"/>
                <w:color w:val="000000"/>
                <w:sz w:val="16"/>
                <w:lang w:val="en-GB"/>
              </w:rPr>
              <w:t>232</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r w:rsidR="00177F85">
              <w:rPr>
                <w:rFonts w:ascii="Verdana" w:eastAsia="Verdana" w:hAnsi="Verdana" w:cs="Verdana"/>
                <w:color w:val="000000"/>
                <w:sz w:val="16"/>
                <w:lang w:val="en-GB"/>
              </w:rPr>
              <w:t>30</w:t>
            </w:r>
            <w:r>
              <w:rPr>
                <w:rFonts w:ascii="Verdana" w:eastAsia="Verdana" w:hAnsi="Verdana" w:cs="Verdana"/>
                <w:color w:val="000000"/>
                <w:sz w:val="16"/>
                <w:lang w:val="en-GB"/>
              </w:rPr>
              <w:t>,</w:t>
            </w:r>
            <w:r w:rsidR="003331E5">
              <w:rPr>
                <w:rFonts w:ascii="Verdana" w:eastAsia="Verdana" w:hAnsi="Verdana" w:cs="Verdana"/>
                <w:color w:val="000000"/>
                <w:sz w:val="16"/>
                <w:lang w:val="en-GB"/>
              </w:rPr>
              <w:t>232</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4,270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4,270</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Verdana" w:eastAsia="Calibri" w:hAnsi="Verdana" w:cs="Calibri"/>
                <w:color w:val="000000"/>
                <w:sz w:val="16"/>
                <w:szCs w:val="16"/>
                <w:lang w:val="en-GB"/>
              </w:rPr>
            </w:pPr>
            <w:r w:rsidRPr="00EA146B">
              <w:rPr>
                <w:rFonts w:ascii="Verdana" w:eastAsia="Calibri" w:hAnsi="Verdana" w:cs="Calibri"/>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Police Overtime</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5,377</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5,377</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rsidP="00893122">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72,64</w:t>
            </w:r>
            <w:r w:rsidR="00893122">
              <w:rPr>
                <w:rFonts w:ascii="Verdana" w:eastAsia="Verdana" w:hAnsi="Verdana" w:cs="Verdana"/>
                <w:color w:val="000000"/>
                <w:sz w:val="16"/>
                <w:lang w:val="en-GB"/>
              </w:rPr>
              <w:t>2</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rsidP="00893122">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72,64</w:t>
            </w:r>
            <w:r w:rsidR="00893122">
              <w:rPr>
                <w:rFonts w:ascii="Verdana" w:eastAsia="Verdana" w:hAnsi="Verdana" w:cs="Verdana"/>
                <w:color w:val="000000"/>
                <w:sz w:val="16"/>
                <w:lang w:val="en-GB"/>
              </w:rPr>
              <w:t>2</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Verdana" w:eastAsia="Calibri" w:hAnsi="Verdana" w:cs="Calibri"/>
                <w:color w:val="000000"/>
                <w:sz w:val="16"/>
                <w:szCs w:val="16"/>
                <w:lang w:val="en-GB"/>
              </w:rPr>
            </w:pPr>
            <w:r w:rsidRPr="00EA146B">
              <w:rPr>
                <w:rFonts w:ascii="Verdana" w:eastAsia="Calibri" w:hAnsi="Verdana" w:cs="Calibri"/>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Staff Payroll</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7</w:t>
            </w:r>
            <w:r w:rsidR="00177F85">
              <w:rPr>
                <w:rFonts w:ascii="Verdana" w:eastAsia="Verdana" w:hAnsi="Verdana" w:cs="Verdana"/>
                <w:color w:val="000000"/>
                <w:sz w:val="16"/>
                <w:lang w:val="en-GB"/>
              </w:rPr>
              <w:t>5</w:t>
            </w:r>
            <w:r w:rsidRPr="00D51113">
              <w:rPr>
                <w:rFonts w:ascii="Verdana" w:eastAsia="Verdana" w:hAnsi="Verdana" w:cs="Verdana"/>
                <w:color w:val="000000"/>
                <w:sz w:val="16"/>
                <w:lang w:val="en-GB"/>
              </w:rPr>
              <w:t>,</w:t>
            </w:r>
            <w:r w:rsidR="003331E5">
              <w:rPr>
                <w:rFonts w:ascii="Verdana" w:eastAsia="Verdana" w:hAnsi="Verdana" w:cs="Verdana"/>
                <w:color w:val="000000"/>
                <w:sz w:val="16"/>
                <w:lang w:val="en-GB"/>
              </w:rPr>
              <w:t>79</w:t>
            </w:r>
            <w:r w:rsidR="004815E2">
              <w:rPr>
                <w:rFonts w:ascii="Verdana" w:eastAsia="Verdana" w:hAnsi="Verdana" w:cs="Verdana"/>
                <w:color w:val="000000"/>
                <w:sz w:val="16"/>
                <w:lang w:val="en-GB"/>
              </w:rPr>
              <w:t>7</w:t>
            </w:r>
          </w:p>
        </w:tc>
        <w:tc>
          <w:tcPr>
            <w:tcW w:w="1335"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7</w:t>
            </w:r>
            <w:r w:rsidR="00177F85">
              <w:rPr>
                <w:rFonts w:ascii="Verdana" w:eastAsia="Verdana" w:hAnsi="Verdana" w:cs="Verdana"/>
                <w:color w:val="000000"/>
                <w:sz w:val="16"/>
                <w:lang w:val="en-GB"/>
              </w:rPr>
              <w:t>5</w:t>
            </w:r>
            <w:r w:rsidRPr="00D51113">
              <w:rPr>
                <w:rFonts w:ascii="Verdana" w:eastAsia="Verdana" w:hAnsi="Verdana" w:cs="Verdana"/>
                <w:color w:val="000000"/>
                <w:sz w:val="16"/>
                <w:lang w:val="en-GB"/>
              </w:rPr>
              <w:t>,</w:t>
            </w:r>
            <w:r w:rsidR="003331E5">
              <w:rPr>
                <w:rFonts w:ascii="Verdana" w:eastAsia="Verdana" w:hAnsi="Verdana" w:cs="Verdana"/>
                <w:color w:val="000000"/>
                <w:sz w:val="16"/>
                <w:lang w:val="en-GB"/>
              </w:rPr>
              <w:t>79</w:t>
            </w:r>
            <w:r w:rsidR="004815E2">
              <w:rPr>
                <w:rFonts w:ascii="Verdana" w:eastAsia="Verdana" w:hAnsi="Verdana" w:cs="Verdana"/>
                <w:color w:val="000000"/>
                <w:sz w:val="16"/>
                <w:lang w:val="en-GB"/>
              </w:rPr>
              <w:t>7</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1,437</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1,437</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Verdana" w:eastAsia="Calibri" w:hAnsi="Verdana" w:cs="Calibri"/>
                <w:color w:val="000000"/>
                <w:sz w:val="16"/>
                <w:szCs w:val="16"/>
                <w:lang w:val="en-GB"/>
              </w:rPr>
            </w:pPr>
            <w:r w:rsidRPr="00EA146B">
              <w:rPr>
                <w:rFonts w:ascii="Verdana" w:eastAsia="Calibri" w:hAnsi="Verdana" w:cs="Calibri"/>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Staff Overtime</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1,695</w:t>
            </w:r>
          </w:p>
        </w:tc>
        <w:tc>
          <w:tcPr>
            <w:tcW w:w="1335"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1,695</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1,048</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1,048</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Verdana" w:eastAsia="Calibri" w:hAnsi="Verdana" w:cs="Calibri"/>
                <w:color w:val="000000"/>
                <w:sz w:val="16"/>
                <w:szCs w:val="16"/>
                <w:lang w:val="en-GB"/>
              </w:rPr>
            </w:pPr>
            <w:r w:rsidRPr="00EA146B">
              <w:rPr>
                <w:rFonts w:ascii="Verdana" w:eastAsia="Calibri" w:hAnsi="Verdana" w:cs="Calibri"/>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Agency</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2,014</w:t>
            </w:r>
          </w:p>
        </w:tc>
        <w:tc>
          <w:tcPr>
            <w:tcW w:w="1335"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2,014</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1,169</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1,169</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Verdana" w:eastAsia="Verdana" w:hAnsi="Verdana" w:cs="Verdana"/>
                <w:color w:val="000000"/>
                <w:sz w:val="16"/>
                <w:szCs w:val="16"/>
                <w:lang w:val="en-GB"/>
              </w:rPr>
            </w:pPr>
            <w:r w:rsidRPr="00EA146B">
              <w:rPr>
                <w:rFonts w:ascii="Verdana" w:eastAsia="Verdana" w:hAnsi="Verdana" w:cs="Verdana"/>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Training</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1,144</w:t>
            </w:r>
          </w:p>
        </w:tc>
        <w:tc>
          <w:tcPr>
            <w:tcW w:w="1335"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1,144</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1,800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1,800</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Verdana" w:eastAsia="Verdana" w:hAnsi="Verdana" w:cs="Verdana"/>
                <w:color w:val="000000"/>
                <w:sz w:val="16"/>
                <w:szCs w:val="16"/>
                <w:lang w:val="en-GB"/>
              </w:rPr>
            </w:pPr>
            <w:r w:rsidRPr="00EA146B">
              <w:rPr>
                <w:rFonts w:ascii="Verdana" w:eastAsia="Verdana" w:hAnsi="Verdana" w:cs="Verdana"/>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Payroll Costs</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1,736</w:t>
            </w:r>
          </w:p>
        </w:tc>
        <w:tc>
          <w:tcPr>
            <w:tcW w:w="1335"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1,736</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9,722</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9,722</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Verdana" w:eastAsia="Verdana" w:hAnsi="Verdana" w:cs="Verdana"/>
                <w:color w:val="000000"/>
                <w:sz w:val="16"/>
                <w:szCs w:val="16"/>
                <w:lang w:val="en-GB"/>
              </w:rPr>
            </w:pPr>
            <w:r w:rsidRPr="00EA146B">
              <w:rPr>
                <w:rFonts w:ascii="Verdana" w:eastAsia="Verdana" w:hAnsi="Verdana" w:cs="Verdana"/>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Premises</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12,643</w:t>
            </w:r>
          </w:p>
        </w:tc>
        <w:tc>
          <w:tcPr>
            <w:tcW w:w="1335"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12,643</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26,297</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26,297</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Verdana" w:eastAsia="Verdana" w:hAnsi="Verdana" w:cs="Verdana"/>
                <w:color w:val="000000"/>
                <w:sz w:val="16"/>
                <w:szCs w:val="16"/>
                <w:lang w:val="en-GB"/>
              </w:rPr>
            </w:pPr>
            <w:r w:rsidRPr="00EA146B">
              <w:rPr>
                <w:rFonts w:ascii="Verdana" w:eastAsia="Verdana" w:hAnsi="Verdana" w:cs="Verdana"/>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Supplies and Services</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26,876</w:t>
            </w:r>
          </w:p>
        </w:tc>
        <w:tc>
          <w:tcPr>
            <w:tcW w:w="1335"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26,876</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4,460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4,460</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Verdana" w:eastAsia="Verdana" w:hAnsi="Verdana" w:cs="Verdana"/>
                <w:color w:val="000000"/>
                <w:sz w:val="16"/>
                <w:szCs w:val="16"/>
                <w:lang w:val="en-GB"/>
              </w:rPr>
            </w:pPr>
            <w:r w:rsidRPr="00EA146B">
              <w:rPr>
                <w:rFonts w:ascii="Verdana" w:eastAsia="Verdana" w:hAnsi="Verdana" w:cs="Verdana"/>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Transport</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5,273</w:t>
            </w:r>
          </w:p>
        </w:tc>
        <w:tc>
          <w:tcPr>
            <w:tcW w:w="1335"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5,273</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8,879</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8,879</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Verdana" w:eastAsia="Verdana" w:hAnsi="Verdana" w:cs="Verdana"/>
                <w:color w:val="000000"/>
                <w:sz w:val="16"/>
                <w:szCs w:val="16"/>
                <w:lang w:val="en-GB"/>
              </w:rPr>
            </w:pPr>
            <w:r w:rsidRPr="00EA146B">
              <w:rPr>
                <w:rFonts w:ascii="Verdana" w:eastAsia="Verdana" w:hAnsi="Verdana" w:cs="Verdana"/>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444662">
            <w:pPr>
              <w:pStyle w:val="T1TableStyle"/>
              <w:rPr>
                <w:rFonts w:ascii="Verdana" w:eastAsia="Verdana" w:hAnsi="Verdana" w:cs="Verdana"/>
                <w:color w:val="000000"/>
                <w:sz w:val="16"/>
                <w:lang w:val="en-GB"/>
              </w:rPr>
            </w:pPr>
            <w:r>
              <w:rPr>
                <w:rFonts w:ascii="Verdana" w:eastAsia="Verdana" w:hAnsi="Verdana" w:cs="Verdana"/>
                <w:color w:val="000000"/>
                <w:sz w:val="16"/>
                <w:lang w:val="en-GB"/>
              </w:rPr>
              <w:t>*</w:t>
            </w:r>
            <w:r w:rsidR="00F227D9">
              <w:rPr>
                <w:rFonts w:ascii="Verdana" w:eastAsia="Verdana" w:hAnsi="Verdana" w:cs="Verdana"/>
                <w:color w:val="000000"/>
                <w:sz w:val="16"/>
                <w:lang w:val="en-GB"/>
              </w:rPr>
              <w:t>Depreciation</w:t>
            </w:r>
            <w:r w:rsidR="007B6813">
              <w:rPr>
                <w:rFonts w:ascii="Verdana" w:eastAsia="Verdana" w:hAnsi="Verdana" w:cs="Verdana"/>
                <w:color w:val="000000"/>
                <w:sz w:val="16"/>
                <w:lang w:val="en-GB"/>
              </w:rPr>
              <w:t>/Amortisation</w:t>
            </w:r>
          </w:p>
          <w:p w:rsidR="00444662" w:rsidRDefault="00444662">
            <w:pPr>
              <w:pStyle w:val="T1TableStyle"/>
              <w:rPr>
                <w:rFonts w:ascii="Verdana" w:eastAsia="Verdana" w:hAnsi="Verdana" w:cs="Verdana"/>
                <w:color w:val="000000"/>
                <w:sz w:val="16"/>
                <w:lang w:val="en-GB"/>
              </w:rPr>
            </w:pPr>
            <w:r>
              <w:rPr>
                <w:rFonts w:ascii="Verdana" w:eastAsia="Verdana" w:hAnsi="Verdana" w:cs="Verdana"/>
                <w:color w:val="000000"/>
                <w:sz w:val="16"/>
                <w:lang w:val="en-GB"/>
              </w:rPr>
              <w:t>(Proxy)</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11,19</w:t>
            </w:r>
            <w:r w:rsidR="004D08FC">
              <w:rPr>
                <w:rFonts w:ascii="Verdana" w:eastAsia="Verdana" w:hAnsi="Verdana" w:cs="Verdana"/>
                <w:color w:val="000000"/>
                <w:sz w:val="16"/>
                <w:lang w:val="en-GB"/>
              </w:rPr>
              <w:t>6</w:t>
            </w:r>
          </w:p>
        </w:tc>
        <w:tc>
          <w:tcPr>
            <w:tcW w:w="1335"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11,19</w:t>
            </w:r>
            <w:r w:rsidR="004D08FC">
              <w:rPr>
                <w:rFonts w:ascii="Verdana" w:eastAsia="Verdana" w:hAnsi="Verdana" w:cs="Verdana"/>
                <w:color w:val="000000"/>
                <w:sz w:val="16"/>
                <w:lang w:val="en-GB"/>
              </w:rPr>
              <w:t>6</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p w:rsidR="00D51113" w:rsidRDefault="00D51113">
            <w:pPr>
              <w:pStyle w:val="T1TableStyle"/>
              <w:jc w:val="right"/>
              <w:rPr>
                <w:rFonts w:ascii="Verdana" w:eastAsia="Verdana" w:hAnsi="Verdana" w:cs="Verdana"/>
                <w:color w:val="000000"/>
                <w:sz w:val="16"/>
                <w:lang w:val="en-GB"/>
              </w:rPr>
            </w:pPr>
          </w:p>
          <w:p w:rsidR="008016F5" w:rsidRDefault="008016F5">
            <w:pPr>
              <w:pStyle w:val="T1TableStyle"/>
              <w:jc w:val="right"/>
              <w:rPr>
                <w:rFonts w:ascii="Verdana" w:eastAsia="Verdana" w:hAnsi="Verdana" w:cs="Verdana"/>
                <w:color w:val="000000"/>
                <w:sz w:val="16"/>
                <w:lang w:val="en-GB"/>
              </w:rPr>
            </w:pPr>
          </w:p>
          <w:p w:rsidR="008016F5" w:rsidRDefault="008016F5">
            <w:pPr>
              <w:pStyle w:val="T1TableStyle"/>
              <w:jc w:val="right"/>
              <w:rPr>
                <w:rFonts w:ascii="Verdana" w:eastAsia="Verdana" w:hAnsi="Verdana" w:cs="Verdana"/>
                <w:color w:val="000000"/>
                <w:sz w:val="16"/>
                <w:lang w:val="en-GB"/>
              </w:rPr>
            </w:pPr>
          </w:p>
          <w:p w:rsidR="00D51113" w:rsidRDefault="00D5111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(11,860)</w:t>
            </w:r>
          </w:p>
          <w:p w:rsidR="00D51113" w:rsidRDefault="00D51113">
            <w:pPr>
              <w:pStyle w:val="T1TableStyle"/>
              <w:jc w:val="right"/>
              <w:rPr>
                <w:rFonts w:ascii="Verdana" w:eastAsia="Verdana" w:hAnsi="Verdana" w:cs="Verdana"/>
                <w:color w:val="000000"/>
                <w:sz w:val="16"/>
                <w:lang w:val="en-GB"/>
              </w:rPr>
            </w:pPr>
          </w:p>
          <w:p w:rsidR="008016F5" w:rsidRDefault="008016F5">
            <w:pPr>
              <w:pStyle w:val="T1TableStyle"/>
              <w:jc w:val="right"/>
              <w:rPr>
                <w:rFonts w:ascii="Verdana" w:eastAsia="Verdana" w:hAnsi="Verdana" w:cs="Verdana"/>
                <w:color w:val="000000"/>
                <w:sz w:val="16"/>
                <w:lang w:val="en-GB"/>
              </w:rPr>
            </w:pPr>
          </w:p>
          <w:p w:rsidR="008016F5" w:rsidRDefault="008016F5">
            <w:pPr>
              <w:pStyle w:val="T1TableStyle"/>
              <w:jc w:val="right"/>
              <w:rPr>
                <w:rFonts w:ascii="Verdana" w:eastAsia="Verdana" w:hAnsi="Verdana" w:cs="Verdana"/>
                <w:color w:val="000000"/>
                <w:sz w:val="16"/>
                <w:lang w:val="en-GB"/>
              </w:rPr>
            </w:pPr>
          </w:p>
          <w:p w:rsidR="00D51113" w:rsidRDefault="00D5111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(11,860)</w:t>
            </w:r>
          </w:p>
          <w:p w:rsidR="00D51113" w:rsidRDefault="00D51113">
            <w:pPr>
              <w:pStyle w:val="T1TableStyle"/>
              <w:jc w:val="right"/>
              <w:rPr>
                <w:rFonts w:ascii="Verdana" w:eastAsia="Verdana" w:hAnsi="Verdana" w:cs="Verdana"/>
                <w:color w:val="000000"/>
                <w:sz w:val="16"/>
                <w:lang w:val="en-GB"/>
              </w:rPr>
            </w:pPr>
          </w:p>
          <w:p w:rsidR="008016F5" w:rsidRDefault="008016F5">
            <w:pPr>
              <w:pStyle w:val="T1TableStyle"/>
              <w:jc w:val="right"/>
              <w:rPr>
                <w:rFonts w:ascii="Verdana" w:eastAsia="Verdana" w:hAnsi="Verdana" w:cs="Verdana"/>
                <w:color w:val="000000"/>
                <w:sz w:val="16"/>
                <w:lang w:val="en-GB"/>
              </w:rPr>
            </w:pPr>
          </w:p>
          <w:p w:rsidR="008016F5" w:rsidRDefault="008016F5">
            <w:pPr>
              <w:pStyle w:val="T1TableStyle"/>
              <w:jc w:val="right"/>
              <w:rPr>
                <w:rFonts w:ascii="Verdana" w:eastAsia="Verdana" w:hAnsi="Verdana" w:cs="Verdana"/>
                <w:color w:val="000000"/>
                <w:sz w:val="16"/>
                <w:lang w:val="en-GB"/>
              </w:rPr>
            </w:pPr>
          </w:p>
          <w:p w:rsidR="00D51113" w:rsidRDefault="00D5111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Verdana" w:eastAsia="Verdana" w:hAnsi="Verdana" w:cs="Verdana"/>
                <w:color w:val="000000"/>
                <w:sz w:val="16"/>
                <w:szCs w:val="16"/>
                <w:lang w:val="en-GB"/>
              </w:rPr>
            </w:pPr>
            <w:r w:rsidRPr="00EA146B">
              <w:rPr>
                <w:rFonts w:ascii="Verdana" w:eastAsia="Verdana" w:hAnsi="Verdana" w:cs="Verdana"/>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Income</w:t>
            </w:r>
            <w:r w:rsidR="000737C6">
              <w:rPr>
                <w:rFonts w:ascii="Verdana" w:eastAsia="Verdana" w:hAnsi="Verdana" w:cs="Verdana"/>
                <w:color w:val="000000"/>
                <w:sz w:val="16"/>
                <w:lang w:val="en-GB"/>
              </w:rPr>
              <w:t xml:space="preserve"> for Services provided by The Chief Constable</w:t>
            </w:r>
          </w:p>
          <w:p w:rsidR="00D51113" w:rsidRDefault="00D51113">
            <w:pPr>
              <w:pStyle w:val="T1TableStyle"/>
              <w:rPr>
                <w:rFonts w:ascii="Verdana" w:eastAsia="Verdana" w:hAnsi="Verdana" w:cs="Verdana"/>
                <w:color w:val="000000"/>
                <w:sz w:val="16"/>
                <w:lang w:val="en-GB"/>
              </w:rPr>
            </w:pPr>
          </w:p>
          <w:p w:rsidR="00D51113" w:rsidRDefault="00D51113">
            <w:pPr>
              <w:pStyle w:val="T1TableStyle"/>
              <w:rPr>
                <w:rFonts w:ascii="Verdana" w:eastAsia="Verdana" w:hAnsi="Verdana" w:cs="Verdana"/>
                <w:color w:val="000000"/>
                <w:sz w:val="16"/>
                <w:lang w:val="en-GB"/>
              </w:rPr>
            </w:pPr>
            <w:r>
              <w:rPr>
                <w:rFonts w:ascii="Verdana" w:eastAsia="Verdana" w:hAnsi="Verdana" w:cs="Verdana"/>
                <w:color w:val="000000"/>
                <w:sz w:val="16"/>
                <w:lang w:val="en-GB"/>
              </w:rPr>
              <w:t>Rounding</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0</w:t>
            </w:r>
          </w:p>
          <w:p w:rsidR="00D51113" w:rsidRPr="00D51113" w:rsidRDefault="00D51113">
            <w:pPr>
              <w:pStyle w:val="T1TableStyle"/>
              <w:jc w:val="right"/>
              <w:rPr>
                <w:rFonts w:ascii="Verdana" w:eastAsia="Verdana" w:hAnsi="Verdana" w:cs="Verdana"/>
                <w:color w:val="000000"/>
                <w:sz w:val="16"/>
                <w:lang w:val="en-GB"/>
              </w:rPr>
            </w:pPr>
          </w:p>
          <w:p w:rsidR="008016F5" w:rsidRDefault="008016F5">
            <w:pPr>
              <w:pStyle w:val="T1TableStyle"/>
              <w:jc w:val="right"/>
              <w:rPr>
                <w:rFonts w:ascii="Verdana" w:eastAsia="Verdana" w:hAnsi="Verdana" w:cs="Verdana"/>
                <w:color w:val="000000"/>
                <w:sz w:val="16"/>
                <w:lang w:val="en-GB"/>
              </w:rPr>
            </w:pPr>
          </w:p>
          <w:p w:rsidR="008016F5" w:rsidRDefault="008016F5">
            <w:pPr>
              <w:pStyle w:val="T1TableStyle"/>
              <w:jc w:val="right"/>
              <w:rPr>
                <w:rFonts w:ascii="Verdana" w:eastAsia="Verdana" w:hAnsi="Verdana" w:cs="Verdana"/>
                <w:color w:val="000000"/>
                <w:sz w:val="16"/>
                <w:lang w:val="en-GB"/>
              </w:rPr>
            </w:pPr>
          </w:p>
          <w:p w:rsidR="00D51113" w:rsidRPr="00D51113" w:rsidRDefault="00F17092">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1335"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(13,233)</w:t>
            </w:r>
          </w:p>
          <w:p w:rsidR="00D51113" w:rsidRPr="00D51113" w:rsidRDefault="00D51113">
            <w:pPr>
              <w:pStyle w:val="T1TableStyle"/>
              <w:jc w:val="right"/>
              <w:rPr>
                <w:rFonts w:ascii="Verdana" w:eastAsia="Verdana" w:hAnsi="Verdana" w:cs="Verdana"/>
                <w:color w:val="000000"/>
                <w:sz w:val="16"/>
                <w:lang w:val="en-GB"/>
              </w:rPr>
            </w:pPr>
          </w:p>
          <w:p w:rsidR="008016F5" w:rsidRDefault="008016F5">
            <w:pPr>
              <w:pStyle w:val="T1TableStyle"/>
              <w:jc w:val="right"/>
              <w:rPr>
                <w:rFonts w:ascii="Verdana" w:eastAsia="Verdana" w:hAnsi="Verdana" w:cs="Verdana"/>
                <w:color w:val="000000"/>
                <w:sz w:val="16"/>
                <w:lang w:val="en-GB"/>
              </w:rPr>
            </w:pPr>
          </w:p>
          <w:p w:rsidR="008016F5" w:rsidRDefault="008016F5">
            <w:pPr>
              <w:pStyle w:val="T1TableStyle"/>
              <w:jc w:val="right"/>
              <w:rPr>
                <w:rFonts w:ascii="Verdana" w:eastAsia="Verdana" w:hAnsi="Verdana" w:cs="Verdana"/>
                <w:color w:val="000000"/>
                <w:sz w:val="16"/>
                <w:lang w:val="en-GB"/>
              </w:rPr>
            </w:pPr>
          </w:p>
          <w:p w:rsidR="00D51113" w:rsidRPr="00D51113" w:rsidRDefault="00D51113">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(13,233)</w:t>
            </w:r>
          </w:p>
          <w:p w:rsidR="00D51113" w:rsidRPr="00D51113" w:rsidRDefault="00D51113">
            <w:pPr>
              <w:pStyle w:val="T1TableStyle"/>
              <w:jc w:val="right"/>
              <w:rPr>
                <w:rFonts w:ascii="Verdana" w:eastAsia="Verdana" w:hAnsi="Verdana" w:cs="Verdana"/>
                <w:color w:val="000000"/>
                <w:sz w:val="16"/>
                <w:lang w:val="en-GB"/>
              </w:rPr>
            </w:pPr>
          </w:p>
          <w:p w:rsidR="008016F5" w:rsidRDefault="008016F5">
            <w:pPr>
              <w:pStyle w:val="T1TableStyle"/>
              <w:jc w:val="right"/>
              <w:rPr>
                <w:rFonts w:ascii="Verdana" w:eastAsia="Verdana" w:hAnsi="Verdana" w:cs="Verdana"/>
                <w:color w:val="000000"/>
                <w:sz w:val="16"/>
                <w:lang w:val="en-GB"/>
              </w:rPr>
            </w:pPr>
          </w:p>
          <w:p w:rsidR="008016F5" w:rsidRDefault="008016F5">
            <w:pPr>
              <w:pStyle w:val="T1TableStyle"/>
              <w:jc w:val="right"/>
              <w:rPr>
                <w:rFonts w:ascii="Verdana" w:eastAsia="Verdana" w:hAnsi="Verdana" w:cs="Verdana"/>
                <w:color w:val="000000"/>
                <w:sz w:val="16"/>
                <w:lang w:val="en-GB"/>
              </w:rPr>
            </w:pPr>
          </w:p>
          <w:p w:rsidR="00D51113" w:rsidRPr="00D51113" w:rsidRDefault="00F17092">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r>
      <w:tr w:rsidR="0053376B" w:rsidTr="00D835CC">
        <w:trPr>
          <w:trHeight w:val="255"/>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341,174</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(11,860)</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329,314</w:t>
            </w:r>
          </w:p>
        </w:tc>
        <w:tc>
          <w:tcPr>
            <w:tcW w:w="60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F227D9" w:rsidRPr="00EA146B" w:rsidRDefault="00F227D9">
            <w:pPr>
              <w:pStyle w:val="T1TableStyle"/>
              <w:jc w:val="center"/>
              <w:rPr>
                <w:rFonts w:ascii="Verdana" w:eastAsia="Verdana" w:hAnsi="Verdana" w:cs="Verdana"/>
                <w:b/>
                <w:color w:val="000000"/>
                <w:sz w:val="16"/>
                <w:szCs w:val="16"/>
                <w:lang w:val="en-GB"/>
              </w:rPr>
            </w:pPr>
            <w:r w:rsidRPr="00EA146B">
              <w:rPr>
                <w:rFonts w:ascii="Verdana" w:eastAsia="Verdana" w:hAnsi="Verdana" w:cs="Verdana"/>
                <w:b/>
                <w:color w:val="000000"/>
                <w:sz w:val="16"/>
                <w:szCs w:val="16"/>
                <w:lang w:val="en-GB"/>
              </w:rPr>
              <w:t xml:space="preserve"> </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Cost of Services</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D51113" w:rsidRDefault="00177F85">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273</w:t>
            </w:r>
            <w:r w:rsidR="007B1C64">
              <w:rPr>
                <w:rFonts w:ascii="Verdana" w:eastAsia="Verdana" w:hAnsi="Verdana" w:cs="Verdana"/>
                <w:b/>
                <w:color w:val="000000"/>
                <w:sz w:val="16"/>
                <w:lang w:val="en-GB"/>
              </w:rPr>
              <w:t>,</w:t>
            </w:r>
            <w:r w:rsidR="004815E2">
              <w:rPr>
                <w:rFonts w:ascii="Verdana" w:eastAsia="Verdana" w:hAnsi="Verdana" w:cs="Verdana"/>
                <w:b/>
                <w:color w:val="000000"/>
                <w:sz w:val="16"/>
                <w:lang w:val="en-GB"/>
              </w:rPr>
              <w:t>9</w:t>
            </w:r>
            <w:r w:rsidR="007B1C64">
              <w:rPr>
                <w:rFonts w:ascii="Verdana" w:eastAsia="Verdana" w:hAnsi="Verdana" w:cs="Verdana"/>
                <w:b/>
                <w:color w:val="000000"/>
                <w:sz w:val="16"/>
                <w:lang w:val="en-GB"/>
              </w:rPr>
              <w:t>8</w:t>
            </w:r>
            <w:r w:rsidR="00F17092">
              <w:rPr>
                <w:rFonts w:ascii="Verdana" w:eastAsia="Verdana" w:hAnsi="Verdana" w:cs="Verdana"/>
                <w:b/>
                <w:color w:val="000000"/>
                <w:sz w:val="16"/>
                <w:lang w:val="en-GB"/>
              </w:rPr>
              <w:t>2</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b/>
                <w:color w:val="000000"/>
                <w:sz w:val="16"/>
                <w:lang w:val="en-GB"/>
              </w:rPr>
            </w:pPr>
            <w:r w:rsidRPr="00D51113">
              <w:rPr>
                <w:rFonts w:ascii="Verdana" w:eastAsia="Verdana" w:hAnsi="Verdana" w:cs="Verdana"/>
                <w:b/>
                <w:color w:val="000000"/>
                <w:sz w:val="16"/>
                <w:lang w:val="en-GB"/>
              </w:rPr>
              <w:t>(13,233)</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b/>
                <w:color w:val="000000"/>
                <w:sz w:val="16"/>
                <w:lang w:val="en-GB"/>
              </w:rPr>
            </w:pPr>
            <w:r w:rsidRPr="00D51113">
              <w:rPr>
                <w:rFonts w:ascii="Verdana" w:eastAsia="Verdana" w:hAnsi="Verdana" w:cs="Verdana"/>
                <w:b/>
                <w:color w:val="000000"/>
                <w:sz w:val="16"/>
                <w:lang w:val="en-GB"/>
              </w:rPr>
              <w:t>2</w:t>
            </w:r>
            <w:r w:rsidR="00177F85">
              <w:rPr>
                <w:rFonts w:ascii="Verdana" w:eastAsia="Verdana" w:hAnsi="Verdana" w:cs="Verdana"/>
                <w:b/>
                <w:color w:val="000000"/>
                <w:sz w:val="16"/>
                <w:lang w:val="en-GB"/>
              </w:rPr>
              <w:t>60</w:t>
            </w:r>
            <w:r w:rsidRPr="00D51113">
              <w:rPr>
                <w:rFonts w:ascii="Verdana" w:eastAsia="Verdana" w:hAnsi="Verdana" w:cs="Verdana"/>
                <w:b/>
                <w:color w:val="000000"/>
                <w:sz w:val="16"/>
                <w:lang w:val="en-GB"/>
              </w:rPr>
              <w:t>,</w:t>
            </w:r>
            <w:r w:rsidR="004815E2">
              <w:rPr>
                <w:rFonts w:ascii="Verdana" w:eastAsia="Verdana" w:hAnsi="Verdana" w:cs="Verdana"/>
                <w:b/>
                <w:color w:val="000000"/>
                <w:sz w:val="16"/>
                <w:lang w:val="en-GB"/>
              </w:rPr>
              <w:t>7</w:t>
            </w:r>
            <w:r w:rsidR="00F17092">
              <w:rPr>
                <w:rFonts w:ascii="Verdana" w:eastAsia="Verdana" w:hAnsi="Verdana" w:cs="Verdana"/>
                <w:b/>
                <w:color w:val="000000"/>
                <w:sz w:val="16"/>
                <w:lang w:val="en-GB"/>
              </w:rPr>
              <w:t>49</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(237,835)</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(237,835)</w:t>
            </w:r>
          </w:p>
        </w:tc>
        <w:tc>
          <w:tcPr>
            <w:tcW w:w="600" w:type="dxa"/>
            <w:shd w:val="clear" w:color="auto" w:fill="auto"/>
            <w:tcMar>
              <w:top w:w="20" w:type="dxa"/>
              <w:left w:w="20" w:type="dxa"/>
              <w:bottom w:w="20" w:type="dxa"/>
              <w:right w:w="20" w:type="dxa"/>
            </w:tcMar>
            <w:vAlign w:val="center"/>
          </w:tcPr>
          <w:p w:rsidR="00F227D9" w:rsidRPr="00EA146B" w:rsidRDefault="00F227D9">
            <w:pPr>
              <w:pStyle w:val="T1TableStyle"/>
              <w:jc w:val="center"/>
              <w:rPr>
                <w:rFonts w:ascii="Verdana" w:eastAsia="Verdana" w:hAnsi="Verdana" w:cs="Verdana"/>
                <w:b/>
                <w:color w:val="000000"/>
                <w:sz w:val="16"/>
                <w:szCs w:val="16"/>
                <w:lang w:val="en-GB"/>
              </w:rPr>
            </w:pPr>
            <w:r w:rsidRPr="00EA146B">
              <w:rPr>
                <w:rFonts w:ascii="Verdana" w:eastAsia="Verdana" w:hAnsi="Verdana" w:cs="Verdana"/>
                <w:b/>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Intra-Group Funding Transfer</w:t>
            </w:r>
          </w:p>
        </w:tc>
        <w:tc>
          <w:tcPr>
            <w:tcW w:w="1230" w:type="dxa"/>
            <w:shd w:val="clear" w:color="auto" w:fill="auto"/>
            <w:tcMar>
              <w:top w:w="20" w:type="dxa"/>
              <w:left w:w="20" w:type="dxa"/>
              <w:bottom w:w="20" w:type="dxa"/>
              <w:right w:w="20" w:type="dxa"/>
            </w:tcMar>
          </w:tcPr>
          <w:p w:rsidR="00F227D9" w:rsidRPr="00D51113" w:rsidRDefault="00F227D9">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Pr="00D51113" w:rsidRDefault="00F227D9" w:rsidP="00D51113">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w:t>
            </w:r>
            <w:r w:rsidR="00D51113">
              <w:rPr>
                <w:rFonts w:ascii="Verdana" w:eastAsia="Verdana" w:hAnsi="Verdana" w:cs="Verdana"/>
                <w:color w:val="000000"/>
                <w:sz w:val="16"/>
                <w:lang w:val="en-GB"/>
              </w:rPr>
              <w:t>251,349</w:t>
            </w:r>
            <w:r w:rsidRPr="00D51113">
              <w:rPr>
                <w:rFonts w:ascii="Verdana" w:eastAsia="Verdana" w:hAnsi="Verdana" w:cs="Verdana"/>
                <w:color w:val="000000"/>
                <w:sz w:val="16"/>
                <w:lang w:val="en-GB"/>
              </w:rPr>
              <w:t>)</w:t>
            </w:r>
          </w:p>
        </w:tc>
        <w:tc>
          <w:tcPr>
            <w:tcW w:w="1230" w:type="dxa"/>
            <w:shd w:val="clear" w:color="auto" w:fill="auto"/>
            <w:tcMar>
              <w:top w:w="20" w:type="dxa"/>
              <w:left w:w="20" w:type="dxa"/>
              <w:bottom w:w="20" w:type="dxa"/>
              <w:right w:w="20" w:type="dxa"/>
            </w:tcMar>
          </w:tcPr>
          <w:p w:rsidR="00F227D9" w:rsidRPr="00D51113" w:rsidRDefault="00F227D9" w:rsidP="007B1C64">
            <w:pPr>
              <w:pStyle w:val="T1TableStyle"/>
              <w:jc w:val="right"/>
              <w:rPr>
                <w:rFonts w:ascii="Verdana" w:eastAsia="Verdana" w:hAnsi="Verdana" w:cs="Verdana"/>
                <w:color w:val="000000"/>
                <w:sz w:val="16"/>
                <w:lang w:val="en-GB"/>
              </w:rPr>
            </w:pPr>
            <w:r w:rsidRPr="00D51113">
              <w:rPr>
                <w:rFonts w:ascii="Verdana" w:eastAsia="Verdana" w:hAnsi="Verdana" w:cs="Verdana"/>
                <w:color w:val="000000"/>
                <w:sz w:val="16"/>
                <w:lang w:val="en-GB"/>
              </w:rPr>
              <w:t>(</w:t>
            </w:r>
            <w:r w:rsidR="007B1C64">
              <w:rPr>
                <w:rFonts w:ascii="Verdana" w:eastAsia="Verdana" w:hAnsi="Verdana" w:cs="Verdana"/>
                <w:color w:val="000000"/>
                <w:sz w:val="16"/>
                <w:lang w:val="en-GB"/>
              </w:rPr>
              <w:t>251,349</w:t>
            </w:r>
            <w:r w:rsidRPr="00D51113">
              <w:rPr>
                <w:rFonts w:ascii="Verdana" w:eastAsia="Verdana" w:hAnsi="Verdana" w:cs="Verdana"/>
                <w:color w:val="000000"/>
                <w:sz w:val="16"/>
                <w:lang w:val="en-GB"/>
              </w:rPr>
              <w:t>)</w:t>
            </w:r>
          </w:p>
        </w:tc>
      </w:tr>
      <w:tr w:rsidR="0053376B" w:rsidRPr="00D835CC" w:rsidTr="00D835CC">
        <w:trPr>
          <w:trHeight w:val="510"/>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341,174</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(249,695)</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91,479</w:t>
            </w:r>
          </w:p>
        </w:tc>
        <w:tc>
          <w:tcPr>
            <w:tcW w:w="60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F227D9" w:rsidRPr="00EA146B" w:rsidRDefault="00F227D9">
            <w:pPr>
              <w:pStyle w:val="T1TableStyle"/>
              <w:jc w:val="center"/>
              <w:rPr>
                <w:rFonts w:ascii="Verdana" w:eastAsia="Verdana" w:hAnsi="Verdana" w:cs="Verdana"/>
                <w:b/>
                <w:color w:val="000000"/>
                <w:sz w:val="16"/>
                <w:szCs w:val="16"/>
                <w:lang w:val="en-GB"/>
              </w:rPr>
            </w:pPr>
            <w:r w:rsidRPr="00EA146B">
              <w:rPr>
                <w:rFonts w:ascii="Verdana" w:eastAsia="Verdana" w:hAnsi="Verdana" w:cs="Verdana"/>
                <w:b/>
                <w:color w:val="000000"/>
                <w:sz w:val="16"/>
                <w:szCs w:val="16"/>
                <w:lang w:val="en-GB"/>
              </w:rPr>
              <w:t xml:space="preserve"> </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Net Cost of Services</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D51113" w:rsidRDefault="00177F85">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273</w:t>
            </w:r>
            <w:r w:rsidR="007B1C64">
              <w:rPr>
                <w:rFonts w:ascii="Verdana" w:eastAsia="Verdana" w:hAnsi="Verdana" w:cs="Verdana"/>
                <w:b/>
                <w:color w:val="000000"/>
                <w:sz w:val="16"/>
                <w:lang w:val="en-GB"/>
              </w:rPr>
              <w:t>,</w:t>
            </w:r>
            <w:r w:rsidR="004815E2">
              <w:rPr>
                <w:rFonts w:ascii="Verdana" w:eastAsia="Verdana" w:hAnsi="Verdana" w:cs="Verdana"/>
                <w:b/>
                <w:color w:val="000000"/>
                <w:sz w:val="16"/>
                <w:lang w:val="en-GB"/>
              </w:rPr>
              <w:t>9</w:t>
            </w:r>
            <w:r w:rsidR="007B1C64">
              <w:rPr>
                <w:rFonts w:ascii="Verdana" w:eastAsia="Verdana" w:hAnsi="Verdana" w:cs="Verdana"/>
                <w:b/>
                <w:color w:val="000000"/>
                <w:sz w:val="16"/>
                <w:lang w:val="en-GB"/>
              </w:rPr>
              <w:t>8</w:t>
            </w:r>
            <w:r w:rsidR="00F17092">
              <w:rPr>
                <w:rFonts w:ascii="Verdana" w:eastAsia="Verdana" w:hAnsi="Verdana" w:cs="Verdana"/>
                <w:b/>
                <w:color w:val="000000"/>
                <w:sz w:val="16"/>
                <w:lang w:val="en-GB"/>
              </w:rPr>
              <w:t>2</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D51113" w:rsidRDefault="00F227D9" w:rsidP="005F4054">
            <w:pPr>
              <w:pStyle w:val="T1TableStyle"/>
              <w:jc w:val="right"/>
              <w:rPr>
                <w:rFonts w:ascii="Verdana" w:eastAsia="Verdana" w:hAnsi="Verdana" w:cs="Verdana"/>
                <w:b/>
                <w:color w:val="000000"/>
                <w:sz w:val="16"/>
                <w:lang w:val="en-GB"/>
              </w:rPr>
            </w:pPr>
            <w:r w:rsidRPr="00D51113">
              <w:rPr>
                <w:rFonts w:ascii="Verdana" w:eastAsia="Verdana" w:hAnsi="Verdana" w:cs="Verdana"/>
                <w:b/>
                <w:color w:val="000000"/>
                <w:sz w:val="16"/>
                <w:lang w:val="en-GB"/>
              </w:rPr>
              <w:t>(</w:t>
            </w:r>
            <w:r w:rsidR="005F4054" w:rsidRPr="00D51113">
              <w:rPr>
                <w:rFonts w:ascii="Verdana" w:eastAsia="Verdana" w:hAnsi="Verdana" w:cs="Verdana"/>
                <w:b/>
                <w:color w:val="000000"/>
                <w:sz w:val="16"/>
                <w:lang w:val="en-GB"/>
              </w:rPr>
              <w:t>264,582</w:t>
            </w:r>
            <w:r w:rsidRPr="00D51113">
              <w:rPr>
                <w:rFonts w:ascii="Verdana" w:eastAsia="Verdana" w:hAnsi="Verdana" w:cs="Verdana"/>
                <w:b/>
                <w:color w:val="000000"/>
                <w:sz w:val="16"/>
                <w:lang w:val="en-GB"/>
              </w:rPr>
              <w:t>)</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D51113" w:rsidRDefault="00177F85">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9</w:t>
            </w:r>
            <w:r w:rsidR="007B1C64">
              <w:rPr>
                <w:rFonts w:ascii="Verdana" w:eastAsia="Verdana" w:hAnsi="Verdana" w:cs="Verdana"/>
                <w:b/>
                <w:color w:val="000000"/>
                <w:sz w:val="16"/>
                <w:lang w:val="en-GB"/>
              </w:rPr>
              <w:t>,</w:t>
            </w:r>
            <w:r w:rsidR="007F47E3">
              <w:rPr>
                <w:rFonts w:ascii="Verdana" w:eastAsia="Verdana" w:hAnsi="Verdana" w:cs="Verdana"/>
                <w:b/>
                <w:color w:val="000000"/>
                <w:sz w:val="16"/>
                <w:lang w:val="en-GB"/>
              </w:rPr>
              <w:t>4</w:t>
            </w:r>
            <w:r>
              <w:rPr>
                <w:rFonts w:ascii="Verdana" w:eastAsia="Verdana" w:hAnsi="Verdana" w:cs="Verdana"/>
                <w:b/>
                <w:color w:val="000000"/>
                <w:sz w:val="16"/>
                <w:lang w:val="en-GB"/>
              </w:rPr>
              <w:t>0</w:t>
            </w:r>
            <w:r w:rsidR="00F17092">
              <w:rPr>
                <w:rFonts w:ascii="Verdana" w:eastAsia="Verdana" w:hAnsi="Verdana" w:cs="Verdana"/>
                <w:b/>
                <w:color w:val="000000"/>
                <w:sz w:val="16"/>
                <w:lang w:val="en-GB"/>
              </w:rPr>
              <w:t>0</w:t>
            </w:r>
          </w:p>
        </w:tc>
      </w:tr>
      <w:tr w:rsidR="0053376B" w:rsidTr="00D835CC">
        <w:trPr>
          <w:trHeight w:hRule="exact" w:val="135"/>
          <w:jc w:val="center"/>
        </w:trPr>
        <w:tc>
          <w:tcPr>
            <w:tcW w:w="123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60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53376B" w:rsidTr="00D835CC">
        <w:trPr>
          <w:trHeight w:val="255"/>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455</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455</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Verdana" w:eastAsia="Verdana" w:hAnsi="Verdana" w:cs="Verdana"/>
                <w:color w:val="000000"/>
                <w:sz w:val="16"/>
                <w:szCs w:val="16"/>
                <w:lang w:val="en-GB"/>
              </w:rPr>
            </w:pPr>
            <w:r w:rsidRPr="00EA146B">
              <w:rPr>
                <w:rFonts w:ascii="Verdana" w:eastAsia="Verdana" w:hAnsi="Verdana" w:cs="Verdana"/>
                <w:color w:val="000000"/>
                <w:sz w:val="16"/>
                <w:szCs w:val="16"/>
                <w:lang w:val="en-GB"/>
              </w:rPr>
              <w:t xml:space="preserve"> </w:t>
            </w:r>
            <w:r w:rsidR="00855EC7">
              <w:rPr>
                <w:rFonts w:ascii="Verdana" w:eastAsia="Verdana" w:hAnsi="Verdana" w:cs="Verdana"/>
                <w:color w:val="000000"/>
                <w:sz w:val="16"/>
                <w:szCs w:val="16"/>
                <w:lang w:val="en-GB"/>
              </w:rPr>
              <w:t>21</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Operating Expenditure</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522</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522</w:t>
            </w:r>
          </w:p>
        </w:tc>
      </w:tr>
      <w:tr w:rsidR="0053376B" w:rsidTr="00D835CC">
        <w:trPr>
          <w:trHeight w:val="420"/>
          <w:jc w:val="center"/>
        </w:trPr>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57,114</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(7,657)</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49,457</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Verdana" w:eastAsia="Verdana" w:hAnsi="Verdana" w:cs="Verdana"/>
                <w:color w:val="000000"/>
                <w:sz w:val="16"/>
                <w:szCs w:val="16"/>
                <w:lang w:val="en-GB"/>
              </w:rPr>
            </w:pPr>
            <w:r w:rsidRPr="00EA146B">
              <w:rPr>
                <w:rFonts w:ascii="Verdana" w:eastAsia="Verdana" w:hAnsi="Verdana" w:cs="Verdana"/>
                <w:color w:val="000000"/>
                <w:sz w:val="16"/>
                <w:szCs w:val="16"/>
                <w:lang w:val="en-GB"/>
              </w:rPr>
              <w:t xml:space="preserve"> </w:t>
            </w:r>
            <w:r w:rsidR="00855EC7">
              <w:rPr>
                <w:rFonts w:ascii="Verdana" w:eastAsia="Verdana" w:hAnsi="Verdana" w:cs="Verdana"/>
                <w:color w:val="000000"/>
                <w:sz w:val="16"/>
                <w:szCs w:val="16"/>
                <w:lang w:val="en-GB"/>
              </w:rPr>
              <w:t>20</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Financing and Investment Income and Expenditure</w:t>
            </w:r>
          </w:p>
          <w:p w:rsidR="00D51113" w:rsidRDefault="00D51113">
            <w:pPr>
              <w:pStyle w:val="T1TableStyle"/>
              <w:rPr>
                <w:rFonts w:ascii="Verdana" w:eastAsia="Verdana" w:hAnsi="Verdana" w:cs="Verdana"/>
                <w:color w:val="000000"/>
                <w:sz w:val="16"/>
                <w:lang w:val="en-GB"/>
              </w:rPr>
            </w:pP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60,</w:t>
            </w:r>
            <w:r w:rsidR="007F47E3">
              <w:rPr>
                <w:rFonts w:ascii="Verdana" w:eastAsia="Verdana" w:hAnsi="Verdana" w:cs="Verdana"/>
                <w:color w:val="000000"/>
                <w:sz w:val="16"/>
                <w:lang w:val="en-GB"/>
              </w:rPr>
              <w:t>42</w:t>
            </w:r>
            <w:r w:rsidR="004D08FC">
              <w:rPr>
                <w:rFonts w:ascii="Verdana" w:eastAsia="Verdana" w:hAnsi="Verdana" w:cs="Verdana"/>
                <w:color w:val="000000"/>
                <w:sz w:val="16"/>
                <w:lang w:val="en-GB"/>
              </w:rPr>
              <w:t>1</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(7,312)</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53,1</w:t>
            </w:r>
            <w:r w:rsidR="007F47E3">
              <w:rPr>
                <w:rFonts w:ascii="Verdana" w:eastAsia="Verdana" w:hAnsi="Verdana" w:cs="Verdana"/>
                <w:color w:val="000000"/>
                <w:sz w:val="16"/>
                <w:lang w:val="en-GB"/>
              </w:rPr>
              <w:t>0</w:t>
            </w:r>
            <w:r w:rsidR="004D08FC">
              <w:rPr>
                <w:rFonts w:ascii="Verdana" w:eastAsia="Verdana" w:hAnsi="Verdana" w:cs="Verdana"/>
                <w:color w:val="000000"/>
                <w:sz w:val="16"/>
                <w:lang w:val="en-GB"/>
              </w:rPr>
              <w:t>9</w:t>
            </w:r>
          </w:p>
        </w:tc>
      </w:tr>
      <w:tr w:rsidR="0053376B" w:rsidTr="00D835CC">
        <w:trPr>
          <w:trHeight w:val="435"/>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398,743</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(257,352)</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141,391</w:t>
            </w:r>
          </w:p>
        </w:tc>
        <w:tc>
          <w:tcPr>
            <w:tcW w:w="60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F227D9" w:rsidRPr="00EA146B" w:rsidRDefault="00F227D9">
            <w:pPr>
              <w:pStyle w:val="T1TableStyle"/>
              <w:jc w:val="center"/>
              <w:rPr>
                <w:rFonts w:ascii="Verdana" w:eastAsia="Verdana" w:hAnsi="Verdana" w:cs="Verdana"/>
                <w:b/>
                <w:color w:val="000000"/>
                <w:sz w:val="16"/>
                <w:szCs w:val="16"/>
                <w:lang w:val="en-GB"/>
              </w:rPr>
            </w:pPr>
            <w:r w:rsidRPr="00EA146B">
              <w:rPr>
                <w:rFonts w:ascii="Verdana" w:eastAsia="Verdana" w:hAnsi="Verdana" w:cs="Verdana"/>
                <w:b/>
                <w:color w:val="000000"/>
                <w:sz w:val="16"/>
                <w:szCs w:val="16"/>
                <w:lang w:val="en-GB"/>
              </w:rPr>
              <w:t xml:space="preserve"> </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Surplus or Deficit on Provision of Services</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7B1C6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w:t>
            </w:r>
            <w:r w:rsidR="00A62237">
              <w:rPr>
                <w:rFonts w:ascii="Verdana" w:eastAsia="Verdana" w:hAnsi="Verdana" w:cs="Verdana"/>
                <w:b/>
                <w:color w:val="000000"/>
                <w:sz w:val="16"/>
                <w:lang w:val="en-GB"/>
              </w:rPr>
              <w:t>34</w:t>
            </w:r>
            <w:r>
              <w:rPr>
                <w:rFonts w:ascii="Verdana" w:eastAsia="Verdana" w:hAnsi="Verdana" w:cs="Verdana"/>
                <w:b/>
                <w:color w:val="000000"/>
                <w:sz w:val="16"/>
                <w:lang w:val="en-GB"/>
              </w:rPr>
              <w:t>,</w:t>
            </w:r>
            <w:r w:rsidR="00A62237">
              <w:rPr>
                <w:rFonts w:ascii="Verdana" w:eastAsia="Verdana" w:hAnsi="Verdana" w:cs="Verdana"/>
                <w:b/>
                <w:color w:val="000000"/>
                <w:sz w:val="16"/>
                <w:lang w:val="en-GB"/>
              </w:rPr>
              <w:t>9</w:t>
            </w:r>
            <w:r w:rsidR="007F47E3">
              <w:rPr>
                <w:rFonts w:ascii="Verdana" w:eastAsia="Verdana" w:hAnsi="Verdana" w:cs="Verdana"/>
                <w:b/>
                <w:color w:val="000000"/>
                <w:sz w:val="16"/>
                <w:lang w:val="en-GB"/>
              </w:rPr>
              <w:t>2</w:t>
            </w:r>
            <w:r w:rsidR="00F17092">
              <w:rPr>
                <w:rFonts w:ascii="Verdana" w:eastAsia="Verdana" w:hAnsi="Verdana" w:cs="Verdana"/>
                <w:b/>
                <w:color w:val="000000"/>
                <w:sz w:val="16"/>
                <w:lang w:val="en-GB"/>
              </w:rPr>
              <w:t>5</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rsidP="005F405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w:t>
            </w:r>
            <w:r w:rsidR="005F4054">
              <w:rPr>
                <w:rFonts w:ascii="Verdana" w:eastAsia="Verdana" w:hAnsi="Verdana" w:cs="Verdana"/>
                <w:b/>
                <w:color w:val="000000"/>
                <w:sz w:val="16"/>
                <w:lang w:val="en-GB"/>
              </w:rPr>
              <w:t>71,894</w:t>
            </w:r>
            <w:r>
              <w:rPr>
                <w:rFonts w:ascii="Verdana" w:eastAsia="Verdana" w:hAnsi="Verdana" w:cs="Verdana"/>
                <w:b/>
                <w:color w:val="000000"/>
                <w:sz w:val="16"/>
                <w:lang w:val="en-GB"/>
              </w:rPr>
              <w:t>)</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A62237">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63</w:t>
            </w:r>
            <w:r w:rsidR="005F4054" w:rsidRPr="007B1C64">
              <w:rPr>
                <w:rFonts w:ascii="Verdana" w:eastAsia="Verdana" w:hAnsi="Verdana" w:cs="Verdana"/>
                <w:b/>
                <w:color w:val="000000"/>
                <w:sz w:val="16"/>
                <w:lang w:val="en-GB"/>
              </w:rPr>
              <w:t>,</w:t>
            </w:r>
            <w:r>
              <w:rPr>
                <w:rFonts w:ascii="Verdana" w:eastAsia="Verdana" w:hAnsi="Verdana" w:cs="Verdana"/>
                <w:b/>
                <w:color w:val="000000"/>
                <w:sz w:val="16"/>
                <w:lang w:val="en-GB"/>
              </w:rPr>
              <w:t>0</w:t>
            </w:r>
            <w:r w:rsidR="007F47E3">
              <w:rPr>
                <w:rFonts w:ascii="Verdana" w:eastAsia="Verdana" w:hAnsi="Verdana" w:cs="Verdana"/>
                <w:b/>
                <w:color w:val="000000"/>
                <w:sz w:val="16"/>
                <w:lang w:val="en-GB"/>
              </w:rPr>
              <w:t>3</w:t>
            </w:r>
            <w:r w:rsidR="00F17092">
              <w:rPr>
                <w:rFonts w:ascii="Verdana" w:eastAsia="Verdana" w:hAnsi="Verdana" w:cs="Verdana"/>
                <w:b/>
                <w:color w:val="000000"/>
                <w:sz w:val="16"/>
                <w:lang w:val="en-GB"/>
              </w:rPr>
              <w:t>1</w:t>
            </w:r>
          </w:p>
        </w:tc>
      </w:tr>
      <w:tr w:rsidR="0053376B" w:rsidTr="00D835CC">
        <w:trPr>
          <w:trHeight w:hRule="exact" w:val="195"/>
          <w:jc w:val="center"/>
        </w:trPr>
        <w:tc>
          <w:tcPr>
            <w:tcW w:w="123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600" w:type="dxa"/>
            <w:shd w:val="clear" w:color="auto" w:fill="auto"/>
            <w:tcMar>
              <w:top w:w="20" w:type="dxa"/>
              <w:left w:w="20" w:type="dxa"/>
              <w:bottom w:w="20" w:type="dxa"/>
              <w:right w:w="20" w:type="dxa"/>
            </w:tcMar>
            <w:vAlign w:val="bottom"/>
          </w:tcPr>
          <w:p w:rsidR="00F227D9" w:rsidRPr="00EA146B" w:rsidRDefault="00F227D9">
            <w:pPr>
              <w:pStyle w:val="T1TableStyle"/>
              <w:jc w:val="center"/>
              <w:rPr>
                <w:rFonts w:ascii="Calibri" w:eastAsia="Calibri" w:hAnsi="Calibri" w:cs="Calibri"/>
                <w:color w:val="000000"/>
                <w:sz w:val="16"/>
                <w:szCs w:val="16"/>
                <w:lang w:val="en-GB"/>
              </w:rPr>
            </w:pPr>
            <w:r w:rsidRPr="00EA146B">
              <w:rPr>
                <w:rFonts w:ascii="Calibri" w:eastAsia="Calibri" w:hAnsi="Calibri" w:cs="Calibri"/>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r>
      <w:tr w:rsidR="0053376B" w:rsidTr="00D835CC">
        <w:trPr>
          <w:trHeight w:val="630"/>
          <w:jc w:val="center"/>
        </w:trPr>
        <w:tc>
          <w:tcPr>
            <w:tcW w:w="1230" w:type="dxa"/>
            <w:shd w:val="clear" w:color="auto" w:fill="auto"/>
            <w:tcMar>
              <w:top w:w="20" w:type="dxa"/>
              <w:left w:w="20" w:type="dxa"/>
              <w:bottom w:w="20" w:type="dxa"/>
              <w:right w:w="20" w:type="dxa"/>
            </w:tcMar>
          </w:tcPr>
          <w:p w:rsidR="00F227D9" w:rsidRDefault="007F47E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2</w:t>
            </w:r>
            <w:r w:rsidR="00F227D9">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87,620</w:t>
            </w:r>
          </w:p>
        </w:tc>
        <w:tc>
          <w:tcPr>
            <w:tcW w:w="600" w:type="dxa"/>
            <w:shd w:val="clear" w:color="auto" w:fill="auto"/>
            <w:tcMar>
              <w:top w:w="20" w:type="dxa"/>
              <w:left w:w="20" w:type="dxa"/>
              <w:bottom w:w="20" w:type="dxa"/>
              <w:right w:w="20" w:type="dxa"/>
            </w:tcMar>
          </w:tcPr>
          <w:p w:rsidR="00F227D9" w:rsidRPr="00EA146B" w:rsidRDefault="00855EC7">
            <w:pPr>
              <w:pStyle w:val="T1TableStyle"/>
              <w:jc w:val="center"/>
              <w:rPr>
                <w:rFonts w:ascii="Verdana" w:eastAsia="Verdana" w:hAnsi="Verdana" w:cs="Verdana"/>
                <w:color w:val="000000"/>
                <w:sz w:val="16"/>
                <w:szCs w:val="16"/>
                <w:lang w:val="en-GB"/>
              </w:rPr>
            </w:pPr>
            <w:r>
              <w:rPr>
                <w:rFonts w:ascii="Verdana" w:eastAsia="Verdana" w:hAnsi="Verdana" w:cs="Verdana"/>
                <w:color w:val="000000"/>
                <w:sz w:val="16"/>
                <w:szCs w:val="16"/>
                <w:lang w:val="en-GB"/>
              </w:rPr>
              <w:t>17</w:t>
            </w:r>
            <w:r w:rsidR="00F227D9" w:rsidRPr="00EA146B">
              <w:rPr>
                <w:rFonts w:ascii="Verdana" w:eastAsia="Verdana" w:hAnsi="Verdana" w:cs="Verdana"/>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Re</w:t>
            </w:r>
            <w:r w:rsidR="00B33F2E">
              <w:rPr>
                <w:rFonts w:ascii="Verdana" w:eastAsia="Verdana" w:hAnsi="Verdana" w:cs="Verdana"/>
                <w:color w:val="000000"/>
                <w:sz w:val="16"/>
                <w:lang w:val="en-GB"/>
              </w:rPr>
              <w:t>-</w:t>
            </w:r>
            <w:r>
              <w:rPr>
                <w:rFonts w:ascii="Verdana" w:eastAsia="Verdana" w:hAnsi="Verdana" w:cs="Verdana"/>
                <w:color w:val="000000"/>
                <w:sz w:val="16"/>
                <w:lang w:val="en-GB"/>
              </w:rPr>
              <w:t>measurement of the net defined benefit liability / asset</w:t>
            </w:r>
          </w:p>
        </w:tc>
        <w:tc>
          <w:tcPr>
            <w:tcW w:w="123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(19</w:t>
            </w:r>
            <w:r w:rsidR="005E1900">
              <w:rPr>
                <w:rFonts w:ascii="Verdana" w:eastAsia="Verdana" w:hAnsi="Verdana" w:cs="Verdana"/>
                <w:color w:val="000000"/>
                <w:sz w:val="16"/>
                <w:lang w:val="en-GB"/>
              </w:rPr>
              <w:t>3</w:t>
            </w:r>
            <w:r>
              <w:rPr>
                <w:rFonts w:ascii="Verdana" w:eastAsia="Verdana" w:hAnsi="Verdana" w:cs="Verdana"/>
                <w:color w:val="000000"/>
                <w:sz w:val="16"/>
                <w:lang w:val="en-GB"/>
              </w:rPr>
              <w:t>,</w:t>
            </w:r>
            <w:r w:rsidR="005E1900">
              <w:rPr>
                <w:rFonts w:ascii="Verdana" w:eastAsia="Verdana" w:hAnsi="Verdana" w:cs="Verdana"/>
                <w:color w:val="000000"/>
                <w:sz w:val="16"/>
                <w:lang w:val="en-GB"/>
              </w:rPr>
              <w:t>261</w:t>
            </w:r>
            <w:r>
              <w:rPr>
                <w:rFonts w:ascii="Verdana" w:eastAsia="Verdana" w:hAnsi="Verdana" w:cs="Verdana"/>
                <w:color w:val="000000"/>
                <w:sz w:val="16"/>
                <w:lang w:val="en-GB"/>
              </w:rPr>
              <w:t>)</w:t>
            </w:r>
          </w:p>
        </w:tc>
      </w:tr>
      <w:tr w:rsidR="0053376B" w:rsidTr="00D835CC">
        <w:trPr>
          <w:trHeight w:val="420"/>
          <w:jc w:val="center"/>
        </w:trPr>
        <w:tc>
          <w:tcPr>
            <w:tcW w:w="123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87,620</w:t>
            </w:r>
          </w:p>
        </w:tc>
        <w:tc>
          <w:tcPr>
            <w:tcW w:w="60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EA146B" w:rsidRDefault="00F227D9">
            <w:pPr>
              <w:pStyle w:val="T1TableStyle"/>
              <w:jc w:val="center"/>
              <w:rPr>
                <w:rFonts w:ascii="Verdana" w:eastAsia="Verdana" w:hAnsi="Verdana" w:cs="Verdana"/>
                <w:b/>
                <w:color w:val="000000"/>
                <w:sz w:val="16"/>
                <w:szCs w:val="16"/>
                <w:lang w:val="en-GB"/>
              </w:rPr>
            </w:pPr>
            <w:r w:rsidRPr="00EA146B">
              <w:rPr>
                <w:rFonts w:ascii="Verdana" w:eastAsia="Verdana" w:hAnsi="Verdana" w:cs="Verdana"/>
                <w:b/>
                <w:color w:val="000000"/>
                <w:sz w:val="16"/>
                <w:szCs w:val="16"/>
                <w:lang w:val="en-GB"/>
              </w:rPr>
              <w:t xml:space="preserve"> </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Other Comprehensive Income and Expenditure</w:t>
            </w:r>
          </w:p>
        </w:tc>
        <w:tc>
          <w:tcPr>
            <w:tcW w:w="123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AA2A8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710DB0">
              <w:rPr>
                <w:rFonts w:ascii="Verdana" w:eastAsia="Verdana" w:hAnsi="Verdana" w:cs="Verdana"/>
                <w:b/>
                <w:color w:val="000000"/>
                <w:sz w:val="16"/>
                <w:lang w:val="en-GB"/>
              </w:rPr>
              <w:t>1</w:t>
            </w:r>
            <w:r w:rsidR="005E1900">
              <w:rPr>
                <w:rFonts w:ascii="Verdana" w:eastAsia="Verdana" w:hAnsi="Verdana" w:cs="Verdana"/>
                <w:b/>
                <w:color w:val="000000"/>
                <w:sz w:val="16"/>
                <w:lang w:val="en-GB"/>
              </w:rPr>
              <w:t>93,261</w:t>
            </w:r>
            <w:r w:rsidR="00F227D9">
              <w:rPr>
                <w:rFonts w:ascii="Verdana" w:eastAsia="Verdana" w:hAnsi="Verdana" w:cs="Verdana"/>
                <w:b/>
                <w:color w:val="000000"/>
                <w:sz w:val="16"/>
                <w:lang w:val="en-GB"/>
              </w:rPr>
              <w:t>)</w:t>
            </w:r>
          </w:p>
        </w:tc>
      </w:tr>
      <w:tr w:rsidR="0053376B" w:rsidTr="00D835CC">
        <w:trPr>
          <w:trHeight w:hRule="exact" w:val="270"/>
          <w:jc w:val="center"/>
        </w:trPr>
        <w:tc>
          <w:tcPr>
            <w:tcW w:w="123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600" w:type="dxa"/>
            <w:shd w:val="clear" w:color="auto" w:fill="auto"/>
            <w:tcMar>
              <w:top w:w="20" w:type="dxa"/>
              <w:left w:w="20" w:type="dxa"/>
              <w:bottom w:w="20" w:type="dxa"/>
              <w:right w:w="20" w:type="dxa"/>
            </w:tcMar>
          </w:tcPr>
          <w:p w:rsidR="00F227D9" w:rsidRPr="00EA146B" w:rsidRDefault="00F227D9">
            <w:pPr>
              <w:pStyle w:val="T1TableStyle"/>
              <w:jc w:val="center"/>
              <w:rPr>
                <w:rFonts w:ascii="Calibri" w:eastAsia="Calibri" w:hAnsi="Calibri" w:cs="Calibri"/>
                <w:color w:val="000000"/>
                <w:sz w:val="16"/>
                <w:szCs w:val="16"/>
                <w:lang w:val="en-GB"/>
              </w:rPr>
            </w:pPr>
            <w:r w:rsidRPr="00EA146B">
              <w:rPr>
                <w:rFonts w:ascii="Calibri" w:eastAsia="Calibri" w:hAnsi="Calibri" w:cs="Calibri"/>
                <w:color w:val="000000"/>
                <w:sz w:val="16"/>
                <w:szCs w:val="16"/>
                <w:lang w:val="en-GB"/>
              </w:rPr>
              <w:t xml:space="preserve"> </w:t>
            </w:r>
          </w:p>
        </w:tc>
        <w:tc>
          <w:tcPr>
            <w:tcW w:w="228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r>
      <w:tr w:rsidR="0053376B" w:rsidRPr="007B1C64" w:rsidTr="00D835CC">
        <w:trPr>
          <w:trHeight w:val="420"/>
          <w:jc w:val="center"/>
        </w:trPr>
        <w:tc>
          <w:tcPr>
            <w:tcW w:w="123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229,011</w:t>
            </w:r>
          </w:p>
        </w:tc>
        <w:tc>
          <w:tcPr>
            <w:tcW w:w="60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EA146B" w:rsidRDefault="00F227D9">
            <w:pPr>
              <w:pStyle w:val="T1TableStyle"/>
              <w:jc w:val="center"/>
              <w:rPr>
                <w:rFonts w:ascii="Verdana" w:eastAsia="Verdana" w:hAnsi="Verdana" w:cs="Verdana"/>
                <w:b/>
                <w:color w:val="000000"/>
                <w:sz w:val="16"/>
                <w:szCs w:val="16"/>
                <w:lang w:val="en-GB"/>
              </w:rPr>
            </w:pPr>
            <w:r w:rsidRPr="00EA146B">
              <w:rPr>
                <w:rFonts w:ascii="Verdana" w:eastAsia="Verdana" w:hAnsi="Verdana" w:cs="Verdana"/>
                <w:b/>
                <w:color w:val="000000"/>
                <w:sz w:val="16"/>
                <w:szCs w:val="16"/>
                <w:lang w:val="en-GB"/>
              </w:rPr>
              <w:t xml:space="preserve"> </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Comprehensive Income and Expenditure</w:t>
            </w:r>
          </w:p>
        </w:tc>
        <w:tc>
          <w:tcPr>
            <w:tcW w:w="1230"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7B1C64" w:rsidRDefault="00F227D9">
            <w:pPr>
              <w:pStyle w:val="T1TableStyle"/>
              <w:jc w:val="right"/>
              <w:rPr>
                <w:rFonts w:ascii="Verdana" w:eastAsia="Verdana" w:hAnsi="Verdana" w:cs="Verdana"/>
                <w:b/>
                <w:color w:val="000000"/>
                <w:sz w:val="16"/>
                <w:lang w:val="en-GB"/>
              </w:rPr>
            </w:pPr>
            <w:r w:rsidRPr="007B1C64">
              <w:rPr>
                <w:rFonts w:ascii="Verdana" w:eastAsia="Verdana" w:hAnsi="Verdana" w:cs="Verdana"/>
                <w:b/>
                <w:color w:val="000000"/>
                <w:sz w:val="16"/>
                <w:lang w:val="en-GB"/>
              </w:rPr>
              <w:t>(</w:t>
            </w:r>
            <w:r w:rsidR="00B60B19">
              <w:rPr>
                <w:rFonts w:ascii="Verdana" w:eastAsia="Verdana" w:hAnsi="Verdana" w:cs="Verdana"/>
                <w:b/>
                <w:color w:val="000000"/>
                <w:sz w:val="16"/>
                <w:lang w:val="en-GB"/>
              </w:rPr>
              <w:t>1</w:t>
            </w:r>
            <w:r w:rsidR="005E1900">
              <w:rPr>
                <w:rFonts w:ascii="Verdana" w:eastAsia="Verdana" w:hAnsi="Verdana" w:cs="Verdana"/>
                <w:b/>
                <w:color w:val="000000"/>
                <w:sz w:val="16"/>
                <w:lang w:val="en-GB"/>
              </w:rPr>
              <w:t>30,230</w:t>
            </w:r>
            <w:r w:rsidRPr="007B1C64">
              <w:rPr>
                <w:rFonts w:ascii="Verdana" w:eastAsia="Verdana" w:hAnsi="Verdana" w:cs="Verdana"/>
                <w:b/>
                <w:color w:val="000000"/>
                <w:sz w:val="16"/>
                <w:lang w:val="en-GB"/>
              </w:rPr>
              <w:t>)</w:t>
            </w:r>
          </w:p>
        </w:tc>
      </w:tr>
    </w:tbl>
    <w:p w:rsidR="00F227D9" w:rsidRDefault="00F227D9">
      <w:pPr>
        <w:pStyle w:val="T1TableStyle"/>
        <w:rPr>
          <w:lang w:val="en-GB"/>
        </w:rPr>
      </w:pPr>
    </w:p>
    <w:p w:rsidR="00F227D9" w:rsidRDefault="00444662" w:rsidP="00F227D9">
      <w:pPr>
        <w:pStyle w:val="Normal0"/>
        <w:spacing w:after="160"/>
        <w:rPr>
          <w:rFonts w:ascii="Verdana" w:hAnsi="Verdana"/>
          <w:sz w:val="22"/>
          <w:szCs w:val="22"/>
          <w:lang w:val="en-GB"/>
        </w:rPr>
        <w:sectPr w:rsidR="00F227D9" w:rsidSect="00F227D9">
          <w:pgSz w:w="11900" w:h="16840"/>
          <w:pgMar w:top="720" w:right="720" w:bottom="720" w:left="720" w:header="708" w:footer="708" w:gutter="0"/>
          <w:cols w:space="708"/>
          <w:docGrid w:linePitch="360"/>
        </w:sectPr>
      </w:pPr>
      <w:r>
        <w:rPr>
          <w:rFonts w:ascii="Verdana" w:hAnsi="Verdana"/>
          <w:sz w:val="22"/>
          <w:szCs w:val="22"/>
          <w:lang w:val="en-GB"/>
        </w:rPr>
        <w:t>Depreciation/Amortisation figure in 19/20 includes a figure of £2</w:t>
      </w:r>
      <w:r w:rsidR="008016F5">
        <w:rPr>
          <w:rFonts w:ascii="Verdana" w:hAnsi="Verdana"/>
          <w:sz w:val="22"/>
          <w:szCs w:val="22"/>
          <w:lang w:val="en-GB"/>
        </w:rPr>
        <w:t>.</w:t>
      </w:r>
      <w:r>
        <w:rPr>
          <w:rFonts w:ascii="Verdana" w:hAnsi="Verdana"/>
          <w:sz w:val="22"/>
          <w:szCs w:val="22"/>
          <w:lang w:val="en-GB"/>
        </w:rPr>
        <w:t>0</w:t>
      </w:r>
      <w:r w:rsidR="00B9211A">
        <w:rPr>
          <w:rFonts w:ascii="Verdana" w:hAnsi="Verdana"/>
          <w:sz w:val="22"/>
          <w:szCs w:val="22"/>
          <w:lang w:val="en-GB"/>
        </w:rPr>
        <w:t>81</w:t>
      </w:r>
      <w:r>
        <w:rPr>
          <w:rFonts w:ascii="Verdana" w:hAnsi="Verdana"/>
          <w:sz w:val="22"/>
          <w:szCs w:val="22"/>
          <w:lang w:val="en-GB"/>
        </w:rPr>
        <w:t>m for downward PPE Revalua</w:t>
      </w:r>
      <w:r w:rsidR="00B9211A">
        <w:rPr>
          <w:rFonts w:ascii="Verdana" w:hAnsi="Verdana"/>
          <w:sz w:val="22"/>
          <w:szCs w:val="22"/>
          <w:lang w:val="en-GB"/>
        </w:rPr>
        <w:t>t</w:t>
      </w:r>
      <w:r>
        <w:rPr>
          <w:rFonts w:ascii="Verdana" w:hAnsi="Verdana"/>
          <w:sz w:val="22"/>
          <w:szCs w:val="22"/>
          <w:lang w:val="en-GB"/>
        </w:rPr>
        <w:t xml:space="preserve">ions </w:t>
      </w:r>
    </w:p>
    <w:p w:rsidR="00F227D9" w:rsidRDefault="00F227D9" w:rsidP="00F227D9">
      <w:pPr>
        <w:pStyle w:val="Heading1"/>
        <w:spacing w:after="240"/>
        <w:rPr>
          <w:lang w:val="pt-BR"/>
        </w:rPr>
      </w:pPr>
      <w:bookmarkStart w:id="7" w:name="_Toc55900977"/>
      <w:r>
        <w:rPr>
          <w:lang w:val="pt-BR"/>
        </w:rPr>
        <w:t>Balance Sheet</w:t>
      </w:r>
      <w:bookmarkEnd w:id="7"/>
      <w:r>
        <w:rPr>
          <w:lang w:val="pt-BR"/>
        </w:rPr>
        <w:t xml:space="preserve"> </w:t>
      </w:r>
    </w:p>
    <w:p w:rsidR="00F227D9" w:rsidRDefault="00F227D9" w:rsidP="00664CC3">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 Balance Sheet shows the value as at the Balance Sheet date of the assets and liabilities recognised by the Chief Constable. The net assets (assets less liabilities) are matched by the reserves. Reserves are reported in two categories. The first category of reserves are usable reserves, i.e. those reserves that may be used to provide services, subject to the need to maintain a prudent level of reserves and any statutory limitations on their use. The second category of reserves is those that the authority is not able to use to provide services. These are referred to as unusable or non-cash backed reserves. This includes reserves for pensions and accumulated absences that recognise the impact of the accounting treatment shown in the Movement in Reserves Statement line ‘Adjustments between accounting basis and funding basis under regulations’.</w:t>
      </w:r>
    </w:p>
    <w:p w:rsidR="00F227D9" w:rsidRDefault="00AC6398" w:rsidP="00EA146B">
      <w:pPr>
        <w:pStyle w:val="T1TableStyle"/>
        <w:jc w:val="center"/>
        <w:rPr>
          <w:lang w:val="en-GB"/>
        </w:rPr>
      </w:pPr>
      <w:r w:rsidRPr="00AC6398">
        <w:rPr>
          <w:noProof/>
          <w:lang w:val="en-GB" w:eastAsia="en-GB"/>
        </w:rPr>
        <w:drawing>
          <wp:inline distT="0" distB="0" distL="0" distR="0">
            <wp:extent cx="5323205" cy="3150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3205" cy="3150870"/>
                    </a:xfrm>
                    <a:prstGeom prst="rect">
                      <a:avLst/>
                    </a:prstGeom>
                    <a:noFill/>
                    <a:ln>
                      <a:noFill/>
                    </a:ln>
                  </pic:spPr>
                </pic:pic>
              </a:graphicData>
            </a:graphic>
          </wp:inline>
        </w:drawing>
      </w:r>
    </w:p>
    <w:p w:rsidR="00F227D9" w:rsidRPr="00EA146B" w:rsidRDefault="00F227D9">
      <w:pPr>
        <w:pStyle w:val="Normal0"/>
        <w:spacing w:after="160"/>
        <w:rPr>
          <w:rFonts w:ascii="Verdana" w:eastAsia="Verdana" w:hAnsi="Verdana" w:cs="Verdana"/>
          <w:sz w:val="22"/>
          <w:szCs w:val="22"/>
          <w:u w:val="single"/>
          <w:lang w:val="en-GB"/>
        </w:rPr>
      </w:pPr>
    </w:p>
    <w:p w:rsidR="00F227D9" w:rsidRDefault="00B8692E" w:rsidP="00B8692E">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 xml:space="preserve">I certify that the Statement of Accounts gives a true and fair view of the financial position of the Chief Constable of Surrey at the accounting date and of the income and expenditure for the year ended 31 March 2020. These financial statements </w:t>
      </w:r>
      <w:r w:rsidR="008016F5">
        <w:rPr>
          <w:rFonts w:ascii="Verdana" w:eastAsia="Verdana" w:hAnsi="Verdana" w:cs="Verdana"/>
          <w:sz w:val="22"/>
          <w:szCs w:val="22"/>
          <w:lang w:val="en-GB"/>
        </w:rPr>
        <w:t xml:space="preserve">replace </w:t>
      </w:r>
      <w:r>
        <w:rPr>
          <w:rFonts w:ascii="Verdana" w:eastAsia="Verdana" w:hAnsi="Verdana" w:cs="Verdana"/>
          <w:sz w:val="22"/>
          <w:szCs w:val="22"/>
          <w:lang w:val="en-GB"/>
        </w:rPr>
        <w:t>the unaudited financial statements</w:t>
      </w:r>
      <w:r w:rsidR="00E72A2D">
        <w:rPr>
          <w:rFonts w:ascii="Verdana" w:eastAsia="Verdana" w:hAnsi="Verdana" w:cs="Verdana"/>
          <w:sz w:val="22"/>
          <w:szCs w:val="22"/>
          <w:lang w:val="en-GB"/>
        </w:rPr>
        <w:t xml:space="preserve"> certified on 30 June 2020</w:t>
      </w:r>
      <w:r>
        <w:rPr>
          <w:rFonts w:ascii="Verdana" w:eastAsia="Verdana" w:hAnsi="Verdana" w:cs="Verdana"/>
          <w:sz w:val="22"/>
          <w:szCs w:val="22"/>
          <w:lang w:val="en-GB"/>
        </w:rPr>
        <w:t>.</w:t>
      </w:r>
    </w:p>
    <w:p w:rsidR="00F227D9" w:rsidRDefault="00F227D9">
      <w:pPr>
        <w:pStyle w:val="Normal0"/>
        <w:spacing w:after="160"/>
        <w:rPr>
          <w:rFonts w:ascii="Verdana" w:eastAsia="Verdana" w:hAnsi="Verdana" w:cs="Verdana"/>
          <w:sz w:val="22"/>
          <w:szCs w:val="22"/>
          <w:lang w:val="en-GB"/>
        </w:rPr>
      </w:pPr>
    </w:p>
    <w:p w:rsidR="00B8692E" w:rsidRDefault="00B8692E">
      <w:pPr>
        <w:pStyle w:val="Normal0"/>
        <w:spacing w:after="160"/>
        <w:rPr>
          <w:rFonts w:ascii="Verdana" w:eastAsia="Verdana" w:hAnsi="Verdana" w:cs="Verdana"/>
          <w:sz w:val="22"/>
          <w:szCs w:val="22"/>
          <w:lang w:val="en-GB"/>
        </w:rPr>
      </w:pPr>
    </w:p>
    <w:p w:rsidR="00B8692E" w:rsidRDefault="00B8692E">
      <w:pPr>
        <w:pStyle w:val="Normal0"/>
        <w:spacing w:after="160"/>
        <w:rPr>
          <w:rFonts w:ascii="Verdana" w:eastAsia="Verdana" w:hAnsi="Verdana" w:cs="Verdana"/>
          <w:sz w:val="22"/>
          <w:szCs w:val="22"/>
          <w:lang w:val="en-GB"/>
        </w:rPr>
      </w:pPr>
    </w:p>
    <w:p w:rsidR="00B8692E" w:rsidRDefault="00F227D9">
      <w:pPr>
        <w:pStyle w:val="Normal0"/>
        <w:spacing w:after="160"/>
        <w:rPr>
          <w:rFonts w:ascii="Verdana" w:eastAsia="Verdana" w:hAnsi="Verdana" w:cs="Verdana"/>
          <w:sz w:val="22"/>
          <w:szCs w:val="22"/>
          <w:lang w:val="en-GB"/>
        </w:rPr>
      </w:pPr>
      <w:r w:rsidRPr="00B8692E">
        <w:rPr>
          <w:rFonts w:ascii="Verdana" w:eastAsia="Verdana" w:hAnsi="Verdana" w:cs="Verdana"/>
          <w:b/>
          <w:sz w:val="22"/>
          <w:szCs w:val="22"/>
          <w:lang w:val="en-GB"/>
        </w:rPr>
        <w:t>Peter Gillett</w:t>
      </w:r>
      <w:r w:rsidR="00B8692E">
        <w:rPr>
          <w:rFonts w:ascii="Verdana" w:eastAsia="Verdana" w:hAnsi="Verdana" w:cs="Verdana"/>
          <w:sz w:val="22"/>
          <w:szCs w:val="22"/>
          <w:lang w:val="en-GB"/>
        </w:rPr>
        <w:t xml:space="preserve"> CPFA</w:t>
      </w:r>
    </w:p>
    <w:p w:rsidR="00F227D9" w:rsidRDefault="00F227D9">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Executive Dire</w:t>
      </w:r>
      <w:r w:rsidR="00B60B19">
        <w:rPr>
          <w:rFonts w:ascii="Verdana" w:eastAsia="Verdana" w:hAnsi="Verdana" w:cs="Verdana"/>
          <w:sz w:val="22"/>
          <w:szCs w:val="22"/>
          <w:lang w:val="en-GB"/>
        </w:rPr>
        <w:t>ctor of Commercial and Finance</w:t>
      </w:r>
      <w:r>
        <w:rPr>
          <w:rFonts w:ascii="Verdana" w:eastAsia="Verdana" w:hAnsi="Verdana" w:cs="Verdana"/>
          <w:sz w:val="22"/>
          <w:szCs w:val="22"/>
          <w:lang w:val="en-GB"/>
        </w:rPr>
        <w:t xml:space="preserve"> Services</w:t>
      </w:r>
      <w:r w:rsidR="00B60B19">
        <w:rPr>
          <w:rFonts w:ascii="Verdana" w:eastAsia="Verdana" w:hAnsi="Verdana" w:cs="Verdana"/>
          <w:sz w:val="22"/>
          <w:szCs w:val="22"/>
          <w:lang w:val="en-GB"/>
        </w:rPr>
        <w:t>, Chief Finance Officer</w:t>
      </w:r>
    </w:p>
    <w:p w:rsidR="00F227D9" w:rsidRDefault="00F227D9">
      <w:pPr>
        <w:pStyle w:val="Normal0"/>
        <w:spacing w:after="160"/>
        <w:rPr>
          <w:rFonts w:ascii="Verdana" w:eastAsia="Verdana" w:hAnsi="Verdana" w:cs="Verdana"/>
          <w:sz w:val="22"/>
          <w:szCs w:val="22"/>
          <w:lang w:val="en-GB"/>
        </w:rPr>
        <w:sectPr w:rsidR="00F227D9" w:rsidSect="00F227D9">
          <w:pgSz w:w="11900" w:h="16840"/>
          <w:pgMar w:top="720" w:right="720" w:bottom="720" w:left="720" w:header="708" w:footer="708" w:gutter="0"/>
          <w:cols w:space="708"/>
          <w:docGrid w:linePitch="360"/>
        </w:sectPr>
      </w:pPr>
      <w:r>
        <w:rPr>
          <w:rFonts w:ascii="Verdana" w:eastAsia="Verdana" w:hAnsi="Verdana" w:cs="Verdana"/>
          <w:sz w:val="22"/>
          <w:szCs w:val="22"/>
          <w:lang w:val="en-GB"/>
        </w:rPr>
        <w:t>Date:</w:t>
      </w:r>
      <w:r w:rsidR="00B8692E">
        <w:rPr>
          <w:rFonts w:ascii="Verdana" w:eastAsia="Verdana" w:hAnsi="Verdana" w:cs="Verdana"/>
          <w:sz w:val="22"/>
          <w:szCs w:val="22"/>
          <w:lang w:val="en-GB"/>
        </w:rPr>
        <w:t xml:space="preserve">  </w:t>
      </w:r>
      <w:r w:rsidR="00E72A2D">
        <w:rPr>
          <w:rFonts w:ascii="Verdana" w:eastAsia="Verdana" w:hAnsi="Verdana" w:cs="Verdana"/>
          <w:sz w:val="22"/>
          <w:szCs w:val="22"/>
          <w:lang w:val="en-GB"/>
        </w:rPr>
        <w:t xml:space="preserve"> </w:t>
      </w:r>
    </w:p>
    <w:p w:rsidR="00F227D9" w:rsidRDefault="00F227D9" w:rsidP="00F227D9">
      <w:pPr>
        <w:pStyle w:val="Heading1"/>
        <w:spacing w:line="259" w:lineRule="auto"/>
        <w:rPr>
          <w:lang w:val="pt-BR"/>
        </w:rPr>
      </w:pPr>
      <w:bookmarkStart w:id="8" w:name="_Toc55900978"/>
      <w:r w:rsidRPr="006375D5">
        <w:rPr>
          <w:lang w:val="pt-BR"/>
        </w:rPr>
        <w:t>Cash Flow Statement</w:t>
      </w:r>
      <w:bookmarkEnd w:id="8"/>
    </w:p>
    <w:p w:rsidR="00F227D9" w:rsidRPr="00077F87" w:rsidRDefault="00F227D9" w:rsidP="00F227D9">
      <w:pPr>
        <w:pStyle w:val="Normal0"/>
        <w:spacing w:after="160" w:line="259" w:lineRule="auto"/>
        <w:rPr>
          <w:sz w:val="22"/>
          <w:szCs w:val="22"/>
          <w:lang w:val="pt-BR"/>
        </w:rPr>
      </w:pPr>
    </w:p>
    <w:p w:rsidR="00F227D9" w:rsidRPr="006375D5" w:rsidRDefault="00F227D9" w:rsidP="00EB0483">
      <w:pPr>
        <w:pStyle w:val="Normal0"/>
        <w:spacing w:after="160" w:line="259" w:lineRule="auto"/>
        <w:jc w:val="both"/>
        <w:rPr>
          <w:rFonts w:ascii="Verdana" w:hAnsi="Verdana"/>
          <w:sz w:val="22"/>
          <w:szCs w:val="22"/>
          <w:lang w:val="pt-BR"/>
        </w:rPr>
      </w:pPr>
      <w:r w:rsidRPr="006375D5">
        <w:rPr>
          <w:rFonts w:ascii="Verdana" w:eastAsia="Calibri" w:hAnsi="Verdana" w:cs="Arial"/>
          <w:sz w:val="22"/>
          <w:szCs w:val="22"/>
          <w:lang w:val="pt-BR"/>
        </w:rPr>
        <w:t xml:space="preserve">The Cash Flow Statement shows the changes in cash and cash equivalents of the Chief Constable during the reporting period. </w:t>
      </w:r>
    </w:p>
    <w:p w:rsidR="00F227D9" w:rsidRPr="006375D5" w:rsidRDefault="00F227D9" w:rsidP="00EB0483">
      <w:pPr>
        <w:pStyle w:val="Normal0"/>
        <w:spacing w:after="160" w:line="259" w:lineRule="auto"/>
        <w:jc w:val="both"/>
        <w:rPr>
          <w:rFonts w:ascii="Verdana" w:hAnsi="Verdana"/>
          <w:sz w:val="22"/>
          <w:szCs w:val="22"/>
          <w:lang w:val="pt-BR"/>
        </w:rPr>
      </w:pPr>
      <w:r w:rsidRPr="006375D5">
        <w:rPr>
          <w:rFonts w:ascii="Verdana" w:eastAsia="Calibri" w:hAnsi="Verdana" w:cs="Arial"/>
          <w:sz w:val="22"/>
          <w:szCs w:val="22"/>
          <w:lang w:val="pt-BR"/>
        </w:rPr>
        <w:t>All cash payments are made from the Police Fund which is held by the Police and Crime Commissioner for Surrey. Similarly all income receipts and funding are received by the PCC during the year. This is why the statement doesn't show any cash transactions for the year.</w:t>
      </w:r>
    </w:p>
    <w:p w:rsidR="00F227D9" w:rsidRPr="006375D5" w:rsidRDefault="00F227D9" w:rsidP="00EB0483">
      <w:pPr>
        <w:pStyle w:val="Normal0"/>
        <w:spacing w:after="160" w:line="259" w:lineRule="auto"/>
        <w:jc w:val="both"/>
        <w:rPr>
          <w:rFonts w:ascii="Verdana" w:hAnsi="Verdana"/>
          <w:sz w:val="22"/>
          <w:szCs w:val="22"/>
          <w:lang w:val="pt-BR"/>
        </w:rPr>
      </w:pPr>
      <w:r w:rsidRPr="006375D5">
        <w:rPr>
          <w:rFonts w:ascii="Verdana" w:eastAsia="Calibri" w:hAnsi="Verdana" w:cs="Arial"/>
          <w:sz w:val="22"/>
          <w:szCs w:val="22"/>
          <w:lang w:val="pt-BR"/>
        </w:rPr>
        <w:t>The financial consequences of the Chief Constable's policing activities included in the table above are included in the net (surplus)/defecit as non-cash movements. These can be seen in the Comprehensive Income &amp; Expenditure Account.</w:t>
      </w:r>
    </w:p>
    <w:tbl>
      <w:tblPr>
        <w:tblW w:w="0" w:type="auto"/>
        <w:jc w:val="center"/>
        <w:tblLayout w:type="fixed"/>
        <w:tblLook w:val="04A0" w:firstRow="1" w:lastRow="0" w:firstColumn="1" w:lastColumn="0" w:noHBand="0" w:noVBand="1"/>
      </w:tblPr>
      <w:tblGrid>
        <w:gridCol w:w="1230"/>
        <w:gridCol w:w="180"/>
        <w:gridCol w:w="4515"/>
        <w:gridCol w:w="1230"/>
      </w:tblGrid>
      <w:tr w:rsidR="0053376B" w:rsidTr="00D835CC">
        <w:trPr>
          <w:trHeight w:val="300"/>
          <w:jc w:val="center"/>
        </w:trPr>
        <w:tc>
          <w:tcPr>
            <w:tcW w:w="1230" w:type="dxa"/>
            <w:shd w:val="clear" w:color="auto" w:fill="auto"/>
            <w:tcMar>
              <w:top w:w="20" w:type="dxa"/>
              <w:left w:w="20" w:type="dxa"/>
              <w:bottom w:w="20" w:type="dxa"/>
              <w:right w:w="20" w:type="dxa"/>
            </w:tcMar>
            <w:vAlign w:val="bottom"/>
          </w:tcPr>
          <w:p w:rsidR="0053376B" w:rsidRPr="000F0A7E" w:rsidRDefault="00F227D9" w:rsidP="00F227D9">
            <w:pPr>
              <w:pStyle w:val="T1TableStyle"/>
              <w:jc w:val="center"/>
              <w:rPr>
                <w:rFonts w:ascii="Verdana" w:eastAsia="Verdana" w:hAnsi="Verdana" w:cs="Verdana"/>
                <w:b/>
                <w:color w:val="000000"/>
                <w:sz w:val="16"/>
                <w:szCs w:val="22"/>
                <w:lang w:val="en-GB"/>
              </w:rPr>
            </w:pPr>
            <w:r w:rsidRPr="000F0A7E">
              <w:rPr>
                <w:rFonts w:ascii="Verdana" w:eastAsia="Verdana" w:hAnsi="Verdana" w:cs="Verdana"/>
                <w:b/>
                <w:color w:val="000000"/>
                <w:sz w:val="16"/>
                <w:szCs w:val="22"/>
                <w:lang w:val="en-GB"/>
              </w:rPr>
              <w:t>2018/19</w:t>
            </w:r>
          </w:p>
        </w:tc>
        <w:tc>
          <w:tcPr>
            <w:tcW w:w="180" w:type="dxa"/>
            <w:shd w:val="clear" w:color="auto" w:fill="auto"/>
            <w:tcMar>
              <w:top w:w="20" w:type="dxa"/>
              <w:left w:w="20" w:type="dxa"/>
              <w:bottom w:w="20" w:type="dxa"/>
              <w:right w:w="20" w:type="dxa"/>
            </w:tcMar>
            <w:vAlign w:val="center"/>
          </w:tcPr>
          <w:p w:rsidR="0053376B" w:rsidRPr="000F0A7E" w:rsidRDefault="00F227D9" w:rsidP="00F227D9">
            <w:pPr>
              <w:pStyle w:val="T1TableStyle"/>
              <w:jc w:val="center"/>
              <w:rPr>
                <w:rFonts w:ascii="Calibri" w:eastAsia="Calibri" w:hAnsi="Calibri" w:cs="Calibri"/>
                <w:color w:val="000000"/>
                <w:sz w:val="2"/>
                <w:szCs w:val="22"/>
                <w:lang w:val="en-GB"/>
              </w:rPr>
            </w:pPr>
            <w:r w:rsidRPr="000F0A7E">
              <w:rPr>
                <w:rFonts w:ascii="Calibri" w:eastAsia="Calibri" w:hAnsi="Calibri" w:cs="Calibri"/>
                <w:color w:val="000000"/>
                <w:sz w:val="2"/>
                <w:szCs w:val="22"/>
                <w:lang w:val="en-GB"/>
              </w:rPr>
              <w:t xml:space="preserve"> </w:t>
            </w:r>
          </w:p>
        </w:tc>
        <w:tc>
          <w:tcPr>
            <w:tcW w:w="4515" w:type="dxa"/>
            <w:shd w:val="clear" w:color="auto" w:fill="auto"/>
            <w:tcMar>
              <w:top w:w="20" w:type="dxa"/>
              <w:left w:w="20" w:type="dxa"/>
              <w:bottom w:w="20" w:type="dxa"/>
              <w:right w:w="20" w:type="dxa"/>
            </w:tcMar>
            <w:vAlign w:val="center"/>
          </w:tcPr>
          <w:p w:rsidR="0053376B" w:rsidRPr="000F0A7E" w:rsidRDefault="00F227D9" w:rsidP="00F227D9">
            <w:pPr>
              <w:pStyle w:val="T1TableStyle"/>
              <w:jc w:val="center"/>
              <w:rPr>
                <w:rFonts w:ascii="Calibri" w:eastAsia="Calibri" w:hAnsi="Calibri" w:cs="Calibri"/>
                <w:color w:val="000000"/>
                <w:sz w:val="2"/>
                <w:szCs w:val="22"/>
                <w:lang w:val="en-GB"/>
              </w:rPr>
            </w:pPr>
            <w:r w:rsidRPr="000F0A7E">
              <w:rPr>
                <w:rFonts w:ascii="Calibri" w:eastAsia="Calibri" w:hAnsi="Calibri" w:cs="Calibri"/>
                <w:color w:val="000000"/>
                <w:sz w:val="2"/>
                <w:szCs w:val="22"/>
                <w:lang w:val="en-GB"/>
              </w:rPr>
              <w:t xml:space="preserve"> </w:t>
            </w:r>
          </w:p>
        </w:tc>
        <w:tc>
          <w:tcPr>
            <w:tcW w:w="1230" w:type="dxa"/>
            <w:shd w:val="clear" w:color="auto" w:fill="auto"/>
            <w:tcMar>
              <w:top w:w="20" w:type="dxa"/>
              <w:left w:w="20" w:type="dxa"/>
              <w:bottom w:w="20" w:type="dxa"/>
              <w:right w:w="20" w:type="dxa"/>
            </w:tcMar>
            <w:vAlign w:val="bottom"/>
          </w:tcPr>
          <w:p w:rsidR="0053376B" w:rsidRPr="000F0A7E" w:rsidRDefault="00F227D9" w:rsidP="00F227D9">
            <w:pPr>
              <w:pStyle w:val="T1TableStyle"/>
              <w:jc w:val="center"/>
              <w:rPr>
                <w:rFonts w:ascii="Verdana" w:eastAsia="Verdana" w:hAnsi="Verdana" w:cs="Verdana"/>
                <w:b/>
                <w:color w:val="000000"/>
                <w:sz w:val="16"/>
                <w:szCs w:val="22"/>
                <w:lang w:val="en-GB"/>
              </w:rPr>
            </w:pPr>
            <w:r w:rsidRPr="000F0A7E">
              <w:rPr>
                <w:rFonts w:ascii="Verdana" w:eastAsia="Verdana" w:hAnsi="Verdana" w:cs="Verdana"/>
                <w:b/>
                <w:color w:val="000000"/>
                <w:sz w:val="16"/>
                <w:szCs w:val="22"/>
                <w:lang w:val="en-GB"/>
              </w:rPr>
              <w:t>2019/20</w:t>
            </w:r>
          </w:p>
        </w:tc>
      </w:tr>
      <w:tr w:rsidR="0053376B" w:rsidTr="00D835CC">
        <w:trPr>
          <w:trHeight w:val="300"/>
          <w:jc w:val="center"/>
        </w:trPr>
        <w:tc>
          <w:tcPr>
            <w:tcW w:w="1230" w:type="dxa"/>
            <w:tcBorders>
              <w:bottom w:val="single" w:sz="2" w:space="0" w:color="000000"/>
            </w:tcBorders>
            <w:shd w:val="clear" w:color="auto" w:fill="auto"/>
            <w:tcMar>
              <w:top w:w="20" w:type="dxa"/>
              <w:left w:w="20" w:type="dxa"/>
              <w:bottom w:w="20" w:type="dxa"/>
              <w:right w:w="20" w:type="dxa"/>
            </w:tcMar>
            <w:vAlign w:val="bottom"/>
          </w:tcPr>
          <w:p w:rsidR="0053376B" w:rsidRPr="000F0A7E" w:rsidRDefault="00F227D9" w:rsidP="00F227D9">
            <w:pPr>
              <w:pStyle w:val="T1TableStyle"/>
              <w:jc w:val="right"/>
              <w:rPr>
                <w:rFonts w:ascii="Verdana" w:eastAsia="Verdana" w:hAnsi="Verdana" w:cs="Verdana"/>
                <w:b/>
                <w:color w:val="000000"/>
                <w:sz w:val="16"/>
                <w:szCs w:val="22"/>
                <w:lang w:val="en-GB"/>
              </w:rPr>
            </w:pPr>
            <w:r w:rsidRPr="000F0A7E">
              <w:rPr>
                <w:rFonts w:ascii="Verdana" w:eastAsia="Verdana" w:hAnsi="Verdana" w:cs="Verdana"/>
                <w:b/>
                <w:color w:val="000000"/>
                <w:sz w:val="16"/>
                <w:szCs w:val="22"/>
                <w:lang w:val="en-GB"/>
              </w:rPr>
              <w:t>£000</w:t>
            </w:r>
          </w:p>
        </w:tc>
        <w:tc>
          <w:tcPr>
            <w:tcW w:w="180" w:type="dxa"/>
            <w:tcBorders>
              <w:bottom w:val="single" w:sz="2" w:space="0" w:color="000000"/>
            </w:tcBorders>
            <w:shd w:val="clear" w:color="auto" w:fill="auto"/>
            <w:tcMar>
              <w:top w:w="20" w:type="dxa"/>
              <w:left w:w="20" w:type="dxa"/>
              <w:bottom w:w="20" w:type="dxa"/>
              <w:right w:w="20" w:type="dxa"/>
            </w:tcMar>
            <w:vAlign w:val="bottom"/>
          </w:tcPr>
          <w:p w:rsidR="0053376B" w:rsidRPr="000F0A7E" w:rsidRDefault="00F227D9" w:rsidP="00F227D9">
            <w:pPr>
              <w:pStyle w:val="T1TableStyle"/>
              <w:jc w:val="right"/>
              <w:rPr>
                <w:rFonts w:ascii="Verdana" w:eastAsia="Verdana" w:hAnsi="Verdana" w:cs="Verdana"/>
                <w:b/>
                <w:color w:val="000000"/>
                <w:sz w:val="2"/>
                <w:szCs w:val="22"/>
                <w:lang w:val="en-GB"/>
              </w:rPr>
            </w:pPr>
            <w:r w:rsidRPr="000F0A7E">
              <w:rPr>
                <w:rFonts w:ascii="Verdana" w:eastAsia="Verdana" w:hAnsi="Verdana" w:cs="Verdana"/>
                <w:b/>
                <w:color w:val="000000"/>
                <w:sz w:val="2"/>
                <w:szCs w:val="22"/>
                <w:lang w:val="en-GB"/>
              </w:rPr>
              <w:t xml:space="preserve"> </w:t>
            </w:r>
          </w:p>
        </w:tc>
        <w:tc>
          <w:tcPr>
            <w:tcW w:w="4515" w:type="dxa"/>
            <w:tcBorders>
              <w:bottom w:val="single" w:sz="2" w:space="0" w:color="000000"/>
            </w:tcBorders>
            <w:shd w:val="clear" w:color="auto" w:fill="auto"/>
            <w:tcMar>
              <w:top w:w="20" w:type="dxa"/>
              <w:left w:w="20" w:type="dxa"/>
              <w:bottom w:w="20" w:type="dxa"/>
              <w:right w:w="20" w:type="dxa"/>
            </w:tcMar>
            <w:vAlign w:val="bottom"/>
          </w:tcPr>
          <w:p w:rsidR="0053376B" w:rsidRPr="000F0A7E" w:rsidRDefault="00F227D9" w:rsidP="00F227D9">
            <w:pPr>
              <w:pStyle w:val="T1TableStyle"/>
              <w:jc w:val="right"/>
              <w:rPr>
                <w:rFonts w:ascii="Verdana" w:eastAsia="Verdana" w:hAnsi="Verdana" w:cs="Verdana"/>
                <w:b/>
                <w:color w:val="000000"/>
                <w:sz w:val="2"/>
                <w:szCs w:val="22"/>
                <w:lang w:val="en-GB"/>
              </w:rPr>
            </w:pPr>
            <w:r w:rsidRPr="000F0A7E">
              <w:rPr>
                <w:rFonts w:ascii="Verdana" w:eastAsia="Verdana" w:hAnsi="Verdana" w:cs="Verdana"/>
                <w:b/>
                <w:color w:val="000000"/>
                <w:sz w:val="2"/>
                <w:szCs w:val="22"/>
                <w:lang w:val="en-GB"/>
              </w:rPr>
              <w:t xml:space="preserve"> </w:t>
            </w:r>
          </w:p>
        </w:tc>
        <w:tc>
          <w:tcPr>
            <w:tcW w:w="1230" w:type="dxa"/>
            <w:tcBorders>
              <w:bottom w:val="single" w:sz="2" w:space="0" w:color="000000"/>
            </w:tcBorders>
            <w:shd w:val="clear" w:color="auto" w:fill="auto"/>
            <w:tcMar>
              <w:top w:w="20" w:type="dxa"/>
              <w:left w:w="20" w:type="dxa"/>
              <w:bottom w:w="20" w:type="dxa"/>
              <w:right w:w="20" w:type="dxa"/>
            </w:tcMar>
            <w:vAlign w:val="bottom"/>
          </w:tcPr>
          <w:p w:rsidR="0053376B" w:rsidRPr="000F0A7E" w:rsidRDefault="00F227D9" w:rsidP="00F227D9">
            <w:pPr>
              <w:pStyle w:val="T1TableStyle"/>
              <w:jc w:val="right"/>
              <w:rPr>
                <w:rFonts w:ascii="Verdana" w:eastAsia="Verdana" w:hAnsi="Verdana" w:cs="Verdana"/>
                <w:b/>
                <w:color w:val="000000"/>
                <w:sz w:val="16"/>
                <w:szCs w:val="22"/>
                <w:lang w:val="en-GB"/>
              </w:rPr>
            </w:pPr>
            <w:r w:rsidRPr="000F0A7E">
              <w:rPr>
                <w:rFonts w:ascii="Verdana" w:eastAsia="Verdana" w:hAnsi="Verdana" w:cs="Verdana"/>
                <w:b/>
                <w:color w:val="000000"/>
                <w:sz w:val="16"/>
                <w:szCs w:val="22"/>
                <w:lang w:val="en-GB"/>
              </w:rPr>
              <w:t>£000</w:t>
            </w:r>
          </w:p>
        </w:tc>
      </w:tr>
      <w:tr w:rsidR="0053376B" w:rsidTr="00D835CC">
        <w:trPr>
          <w:trHeight w:val="420"/>
          <w:jc w:val="center"/>
        </w:trPr>
        <w:tc>
          <w:tcPr>
            <w:tcW w:w="1230" w:type="dxa"/>
            <w:shd w:val="clear" w:color="auto" w:fill="auto"/>
            <w:tcMar>
              <w:top w:w="20" w:type="dxa"/>
              <w:left w:w="20" w:type="dxa"/>
              <w:bottom w:w="20" w:type="dxa"/>
              <w:right w:w="20" w:type="dxa"/>
            </w:tcMar>
          </w:tcPr>
          <w:p w:rsidR="0053376B" w:rsidRPr="000F0A7E" w:rsidRDefault="00F227D9" w:rsidP="00F227D9">
            <w:pPr>
              <w:pStyle w:val="T1TableStyle"/>
              <w:jc w:val="right"/>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141,391</w:t>
            </w:r>
          </w:p>
        </w:tc>
        <w:tc>
          <w:tcPr>
            <w:tcW w:w="180" w:type="dxa"/>
            <w:shd w:val="clear" w:color="auto" w:fill="auto"/>
            <w:tcMar>
              <w:top w:w="20" w:type="dxa"/>
              <w:left w:w="20" w:type="dxa"/>
              <w:bottom w:w="20" w:type="dxa"/>
              <w:right w:w="20" w:type="dxa"/>
            </w:tcMar>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c>
          <w:tcPr>
            <w:tcW w:w="4515" w:type="dxa"/>
            <w:shd w:val="clear" w:color="auto" w:fill="auto"/>
            <w:tcMar>
              <w:top w:w="20" w:type="dxa"/>
              <w:left w:w="20" w:type="dxa"/>
              <w:bottom w:w="20" w:type="dxa"/>
              <w:right w:w="20" w:type="dxa"/>
            </w:tcMar>
          </w:tcPr>
          <w:p w:rsidR="0053376B" w:rsidRPr="000F0A7E" w:rsidRDefault="00F227D9" w:rsidP="00F227D9">
            <w:pPr>
              <w:pStyle w:val="T1TableStyle"/>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Net (surplus) or deficit on the provision of services</w:t>
            </w:r>
          </w:p>
        </w:tc>
        <w:tc>
          <w:tcPr>
            <w:tcW w:w="1230" w:type="dxa"/>
            <w:shd w:val="clear" w:color="auto" w:fill="auto"/>
            <w:tcMar>
              <w:top w:w="20" w:type="dxa"/>
              <w:left w:w="20" w:type="dxa"/>
              <w:bottom w:w="20" w:type="dxa"/>
              <w:right w:w="20" w:type="dxa"/>
            </w:tcMar>
          </w:tcPr>
          <w:p w:rsidR="0053376B" w:rsidRPr="000F0A7E" w:rsidRDefault="000620F7">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63</w:t>
            </w:r>
            <w:r w:rsidR="00B634E7">
              <w:rPr>
                <w:rFonts w:ascii="Verdana" w:eastAsia="Verdana" w:hAnsi="Verdana" w:cs="Verdana"/>
                <w:color w:val="000000"/>
                <w:sz w:val="16"/>
                <w:szCs w:val="22"/>
                <w:lang w:val="en-GB"/>
              </w:rPr>
              <w:t>,</w:t>
            </w:r>
            <w:r>
              <w:rPr>
                <w:rFonts w:ascii="Verdana" w:eastAsia="Verdana" w:hAnsi="Verdana" w:cs="Verdana"/>
                <w:color w:val="000000"/>
                <w:sz w:val="16"/>
                <w:szCs w:val="22"/>
                <w:lang w:val="en-GB"/>
              </w:rPr>
              <w:t>0</w:t>
            </w:r>
            <w:r w:rsidR="00232962">
              <w:rPr>
                <w:rFonts w:ascii="Verdana" w:eastAsia="Verdana" w:hAnsi="Verdana" w:cs="Verdana"/>
                <w:color w:val="000000"/>
                <w:sz w:val="16"/>
                <w:szCs w:val="22"/>
                <w:lang w:val="en-GB"/>
              </w:rPr>
              <w:t>3</w:t>
            </w:r>
            <w:r w:rsidR="005E1900">
              <w:rPr>
                <w:rFonts w:ascii="Verdana" w:eastAsia="Verdana" w:hAnsi="Verdana" w:cs="Verdana"/>
                <w:color w:val="000000"/>
                <w:sz w:val="16"/>
                <w:szCs w:val="22"/>
                <w:lang w:val="en-GB"/>
              </w:rPr>
              <w:t>1</w:t>
            </w:r>
          </w:p>
        </w:tc>
      </w:tr>
      <w:tr w:rsidR="0053376B" w:rsidTr="00D835CC">
        <w:trPr>
          <w:trHeight w:val="600"/>
          <w:jc w:val="center"/>
        </w:trPr>
        <w:tc>
          <w:tcPr>
            <w:tcW w:w="1230" w:type="dxa"/>
            <w:shd w:val="clear" w:color="auto" w:fill="auto"/>
            <w:tcMar>
              <w:top w:w="20" w:type="dxa"/>
              <w:left w:w="20" w:type="dxa"/>
              <w:bottom w:w="20" w:type="dxa"/>
              <w:right w:w="20" w:type="dxa"/>
            </w:tcMar>
          </w:tcPr>
          <w:p w:rsidR="0053376B" w:rsidRPr="000F0A7E" w:rsidRDefault="00F227D9" w:rsidP="00F227D9">
            <w:pPr>
              <w:pStyle w:val="T1TableStyle"/>
              <w:jc w:val="right"/>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(141,391)</w:t>
            </w:r>
          </w:p>
        </w:tc>
        <w:tc>
          <w:tcPr>
            <w:tcW w:w="180" w:type="dxa"/>
            <w:shd w:val="clear" w:color="auto" w:fill="auto"/>
            <w:tcMar>
              <w:top w:w="20" w:type="dxa"/>
              <w:left w:w="20" w:type="dxa"/>
              <w:bottom w:w="20" w:type="dxa"/>
              <w:right w:w="20" w:type="dxa"/>
            </w:tcMar>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c>
          <w:tcPr>
            <w:tcW w:w="4515" w:type="dxa"/>
            <w:shd w:val="clear" w:color="auto" w:fill="auto"/>
            <w:tcMar>
              <w:top w:w="20" w:type="dxa"/>
              <w:left w:w="20" w:type="dxa"/>
              <w:bottom w:w="20" w:type="dxa"/>
              <w:right w:w="20" w:type="dxa"/>
            </w:tcMar>
          </w:tcPr>
          <w:p w:rsidR="0053376B" w:rsidRPr="000F0A7E" w:rsidRDefault="00F227D9" w:rsidP="00F227D9">
            <w:pPr>
              <w:pStyle w:val="T1TableStyle"/>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Adjustment to surplus or deficit on the provision of services for noncash movements</w:t>
            </w:r>
          </w:p>
        </w:tc>
        <w:tc>
          <w:tcPr>
            <w:tcW w:w="1230" w:type="dxa"/>
            <w:shd w:val="clear" w:color="auto" w:fill="auto"/>
            <w:tcMar>
              <w:top w:w="20" w:type="dxa"/>
              <w:left w:w="20" w:type="dxa"/>
              <w:bottom w:w="20" w:type="dxa"/>
              <w:right w:w="20" w:type="dxa"/>
            </w:tcMar>
          </w:tcPr>
          <w:p w:rsidR="0053376B" w:rsidRPr="000F0A7E" w:rsidRDefault="00B634E7">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w:t>
            </w:r>
            <w:r w:rsidR="000620F7">
              <w:rPr>
                <w:rFonts w:ascii="Verdana" w:eastAsia="Verdana" w:hAnsi="Verdana" w:cs="Verdana"/>
                <w:color w:val="000000"/>
                <w:sz w:val="16"/>
                <w:szCs w:val="22"/>
                <w:lang w:val="en-GB"/>
              </w:rPr>
              <w:t>63</w:t>
            </w:r>
            <w:r>
              <w:rPr>
                <w:rFonts w:ascii="Verdana" w:eastAsia="Verdana" w:hAnsi="Verdana" w:cs="Verdana"/>
                <w:color w:val="000000"/>
                <w:sz w:val="16"/>
                <w:szCs w:val="22"/>
                <w:lang w:val="en-GB"/>
              </w:rPr>
              <w:t>,</w:t>
            </w:r>
            <w:r w:rsidR="000620F7">
              <w:rPr>
                <w:rFonts w:ascii="Verdana" w:eastAsia="Verdana" w:hAnsi="Verdana" w:cs="Verdana"/>
                <w:color w:val="000000"/>
                <w:sz w:val="16"/>
                <w:szCs w:val="22"/>
                <w:lang w:val="en-GB"/>
              </w:rPr>
              <w:t>0</w:t>
            </w:r>
            <w:r w:rsidR="00232962">
              <w:rPr>
                <w:rFonts w:ascii="Verdana" w:eastAsia="Verdana" w:hAnsi="Verdana" w:cs="Verdana"/>
                <w:color w:val="000000"/>
                <w:sz w:val="16"/>
                <w:szCs w:val="22"/>
                <w:lang w:val="en-GB"/>
              </w:rPr>
              <w:t>3</w:t>
            </w:r>
            <w:r w:rsidR="005E1900">
              <w:rPr>
                <w:rFonts w:ascii="Verdana" w:eastAsia="Verdana" w:hAnsi="Verdana" w:cs="Verdana"/>
                <w:color w:val="000000"/>
                <w:sz w:val="16"/>
                <w:szCs w:val="22"/>
                <w:lang w:val="en-GB"/>
              </w:rPr>
              <w:t>1</w:t>
            </w:r>
            <w:r>
              <w:rPr>
                <w:rFonts w:ascii="Verdana" w:eastAsia="Verdana" w:hAnsi="Verdana" w:cs="Verdana"/>
                <w:color w:val="000000"/>
                <w:sz w:val="16"/>
                <w:szCs w:val="22"/>
                <w:lang w:val="en-GB"/>
              </w:rPr>
              <w:t>)</w:t>
            </w:r>
          </w:p>
        </w:tc>
      </w:tr>
      <w:tr w:rsidR="0053376B" w:rsidTr="00D835CC">
        <w:trPr>
          <w:trHeight w:val="840"/>
          <w:jc w:val="center"/>
        </w:trPr>
        <w:tc>
          <w:tcPr>
            <w:tcW w:w="1230" w:type="dxa"/>
            <w:shd w:val="clear" w:color="auto" w:fill="auto"/>
            <w:tcMar>
              <w:top w:w="20" w:type="dxa"/>
              <w:left w:w="20" w:type="dxa"/>
              <w:bottom w:w="20" w:type="dxa"/>
              <w:right w:w="20" w:type="dxa"/>
            </w:tcMar>
          </w:tcPr>
          <w:p w:rsidR="0053376B" w:rsidRPr="000F0A7E" w:rsidRDefault="00F227D9" w:rsidP="00F227D9">
            <w:pPr>
              <w:pStyle w:val="T1TableStyle"/>
              <w:jc w:val="right"/>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0</w:t>
            </w:r>
          </w:p>
        </w:tc>
        <w:tc>
          <w:tcPr>
            <w:tcW w:w="180" w:type="dxa"/>
            <w:shd w:val="clear" w:color="auto" w:fill="auto"/>
            <w:tcMar>
              <w:top w:w="20" w:type="dxa"/>
              <w:left w:w="20" w:type="dxa"/>
              <w:bottom w:w="20" w:type="dxa"/>
              <w:right w:w="20" w:type="dxa"/>
            </w:tcMar>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c>
          <w:tcPr>
            <w:tcW w:w="4515" w:type="dxa"/>
            <w:shd w:val="clear" w:color="auto" w:fill="auto"/>
            <w:tcMar>
              <w:top w:w="20" w:type="dxa"/>
              <w:left w:w="20" w:type="dxa"/>
              <w:bottom w:w="20" w:type="dxa"/>
              <w:right w:w="20" w:type="dxa"/>
            </w:tcMar>
          </w:tcPr>
          <w:p w:rsidR="0053376B" w:rsidRPr="000F0A7E" w:rsidRDefault="00F227D9" w:rsidP="00F227D9">
            <w:pPr>
              <w:pStyle w:val="T1TableStyle"/>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Adjustment for items included in the net surplus or deficit on the provision of services that are investing or financing activities</w:t>
            </w:r>
          </w:p>
        </w:tc>
        <w:tc>
          <w:tcPr>
            <w:tcW w:w="1230" w:type="dxa"/>
            <w:shd w:val="clear" w:color="auto" w:fill="auto"/>
            <w:tcMar>
              <w:top w:w="20" w:type="dxa"/>
              <w:left w:w="20" w:type="dxa"/>
              <w:bottom w:w="20" w:type="dxa"/>
              <w:right w:w="20" w:type="dxa"/>
            </w:tcMar>
          </w:tcPr>
          <w:p w:rsidR="0053376B" w:rsidRPr="000F0A7E" w:rsidRDefault="00B634E7" w:rsidP="00B634E7">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0</w:t>
            </w:r>
          </w:p>
        </w:tc>
      </w:tr>
      <w:tr w:rsidR="0053376B" w:rsidTr="00D835CC">
        <w:trPr>
          <w:trHeight w:val="315"/>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53376B" w:rsidRPr="000F0A7E" w:rsidRDefault="00F227D9" w:rsidP="00F227D9">
            <w:pPr>
              <w:pStyle w:val="T1TableStyle"/>
              <w:jc w:val="right"/>
              <w:rPr>
                <w:rFonts w:ascii="Verdana" w:eastAsia="Verdana" w:hAnsi="Verdana" w:cs="Verdana"/>
                <w:b/>
                <w:color w:val="000000"/>
                <w:sz w:val="16"/>
                <w:szCs w:val="22"/>
                <w:lang w:val="en-GB"/>
              </w:rPr>
            </w:pPr>
            <w:r w:rsidRPr="000F0A7E">
              <w:rPr>
                <w:rFonts w:ascii="Verdana" w:eastAsia="Verdana" w:hAnsi="Verdana" w:cs="Verdana"/>
                <w:b/>
                <w:color w:val="000000"/>
                <w:sz w:val="16"/>
                <w:szCs w:val="22"/>
                <w:lang w:val="en-GB"/>
              </w:rPr>
              <w:t>0</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53376B" w:rsidRPr="000F0A7E" w:rsidRDefault="00F227D9" w:rsidP="00F227D9">
            <w:pPr>
              <w:pStyle w:val="T1TableStyle"/>
              <w:jc w:val="center"/>
              <w:rPr>
                <w:rFonts w:ascii="Verdana" w:eastAsia="Verdana" w:hAnsi="Verdana" w:cs="Verdana"/>
                <w:b/>
                <w:color w:val="000000"/>
                <w:sz w:val="2"/>
                <w:szCs w:val="22"/>
                <w:lang w:val="en-GB"/>
              </w:rPr>
            </w:pPr>
            <w:r w:rsidRPr="000F0A7E">
              <w:rPr>
                <w:rFonts w:ascii="Verdana" w:eastAsia="Verdana" w:hAnsi="Verdana" w:cs="Verdana"/>
                <w:b/>
                <w:color w:val="000000"/>
                <w:sz w:val="2"/>
                <w:szCs w:val="22"/>
                <w:lang w:val="en-GB"/>
              </w:rPr>
              <w:t xml:space="preserve"> </w:t>
            </w:r>
          </w:p>
        </w:tc>
        <w:tc>
          <w:tcPr>
            <w:tcW w:w="4515" w:type="dxa"/>
            <w:tcBorders>
              <w:top w:val="single" w:sz="2" w:space="0" w:color="000000"/>
              <w:bottom w:val="single" w:sz="12" w:space="0" w:color="000000"/>
            </w:tcBorders>
            <w:shd w:val="clear" w:color="auto" w:fill="auto"/>
            <w:tcMar>
              <w:top w:w="20" w:type="dxa"/>
              <w:left w:w="20" w:type="dxa"/>
              <w:bottom w:w="20" w:type="dxa"/>
              <w:right w:w="20" w:type="dxa"/>
            </w:tcMar>
          </w:tcPr>
          <w:p w:rsidR="0053376B" w:rsidRPr="000F0A7E" w:rsidRDefault="00F227D9" w:rsidP="00F227D9">
            <w:pPr>
              <w:pStyle w:val="T1TableStyle"/>
              <w:rPr>
                <w:rFonts w:ascii="Verdana" w:eastAsia="Verdana" w:hAnsi="Verdana" w:cs="Verdana"/>
                <w:b/>
                <w:color w:val="000000"/>
                <w:sz w:val="16"/>
                <w:szCs w:val="22"/>
                <w:lang w:val="en-GB"/>
              </w:rPr>
            </w:pPr>
            <w:r w:rsidRPr="000F0A7E">
              <w:rPr>
                <w:rFonts w:ascii="Verdana" w:eastAsia="Verdana" w:hAnsi="Verdana" w:cs="Verdana"/>
                <w:b/>
                <w:color w:val="000000"/>
                <w:sz w:val="16"/>
                <w:szCs w:val="22"/>
                <w:lang w:val="en-GB"/>
              </w:rPr>
              <w:t>Net cash flows from operating activities</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53376B" w:rsidRPr="000F0A7E" w:rsidRDefault="00B634E7" w:rsidP="00F227D9">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0</w:t>
            </w:r>
          </w:p>
        </w:tc>
      </w:tr>
      <w:tr w:rsidR="0053376B" w:rsidTr="00D835CC">
        <w:trPr>
          <w:trHeight w:hRule="exact" w:val="300"/>
          <w:jc w:val="center"/>
        </w:trPr>
        <w:tc>
          <w:tcPr>
            <w:tcW w:w="1230" w:type="dxa"/>
            <w:shd w:val="clear" w:color="auto" w:fill="auto"/>
            <w:tcMar>
              <w:top w:w="20" w:type="dxa"/>
              <w:left w:w="20" w:type="dxa"/>
              <w:bottom w:w="20" w:type="dxa"/>
              <w:right w:w="20" w:type="dxa"/>
            </w:tcMar>
            <w:vAlign w:val="bottom"/>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c>
          <w:tcPr>
            <w:tcW w:w="180" w:type="dxa"/>
            <w:shd w:val="clear" w:color="auto" w:fill="auto"/>
            <w:tcMar>
              <w:top w:w="20" w:type="dxa"/>
              <w:left w:w="20" w:type="dxa"/>
              <w:bottom w:w="20" w:type="dxa"/>
              <w:right w:w="20" w:type="dxa"/>
            </w:tcMar>
            <w:vAlign w:val="bottom"/>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c>
          <w:tcPr>
            <w:tcW w:w="4515" w:type="dxa"/>
            <w:shd w:val="clear" w:color="auto" w:fill="auto"/>
            <w:tcMar>
              <w:top w:w="20" w:type="dxa"/>
              <w:left w:w="20" w:type="dxa"/>
              <w:bottom w:w="20" w:type="dxa"/>
              <w:right w:w="20" w:type="dxa"/>
            </w:tcMar>
            <w:vAlign w:val="bottom"/>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c>
          <w:tcPr>
            <w:tcW w:w="1230" w:type="dxa"/>
            <w:shd w:val="clear" w:color="auto" w:fill="auto"/>
            <w:tcMar>
              <w:top w:w="20" w:type="dxa"/>
              <w:left w:w="20" w:type="dxa"/>
              <w:bottom w:w="20" w:type="dxa"/>
              <w:right w:w="20" w:type="dxa"/>
            </w:tcMar>
            <w:vAlign w:val="bottom"/>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r>
      <w:tr w:rsidR="0053376B" w:rsidTr="00D835CC">
        <w:trPr>
          <w:trHeight w:val="300"/>
          <w:jc w:val="center"/>
        </w:trPr>
        <w:tc>
          <w:tcPr>
            <w:tcW w:w="1230" w:type="dxa"/>
            <w:shd w:val="clear" w:color="auto" w:fill="auto"/>
            <w:tcMar>
              <w:top w:w="20" w:type="dxa"/>
              <w:left w:w="20" w:type="dxa"/>
              <w:bottom w:w="20" w:type="dxa"/>
              <w:right w:w="20" w:type="dxa"/>
            </w:tcMar>
          </w:tcPr>
          <w:p w:rsidR="0053376B" w:rsidRPr="000F0A7E" w:rsidRDefault="00F227D9" w:rsidP="00F227D9">
            <w:pPr>
              <w:pStyle w:val="T1TableStyle"/>
              <w:jc w:val="right"/>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0</w:t>
            </w:r>
          </w:p>
        </w:tc>
        <w:tc>
          <w:tcPr>
            <w:tcW w:w="180" w:type="dxa"/>
            <w:shd w:val="clear" w:color="auto" w:fill="auto"/>
            <w:tcMar>
              <w:top w:w="20" w:type="dxa"/>
              <w:left w:w="20" w:type="dxa"/>
              <w:bottom w:w="20" w:type="dxa"/>
              <w:right w:w="20" w:type="dxa"/>
            </w:tcMar>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c>
          <w:tcPr>
            <w:tcW w:w="4515" w:type="dxa"/>
            <w:shd w:val="clear" w:color="auto" w:fill="auto"/>
            <w:tcMar>
              <w:top w:w="20" w:type="dxa"/>
              <w:left w:w="20" w:type="dxa"/>
              <w:bottom w:w="20" w:type="dxa"/>
              <w:right w:w="20" w:type="dxa"/>
            </w:tcMar>
          </w:tcPr>
          <w:p w:rsidR="0053376B" w:rsidRPr="000F0A7E" w:rsidRDefault="00F227D9" w:rsidP="00F227D9">
            <w:pPr>
              <w:pStyle w:val="T1TableStyle"/>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Net cash flows from investing activities</w:t>
            </w:r>
          </w:p>
        </w:tc>
        <w:tc>
          <w:tcPr>
            <w:tcW w:w="1230" w:type="dxa"/>
            <w:shd w:val="clear" w:color="auto" w:fill="auto"/>
            <w:tcMar>
              <w:top w:w="20" w:type="dxa"/>
              <w:left w:w="20" w:type="dxa"/>
              <w:bottom w:w="20" w:type="dxa"/>
              <w:right w:w="20" w:type="dxa"/>
            </w:tcMar>
          </w:tcPr>
          <w:p w:rsidR="0053376B" w:rsidRPr="000F0A7E" w:rsidRDefault="00F227D9" w:rsidP="00F227D9">
            <w:pPr>
              <w:pStyle w:val="T1TableStyle"/>
              <w:jc w:val="right"/>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0</w:t>
            </w:r>
          </w:p>
        </w:tc>
      </w:tr>
      <w:tr w:rsidR="0053376B" w:rsidTr="00D835CC">
        <w:trPr>
          <w:trHeight w:val="300"/>
          <w:jc w:val="center"/>
        </w:trPr>
        <w:tc>
          <w:tcPr>
            <w:tcW w:w="1230" w:type="dxa"/>
            <w:shd w:val="clear" w:color="auto" w:fill="auto"/>
            <w:tcMar>
              <w:top w:w="20" w:type="dxa"/>
              <w:left w:w="20" w:type="dxa"/>
              <w:bottom w:w="20" w:type="dxa"/>
              <w:right w:w="20" w:type="dxa"/>
            </w:tcMar>
          </w:tcPr>
          <w:p w:rsidR="0053376B" w:rsidRPr="000F0A7E" w:rsidRDefault="00F227D9" w:rsidP="00F227D9">
            <w:pPr>
              <w:pStyle w:val="T1TableStyle"/>
              <w:jc w:val="right"/>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0</w:t>
            </w:r>
          </w:p>
        </w:tc>
        <w:tc>
          <w:tcPr>
            <w:tcW w:w="180" w:type="dxa"/>
            <w:shd w:val="clear" w:color="auto" w:fill="auto"/>
            <w:tcMar>
              <w:top w:w="20" w:type="dxa"/>
              <w:left w:w="20" w:type="dxa"/>
              <w:bottom w:w="20" w:type="dxa"/>
              <w:right w:w="20" w:type="dxa"/>
            </w:tcMar>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c>
          <w:tcPr>
            <w:tcW w:w="4515" w:type="dxa"/>
            <w:shd w:val="clear" w:color="auto" w:fill="auto"/>
            <w:tcMar>
              <w:top w:w="20" w:type="dxa"/>
              <w:left w:w="20" w:type="dxa"/>
              <w:bottom w:w="20" w:type="dxa"/>
              <w:right w:w="20" w:type="dxa"/>
            </w:tcMar>
          </w:tcPr>
          <w:p w:rsidR="0053376B" w:rsidRPr="000F0A7E" w:rsidRDefault="00F227D9" w:rsidP="00F227D9">
            <w:pPr>
              <w:pStyle w:val="T1TableStyle"/>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Net cash flows from financing activities</w:t>
            </w:r>
          </w:p>
        </w:tc>
        <w:tc>
          <w:tcPr>
            <w:tcW w:w="1230" w:type="dxa"/>
            <w:shd w:val="clear" w:color="auto" w:fill="auto"/>
            <w:tcMar>
              <w:top w:w="20" w:type="dxa"/>
              <w:left w:w="20" w:type="dxa"/>
              <w:bottom w:w="20" w:type="dxa"/>
              <w:right w:w="20" w:type="dxa"/>
            </w:tcMar>
          </w:tcPr>
          <w:p w:rsidR="0053376B" w:rsidRPr="000F0A7E" w:rsidRDefault="00F227D9" w:rsidP="00F227D9">
            <w:pPr>
              <w:pStyle w:val="T1TableStyle"/>
              <w:jc w:val="right"/>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0</w:t>
            </w:r>
          </w:p>
        </w:tc>
      </w:tr>
      <w:tr w:rsidR="0053376B" w:rsidTr="00D835CC">
        <w:trPr>
          <w:trHeight w:val="480"/>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53376B" w:rsidRPr="000F0A7E" w:rsidRDefault="00F227D9" w:rsidP="00F227D9">
            <w:pPr>
              <w:pStyle w:val="T1TableStyle"/>
              <w:jc w:val="right"/>
              <w:rPr>
                <w:rFonts w:ascii="Verdana" w:eastAsia="Verdana" w:hAnsi="Verdana" w:cs="Verdana"/>
                <w:b/>
                <w:color w:val="000000"/>
                <w:sz w:val="16"/>
                <w:szCs w:val="22"/>
                <w:lang w:val="en-GB"/>
              </w:rPr>
            </w:pPr>
            <w:r w:rsidRPr="000F0A7E">
              <w:rPr>
                <w:rFonts w:ascii="Verdana" w:eastAsia="Verdana" w:hAnsi="Verdana" w:cs="Verdana"/>
                <w:b/>
                <w:color w:val="000000"/>
                <w:sz w:val="16"/>
                <w:szCs w:val="22"/>
                <w:lang w:val="en-GB"/>
              </w:rPr>
              <w:t>0</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53376B" w:rsidRPr="000F0A7E" w:rsidRDefault="00F227D9" w:rsidP="00F227D9">
            <w:pPr>
              <w:pStyle w:val="T1TableStyle"/>
              <w:jc w:val="center"/>
              <w:rPr>
                <w:rFonts w:ascii="Verdana" w:eastAsia="Verdana" w:hAnsi="Verdana" w:cs="Verdana"/>
                <w:b/>
                <w:color w:val="000000"/>
                <w:sz w:val="2"/>
                <w:szCs w:val="22"/>
                <w:lang w:val="en-GB"/>
              </w:rPr>
            </w:pPr>
            <w:r w:rsidRPr="000F0A7E">
              <w:rPr>
                <w:rFonts w:ascii="Verdana" w:eastAsia="Verdana" w:hAnsi="Verdana" w:cs="Verdana"/>
                <w:b/>
                <w:color w:val="000000"/>
                <w:sz w:val="2"/>
                <w:szCs w:val="22"/>
                <w:lang w:val="en-GB"/>
              </w:rPr>
              <w:t xml:space="preserve"> </w:t>
            </w:r>
          </w:p>
        </w:tc>
        <w:tc>
          <w:tcPr>
            <w:tcW w:w="4515" w:type="dxa"/>
            <w:tcBorders>
              <w:top w:val="single" w:sz="2" w:space="0" w:color="000000"/>
              <w:bottom w:val="single" w:sz="12" w:space="0" w:color="000000"/>
            </w:tcBorders>
            <w:shd w:val="clear" w:color="auto" w:fill="auto"/>
            <w:tcMar>
              <w:top w:w="20" w:type="dxa"/>
              <w:left w:w="20" w:type="dxa"/>
              <w:bottom w:w="20" w:type="dxa"/>
              <w:right w:w="20" w:type="dxa"/>
            </w:tcMar>
          </w:tcPr>
          <w:p w:rsidR="0053376B" w:rsidRPr="000F0A7E" w:rsidRDefault="00F227D9" w:rsidP="00F227D9">
            <w:pPr>
              <w:pStyle w:val="T1TableStyle"/>
              <w:rPr>
                <w:rFonts w:ascii="Verdana" w:eastAsia="Verdana" w:hAnsi="Verdana" w:cs="Verdana"/>
                <w:b/>
                <w:color w:val="000000"/>
                <w:sz w:val="16"/>
                <w:szCs w:val="22"/>
                <w:lang w:val="en-GB"/>
              </w:rPr>
            </w:pPr>
            <w:r w:rsidRPr="000F0A7E">
              <w:rPr>
                <w:rFonts w:ascii="Verdana" w:eastAsia="Verdana" w:hAnsi="Verdana" w:cs="Verdana"/>
                <w:b/>
                <w:color w:val="000000"/>
                <w:sz w:val="16"/>
                <w:szCs w:val="22"/>
                <w:lang w:val="en-GB"/>
              </w:rPr>
              <w:t>Net (increase) or decrease in cash and cash equivalents</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53376B" w:rsidRPr="000F0A7E" w:rsidRDefault="00B634E7" w:rsidP="00F227D9">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0</w:t>
            </w:r>
          </w:p>
        </w:tc>
      </w:tr>
      <w:tr w:rsidR="0053376B" w:rsidTr="00D835CC">
        <w:trPr>
          <w:trHeight w:hRule="exact" w:val="300"/>
          <w:jc w:val="center"/>
        </w:trPr>
        <w:tc>
          <w:tcPr>
            <w:tcW w:w="1230" w:type="dxa"/>
            <w:shd w:val="clear" w:color="auto" w:fill="auto"/>
            <w:tcMar>
              <w:top w:w="20" w:type="dxa"/>
              <w:left w:w="20" w:type="dxa"/>
              <w:bottom w:w="20" w:type="dxa"/>
              <w:right w:w="20" w:type="dxa"/>
            </w:tcMar>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c>
          <w:tcPr>
            <w:tcW w:w="180" w:type="dxa"/>
            <w:shd w:val="clear" w:color="auto" w:fill="auto"/>
            <w:tcMar>
              <w:top w:w="20" w:type="dxa"/>
              <w:left w:w="20" w:type="dxa"/>
              <w:bottom w:w="20" w:type="dxa"/>
              <w:right w:w="20" w:type="dxa"/>
            </w:tcMar>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c>
          <w:tcPr>
            <w:tcW w:w="4515" w:type="dxa"/>
            <w:shd w:val="clear" w:color="auto" w:fill="auto"/>
            <w:tcMar>
              <w:top w:w="20" w:type="dxa"/>
              <w:left w:w="20" w:type="dxa"/>
              <w:bottom w:w="20" w:type="dxa"/>
              <w:right w:w="20" w:type="dxa"/>
            </w:tcMar>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c>
          <w:tcPr>
            <w:tcW w:w="1230" w:type="dxa"/>
            <w:shd w:val="clear" w:color="auto" w:fill="auto"/>
            <w:tcMar>
              <w:top w:w="20" w:type="dxa"/>
              <w:left w:w="20" w:type="dxa"/>
              <w:bottom w:w="20" w:type="dxa"/>
              <w:right w:w="20" w:type="dxa"/>
            </w:tcMar>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r>
      <w:tr w:rsidR="0053376B" w:rsidTr="00D835CC">
        <w:trPr>
          <w:trHeight w:val="555"/>
          <w:jc w:val="center"/>
        </w:trPr>
        <w:tc>
          <w:tcPr>
            <w:tcW w:w="1230" w:type="dxa"/>
            <w:shd w:val="clear" w:color="auto" w:fill="auto"/>
            <w:tcMar>
              <w:top w:w="20" w:type="dxa"/>
              <w:left w:w="20" w:type="dxa"/>
              <w:bottom w:w="20" w:type="dxa"/>
              <w:right w:w="20" w:type="dxa"/>
            </w:tcMar>
          </w:tcPr>
          <w:p w:rsidR="0053376B" w:rsidRPr="000F0A7E" w:rsidRDefault="00F227D9" w:rsidP="00F227D9">
            <w:pPr>
              <w:pStyle w:val="T1TableStyle"/>
              <w:jc w:val="right"/>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0</w:t>
            </w:r>
          </w:p>
        </w:tc>
        <w:tc>
          <w:tcPr>
            <w:tcW w:w="180" w:type="dxa"/>
            <w:shd w:val="clear" w:color="auto" w:fill="auto"/>
            <w:tcMar>
              <w:top w:w="20" w:type="dxa"/>
              <w:left w:w="20" w:type="dxa"/>
              <w:bottom w:w="20" w:type="dxa"/>
              <w:right w:w="20" w:type="dxa"/>
            </w:tcMar>
          </w:tcPr>
          <w:p w:rsidR="0053376B" w:rsidRPr="000F0A7E" w:rsidRDefault="00F227D9" w:rsidP="00F227D9">
            <w:pPr>
              <w:pStyle w:val="T1TableStyle"/>
              <w:jc w:val="center"/>
              <w:rPr>
                <w:rFonts w:ascii="Verdana" w:eastAsia="Verdana" w:hAnsi="Verdana" w:cs="Verdana"/>
                <w:color w:val="000000"/>
                <w:sz w:val="2"/>
                <w:szCs w:val="22"/>
                <w:lang w:val="en-GB"/>
              </w:rPr>
            </w:pPr>
            <w:r w:rsidRPr="000F0A7E">
              <w:rPr>
                <w:rFonts w:ascii="Verdana" w:eastAsia="Verdana" w:hAnsi="Verdana" w:cs="Verdana"/>
                <w:color w:val="000000"/>
                <w:sz w:val="2"/>
                <w:szCs w:val="22"/>
                <w:lang w:val="en-GB"/>
              </w:rPr>
              <w:t xml:space="preserve"> </w:t>
            </w:r>
          </w:p>
        </w:tc>
        <w:tc>
          <w:tcPr>
            <w:tcW w:w="4515" w:type="dxa"/>
            <w:shd w:val="clear" w:color="auto" w:fill="auto"/>
            <w:tcMar>
              <w:top w:w="20" w:type="dxa"/>
              <w:left w:w="20" w:type="dxa"/>
              <w:bottom w:w="20" w:type="dxa"/>
              <w:right w:w="20" w:type="dxa"/>
            </w:tcMar>
          </w:tcPr>
          <w:p w:rsidR="0053376B" w:rsidRPr="000F0A7E" w:rsidRDefault="00F227D9" w:rsidP="00F227D9">
            <w:pPr>
              <w:pStyle w:val="T1TableStyle"/>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Cash and cash equivalents at the beginning of the reporting period</w:t>
            </w:r>
          </w:p>
        </w:tc>
        <w:tc>
          <w:tcPr>
            <w:tcW w:w="1230" w:type="dxa"/>
            <w:shd w:val="clear" w:color="auto" w:fill="auto"/>
            <w:tcMar>
              <w:top w:w="20" w:type="dxa"/>
              <w:left w:w="20" w:type="dxa"/>
              <w:bottom w:w="20" w:type="dxa"/>
              <w:right w:w="20" w:type="dxa"/>
            </w:tcMar>
          </w:tcPr>
          <w:p w:rsidR="0053376B" w:rsidRPr="000F0A7E" w:rsidRDefault="00F227D9" w:rsidP="00F227D9">
            <w:pPr>
              <w:pStyle w:val="T1TableStyle"/>
              <w:jc w:val="right"/>
              <w:rPr>
                <w:rFonts w:ascii="Verdana" w:eastAsia="Verdana" w:hAnsi="Verdana" w:cs="Verdana"/>
                <w:color w:val="000000"/>
                <w:sz w:val="16"/>
                <w:szCs w:val="22"/>
                <w:lang w:val="en-GB"/>
              </w:rPr>
            </w:pPr>
            <w:r w:rsidRPr="000F0A7E">
              <w:rPr>
                <w:rFonts w:ascii="Verdana" w:eastAsia="Verdana" w:hAnsi="Verdana" w:cs="Verdana"/>
                <w:color w:val="000000"/>
                <w:sz w:val="16"/>
                <w:szCs w:val="22"/>
                <w:lang w:val="en-GB"/>
              </w:rPr>
              <w:t>0</w:t>
            </w:r>
          </w:p>
        </w:tc>
      </w:tr>
      <w:tr w:rsidR="0053376B" w:rsidTr="00D835CC">
        <w:trPr>
          <w:trHeight w:val="465"/>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53376B" w:rsidRPr="000F0A7E" w:rsidRDefault="00F227D9" w:rsidP="00F227D9">
            <w:pPr>
              <w:pStyle w:val="T1TableStyle"/>
              <w:jc w:val="right"/>
              <w:rPr>
                <w:rFonts w:ascii="Verdana" w:eastAsia="Verdana" w:hAnsi="Verdana" w:cs="Verdana"/>
                <w:b/>
                <w:color w:val="000000"/>
                <w:sz w:val="16"/>
                <w:szCs w:val="22"/>
                <w:lang w:val="en-GB"/>
              </w:rPr>
            </w:pPr>
            <w:r w:rsidRPr="000F0A7E">
              <w:rPr>
                <w:rFonts w:ascii="Verdana" w:eastAsia="Verdana" w:hAnsi="Verdana" w:cs="Verdana"/>
                <w:b/>
                <w:color w:val="000000"/>
                <w:sz w:val="16"/>
                <w:szCs w:val="22"/>
                <w:lang w:val="en-GB"/>
              </w:rPr>
              <w:t>0</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53376B" w:rsidRPr="000F0A7E" w:rsidRDefault="00F227D9" w:rsidP="00F227D9">
            <w:pPr>
              <w:pStyle w:val="T1TableStyle"/>
              <w:jc w:val="center"/>
              <w:rPr>
                <w:rFonts w:ascii="Verdana" w:eastAsia="Verdana" w:hAnsi="Verdana" w:cs="Verdana"/>
                <w:b/>
                <w:color w:val="000000"/>
                <w:sz w:val="2"/>
                <w:szCs w:val="22"/>
                <w:lang w:val="en-GB"/>
              </w:rPr>
            </w:pPr>
            <w:r w:rsidRPr="000F0A7E">
              <w:rPr>
                <w:rFonts w:ascii="Verdana" w:eastAsia="Verdana" w:hAnsi="Verdana" w:cs="Verdana"/>
                <w:b/>
                <w:color w:val="000000"/>
                <w:sz w:val="2"/>
                <w:szCs w:val="22"/>
                <w:lang w:val="en-GB"/>
              </w:rPr>
              <w:t xml:space="preserve"> </w:t>
            </w:r>
          </w:p>
        </w:tc>
        <w:tc>
          <w:tcPr>
            <w:tcW w:w="4515" w:type="dxa"/>
            <w:tcBorders>
              <w:top w:val="single" w:sz="2" w:space="0" w:color="000000"/>
              <w:bottom w:val="single" w:sz="12" w:space="0" w:color="000000"/>
            </w:tcBorders>
            <w:shd w:val="clear" w:color="auto" w:fill="auto"/>
            <w:tcMar>
              <w:top w:w="20" w:type="dxa"/>
              <w:left w:w="20" w:type="dxa"/>
              <w:bottom w:w="20" w:type="dxa"/>
              <w:right w:w="20" w:type="dxa"/>
            </w:tcMar>
          </w:tcPr>
          <w:p w:rsidR="0053376B" w:rsidRPr="000F0A7E" w:rsidRDefault="00F227D9" w:rsidP="00F227D9">
            <w:pPr>
              <w:pStyle w:val="T1TableStyle"/>
              <w:rPr>
                <w:rFonts w:ascii="Verdana" w:eastAsia="Verdana" w:hAnsi="Verdana" w:cs="Verdana"/>
                <w:b/>
                <w:color w:val="000000"/>
                <w:sz w:val="16"/>
                <w:szCs w:val="22"/>
                <w:lang w:val="en-GB"/>
              </w:rPr>
            </w:pPr>
            <w:r w:rsidRPr="000F0A7E">
              <w:rPr>
                <w:rFonts w:ascii="Verdana" w:eastAsia="Verdana" w:hAnsi="Verdana" w:cs="Verdana"/>
                <w:b/>
                <w:color w:val="000000"/>
                <w:sz w:val="16"/>
                <w:szCs w:val="22"/>
                <w:lang w:val="en-GB"/>
              </w:rPr>
              <w:t>Cash and cash equivalents at the end of the reporting period</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53376B" w:rsidRPr="000F0A7E" w:rsidRDefault="00B634E7" w:rsidP="00F227D9">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0</w:t>
            </w:r>
          </w:p>
        </w:tc>
      </w:tr>
    </w:tbl>
    <w:p w:rsidR="00F227D9" w:rsidRPr="000F0A7E" w:rsidRDefault="00F227D9" w:rsidP="00F227D9">
      <w:pPr>
        <w:pStyle w:val="T1TableStyle"/>
        <w:rPr>
          <w:rFonts w:ascii="Verdana" w:hAnsi="Verdana"/>
          <w:sz w:val="22"/>
          <w:szCs w:val="22"/>
          <w:lang w:val="en-GB"/>
        </w:rPr>
      </w:pPr>
    </w:p>
    <w:p w:rsidR="00F227D9" w:rsidRPr="000F0A7E" w:rsidRDefault="00F227D9" w:rsidP="00F227D9">
      <w:pPr>
        <w:pStyle w:val="Normal0"/>
        <w:spacing w:after="160" w:line="259" w:lineRule="auto"/>
        <w:rPr>
          <w:rFonts w:ascii="Verdana" w:hAnsi="Verdana"/>
          <w:sz w:val="22"/>
          <w:szCs w:val="22"/>
          <w:lang w:val="en-GB"/>
        </w:rPr>
      </w:pPr>
    </w:p>
    <w:p w:rsidR="00F227D9" w:rsidRPr="00DA746A" w:rsidRDefault="00F227D9" w:rsidP="00F227D9">
      <w:pPr>
        <w:pStyle w:val="Normal0"/>
        <w:spacing w:after="160" w:line="259" w:lineRule="auto"/>
        <w:rPr>
          <w:rFonts w:ascii="Verdana" w:hAnsi="Verdana"/>
          <w:sz w:val="22"/>
          <w:szCs w:val="22"/>
          <w:lang w:val="pt-BR"/>
        </w:rPr>
      </w:pPr>
    </w:p>
    <w:p w:rsidR="00F227D9" w:rsidRPr="00DA746A" w:rsidRDefault="00F227D9" w:rsidP="00F227D9">
      <w:pPr>
        <w:pStyle w:val="Normal0"/>
        <w:spacing w:after="160" w:line="259" w:lineRule="auto"/>
        <w:rPr>
          <w:rFonts w:ascii="Verdana" w:hAnsi="Verdana"/>
          <w:sz w:val="22"/>
          <w:szCs w:val="22"/>
          <w:lang w:val="pt-BR"/>
        </w:rPr>
      </w:pPr>
    </w:p>
    <w:p w:rsidR="00F227D9" w:rsidRPr="00DA746A" w:rsidRDefault="00F227D9">
      <w:pPr>
        <w:pStyle w:val="Normal0"/>
        <w:spacing w:after="160" w:line="259" w:lineRule="auto"/>
        <w:rPr>
          <w:rFonts w:ascii="Verdana" w:hAnsi="Verdana"/>
          <w:sz w:val="22"/>
          <w:szCs w:val="22"/>
          <w:lang w:val="pt-BR"/>
        </w:rPr>
        <w:sectPr w:rsidR="00F227D9" w:rsidRPr="00DA746A" w:rsidSect="00F227D9">
          <w:pgSz w:w="11900" w:h="16840"/>
          <w:pgMar w:top="720" w:right="720" w:bottom="720" w:left="720" w:header="708" w:footer="708" w:gutter="0"/>
          <w:cols w:space="708"/>
          <w:docGrid w:linePitch="360"/>
        </w:sectPr>
      </w:pPr>
    </w:p>
    <w:p w:rsidR="00F227D9" w:rsidRDefault="00F227D9" w:rsidP="00F227D9">
      <w:pPr>
        <w:pStyle w:val="Heading1"/>
        <w:spacing w:after="240"/>
        <w:rPr>
          <w:lang w:val="pt-BR"/>
        </w:rPr>
      </w:pPr>
      <w:bookmarkStart w:id="9" w:name="_Toc55900979"/>
      <w:r>
        <w:rPr>
          <w:lang w:val="pt-BR"/>
        </w:rPr>
        <w:t>Note 1 - Critical Judgements in Applying Accounting Policies</w:t>
      </w:r>
      <w:bookmarkEnd w:id="9"/>
      <w:r>
        <w:rPr>
          <w:lang w:val="pt-BR"/>
        </w:rPr>
        <w:t xml:space="preserve"> </w:t>
      </w:r>
    </w:p>
    <w:p w:rsidR="00EB0483" w:rsidRDefault="00EB0483" w:rsidP="00EB0483">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 preparation of the financial statements requires the Group to make judgements, estimates and assumptions that affect the application of policies and reporting amounts of assets and liabilities, income and expenditure. The estimates and associated assumptions are based on historical experience and various other factors, the results of which form the basis of making judgements about the carrying values of assets and liabilities that are not readily apparent from other sources.</w:t>
      </w:r>
    </w:p>
    <w:p w:rsidR="00F227D9" w:rsidRDefault="00F227D9" w:rsidP="007D3C35">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In applying the accounting policies</w:t>
      </w:r>
      <w:r w:rsidR="00EB0483">
        <w:rPr>
          <w:rFonts w:ascii="Verdana" w:eastAsia="Verdana" w:hAnsi="Verdana" w:cs="Verdana"/>
          <w:sz w:val="22"/>
          <w:szCs w:val="22"/>
          <w:lang w:val="en-GB"/>
        </w:rPr>
        <w:t xml:space="preserve"> set out in </w:t>
      </w:r>
      <w:r w:rsidR="00EB0483" w:rsidRPr="00CC6FE1">
        <w:rPr>
          <w:rFonts w:ascii="Verdana" w:eastAsia="Verdana" w:hAnsi="Verdana" w:cs="Verdana"/>
          <w:sz w:val="22"/>
          <w:szCs w:val="22"/>
          <w:lang w:val="en-GB"/>
        </w:rPr>
        <w:t xml:space="preserve">Note </w:t>
      </w:r>
      <w:r w:rsidR="00CC6FE1" w:rsidRPr="00CC6FE1">
        <w:rPr>
          <w:rFonts w:ascii="Verdana" w:eastAsia="Verdana" w:hAnsi="Verdana" w:cs="Verdana"/>
          <w:sz w:val="22"/>
          <w:szCs w:val="22"/>
          <w:lang w:val="en-GB"/>
        </w:rPr>
        <w:t>22</w:t>
      </w:r>
      <w:r>
        <w:rPr>
          <w:rFonts w:ascii="Verdana" w:eastAsia="Verdana" w:hAnsi="Verdana" w:cs="Verdana"/>
          <w:sz w:val="22"/>
          <w:szCs w:val="22"/>
          <w:lang w:val="en-GB"/>
        </w:rPr>
        <w:t>, the PCC Group has had to make certain judgements about complex transactions or those involving uncertainty about future events. The judgements made by the PCC are included in the PCC Group accounts, those relevant to the Chief Constable’s finance statements are:</w:t>
      </w:r>
    </w:p>
    <w:p w:rsidR="00F227D9" w:rsidRDefault="00F227D9" w:rsidP="007D3C35">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w:t>
      </w:r>
      <w:r>
        <w:rPr>
          <w:rFonts w:ascii="Verdana" w:eastAsia="Verdana" w:hAnsi="Verdana" w:cs="Verdana"/>
          <w:sz w:val="22"/>
          <w:szCs w:val="22"/>
          <w:lang w:val="en-GB"/>
        </w:rPr>
        <w:tab/>
      </w:r>
      <w:r w:rsidRPr="00EB0483">
        <w:rPr>
          <w:rFonts w:ascii="Verdana" w:eastAsia="Verdana" w:hAnsi="Verdana" w:cs="Verdana"/>
          <w:b/>
          <w:sz w:val="22"/>
          <w:szCs w:val="22"/>
          <w:lang w:val="en-GB"/>
        </w:rPr>
        <w:t>Future levels</w:t>
      </w:r>
      <w:r w:rsidR="00EB0483">
        <w:rPr>
          <w:rFonts w:ascii="Verdana" w:eastAsia="Verdana" w:hAnsi="Verdana" w:cs="Verdana"/>
          <w:b/>
          <w:sz w:val="22"/>
          <w:szCs w:val="22"/>
          <w:lang w:val="en-GB"/>
        </w:rPr>
        <w:t xml:space="preserve"> of funding for Local Government</w:t>
      </w:r>
      <w:r>
        <w:rPr>
          <w:rFonts w:ascii="Verdana" w:eastAsia="Verdana" w:hAnsi="Verdana" w:cs="Verdana"/>
          <w:sz w:val="22"/>
          <w:szCs w:val="22"/>
          <w:lang w:val="en-GB"/>
        </w:rPr>
        <w:t xml:space="preserve"> – there is a degree of uncertainty about future levels of funding for Police and Crime Commissioners. However, the Group has determined that this uncertainty is not yet sufficient to provide an indication that the assets of the Group might be impaired as a result of a need to close facilities and reduce levels of service provision.</w:t>
      </w:r>
    </w:p>
    <w:p w:rsidR="00F227D9" w:rsidRDefault="00F227D9" w:rsidP="007D3C35">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w:t>
      </w:r>
      <w:r>
        <w:rPr>
          <w:rFonts w:ascii="Verdana" w:eastAsia="Verdana" w:hAnsi="Verdana" w:cs="Verdana"/>
          <w:sz w:val="22"/>
          <w:szCs w:val="22"/>
          <w:lang w:val="en-GB"/>
        </w:rPr>
        <w:tab/>
      </w:r>
      <w:r w:rsidRPr="00D02B10">
        <w:rPr>
          <w:rFonts w:ascii="Verdana" w:eastAsia="Verdana" w:hAnsi="Verdana" w:cs="Verdana"/>
          <w:b/>
          <w:sz w:val="22"/>
          <w:szCs w:val="22"/>
          <w:lang w:val="en-GB"/>
        </w:rPr>
        <w:t>Income &amp; Expenditure</w:t>
      </w:r>
      <w:r>
        <w:rPr>
          <w:rFonts w:ascii="Verdana" w:eastAsia="Verdana" w:hAnsi="Verdana" w:cs="Verdana"/>
          <w:sz w:val="22"/>
          <w:szCs w:val="22"/>
          <w:lang w:val="en-GB"/>
        </w:rPr>
        <w:t xml:space="preserve"> – a judgement has been made regarding the recognition of income and expenditure between the Police and Crime Commissioner’s and Chief Constable’s accounts to reflect financial resources of the </w:t>
      </w:r>
      <w:r w:rsidR="00D81043">
        <w:rPr>
          <w:rFonts w:ascii="Verdana" w:eastAsia="Verdana" w:hAnsi="Verdana" w:cs="Verdana"/>
          <w:sz w:val="22"/>
          <w:szCs w:val="22"/>
          <w:lang w:val="en-GB"/>
        </w:rPr>
        <w:t>PCC</w:t>
      </w:r>
      <w:r>
        <w:rPr>
          <w:rFonts w:ascii="Verdana" w:eastAsia="Verdana" w:hAnsi="Verdana" w:cs="Verdana"/>
          <w:sz w:val="22"/>
          <w:szCs w:val="22"/>
          <w:lang w:val="en-GB"/>
        </w:rPr>
        <w:t xml:space="preserve"> consumed at the request of the Chief Constable. </w:t>
      </w:r>
      <w:r w:rsidR="00D02B10" w:rsidRPr="00BA521C">
        <w:rPr>
          <w:rFonts w:ascii="Verdana" w:eastAsia="Verdana" w:hAnsi="Verdana" w:cs="Verdana"/>
          <w:sz w:val="22"/>
          <w:szCs w:val="22"/>
          <w:lang w:val="en-GB"/>
        </w:rPr>
        <w:t xml:space="preserve">The basis adopted for this allocation was determined by the Group in accordance with the subjective activities for each corporate body included in the CIES. In arriving at this approach, interested parties, including senior management in both corporate bodies were consulted and careful consideration given to the Police Reform and Social Responsibility Act 2011 and Home Office guidance. All income/expenditure is received/paid by the PCC, and no actual cash transaction or events take place between the two entities. </w:t>
      </w:r>
      <w:r>
        <w:rPr>
          <w:rFonts w:ascii="Verdana" w:eastAsia="Verdana" w:hAnsi="Verdana" w:cs="Verdana"/>
          <w:sz w:val="22"/>
          <w:szCs w:val="22"/>
          <w:lang w:val="en-GB"/>
        </w:rPr>
        <w:t xml:space="preserve"> </w:t>
      </w:r>
    </w:p>
    <w:p w:rsidR="00F227D9" w:rsidRDefault="00F227D9" w:rsidP="007D3C35">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w:t>
      </w:r>
      <w:r>
        <w:rPr>
          <w:rFonts w:ascii="Verdana" w:eastAsia="Verdana" w:hAnsi="Verdana" w:cs="Verdana"/>
          <w:sz w:val="22"/>
          <w:szCs w:val="22"/>
          <w:lang w:val="en-GB"/>
        </w:rPr>
        <w:tab/>
      </w:r>
      <w:r w:rsidRPr="00D02B10">
        <w:rPr>
          <w:rFonts w:ascii="Verdana" w:eastAsia="Verdana" w:hAnsi="Verdana" w:cs="Verdana"/>
          <w:b/>
          <w:sz w:val="22"/>
          <w:szCs w:val="22"/>
          <w:lang w:val="en-GB"/>
        </w:rPr>
        <w:t>Comprehensive Income and Expenditure Statement (CIES)</w:t>
      </w:r>
      <w:r>
        <w:rPr>
          <w:rFonts w:ascii="Verdana" w:eastAsia="Verdana" w:hAnsi="Verdana" w:cs="Verdana"/>
          <w:sz w:val="22"/>
          <w:szCs w:val="22"/>
          <w:lang w:val="en-GB"/>
        </w:rPr>
        <w:t xml:space="preserve"> - Under CIPFA guidance the CIES is reported on the basis of organisation structure, reflecting the way in which the organisation operates or manages its services. For Surrey Police the CIES has been set out to show costs subjectively, reflecting the reporting basis for the monthly corporate report that is written for both the Chief Officer Group and the PCC.</w:t>
      </w:r>
    </w:p>
    <w:p w:rsidR="00F227D9" w:rsidRDefault="00F227D9" w:rsidP="007D3C35">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w:t>
      </w:r>
      <w:r>
        <w:rPr>
          <w:rFonts w:ascii="Verdana" w:eastAsia="Verdana" w:hAnsi="Verdana" w:cs="Verdana"/>
          <w:sz w:val="22"/>
          <w:szCs w:val="22"/>
          <w:lang w:val="en-GB"/>
        </w:rPr>
        <w:tab/>
      </w:r>
      <w:r w:rsidRPr="00D02B10">
        <w:rPr>
          <w:rFonts w:ascii="Verdana" w:eastAsia="Verdana" w:hAnsi="Verdana" w:cs="Verdana"/>
          <w:b/>
          <w:sz w:val="22"/>
          <w:szCs w:val="22"/>
          <w:lang w:val="en-GB"/>
        </w:rPr>
        <w:t>Working capital</w:t>
      </w:r>
      <w:r>
        <w:rPr>
          <w:rFonts w:ascii="Verdana" w:eastAsia="Verdana" w:hAnsi="Verdana" w:cs="Verdana"/>
          <w:sz w:val="22"/>
          <w:szCs w:val="22"/>
          <w:lang w:val="en-GB"/>
        </w:rPr>
        <w:t xml:space="preserve"> – </w:t>
      </w:r>
      <w:r w:rsidR="00D81043">
        <w:rPr>
          <w:rFonts w:ascii="Verdana" w:eastAsia="Verdana" w:hAnsi="Verdana" w:cs="Verdana"/>
          <w:sz w:val="22"/>
          <w:szCs w:val="22"/>
          <w:lang w:val="en-GB"/>
        </w:rPr>
        <w:t>W</w:t>
      </w:r>
      <w:r w:rsidR="00D02B10" w:rsidRPr="00D02B10">
        <w:rPr>
          <w:rFonts w:ascii="Verdana" w:eastAsia="Verdana" w:hAnsi="Verdana" w:cs="Verdana"/>
          <w:sz w:val="22"/>
          <w:szCs w:val="22"/>
          <w:lang w:val="en-GB"/>
        </w:rPr>
        <w:t xml:space="preserve">orking capital </w:t>
      </w:r>
      <w:r w:rsidR="00D81043">
        <w:rPr>
          <w:rFonts w:ascii="Verdana" w:eastAsia="Verdana" w:hAnsi="Verdana" w:cs="Verdana"/>
          <w:sz w:val="22"/>
          <w:szCs w:val="22"/>
          <w:lang w:val="en-GB"/>
        </w:rPr>
        <w:t>has been judged as being</w:t>
      </w:r>
      <w:r w:rsidR="00D02B10" w:rsidRPr="00D02B10">
        <w:rPr>
          <w:rFonts w:ascii="Verdana" w:eastAsia="Verdana" w:hAnsi="Verdana" w:cs="Verdana"/>
          <w:sz w:val="22"/>
          <w:szCs w:val="22"/>
          <w:lang w:val="en-GB"/>
        </w:rPr>
        <w:t xml:space="preserve"> attributable</w:t>
      </w:r>
      <w:r w:rsidR="00D81043">
        <w:rPr>
          <w:rFonts w:ascii="Verdana" w:eastAsia="Verdana" w:hAnsi="Verdana" w:cs="Verdana"/>
          <w:sz w:val="22"/>
          <w:szCs w:val="22"/>
          <w:lang w:val="en-GB"/>
        </w:rPr>
        <w:t xml:space="preserve"> in full</w:t>
      </w:r>
      <w:r w:rsidR="00D02B10" w:rsidRPr="00D02B10">
        <w:rPr>
          <w:rFonts w:ascii="Verdana" w:eastAsia="Verdana" w:hAnsi="Verdana" w:cs="Verdana"/>
          <w:sz w:val="22"/>
          <w:szCs w:val="22"/>
          <w:lang w:val="en-GB"/>
        </w:rPr>
        <w:t xml:space="preserve"> to the P</w:t>
      </w:r>
      <w:r w:rsidR="00D81043">
        <w:rPr>
          <w:rFonts w:ascii="Verdana" w:eastAsia="Verdana" w:hAnsi="Verdana" w:cs="Verdana"/>
          <w:sz w:val="22"/>
          <w:szCs w:val="22"/>
          <w:lang w:val="en-GB"/>
        </w:rPr>
        <w:t>CC</w:t>
      </w:r>
      <w:r w:rsidR="00D02B10" w:rsidRPr="00D02B10">
        <w:rPr>
          <w:rFonts w:ascii="Verdana" w:eastAsia="Verdana" w:hAnsi="Verdana" w:cs="Verdana"/>
          <w:sz w:val="22"/>
          <w:szCs w:val="22"/>
          <w:lang w:val="en-GB"/>
        </w:rPr>
        <w:t>.  The PCC controls the treasury management function and all bank accounts, therefore no working capital balances (cash, current debtors and liabilities) are recognised in the Chief Constable’s Balance Sheet</w:t>
      </w:r>
      <w:r>
        <w:rPr>
          <w:rFonts w:ascii="Verdana" w:eastAsia="Verdana" w:hAnsi="Verdana" w:cs="Verdana"/>
          <w:sz w:val="22"/>
          <w:szCs w:val="22"/>
          <w:lang w:val="en-GB"/>
        </w:rPr>
        <w:t xml:space="preserve">. </w:t>
      </w:r>
    </w:p>
    <w:p w:rsidR="00D02B10" w:rsidRDefault="00D02B10" w:rsidP="00D02B10">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w:t>
      </w:r>
      <w:r>
        <w:rPr>
          <w:rFonts w:ascii="Verdana" w:eastAsia="Verdana" w:hAnsi="Verdana" w:cs="Verdana"/>
          <w:sz w:val="22"/>
          <w:szCs w:val="22"/>
          <w:lang w:val="en-GB"/>
        </w:rPr>
        <w:tab/>
      </w:r>
      <w:r w:rsidR="00D81043" w:rsidRPr="00EA146B">
        <w:rPr>
          <w:rFonts w:ascii="Verdana" w:eastAsia="Verdana" w:hAnsi="Verdana" w:cs="Verdana"/>
          <w:b/>
          <w:sz w:val="22"/>
          <w:szCs w:val="22"/>
          <w:lang w:val="en-GB"/>
        </w:rPr>
        <w:t>Employee benefit accrual for</w:t>
      </w:r>
      <w:r w:rsidR="00D81043">
        <w:rPr>
          <w:rFonts w:ascii="Verdana" w:eastAsia="Verdana" w:hAnsi="Verdana" w:cs="Verdana"/>
          <w:sz w:val="22"/>
          <w:szCs w:val="22"/>
          <w:lang w:val="en-GB"/>
        </w:rPr>
        <w:t xml:space="preserve"> </w:t>
      </w:r>
      <w:r w:rsidR="00D81043">
        <w:rPr>
          <w:rFonts w:ascii="Verdana" w:eastAsia="Verdana" w:hAnsi="Verdana" w:cs="Verdana"/>
          <w:b/>
          <w:sz w:val="22"/>
          <w:szCs w:val="22"/>
          <w:lang w:val="en-GB"/>
        </w:rPr>
        <w:t>a</w:t>
      </w:r>
      <w:r w:rsidRPr="0074769D">
        <w:rPr>
          <w:rFonts w:ascii="Verdana" w:eastAsia="Verdana" w:hAnsi="Verdana" w:cs="Verdana"/>
          <w:b/>
          <w:sz w:val="22"/>
          <w:szCs w:val="22"/>
          <w:lang w:val="en-GB"/>
        </w:rPr>
        <w:t>ccumulated absences</w:t>
      </w:r>
      <w:r w:rsidRPr="0074769D">
        <w:rPr>
          <w:rFonts w:ascii="Verdana" w:eastAsia="Verdana" w:hAnsi="Verdana" w:cs="Verdana"/>
          <w:sz w:val="22"/>
          <w:szCs w:val="22"/>
          <w:lang w:val="en-GB"/>
        </w:rPr>
        <w:t xml:space="preserve"> - the PCC has to determine whether the leave accrual should be accounted for in the PCC or Chief Constables accounts. As the majority of employee costs are accounted for in the Chief Constables accounts the leave accrual has been accordingly matched and accounted for on the Chief Constables Balance Sheet. The calculation is based on staff annual</w:t>
      </w:r>
      <w:r>
        <w:rPr>
          <w:rFonts w:ascii="Verdana" w:eastAsia="Verdana" w:hAnsi="Verdana" w:cs="Verdana"/>
          <w:sz w:val="22"/>
          <w:szCs w:val="22"/>
          <w:lang w:val="en-GB"/>
        </w:rPr>
        <w:t xml:space="preserve"> leave records and an average cost for each grade.</w:t>
      </w:r>
    </w:p>
    <w:p w:rsidR="00D02B10" w:rsidRDefault="00951FF1" w:rsidP="00D02B10">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w:t>
      </w:r>
      <w:r>
        <w:rPr>
          <w:rFonts w:ascii="Verdana" w:eastAsia="Verdana" w:hAnsi="Verdana" w:cs="Verdana"/>
          <w:sz w:val="22"/>
          <w:szCs w:val="22"/>
          <w:lang w:val="en-GB"/>
        </w:rPr>
        <w:tab/>
      </w:r>
      <w:r w:rsidRPr="00951FF1">
        <w:rPr>
          <w:rFonts w:ascii="Verdana" w:eastAsia="Verdana" w:hAnsi="Verdana" w:cs="Verdana"/>
          <w:b/>
          <w:sz w:val="22"/>
          <w:szCs w:val="22"/>
          <w:lang w:val="en-GB"/>
        </w:rPr>
        <w:t>Pensions recognition and disclosure</w:t>
      </w:r>
      <w:r w:rsidRPr="00951FF1">
        <w:rPr>
          <w:rFonts w:ascii="Verdana" w:eastAsia="Verdana" w:hAnsi="Verdana" w:cs="Verdana"/>
          <w:sz w:val="22"/>
          <w:szCs w:val="22"/>
          <w:lang w:val="en-GB"/>
        </w:rPr>
        <w:t xml:space="preserve"> - The PCC</w:t>
      </w:r>
      <w:r>
        <w:rPr>
          <w:rFonts w:ascii="Verdana" w:eastAsia="Verdana" w:hAnsi="Verdana" w:cs="Verdana"/>
          <w:sz w:val="22"/>
          <w:szCs w:val="22"/>
          <w:lang w:val="en-GB"/>
        </w:rPr>
        <w:t xml:space="preserve"> and CC have</w:t>
      </w:r>
      <w:r w:rsidRPr="00951FF1">
        <w:rPr>
          <w:rFonts w:ascii="Verdana" w:eastAsia="Verdana" w:hAnsi="Verdana" w:cs="Verdana"/>
          <w:sz w:val="22"/>
          <w:szCs w:val="22"/>
          <w:lang w:val="en-GB"/>
        </w:rPr>
        <w:t xml:space="preserve"> to determine whether items should be recognised in the PCC or Chief Constable accounts.  A judgement was made in previous years to include the accounting for all staff pension liability and reserve movements within the Chief Constable's accounts, including those elements that relate to staff employed within the Officer of the PCC.  This decision was made on the grounds of materiality because the Chief Constable holds the contract of employment for the majority of staff, with the PCC holding contracts of employment for the team of staff in his office.  It was estimated that the PCC elements of pensions on a pro rata basis would give less than half of one percent of the total LGPS pension liability relating to staff.  Omission of PCC staff pension adjustments from the PCC accounts and/or overstatement of the same figures within the Chief Constable accounts was not considered likely to influence decisions or assessments of users made on the basis of the Financial Statements and the Group position is still correct.  This was not therefore considered a material misstatement but was one that would be likely to increase each year.  In line with best practice, arrangements have now been put in place to include separate disclosures for the PCC employee pension which are reflected in the PCC accounts for the 2019/20 Financial Statements.</w:t>
      </w:r>
    </w:p>
    <w:p w:rsidR="00951FF1" w:rsidRPr="00951FF1" w:rsidRDefault="00951FF1" w:rsidP="00951FF1">
      <w:pPr>
        <w:jc w:val="both"/>
        <w:rPr>
          <w:rFonts w:ascii="Verdana" w:hAnsi="Verdana"/>
          <w:sz w:val="22"/>
          <w:szCs w:val="22"/>
          <w:lang w:val="en-GB"/>
        </w:rPr>
      </w:pPr>
      <w:r w:rsidRPr="00951FF1">
        <w:rPr>
          <w:rFonts w:ascii="Verdana" w:hAnsi="Verdana"/>
          <w:sz w:val="22"/>
          <w:szCs w:val="22"/>
          <w:lang w:val="en-GB"/>
        </w:rPr>
        <w:t>•</w:t>
      </w:r>
      <w:r w:rsidRPr="00951FF1">
        <w:rPr>
          <w:rFonts w:ascii="Verdana" w:hAnsi="Verdana"/>
          <w:sz w:val="22"/>
          <w:szCs w:val="22"/>
          <w:lang w:val="en-GB"/>
        </w:rPr>
        <w:tab/>
      </w:r>
      <w:r w:rsidRPr="00951FF1">
        <w:rPr>
          <w:rFonts w:ascii="Verdana" w:hAnsi="Verdana"/>
          <w:b/>
          <w:sz w:val="22"/>
          <w:szCs w:val="22"/>
          <w:lang w:val="en-GB"/>
        </w:rPr>
        <w:t>Pensions Actuarial Assumptions</w:t>
      </w:r>
      <w:r w:rsidRPr="00951FF1">
        <w:rPr>
          <w:rFonts w:ascii="Verdana" w:hAnsi="Verdana"/>
          <w:sz w:val="22"/>
          <w:szCs w:val="22"/>
          <w:lang w:val="en-GB"/>
        </w:rPr>
        <w:t xml:space="preserve"> – The value of the liabilities for IAS19 purposes is heavily dependent on assumptions made by the Group’s actuaries, Hymans Robertson and GAD. The financial assumptions reflect market expectations at the reporting date. Changes in market conditions that result in changes in the net discount rate (essentially the difference between the discount rate and the assumed rates of increase of salaries, deferred pension revaluation or pension-in-payment) can have a significant effect on the value of the liabilities reported. A reduction in the net discount rate will increase the assessed value of liabilities as a higher value is placed on benefits paid in the future. A rise in the net discount rate will have an opposite effect of similar magnitude. The effect of a change in the net discount rate on the value placed on the liabilities of each scheme is shown in the sensitivity analysis schedule below. There is also uncertainty around the life expectancy of the UK population. The value of current and future pension benefits will depend on how long they are assumed to be in-payment.  The mortality assumptions have changed from the previous accounting period to take account of recent mortality experience.  Life expectancy is based on the Fund’s VitaCurves with improvements in line with the CMI 2018 model, an allowance for smoothing of recent mortality experience and long term rates of improvement of 1.5% p.a. for males and females.</w:t>
      </w:r>
    </w:p>
    <w:p w:rsidR="00951FF1" w:rsidRPr="00951FF1" w:rsidRDefault="00951FF1" w:rsidP="00951FF1">
      <w:pPr>
        <w:jc w:val="both"/>
        <w:rPr>
          <w:rFonts w:ascii="Verdana" w:hAnsi="Verdana"/>
          <w:sz w:val="22"/>
          <w:szCs w:val="22"/>
          <w:highlight w:val="green"/>
          <w:lang w:val="en-GB"/>
        </w:rPr>
      </w:pPr>
    </w:p>
    <w:p w:rsidR="00951FF1" w:rsidRPr="00951FF1" w:rsidRDefault="00951FF1" w:rsidP="00951FF1">
      <w:pPr>
        <w:spacing w:after="160" w:line="256" w:lineRule="auto"/>
        <w:jc w:val="both"/>
        <w:rPr>
          <w:rFonts w:ascii="Verdana" w:eastAsia="Verdana" w:hAnsi="Verdana" w:cs="Verdana"/>
          <w:sz w:val="22"/>
          <w:szCs w:val="22"/>
          <w:lang w:val="en-GB"/>
        </w:rPr>
      </w:pPr>
      <w:r w:rsidRPr="00951FF1">
        <w:rPr>
          <w:rFonts w:ascii="Verdana" w:eastAsia="Verdana" w:hAnsi="Verdana" w:cs="Verdana"/>
          <w:sz w:val="22"/>
          <w:szCs w:val="22"/>
          <w:lang w:val="en-GB"/>
        </w:rPr>
        <w:t>•</w:t>
      </w:r>
      <w:r w:rsidRPr="00951FF1">
        <w:rPr>
          <w:rFonts w:ascii="Verdana" w:eastAsia="Verdana" w:hAnsi="Verdana" w:cs="Verdana"/>
          <w:sz w:val="22"/>
          <w:szCs w:val="22"/>
          <w:lang w:val="en-GB"/>
        </w:rPr>
        <w:tab/>
      </w:r>
      <w:r w:rsidRPr="00951FF1">
        <w:rPr>
          <w:rFonts w:ascii="Verdana" w:eastAsia="Verdana" w:hAnsi="Verdana" w:cs="Verdana"/>
          <w:b/>
          <w:sz w:val="22"/>
          <w:szCs w:val="22"/>
          <w:lang w:val="en-GB"/>
        </w:rPr>
        <w:t>Pensions Impact of McCloud/Sargeant court of appeal</w:t>
      </w:r>
      <w:r w:rsidRPr="00951FF1">
        <w:rPr>
          <w:rFonts w:ascii="Verdana" w:eastAsia="Verdana" w:hAnsi="Verdana" w:cs="Verdana"/>
          <w:sz w:val="22"/>
          <w:szCs w:val="22"/>
          <w:lang w:val="en-GB"/>
        </w:rPr>
        <w:t xml:space="preserve"> - </w:t>
      </w:r>
    </w:p>
    <w:p w:rsidR="00951FF1" w:rsidRPr="00951FF1" w:rsidRDefault="00951FF1" w:rsidP="00951FF1">
      <w:pPr>
        <w:jc w:val="both"/>
        <w:rPr>
          <w:rFonts w:ascii="Verdana" w:hAnsi="Verdana"/>
          <w:sz w:val="22"/>
          <w:szCs w:val="22"/>
        </w:rPr>
      </w:pPr>
      <w:r w:rsidRPr="00951FF1">
        <w:rPr>
          <w:rFonts w:ascii="Verdana" w:hAnsi="Verdana"/>
          <w:sz w:val="22"/>
          <w:szCs w:val="22"/>
        </w:rPr>
        <w:t xml:space="preserve">The McCloud and Sargeant judgements concerned the introduction of career average revalued earnings (CARE) pension schemes to replace the former final salary based pension schemes as part of the Hutton recommendation to reform public service pension schemes. Under the changes introduced to each scheme, members were required to transfer to the new schemes from the transition date of the new schemes, this was 1 April 2014 for the police staff scheme (LGPS) and 1 April 2015 for the Police pension scheme. </w:t>
      </w:r>
    </w:p>
    <w:p w:rsidR="00951FF1" w:rsidRPr="00951FF1" w:rsidRDefault="00951FF1" w:rsidP="00951FF1">
      <w:pPr>
        <w:jc w:val="both"/>
        <w:rPr>
          <w:rFonts w:ascii="Verdana" w:hAnsi="Verdana"/>
          <w:sz w:val="22"/>
          <w:szCs w:val="22"/>
        </w:rPr>
      </w:pPr>
    </w:p>
    <w:p w:rsidR="00951FF1" w:rsidRPr="00951FF1" w:rsidRDefault="00951FF1" w:rsidP="00951FF1">
      <w:pPr>
        <w:jc w:val="both"/>
        <w:rPr>
          <w:rFonts w:ascii="Verdana" w:hAnsi="Verdana"/>
          <w:sz w:val="22"/>
          <w:szCs w:val="22"/>
        </w:rPr>
      </w:pPr>
      <w:r w:rsidRPr="00951FF1">
        <w:rPr>
          <w:rFonts w:ascii="Verdana" w:hAnsi="Verdana"/>
          <w:sz w:val="22"/>
          <w:szCs w:val="22"/>
        </w:rPr>
        <w:t>There was protection provided for older members under each scheme known as ‘transitional protection’. The McCloud and Sargeant judgements have upheld the claimants’ cases that the method of implementation of the new schemes discriminated against younger members. The government was refused leave to appeal the McCloud and Sargeant Judgements on 27 June 2019. This means various parties return to the respective employment tribunals to formulate a remedy which will resolve the age discrimination of the pension changes.</w:t>
      </w:r>
    </w:p>
    <w:p w:rsidR="00951FF1" w:rsidRPr="00951FF1" w:rsidRDefault="00951FF1" w:rsidP="00951FF1">
      <w:pPr>
        <w:jc w:val="both"/>
        <w:rPr>
          <w:rFonts w:ascii="Verdana" w:hAnsi="Verdana"/>
          <w:iCs/>
          <w:sz w:val="22"/>
          <w:szCs w:val="22"/>
        </w:rPr>
      </w:pPr>
    </w:p>
    <w:p w:rsidR="00951FF1" w:rsidRPr="00951FF1" w:rsidRDefault="00951FF1" w:rsidP="00951FF1">
      <w:pPr>
        <w:spacing w:after="160" w:line="256" w:lineRule="auto"/>
        <w:jc w:val="both"/>
        <w:rPr>
          <w:rFonts w:ascii="Verdana" w:hAnsi="Verdana"/>
          <w:iCs/>
          <w:sz w:val="22"/>
          <w:szCs w:val="22"/>
        </w:rPr>
      </w:pPr>
      <w:r w:rsidRPr="00951FF1">
        <w:rPr>
          <w:rFonts w:ascii="Verdana" w:hAnsi="Verdana"/>
          <w:iCs/>
          <w:sz w:val="22"/>
          <w:szCs w:val="22"/>
        </w:rPr>
        <w:t xml:space="preserve">A decision was therefore made to commission IAS 19 pension actuarial reports to include the impacts of this court case and provide for them within the 2019/20 accounts of the PCC </w:t>
      </w:r>
      <w:r>
        <w:rPr>
          <w:rFonts w:ascii="Verdana" w:hAnsi="Verdana"/>
          <w:iCs/>
          <w:sz w:val="22"/>
          <w:szCs w:val="22"/>
        </w:rPr>
        <w:t>and CC</w:t>
      </w:r>
      <w:r w:rsidRPr="00951FF1">
        <w:rPr>
          <w:rFonts w:ascii="Verdana" w:hAnsi="Verdana"/>
          <w:iCs/>
          <w:sz w:val="22"/>
          <w:szCs w:val="22"/>
        </w:rPr>
        <w:t xml:space="preserve"> for both police and staff pension schemes.</w:t>
      </w:r>
    </w:p>
    <w:p w:rsidR="00951FF1" w:rsidRPr="00951FF1" w:rsidRDefault="00951FF1" w:rsidP="00951FF1">
      <w:pPr>
        <w:spacing w:after="160" w:line="256" w:lineRule="auto"/>
        <w:jc w:val="both"/>
        <w:rPr>
          <w:rFonts w:ascii="Verdana" w:eastAsia="Verdana" w:hAnsi="Verdana" w:cs="Verdana"/>
          <w:sz w:val="22"/>
          <w:szCs w:val="22"/>
          <w:lang w:val="en-GB"/>
        </w:rPr>
      </w:pPr>
      <w:r w:rsidRPr="00951FF1">
        <w:rPr>
          <w:rFonts w:ascii="Verdana" w:eastAsia="Verdana" w:hAnsi="Verdana" w:cs="Verdana"/>
          <w:sz w:val="22"/>
          <w:szCs w:val="22"/>
          <w:lang w:val="en-GB"/>
        </w:rPr>
        <w:t>•</w:t>
      </w:r>
      <w:r w:rsidRPr="00951FF1">
        <w:rPr>
          <w:rFonts w:ascii="Verdana" w:eastAsia="Verdana" w:hAnsi="Verdana" w:cs="Verdana"/>
          <w:sz w:val="22"/>
          <w:szCs w:val="22"/>
          <w:lang w:val="en-GB"/>
        </w:rPr>
        <w:tab/>
      </w:r>
      <w:r w:rsidRPr="00951FF1">
        <w:rPr>
          <w:rFonts w:ascii="Verdana" w:eastAsia="Verdana" w:hAnsi="Verdana" w:cs="Verdana"/>
          <w:b/>
          <w:sz w:val="22"/>
          <w:szCs w:val="22"/>
          <w:lang w:val="en-GB"/>
        </w:rPr>
        <w:t>Pensions Impact of Covid-19</w:t>
      </w:r>
      <w:r w:rsidRPr="00951FF1">
        <w:rPr>
          <w:rFonts w:eastAsia="Calibri" w:cs="Times New Roman"/>
          <w:b/>
          <w:sz w:val="20"/>
          <w:szCs w:val="20"/>
        </w:rPr>
        <w:t xml:space="preserve"> </w:t>
      </w:r>
    </w:p>
    <w:p w:rsidR="00951FF1" w:rsidRDefault="00951FF1" w:rsidP="00951FF1">
      <w:pPr>
        <w:pStyle w:val="Normal0"/>
        <w:spacing w:after="160"/>
        <w:jc w:val="both"/>
        <w:rPr>
          <w:rFonts w:ascii="Verdana" w:eastAsia="Verdana" w:hAnsi="Verdana" w:cs="Verdana"/>
          <w:sz w:val="22"/>
          <w:szCs w:val="22"/>
          <w:lang w:val="en-GB"/>
        </w:rPr>
      </w:pPr>
      <w:r w:rsidRPr="00951FF1">
        <w:rPr>
          <w:rFonts w:ascii="Verdana" w:eastAsia="Calibri" w:hAnsi="Verdana" w:cs="Times New Roman"/>
          <w:sz w:val="22"/>
          <w:szCs w:val="22"/>
        </w:rPr>
        <w:t>The majority of investments for pension funds are measured at fair value and have been subject to greater volatility as a result of the Covid-19 pandemic. Markets have continued trading and therefore we assume sufficient information is available to measure the financial instruments at the measurement date in line with the Code but we are not yet certain if there will be further adjustments required to ensure that assets and liabilities are correctly stated as at the Balance Sheet date. Volatility in the financial markets is likely to have a significant impact on pension assets and net liabilities. Measurement of inputs based on observable market price is the price quoted at the reporting date so any subsequent changes in values to the investments after the financial year end are unlikely to represent a change to the conditions at the year-end date and may not therefore be adjusting events but may require narrative disclosure.</w:t>
      </w:r>
    </w:p>
    <w:p w:rsidR="00F227D9" w:rsidRPr="00951FF1" w:rsidRDefault="00F227D9" w:rsidP="00F227D9">
      <w:pPr>
        <w:pStyle w:val="Normal0"/>
        <w:spacing w:after="160"/>
        <w:rPr>
          <w:rFonts w:ascii="Verdana" w:hAnsi="Verdana"/>
          <w:sz w:val="22"/>
          <w:szCs w:val="22"/>
          <w:lang w:val="pt-BR"/>
        </w:rPr>
      </w:pPr>
    </w:p>
    <w:p w:rsidR="00EB0483" w:rsidRDefault="00EB0483" w:rsidP="00EB0483">
      <w:pPr>
        <w:pStyle w:val="Heading1"/>
        <w:spacing w:after="240"/>
        <w:rPr>
          <w:lang w:val="pt-BR"/>
        </w:rPr>
      </w:pPr>
      <w:bookmarkStart w:id="10" w:name="_Toc55900980"/>
      <w:r>
        <w:rPr>
          <w:lang w:val="pt-BR"/>
        </w:rPr>
        <w:t>Note 2 – Going Concern</w:t>
      </w:r>
      <w:bookmarkEnd w:id="10"/>
      <w:r>
        <w:rPr>
          <w:lang w:val="pt-BR"/>
        </w:rPr>
        <w:t xml:space="preserve"> </w:t>
      </w:r>
    </w:p>
    <w:p w:rsidR="0098712B" w:rsidRPr="0098712B" w:rsidRDefault="0098712B" w:rsidP="0098712B">
      <w:pPr>
        <w:spacing w:after="160" w:line="259" w:lineRule="auto"/>
        <w:rPr>
          <w:rFonts w:ascii="Verdana" w:eastAsia="Calibri" w:hAnsi="Verdana" w:cs="Times New Roman"/>
          <w:b/>
          <w:sz w:val="22"/>
          <w:szCs w:val="22"/>
          <w:lang w:val="en-GB"/>
        </w:rPr>
      </w:pPr>
      <w:r w:rsidRPr="0098712B">
        <w:rPr>
          <w:rFonts w:ascii="Verdana" w:eastAsia="Calibri" w:hAnsi="Verdana" w:cs="Times New Roman"/>
          <w:b/>
          <w:sz w:val="22"/>
          <w:szCs w:val="22"/>
          <w:lang w:val="en-GB"/>
        </w:rPr>
        <w:t xml:space="preserve">Underlying Principle </w:t>
      </w:r>
    </w:p>
    <w:p w:rsidR="0098712B" w:rsidRPr="0098712B" w:rsidRDefault="0098712B" w:rsidP="0098712B">
      <w:pPr>
        <w:spacing w:after="160" w:line="259" w:lineRule="auto"/>
        <w:jc w:val="both"/>
        <w:rPr>
          <w:rFonts w:ascii="Verdana" w:eastAsia="Calibri" w:hAnsi="Verdana" w:cs="Times New Roman"/>
          <w:sz w:val="22"/>
          <w:szCs w:val="22"/>
          <w:lang w:val="en-GB"/>
        </w:rPr>
      </w:pPr>
      <w:r w:rsidRPr="0098712B">
        <w:rPr>
          <w:rFonts w:ascii="Verdana" w:eastAsia="Calibri" w:hAnsi="Verdana" w:cs="Times New Roman"/>
          <w:sz w:val="22"/>
          <w:szCs w:val="22"/>
          <w:lang w:val="en-GB"/>
        </w:rPr>
        <w:t xml:space="preserve">These accounts have been prepared on a going concern basis that the authority will continue in operational existence for the foreseeable future. </w:t>
      </w:r>
    </w:p>
    <w:p w:rsidR="0098712B" w:rsidRPr="0098712B" w:rsidRDefault="0098712B" w:rsidP="0098712B">
      <w:pPr>
        <w:spacing w:after="160" w:line="259" w:lineRule="auto"/>
        <w:jc w:val="both"/>
        <w:rPr>
          <w:rFonts w:ascii="Verdana" w:eastAsia="Calibri" w:hAnsi="Verdana" w:cs="Times New Roman"/>
          <w:sz w:val="22"/>
          <w:szCs w:val="22"/>
          <w:lang w:val="en-GB"/>
        </w:rPr>
      </w:pPr>
      <w:r w:rsidRPr="0098712B">
        <w:rPr>
          <w:rFonts w:ascii="Verdana" w:eastAsia="Calibri" w:hAnsi="Verdana" w:cs="Times New Roman"/>
          <w:sz w:val="22"/>
          <w:szCs w:val="22"/>
          <w:lang w:val="en-GB"/>
        </w:rPr>
        <w:t xml:space="preserve">The provisions in the Code of Audit Practice in respect of going concern reporting requirements reflect the economic and statutory environment in which local authorities operate. These provisions confirm that, as policing bodies cannot be created or dissolved without statutory prescription, they must prepare their financial statements on a going concern basis of accounting. Local authorities and policing bodies carry out functions essential to the local community and are themselves revenue-raising bodies (with limits on their revenue-raising powers arising only at the discretion of central government). If a policing body were in financial difficulty, the prospects are thus that alternative arrangements might be made by central government either for the continuation of the services it provides or for assistance with the recovery of a deficit over more than one financial year. As a result of this, it would not therefore be appropriate for the financial statements of a policing body to be provided on anything other than a going concern basis. Accounts drawn up under the Code therefore assume that policing services will continue to operate for the foreseeable future. Surrey Police accounts therefore assume that Surrey Police will continue to operate for the foreseeable future. </w:t>
      </w:r>
    </w:p>
    <w:p w:rsidR="0098712B" w:rsidRPr="0098712B" w:rsidRDefault="0098712B" w:rsidP="0098712B">
      <w:pPr>
        <w:spacing w:after="160" w:line="259" w:lineRule="auto"/>
        <w:jc w:val="both"/>
        <w:rPr>
          <w:rFonts w:ascii="Verdana" w:eastAsia="Calibri" w:hAnsi="Verdana" w:cs="Times New Roman"/>
          <w:b/>
          <w:sz w:val="22"/>
          <w:szCs w:val="22"/>
          <w:lang w:val="en-GB"/>
        </w:rPr>
      </w:pPr>
      <w:r w:rsidRPr="0098712B">
        <w:rPr>
          <w:rFonts w:ascii="Verdana" w:eastAsia="Calibri" w:hAnsi="Verdana" w:cs="Times New Roman"/>
          <w:b/>
          <w:sz w:val="22"/>
          <w:szCs w:val="22"/>
          <w:lang w:val="en-GB"/>
        </w:rPr>
        <w:t>Current &amp; Historical Financial Position</w:t>
      </w:r>
    </w:p>
    <w:p w:rsidR="0098712B" w:rsidRPr="0098712B" w:rsidRDefault="0098712B" w:rsidP="0098712B">
      <w:pPr>
        <w:spacing w:after="160" w:line="259" w:lineRule="auto"/>
        <w:jc w:val="both"/>
        <w:rPr>
          <w:rFonts w:ascii="Verdana" w:eastAsia="Calibri" w:hAnsi="Verdana" w:cs="Times New Roman"/>
          <w:sz w:val="22"/>
          <w:szCs w:val="22"/>
          <w:lang w:val="en-GB"/>
        </w:rPr>
      </w:pPr>
      <w:r w:rsidRPr="0098712B">
        <w:rPr>
          <w:rFonts w:ascii="Verdana" w:eastAsia="Calibri" w:hAnsi="Verdana" w:cs="Times New Roman"/>
          <w:sz w:val="22"/>
          <w:szCs w:val="22"/>
          <w:lang w:val="en-GB"/>
        </w:rPr>
        <w:t xml:space="preserve">The Police and Crime Commissioner for Surrey and the Chief Constable of Surrey recognise that the financial positon deteriorated in the early months of 2020/21. At the end of September, the Surrey Police group was forecasting a £0.7m surplus for the 2020/21 year against the annual budget of £250.0m having reported underspend of £1.4m for the financial period ending 31 March 2020 against the budget of £235.1m. The deterioration observed for 2020/21 is due to the impact of Covid-19.  </w:t>
      </w:r>
    </w:p>
    <w:p w:rsidR="0098712B" w:rsidRPr="0098712B" w:rsidRDefault="0098712B" w:rsidP="0098712B">
      <w:pPr>
        <w:spacing w:after="160" w:line="259" w:lineRule="auto"/>
        <w:jc w:val="both"/>
        <w:rPr>
          <w:rFonts w:ascii="Verdana" w:eastAsia="Calibri" w:hAnsi="Verdana" w:cs="Times New Roman"/>
          <w:b/>
          <w:sz w:val="22"/>
          <w:szCs w:val="22"/>
          <w:lang w:val="en-GB"/>
        </w:rPr>
      </w:pPr>
      <w:r w:rsidRPr="0098712B">
        <w:rPr>
          <w:rFonts w:ascii="Verdana" w:eastAsia="Calibri" w:hAnsi="Verdana" w:cs="Times New Roman"/>
          <w:b/>
          <w:sz w:val="22"/>
          <w:szCs w:val="22"/>
          <w:lang w:val="en-GB"/>
        </w:rPr>
        <w:t xml:space="preserve">Impact of Covid-19 </w:t>
      </w:r>
    </w:p>
    <w:p w:rsidR="0098712B" w:rsidRPr="0098712B" w:rsidRDefault="0098712B" w:rsidP="0098712B">
      <w:pPr>
        <w:spacing w:after="160" w:line="259" w:lineRule="auto"/>
        <w:jc w:val="both"/>
        <w:rPr>
          <w:rFonts w:ascii="Verdana" w:eastAsia="Calibri" w:hAnsi="Verdana" w:cs="Times New Roman"/>
          <w:sz w:val="22"/>
          <w:szCs w:val="22"/>
          <w:lang w:val="en-GB"/>
        </w:rPr>
      </w:pPr>
      <w:r w:rsidRPr="0098712B">
        <w:rPr>
          <w:rFonts w:ascii="Verdana" w:eastAsia="Calibri" w:hAnsi="Verdana" w:cs="Times New Roman"/>
          <w:sz w:val="22"/>
          <w:szCs w:val="22"/>
          <w:lang w:val="en-GB"/>
        </w:rPr>
        <w:t xml:space="preserve">The 2020/21 revenue budget was set in February 2020 as a balanced budget of £250.0m. A capital and investment programme budget was also set in February 2020, providing a further £10.5m in 2020/21 to be reinvested in transformation projects to ensure fit-for-purpose services, to deliver savings and generate income to balance the budgets over the medium term financial plan to 2023/24. </w:t>
      </w:r>
    </w:p>
    <w:p w:rsidR="0098712B" w:rsidRPr="0098712B" w:rsidRDefault="0098712B" w:rsidP="0098712B">
      <w:pPr>
        <w:spacing w:after="160" w:line="259" w:lineRule="auto"/>
        <w:jc w:val="both"/>
        <w:rPr>
          <w:rFonts w:ascii="Verdana" w:eastAsia="Calibri" w:hAnsi="Verdana" w:cs="Times New Roman"/>
          <w:sz w:val="22"/>
          <w:szCs w:val="22"/>
          <w:lang w:val="en-GB"/>
        </w:rPr>
      </w:pPr>
      <w:r w:rsidRPr="0098712B">
        <w:rPr>
          <w:rFonts w:ascii="Verdana" w:eastAsia="Calibri" w:hAnsi="Verdana" w:cs="Times New Roman"/>
          <w:sz w:val="22"/>
          <w:szCs w:val="22"/>
          <w:lang w:val="en-GB"/>
        </w:rPr>
        <w:t xml:space="preserve">However, since the budget was set, the emergence of Covid-19 fundamentally changed the financial regime for a period of at least 6 months to the end of September 2020.  During the period to September, Surrey Police incurred approximately </w:t>
      </w:r>
      <w:r w:rsidRPr="00EA146B">
        <w:rPr>
          <w:rFonts w:ascii="Verdana" w:eastAsia="Calibri" w:hAnsi="Verdana" w:cs="Times New Roman"/>
          <w:sz w:val="22"/>
          <w:szCs w:val="22"/>
          <w:lang w:val="en-GB"/>
        </w:rPr>
        <w:t xml:space="preserve">£6m </w:t>
      </w:r>
      <w:r w:rsidRPr="0098712B">
        <w:rPr>
          <w:rFonts w:ascii="Verdana" w:eastAsia="Calibri" w:hAnsi="Verdana" w:cs="Times New Roman"/>
          <w:sz w:val="22"/>
          <w:szCs w:val="22"/>
          <w:lang w:val="en-GB"/>
        </w:rPr>
        <w:t>of additional expenditure whilst income fell by approximately</w:t>
      </w:r>
      <w:r w:rsidRPr="00EA146B">
        <w:rPr>
          <w:rFonts w:ascii="Verdana" w:eastAsia="Calibri" w:hAnsi="Verdana" w:cs="Times New Roman"/>
          <w:sz w:val="22"/>
          <w:szCs w:val="22"/>
          <w:lang w:val="en-GB"/>
        </w:rPr>
        <w:t xml:space="preserve"> £0.55m </w:t>
      </w:r>
      <w:r w:rsidRPr="0098712B">
        <w:rPr>
          <w:rFonts w:ascii="Verdana" w:eastAsia="Calibri" w:hAnsi="Verdana" w:cs="Times New Roman"/>
          <w:sz w:val="22"/>
          <w:szCs w:val="22"/>
          <w:lang w:val="en-GB"/>
        </w:rPr>
        <w:t xml:space="preserve">in the same period where services relating to events such as Epsom racing, dog training courses, Ride London and various festivals were either cancelled or resulted in reductions in income. A gradual return of most income streams is anticipated, although not necessarily back to the levels previously budgeted, for several years.  </w:t>
      </w:r>
    </w:p>
    <w:p w:rsidR="0098712B" w:rsidRPr="0098712B" w:rsidRDefault="0098712B" w:rsidP="0098712B">
      <w:pPr>
        <w:spacing w:after="160" w:line="259" w:lineRule="auto"/>
        <w:jc w:val="both"/>
        <w:rPr>
          <w:rFonts w:ascii="Verdana" w:eastAsia="Calibri" w:hAnsi="Verdana" w:cs="Times New Roman"/>
          <w:sz w:val="22"/>
          <w:szCs w:val="22"/>
          <w:lang w:val="en-GB"/>
        </w:rPr>
      </w:pPr>
      <w:r w:rsidRPr="0098712B">
        <w:rPr>
          <w:rFonts w:ascii="Verdana" w:eastAsia="Calibri" w:hAnsi="Verdana" w:cs="Times New Roman"/>
          <w:sz w:val="22"/>
          <w:szCs w:val="22"/>
          <w:lang w:val="en-GB"/>
        </w:rPr>
        <w:t>The forecast underspend for 2020/21 estimated at the end of September 2020 was £0.7m. With further consideration of cost control measures and/or continuation of the pande</w:t>
      </w:r>
      <w:r w:rsidR="00D81043">
        <w:rPr>
          <w:rFonts w:ascii="Verdana" w:eastAsia="Calibri" w:hAnsi="Verdana" w:cs="Times New Roman"/>
          <w:sz w:val="22"/>
          <w:szCs w:val="22"/>
          <w:lang w:val="en-GB"/>
        </w:rPr>
        <w:t>mic throughout 2020/21, this unde</w:t>
      </w:r>
      <w:r w:rsidRPr="0098712B">
        <w:rPr>
          <w:rFonts w:ascii="Verdana" w:eastAsia="Calibri" w:hAnsi="Verdana" w:cs="Times New Roman"/>
          <w:sz w:val="22"/>
          <w:szCs w:val="22"/>
          <w:lang w:val="en-GB"/>
        </w:rPr>
        <w:t xml:space="preserve">rspend is likely to remain at a </w:t>
      </w:r>
      <w:r w:rsidRPr="00EA146B">
        <w:rPr>
          <w:rFonts w:ascii="Verdana" w:eastAsia="Calibri" w:hAnsi="Verdana" w:cs="Times New Roman"/>
          <w:sz w:val="22"/>
          <w:szCs w:val="22"/>
          <w:lang w:val="en-GB"/>
        </w:rPr>
        <w:t xml:space="preserve">maximum of £0.7m.  </w:t>
      </w:r>
    </w:p>
    <w:p w:rsidR="0098712B" w:rsidRPr="0098712B" w:rsidRDefault="0098712B" w:rsidP="0098712B">
      <w:pPr>
        <w:spacing w:after="160" w:line="259" w:lineRule="auto"/>
        <w:jc w:val="both"/>
        <w:rPr>
          <w:rFonts w:ascii="Verdana" w:eastAsia="Calibri" w:hAnsi="Verdana" w:cs="Times New Roman"/>
          <w:sz w:val="22"/>
          <w:szCs w:val="22"/>
          <w:lang w:val="en-GB"/>
        </w:rPr>
      </w:pPr>
      <w:r w:rsidRPr="0098712B">
        <w:rPr>
          <w:rFonts w:ascii="Verdana" w:eastAsia="Calibri" w:hAnsi="Verdana" w:cs="Times New Roman"/>
          <w:sz w:val="22"/>
          <w:szCs w:val="22"/>
          <w:lang w:val="en-GB"/>
        </w:rPr>
        <w:t>The operational response to the Covid-19 pandemic resulted in additional unplanned costs for police officer and staff salaries, overtime, premises (e.g. additional cleaning and making ‘covid-safe’ working spaces), supplies and services (e.g. Personal Protective Equipment – PPE) as well as lost income. The most significant costs were for PPE and the Home Office has confirmed that Forces can recover the costs of PPE which amounted to £3.1m in the September 2020 forecast. Forecast income also includes the Surrey Police share (£0.4m) of Surge funding announced by the Government.</w:t>
      </w:r>
    </w:p>
    <w:p w:rsidR="0098712B" w:rsidRPr="0098712B" w:rsidRDefault="0098712B" w:rsidP="0098712B">
      <w:pPr>
        <w:spacing w:after="160" w:line="259" w:lineRule="auto"/>
        <w:jc w:val="both"/>
        <w:rPr>
          <w:rFonts w:ascii="Verdana" w:eastAsia="Calibri" w:hAnsi="Verdana" w:cs="Times New Roman"/>
          <w:sz w:val="22"/>
          <w:szCs w:val="22"/>
          <w:lang w:val="en-GB"/>
        </w:rPr>
      </w:pPr>
      <w:r w:rsidRPr="0098712B">
        <w:rPr>
          <w:rFonts w:ascii="Verdana" w:eastAsia="Calibri" w:hAnsi="Verdana" w:cs="Times New Roman"/>
          <w:sz w:val="22"/>
          <w:szCs w:val="22"/>
          <w:lang w:val="en-GB"/>
        </w:rPr>
        <w:t xml:space="preserve">All service areas are reviewing their budgets in detail during 2020/21 to identify options for identifying and delivering efficiency savings and/or generating income, with the aim of setting a balanced budget in 2021/22 and reducing the overspend in 2020/21. </w:t>
      </w:r>
    </w:p>
    <w:p w:rsidR="0098712B" w:rsidRDefault="0098712B" w:rsidP="0098712B">
      <w:pPr>
        <w:spacing w:after="160" w:line="259" w:lineRule="auto"/>
        <w:jc w:val="both"/>
        <w:rPr>
          <w:rFonts w:ascii="Verdana" w:eastAsia="Calibri" w:hAnsi="Verdana" w:cs="Times New Roman"/>
          <w:sz w:val="22"/>
          <w:szCs w:val="22"/>
          <w:lang w:val="en-GB"/>
        </w:rPr>
      </w:pPr>
      <w:r w:rsidRPr="00EA146B">
        <w:rPr>
          <w:rFonts w:ascii="Verdana" w:eastAsia="Calibri" w:hAnsi="Verdana" w:cs="Times New Roman"/>
          <w:sz w:val="22"/>
          <w:szCs w:val="22"/>
          <w:lang w:val="en-GB"/>
        </w:rPr>
        <w:t>The size of the challenge is an estimated increase to current cost base of approximately £</w:t>
      </w:r>
      <w:r w:rsidR="006B6027">
        <w:rPr>
          <w:rFonts w:ascii="Verdana" w:eastAsia="Calibri" w:hAnsi="Verdana" w:cs="Times New Roman"/>
          <w:sz w:val="22"/>
          <w:szCs w:val="22"/>
          <w:lang w:val="en-GB"/>
        </w:rPr>
        <w:t>3</w:t>
      </w:r>
      <w:r w:rsidRPr="00EA146B">
        <w:rPr>
          <w:rFonts w:ascii="Verdana" w:eastAsia="Calibri" w:hAnsi="Verdana" w:cs="Times New Roman"/>
          <w:sz w:val="22"/>
          <w:szCs w:val="22"/>
          <w:lang w:val="en-GB"/>
        </w:rPr>
        <w:t>m per year in a deep recession. This will be met from efficiency savings or reshaping of services, subject to government support, as the General Reserves are projected to remain at about the s151 officer’s minimum level of 3%</w:t>
      </w:r>
      <w:r w:rsidR="006B6027">
        <w:rPr>
          <w:rFonts w:ascii="Verdana" w:eastAsia="Calibri" w:hAnsi="Verdana" w:cs="Times New Roman"/>
          <w:sz w:val="22"/>
          <w:szCs w:val="22"/>
          <w:lang w:val="en-GB"/>
        </w:rPr>
        <w:t xml:space="preserve"> of the annual budget</w:t>
      </w:r>
      <w:r w:rsidRPr="00EA146B">
        <w:rPr>
          <w:rFonts w:ascii="Verdana" w:eastAsia="Calibri" w:hAnsi="Verdana" w:cs="Times New Roman"/>
          <w:sz w:val="22"/>
          <w:szCs w:val="22"/>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54"/>
        <w:gridCol w:w="2254"/>
        <w:gridCol w:w="2254"/>
        <w:gridCol w:w="2254"/>
      </w:tblGrid>
      <w:tr w:rsidR="006B6027" w:rsidRPr="002C0D0D" w:rsidTr="00EA146B">
        <w:trPr>
          <w:jc w:val="center"/>
        </w:trPr>
        <w:tc>
          <w:tcPr>
            <w:tcW w:w="2254" w:type="dxa"/>
            <w:shd w:val="clear" w:color="auto" w:fill="auto"/>
            <w:vAlign w:val="center"/>
          </w:tcPr>
          <w:p w:rsidR="006B6027" w:rsidRPr="005831B9" w:rsidRDefault="006B6027" w:rsidP="00F93CA0">
            <w:pPr>
              <w:rPr>
                <w:rFonts w:eastAsia="Calibri" w:cs="Times New Roman"/>
              </w:rPr>
            </w:pPr>
            <w:r w:rsidRPr="005831B9">
              <w:rPr>
                <w:rFonts w:eastAsia="Calibri" w:cs="Times New Roman"/>
              </w:rPr>
              <w:t>Date</w:t>
            </w:r>
          </w:p>
        </w:tc>
        <w:tc>
          <w:tcPr>
            <w:tcW w:w="2254" w:type="dxa"/>
            <w:shd w:val="clear" w:color="auto" w:fill="auto"/>
            <w:vAlign w:val="center"/>
          </w:tcPr>
          <w:p w:rsidR="006B6027" w:rsidRPr="005831B9" w:rsidRDefault="006B6027" w:rsidP="00F93CA0">
            <w:pPr>
              <w:jc w:val="center"/>
              <w:rPr>
                <w:rFonts w:eastAsia="Calibri" w:cs="Times New Roman"/>
              </w:rPr>
            </w:pPr>
            <w:r w:rsidRPr="005831B9">
              <w:rPr>
                <w:rFonts w:eastAsia="Calibri" w:cs="Times New Roman"/>
              </w:rPr>
              <w:t>General Fund</w:t>
            </w:r>
          </w:p>
        </w:tc>
        <w:tc>
          <w:tcPr>
            <w:tcW w:w="2254" w:type="dxa"/>
            <w:shd w:val="clear" w:color="auto" w:fill="auto"/>
            <w:vAlign w:val="center"/>
          </w:tcPr>
          <w:p w:rsidR="006B6027" w:rsidRPr="005831B9" w:rsidRDefault="006B6027" w:rsidP="00F93CA0">
            <w:pPr>
              <w:jc w:val="center"/>
              <w:rPr>
                <w:rFonts w:eastAsia="Calibri" w:cs="Times New Roman"/>
              </w:rPr>
            </w:pPr>
            <w:r w:rsidRPr="005831B9">
              <w:rPr>
                <w:rFonts w:eastAsia="Calibri" w:cs="Times New Roman"/>
              </w:rPr>
              <w:t>Earmarked reserves</w:t>
            </w:r>
          </w:p>
        </w:tc>
        <w:tc>
          <w:tcPr>
            <w:tcW w:w="2254" w:type="dxa"/>
            <w:shd w:val="clear" w:color="auto" w:fill="auto"/>
            <w:vAlign w:val="center"/>
          </w:tcPr>
          <w:p w:rsidR="006B6027" w:rsidRPr="005831B9" w:rsidRDefault="006B6027" w:rsidP="00F93CA0">
            <w:pPr>
              <w:jc w:val="center"/>
              <w:rPr>
                <w:rFonts w:eastAsia="Calibri" w:cs="Times New Roman"/>
              </w:rPr>
            </w:pPr>
            <w:r w:rsidRPr="005831B9">
              <w:rPr>
                <w:rFonts w:eastAsia="Calibri" w:cs="Times New Roman"/>
              </w:rPr>
              <w:t>Total Usable Revenue Reserves</w:t>
            </w:r>
          </w:p>
        </w:tc>
      </w:tr>
      <w:tr w:rsidR="006B6027" w:rsidRPr="00D00D3B" w:rsidTr="00EA146B">
        <w:trPr>
          <w:jc w:val="center"/>
        </w:trPr>
        <w:tc>
          <w:tcPr>
            <w:tcW w:w="2254" w:type="dxa"/>
            <w:shd w:val="clear" w:color="auto" w:fill="auto"/>
            <w:vAlign w:val="center"/>
          </w:tcPr>
          <w:p w:rsidR="006B6027" w:rsidRPr="005831B9" w:rsidRDefault="006B6027" w:rsidP="00F93CA0">
            <w:pPr>
              <w:rPr>
                <w:rFonts w:eastAsia="Calibri" w:cs="Times New Roman"/>
              </w:rPr>
            </w:pPr>
            <w:r w:rsidRPr="005831B9">
              <w:rPr>
                <w:rFonts w:eastAsia="Calibri" w:cs="Times New Roman"/>
              </w:rPr>
              <w:t>31 March 2020</w:t>
            </w:r>
          </w:p>
        </w:tc>
        <w:tc>
          <w:tcPr>
            <w:tcW w:w="2254" w:type="dxa"/>
            <w:shd w:val="clear" w:color="auto" w:fill="auto"/>
            <w:vAlign w:val="center"/>
          </w:tcPr>
          <w:p w:rsidR="006B6027" w:rsidRPr="005831B9" w:rsidRDefault="006B6027">
            <w:pPr>
              <w:jc w:val="center"/>
              <w:rPr>
                <w:rFonts w:eastAsia="Calibri" w:cs="Times New Roman"/>
              </w:rPr>
            </w:pPr>
            <w:r w:rsidRPr="005831B9">
              <w:rPr>
                <w:rFonts w:eastAsia="Calibri" w:cs="Times New Roman"/>
              </w:rPr>
              <w:t>£8.</w:t>
            </w:r>
            <w:r>
              <w:rPr>
                <w:rFonts w:eastAsia="Calibri" w:cs="Times New Roman"/>
              </w:rPr>
              <w:t>1</w:t>
            </w:r>
            <w:r w:rsidRPr="005831B9">
              <w:rPr>
                <w:rFonts w:eastAsia="Calibri" w:cs="Times New Roman"/>
              </w:rPr>
              <w:t>m</w:t>
            </w:r>
          </w:p>
        </w:tc>
        <w:tc>
          <w:tcPr>
            <w:tcW w:w="2254" w:type="dxa"/>
            <w:shd w:val="clear" w:color="auto" w:fill="auto"/>
            <w:vAlign w:val="center"/>
          </w:tcPr>
          <w:p w:rsidR="006B6027" w:rsidRPr="005831B9" w:rsidRDefault="006B6027" w:rsidP="00F93CA0">
            <w:pPr>
              <w:jc w:val="center"/>
              <w:rPr>
                <w:rFonts w:eastAsia="Calibri" w:cs="Times New Roman"/>
              </w:rPr>
            </w:pPr>
            <w:r w:rsidRPr="005831B9">
              <w:rPr>
                <w:rFonts w:eastAsia="Calibri" w:cs="Times New Roman"/>
              </w:rPr>
              <w:t>£11.4m</w:t>
            </w:r>
          </w:p>
        </w:tc>
        <w:tc>
          <w:tcPr>
            <w:tcW w:w="2254" w:type="dxa"/>
            <w:shd w:val="clear" w:color="auto" w:fill="auto"/>
            <w:vAlign w:val="center"/>
          </w:tcPr>
          <w:p w:rsidR="006B6027" w:rsidRPr="00D00D3B" w:rsidRDefault="006B6027">
            <w:pPr>
              <w:jc w:val="center"/>
              <w:rPr>
                <w:rFonts w:eastAsia="Calibri" w:cs="Times New Roman"/>
              </w:rPr>
            </w:pPr>
            <w:r w:rsidRPr="005831B9">
              <w:rPr>
                <w:rFonts w:eastAsia="Calibri" w:cs="Times New Roman"/>
              </w:rPr>
              <w:t>£19.</w:t>
            </w:r>
            <w:r>
              <w:rPr>
                <w:rFonts w:eastAsia="Calibri" w:cs="Times New Roman"/>
              </w:rPr>
              <w:t>5</w:t>
            </w:r>
            <w:r w:rsidRPr="005831B9">
              <w:rPr>
                <w:rFonts w:eastAsia="Calibri" w:cs="Times New Roman"/>
              </w:rPr>
              <w:t>m</w:t>
            </w:r>
          </w:p>
        </w:tc>
      </w:tr>
      <w:tr w:rsidR="00ED12F8" w:rsidRPr="00D00D3B" w:rsidTr="00EA146B">
        <w:trPr>
          <w:jc w:val="center"/>
        </w:trPr>
        <w:tc>
          <w:tcPr>
            <w:tcW w:w="2254" w:type="dxa"/>
            <w:shd w:val="clear" w:color="auto" w:fill="auto"/>
            <w:vAlign w:val="center"/>
          </w:tcPr>
          <w:p w:rsidR="00ED12F8" w:rsidRDefault="00ED12F8" w:rsidP="00F93CA0">
            <w:pPr>
              <w:rPr>
                <w:rFonts w:eastAsia="Calibri" w:cs="Times New Roman"/>
              </w:rPr>
            </w:pPr>
            <w:r>
              <w:rPr>
                <w:rFonts w:eastAsia="Calibri" w:cs="Times New Roman"/>
              </w:rPr>
              <w:t xml:space="preserve">Estimated as at </w:t>
            </w:r>
          </w:p>
          <w:p w:rsidR="00ED12F8" w:rsidRPr="005831B9" w:rsidRDefault="00ED12F8" w:rsidP="00F93CA0">
            <w:pPr>
              <w:rPr>
                <w:rFonts w:eastAsia="Calibri" w:cs="Times New Roman"/>
              </w:rPr>
            </w:pPr>
            <w:r>
              <w:rPr>
                <w:rFonts w:eastAsia="Calibri" w:cs="Times New Roman"/>
              </w:rPr>
              <w:t>31 March 2021</w:t>
            </w:r>
          </w:p>
        </w:tc>
        <w:tc>
          <w:tcPr>
            <w:tcW w:w="2254" w:type="dxa"/>
            <w:shd w:val="clear" w:color="auto" w:fill="auto"/>
            <w:vAlign w:val="center"/>
          </w:tcPr>
          <w:p w:rsidR="00ED12F8" w:rsidRPr="005831B9" w:rsidRDefault="00ED12F8">
            <w:pPr>
              <w:jc w:val="center"/>
              <w:rPr>
                <w:rFonts w:eastAsia="Calibri" w:cs="Times New Roman"/>
              </w:rPr>
            </w:pPr>
            <w:r>
              <w:rPr>
                <w:rFonts w:eastAsia="Calibri" w:cs="Times New Roman"/>
              </w:rPr>
              <w:t>£9.5m</w:t>
            </w:r>
          </w:p>
        </w:tc>
        <w:tc>
          <w:tcPr>
            <w:tcW w:w="2254" w:type="dxa"/>
            <w:shd w:val="clear" w:color="auto" w:fill="auto"/>
            <w:vAlign w:val="center"/>
          </w:tcPr>
          <w:p w:rsidR="00ED12F8" w:rsidRPr="005831B9" w:rsidRDefault="00ED12F8" w:rsidP="00F93CA0">
            <w:pPr>
              <w:jc w:val="center"/>
              <w:rPr>
                <w:rFonts w:eastAsia="Calibri" w:cs="Times New Roman"/>
              </w:rPr>
            </w:pPr>
            <w:r>
              <w:rPr>
                <w:rFonts w:eastAsia="Calibri" w:cs="Times New Roman"/>
              </w:rPr>
              <w:t>£11.7m</w:t>
            </w:r>
          </w:p>
        </w:tc>
        <w:tc>
          <w:tcPr>
            <w:tcW w:w="2254" w:type="dxa"/>
            <w:shd w:val="clear" w:color="auto" w:fill="auto"/>
            <w:vAlign w:val="center"/>
          </w:tcPr>
          <w:p w:rsidR="00ED12F8" w:rsidRPr="005831B9" w:rsidRDefault="00ED12F8">
            <w:pPr>
              <w:jc w:val="center"/>
              <w:rPr>
                <w:rFonts w:eastAsia="Calibri" w:cs="Times New Roman"/>
              </w:rPr>
            </w:pPr>
            <w:r>
              <w:rPr>
                <w:rFonts w:eastAsia="Calibri" w:cs="Times New Roman"/>
              </w:rPr>
              <w:t>£21.8m</w:t>
            </w:r>
          </w:p>
        </w:tc>
      </w:tr>
      <w:tr w:rsidR="00ED12F8" w:rsidRPr="00D00D3B" w:rsidTr="00EA146B">
        <w:trPr>
          <w:jc w:val="center"/>
        </w:trPr>
        <w:tc>
          <w:tcPr>
            <w:tcW w:w="2254" w:type="dxa"/>
            <w:shd w:val="clear" w:color="auto" w:fill="auto"/>
            <w:vAlign w:val="center"/>
          </w:tcPr>
          <w:p w:rsidR="00ED12F8" w:rsidRDefault="00ED12F8" w:rsidP="00ED12F8">
            <w:pPr>
              <w:rPr>
                <w:rFonts w:eastAsia="Calibri" w:cs="Times New Roman"/>
              </w:rPr>
            </w:pPr>
            <w:r>
              <w:rPr>
                <w:rFonts w:eastAsia="Calibri" w:cs="Times New Roman"/>
              </w:rPr>
              <w:t xml:space="preserve">Estimated as at </w:t>
            </w:r>
          </w:p>
          <w:p w:rsidR="00ED12F8" w:rsidRPr="005831B9" w:rsidRDefault="00ED12F8" w:rsidP="00ED12F8">
            <w:pPr>
              <w:rPr>
                <w:rFonts w:eastAsia="Calibri" w:cs="Times New Roman"/>
              </w:rPr>
            </w:pPr>
            <w:r>
              <w:rPr>
                <w:rFonts w:eastAsia="Calibri" w:cs="Times New Roman"/>
              </w:rPr>
              <w:t>31 M</w:t>
            </w:r>
            <w:r>
              <w:rPr>
                <w:rFonts w:eastAsia="Calibri" w:cs="Times New Roman"/>
              </w:rPr>
              <w:t>arch 2022</w:t>
            </w:r>
          </w:p>
        </w:tc>
        <w:tc>
          <w:tcPr>
            <w:tcW w:w="2254" w:type="dxa"/>
            <w:shd w:val="clear" w:color="auto" w:fill="auto"/>
            <w:vAlign w:val="center"/>
          </w:tcPr>
          <w:p w:rsidR="00ED12F8" w:rsidRPr="005831B9" w:rsidRDefault="00ED12F8" w:rsidP="00ED12F8">
            <w:pPr>
              <w:jc w:val="center"/>
              <w:rPr>
                <w:rFonts w:eastAsia="Calibri" w:cs="Times New Roman"/>
              </w:rPr>
            </w:pPr>
            <w:r>
              <w:rPr>
                <w:rFonts w:eastAsia="Calibri" w:cs="Times New Roman"/>
              </w:rPr>
              <w:t>£10.8m</w:t>
            </w:r>
          </w:p>
        </w:tc>
        <w:tc>
          <w:tcPr>
            <w:tcW w:w="2254" w:type="dxa"/>
            <w:shd w:val="clear" w:color="auto" w:fill="auto"/>
            <w:vAlign w:val="center"/>
          </w:tcPr>
          <w:p w:rsidR="00ED12F8" w:rsidRPr="005831B9" w:rsidRDefault="00ED12F8" w:rsidP="00ED12F8">
            <w:pPr>
              <w:jc w:val="center"/>
              <w:rPr>
                <w:rFonts w:eastAsia="Calibri" w:cs="Times New Roman"/>
              </w:rPr>
            </w:pPr>
            <w:r>
              <w:rPr>
                <w:rFonts w:eastAsia="Calibri" w:cs="Times New Roman"/>
              </w:rPr>
              <w:t>£13.3m</w:t>
            </w:r>
          </w:p>
        </w:tc>
        <w:tc>
          <w:tcPr>
            <w:tcW w:w="2254" w:type="dxa"/>
            <w:shd w:val="clear" w:color="auto" w:fill="auto"/>
            <w:vAlign w:val="center"/>
          </w:tcPr>
          <w:p w:rsidR="00ED12F8" w:rsidRPr="005831B9" w:rsidRDefault="00ED12F8" w:rsidP="00ED12F8">
            <w:pPr>
              <w:jc w:val="center"/>
              <w:rPr>
                <w:rFonts w:eastAsia="Calibri" w:cs="Times New Roman"/>
              </w:rPr>
            </w:pPr>
            <w:r>
              <w:rPr>
                <w:rFonts w:eastAsia="Calibri" w:cs="Times New Roman"/>
              </w:rPr>
              <w:t>£24.1m</w:t>
            </w:r>
          </w:p>
        </w:tc>
      </w:tr>
    </w:tbl>
    <w:p w:rsidR="006B6027" w:rsidRPr="0098712B" w:rsidRDefault="006B6027" w:rsidP="0098712B">
      <w:pPr>
        <w:spacing w:after="160" w:line="259" w:lineRule="auto"/>
        <w:jc w:val="both"/>
        <w:rPr>
          <w:rFonts w:ascii="Verdana" w:eastAsia="Calibri" w:hAnsi="Verdana" w:cs="Times New Roman"/>
          <w:sz w:val="22"/>
          <w:szCs w:val="22"/>
          <w:lang w:val="en-GB"/>
        </w:rPr>
      </w:pPr>
    </w:p>
    <w:p w:rsidR="0098712B" w:rsidRPr="0098712B" w:rsidRDefault="0098712B" w:rsidP="0098712B">
      <w:pPr>
        <w:spacing w:after="160" w:line="259" w:lineRule="auto"/>
        <w:jc w:val="both"/>
        <w:rPr>
          <w:rFonts w:ascii="Verdana" w:eastAsia="Calibri" w:hAnsi="Verdana" w:cs="Times New Roman"/>
          <w:b/>
          <w:sz w:val="22"/>
          <w:szCs w:val="22"/>
          <w:lang w:val="en-GB"/>
        </w:rPr>
      </w:pPr>
      <w:r w:rsidRPr="0098712B">
        <w:rPr>
          <w:rFonts w:ascii="Verdana" w:eastAsia="Calibri" w:hAnsi="Verdana" w:cs="Times New Roman"/>
          <w:b/>
          <w:sz w:val="22"/>
          <w:szCs w:val="22"/>
          <w:lang w:val="en-GB"/>
        </w:rPr>
        <w:t>Cash Position</w:t>
      </w:r>
    </w:p>
    <w:p w:rsidR="0098712B" w:rsidRPr="0098712B" w:rsidRDefault="0098712B" w:rsidP="0098712B">
      <w:pPr>
        <w:spacing w:after="160" w:line="259" w:lineRule="auto"/>
        <w:jc w:val="both"/>
        <w:rPr>
          <w:rFonts w:ascii="Verdana" w:eastAsia="Calibri" w:hAnsi="Verdana" w:cs="Times New Roman"/>
          <w:sz w:val="22"/>
          <w:szCs w:val="22"/>
          <w:lang w:val="en-GB"/>
        </w:rPr>
      </w:pPr>
      <w:r w:rsidRPr="0098712B">
        <w:rPr>
          <w:rFonts w:ascii="Verdana" w:eastAsia="Calibri" w:hAnsi="Verdana" w:cs="Times New Roman"/>
          <w:sz w:val="22"/>
          <w:szCs w:val="22"/>
          <w:lang w:val="en-GB"/>
        </w:rPr>
        <w:t>Surrey Police had a cash equivalent balance of £22.9m</w:t>
      </w:r>
      <w:r w:rsidRPr="0098712B">
        <w:rPr>
          <w:rFonts w:ascii="Verdana" w:eastAsia="Calibri" w:hAnsi="Verdana" w:cs="Times New Roman"/>
          <w:color w:val="FF0000"/>
          <w:sz w:val="22"/>
          <w:szCs w:val="22"/>
          <w:lang w:val="en-GB"/>
        </w:rPr>
        <w:t xml:space="preserve"> </w:t>
      </w:r>
      <w:r w:rsidRPr="0098712B">
        <w:rPr>
          <w:rFonts w:ascii="Verdana" w:eastAsia="Calibri" w:hAnsi="Verdana" w:cs="Times New Roman"/>
          <w:sz w:val="22"/>
          <w:szCs w:val="22"/>
          <w:lang w:val="en-GB"/>
        </w:rPr>
        <w:t xml:space="preserve">at the end of September 2020, compared to £12.4m at 31 March 2020 year-end. This includes £22.6m held for investment by Surrey County Council available within 24 hours. Surrey Police has no long term non-property investments. Whilst there is uncertainty on income, Surrey Police remains confident in its ability to maintain sufficient cash for its services throughout the medium term and has a borrowing strategy in place to borrow against capital investment as necessity arises. Surrey Police is also able to borrow short term for cash flow purposes if needed. </w:t>
      </w:r>
    </w:p>
    <w:p w:rsidR="009E4C9E" w:rsidRDefault="009E4C9E" w:rsidP="0098712B">
      <w:pPr>
        <w:spacing w:after="160" w:line="259" w:lineRule="auto"/>
        <w:jc w:val="both"/>
        <w:rPr>
          <w:rFonts w:ascii="Verdana" w:eastAsia="Calibri" w:hAnsi="Verdana" w:cs="Times New Roman"/>
          <w:sz w:val="22"/>
          <w:szCs w:val="22"/>
          <w:lang w:val="en-GB"/>
        </w:rPr>
      </w:pPr>
      <w:r w:rsidRPr="00EA146B">
        <w:rPr>
          <w:rFonts w:ascii="Verdana" w:eastAsia="Calibri" w:hAnsi="Verdana" w:cs="Times New Roman"/>
          <w:sz w:val="22"/>
          <w:szCs w:val="22"/>
          <w:lang w:val="en-GB"/>
        </w:rPr>
        <w:t>Surrey Police has undertaken cash flow modelling through to 30 November 2021 which demonstrates the ability to work within its Capital Financing Requirement and Cash management framework. Surrey Police has a borrowing operational boundary of £36m, current borrowing is £14.6m, thereby providing a further borrowing headroom of £21.4m.</w:t>
      </w:r>
    </w:p>
    <w:p w:rsidR="0098712B" w:rsidRPr="00EA146B" w:rsidRDefault="0098712B" w:rsidP="0098712B">
      <w:pPr>
        <w:spacing w:after="160" w:line="259" w:lineRule="auto"/>
        <w:jc w:val="both"/>
        <w:rPr>
          <w:rFonts w:ascii="Verdana" w:eastAsia="Calibri" w:hAnsi="Verdana" w:cs="Times New Roman"/>
          <w:sz w:val="22"/>
          <w:szCs w:val="22"/>
          <w:lang w:val="en-GB"/>
        </w:rPr>
      </w:pPr>
      <w:r w:rsidRPr="0098712B">
        <w:rPr>
          <w:rFonts w:ascii="Verdana" w:eastAsia="Calibri" w:hAnsi="Verdana" w:cs="Times New Roman"/>
          <w:sz w:val="22"/>
          <w:szCs w:val="22"/>
          <w:lang w:val="en-GB"/>
        </w:rPr>
        <w:t xml:space="preserve">In a ‘stressed’ case scenario whereby income is constrained further in the event of continued pandemic conditions, and income recovering only very slowly, </w:t>
      </w:r>
      <w:r w:rsidRPr="00EA146B">
        <w:rPr>
          <w:rFonts w:ascii="Verdana" w:eastAsia="Calibri" w:hAnsi="Verdana" w:cs="Times New Roman"/>
          <w:sz w:val="22"/>
          <w:szCs w:val="22"/>
          <w:lang w:val="en-GB"/>
        </w:rPr>
        <w:t xml:space="preserve">Surrey Police has sufficient levels of reserves and investments that it would not run out of cash during 2021/22. </w:t>
      </w:r>
    </w:p>
    <w:p w:rsidR="0098712B" w:rsidRPr="0098712B" w:rsidRDefault="0098712B" w:rsidP="0098712B">
      <w:pPr>
        <w:spacing w:after="160" w:line="259" w:lineRule="auto"/>
        <w:jc w:val="both"/>
        <w:rPr>
          <w:rFonts w:ascii="Verdana" w:eastAsia="Calibri" w:hAnsi="Verdana" w:cs="Times New Roman"/>
          <w:sz w:val="22"/>
          <w:szCs w:val="22"/>
          <w:lang w:val="en-GB"/>
        </w:rPr>
      </w:pPr>
      <w:r w:rsidRPr="0098712B">
        <w:rPr>
          <w:rFonts w:ascii="Verdana" w:eastAsia="Calibri" w:hAnsi="Verdana" w:cs="Times New Roman"/>
          <w:sz w:val="22"/>
          <w:szCs w:val="22"/>
          <w:lang w:val="en-GB"/>
        </w:rPr>
        <w:t>Furthermore, Surrey Police has revisited the 2020/21 capital &amp; investment programme and is postponing non-essential capital projects that will further protect the levels of cash and usable reserves. A new capital &amp; investment ‘gateway to proceed’ process has also been introduced during 2020/21 for existing planned schemes. This step will allow further control and funding confirmation checks before the actual start of projects being delivered.</w:t>
      </w:r>
    </w:p>
    <w:p w:rsidR="0098712B" w:rsidRPr="0098712B" w:rsidRDefault="0098712B" w:rsidP="0098712B">
      <w:pPr>
        <w:spacing w:after="160" w:line="259" w:lineRule="auto"/>
        <w:jc w:val="both"/>
        <w:rPr>
          <w:rFonts w:ascii="Verdana" w:eastAsia="Calibri" w:hAnsi="Verdana" w:cs="Times New Roman"/>
          <w:sz w:val="22"/>
          <w:szCs w:val="22"/>
          <w:lang w:val="en-GB"/>
        </w:rPr>
      </w:pPr>
      <w:r w:rsidRPr="0098712B">
        <w:rPr>
          <w:rFonts w:ascii="Verdana" w:eastAsia="Calibri" w:hAnsi="Verdana" w:cs="Times New Roman"/>
          <w:sz w:val="22"/>
          <w:szCs w:val="22"/>
          <w:lang w:val="en-GB"/>
        </w:rPr>
        <w:t>This will ensure that a necessary capital and investment programme is focusing on projects that produce a positive financial revenue return or future saving as well as those where there are health and safety requirements or were already in progress and could not be postponed without incurring significant costs. The force runs a flexible programme managing schemes over a rolling 2 year period enabling schemes to be brought forward or deferred, the annual forecast at the end of September 2020 indicated underspend of £2.6m.</w:t>
      </w:r>
    </w:p>
    <w:p w:rsidR="0098712B" w:rsidRPr="002A69A9" w:rsidRDefault="009E4C9E" w:rsidP="0098712B">
      <w:pPr>
        <w:spacing w:after="160" w:line="259" w:lineRule="auto"/>
        <w:jc w:val="both"/>
        <w:rPr>
          <w:rFonts w:ascii="Verdana" w:eastAsia="Calibri" w:hAnsi="Verdana" w:cs="Times New Roman"/>
          <w:b/>
          <w:sz w:val="22"/>
          <w:szCs w:val="22"/>
          <w:lang w:val="en-GB"/>
        </w:rPr>
      </w:pPr>
      <w:r>
        <w:rPr>
          <w:rFonts w:ascii="Verdana" w:eastAsia="Calibri" w:hAnsi="Verdana" w:cs="Times New Roman"/>
          <w:b/>
          <w:sz w:val="22"/>
          <w:szCs w:val="22"/>
          <w:lang w:val="en-GB"/>
        </w:rPr>
        <w:t xml:space="preserve">Going Concern </w:t>
      </w:r>
      <w:r w:rsidR="0098712B" w:rsidRPr="00F93CA0">
        <w:rPr>
          <w:rFonts w:ascii="Verdana" w:eastAsia="Calibri" w:hAnsi="Verdana" w:cs="Times New Roman"/>
          <w:b/>
          <w:sz w:val="22"/>
          <w:szCs w:val="22"/>
          <w:lang w:val="en-GB"/>
        </w:rPr>
        <w:t xml:space="preserve">Conclusion </w:t>
      </w:r>
    </w:p>
    <w:p w:rsidR="00EB0483" w:rsidRPr="00EA146B" w:rsidRDefault="009E4C9E" w:rsidP="00EA146B">
      <w:pPr>
        <w:pStyle w:val="Normal0"/>
        <w:spacing w:after="160"/>
        <w:jc w:val="both"/>
        <w:rPr>
          <w:rFonts w:ascii="Verdana" w:eastAsia="Calibri" w:hAnsi="Verdana" w:cs="Times New Roman"/>
          <w:sz w:val="22"/>
          <w:szCs w:val="22"/>
          <w:lang w:val="en-GB"/>
        </w:rPr>
      </w:pPr>
      <w:r w:rsidRPr="00EA146B">
        <w:rPr>
          <w:rFonts w:ascii="Verdana" w:eastAsia="Calibri" w:hAnsi="Verdana" w:cs="Times New Roman"/>
          <w:sz w:val="22"/>
          <w:szCs w:val="22"/>
          <w:lang w:val="en-GB"/>
        </w:rPr>
        <w:t>Surrey Police thereby concludes that it is appropriate to prepare the financial statements on a going concern basis, and that Surrey Police will be a going concern, 12 months from the date of the approval of these financial statements, based on its cash flow forecasting and the resultant liquidity position of Surrey Police</w:t>
      </w:r>
      <w:r w:rsidR="0098712B" w:rsidRPr="0098712B">
        <w:rPr>
          <w:rFonts w:ascii="Verdana" w:eastAsia="Calibri" w:hAnsi="Verdana" w:cs="Times New Roman"/>
          <w:sz w:val="22"/>
          <w:szCs w:val="22"/>
          <w:lang w:val="en-GB"/>
        </w:rPr>
        <w:t>.</w:t>
      </w:r>
    </w:p>
    <w:p w:rsidR="00EB0483" w:rsidRDefault="00EB0483" w:rsidP="00F227D9">
      <w:pPr>
        <w:pStyle w:val="Normal0"/>
        <w:spacing w:after="160"/>
        <w:rPr>
          <w:rFonts w:ascii="Verdana" w:hAnsi="Verdana"/>
          <w:sz w:val="4"/>
          <w:szCs w:val="4"/>
          <w:lang w:val="pt-BR"/>
        </w:rPr>
      </w:pPr>
    </w:p>
    <w:p w:rsidR="00EB0483" w:rsidRPr="00FC06D6" w:rsidRDefault="00EB0483" w:rsidP="00F227D9">
      <w:pPr>
        <w:pStyle w:val="Normal0"/>
        <w:spacing w:after="160"/>
        <w:rPr>
          <w:rFonts w:ascii="Verdana" w:hAnsi="Verdana"/>
          <w:sz w:val="4"/>
          <w:szCs w:val="4"/>
          <w:lang w:val="pt-BR"/>
        </w:rPr>
      </w:pPr>
    </w:p>
    <w:p w:rsidR="00F227D9" w:rsidRPr="00E0209D" w:rsidRDefault="00F227D9" w:rsidP="007D3C35">
      <w:pPr>
        <w:pStyle w:val="Heading1"/>
        <w:spacing w:after="240"/>
        <w:jc w:val="both"/>
        <w:rPr>
          <w:lang w:val="pt-BR"/>
        </w:rPr>
      </w:pPr>
      <w:bookmarkStart w:id="11" w:name="_Toc55900981"/>
      <w:r w:rsidRPr="00E0209D">
        <w:rPr>
          <w:lang w:val="pt-BR"/>
        </w:rPr>
        <w:t xml:space="preserve">Note </w:t>
      </w:r>
      <w:r w:rsidR="00EB0483" w:rsidRPr="00E0209D">
        <w:rPr>
          <w:lang w:val="pt-BR"/>
        </w:rPr>
        <w:t>3</w:t>
      </w:r>
      <w:r w:rsidRPr="00E0209D">
        <w:rPr>
          <w:lang w:val="pt-BR"/>
        </w:rPr>
        <w:t xml:space="preserve"> - Events After the Balance Sheet Date</w:t>
      </w:r>
      <w:bookmarkEnd w:id="11"/>
      <w:r w:rsidRPr="00E0209D">
        <w:rPr>
          <w:lang w:val="pt-BR"/>
        </w:rPr>
        <w:t xml:space="preserve"> </w:t>
      </w:r>
    </w:p>
    <w:p w:rsidR="00F227D9" w:rsidRPr="00E0209D" w:rsidRDefault="00F227D9" w:rsidP="007D3C35">
      <w:pPr>
        <w:pStyle w:val="Normal0"/>
        <w:spacing w:after="160"/>
        <w:jc w:val="both"/>
        <w:rPr>
          <w:rFonts w:ascii="Verdana" w:eastAsia="Verdana" w:hAnsi="Verdana" w:cs="Verdana"/>
          <w:sz w:val="22"/>
          <w:szCs w:val="22"/>
          <w:lang w:val="en-GB"/>
        </w:rPr>
      </w:pPr>
      <w:r w:rsidRPr="00E0209D">
        <w:rPr>
          <w:rFonts w:ascii="Verdana" w:eastAsia="Verdana" w:hAnsi="Verdana" w:cs="Verdana"/>
          <w:sz w:val="22"/>
          <w:szCs w:val="22"/>
          <w:lang w:val="en-GB"/>
        </w:rPr>
        <w:t>When an event occurs after the Balance Sheet date which provides evidence of conditions that existed at the Balance Sheet date an adjusting event occurs and the amounts recognised in the Statement of Accounts will be adjusted to take into account any values that reflect the adjusting event.  Where an event occurs after the Balance Sheet date that is indicative of conditions that arose after the Balance Sheet date, the amounts recognised in the Statement of Accounts are not adjusted but disclosed as a separate note to the accounts.  Events after the Balance Sheet date are reflected up to the date when the Statement of Accounts is authorised for issue and published.</w:t>
      </w:r>
    </w:p>
    <w:p w:rsidR="00F227D9" w:rsidRPr="00E0209D" w:rsidRDefault="00F227D9" w:rsidP="007D3C35">
      <w:pPr>
        <w:pStyle w:val="Normal0"/>
        <w:spacing w:after="160"/>
        <w:jc w:val="both"/>
        <w:rPr>
          <w:rFonts w:ascii="Verdana" w:eastAsia="Verdana" w:hAnsi="Verdana" w:cs="Verdana"/>
          <w:sz w:val="22"/>
          <w:szCs w:val="22"/>
          <w:lang w:val="en-GB"/>
        </w:rPr>
      </w:pPr>
      <w:r w:rsidRPr="00E0209D">
        <w:rPr>
          <w:rFonts w:ascii="Verdana" w:eastAsia="Verdana" w:hAnsi="Verdana" w:cs="Verdana"/>
          <w:sz w:val="22"/>
          <w:szCs w:val="22"/>
          <w:lang w:val="en-GB"/>
        </w:rPr>
        <w:t>The</w:t>
      </w:r>
      <w:r w:rsidR="00E0209D" w:rsidRPr="00E0209D">
        <w:rPr>
          <w:rFonts w:ascii="Verdana" w:eastAsia="Verdana" w:hAnsi="Verdana" w:cs="Verdana"/>
          <w:sz w:val="22"/>
          <w:szCs w:val="22"/>
          <w:lang w:val="en-GB"/>
        </w:rPr>
        <w:t xml:space="preserve"> </w:t>
      </w:r>
      <w:r w:rsidR="00181561">
        <w:rPr>
          <w:rFonts w:ascii="Verdana" w:eastAsia="Verdana" w:hAnsi="Verdana" w:cs="Verdana"/>
          <w:sz w:val="22"/>
          <w:szCs w:val="22"/>
          <w:lang w:val="en-GB"/>
        </w:rPr>
        <w:t>Final</w:t>
      </w:r>
      <w:r w:rsidR="00181561" w:rsidRPr="00B60B19">
        <w:rPr>
          <w:rFonts w:ascii="Verdana" w:eastAsia="Verdana" w:hAnsi="Verdana" w:cs="Verdana"/>
          <w:sz w:val="22"/>
          <w:szCs w:val="22"/>
          <w:lang w:val="en-GB"/>
        </w:rPr>
        <w:t xml:space="preserve"> </w:t>
      </w:r>
      <w:r w:rsidRPr="00B60B19">
        <w:rPr>
          <w:rFonts w:ascii="Verdana" w:eastAsia="Verdana" w:hAnsi="Verdana" w:cs="Verdana"/>
          <w:sz w:val="22"/>
          <w:szCs w:val="22"/>
          <w:lang w:val="en-GB"/>
        </w:rPr>
        <w:t xml:space="preserve">Statement of Accounts was authorised for issue by the Chief Finance Officer on </w:t>
      </w:r>
      <w:r w:rsidR="00181561" w:rsidRPr="00EA146B">
        <w:rPr>
          <w:rFonts w:ascii="Verdana" w:eastAsia="Verdana" w:hAnsi="Verdana" w:cs="Verdana"/>
          <w:sz w:val="22"/>
          <w:szCs w:val="22"/>
          <w:highlight w:val="yellow"/>
          <w:lang w:val="en-GB"/>
        </w:rPr>
        <w:t>30</w:t>
      </w:r>
      <w:r w:rsidR="00CB7CD9" w:rsidRPr="00EA146B">
        <w:rPr>
          <w:rFonts w:ascii="Verdana" w:eastAsia="Verdana" w:hAnsi="Verdana" w:cs="Verdana"/>
          <w:sz w:val="22"/>
          <w:szCs w:val="22"/>
          <w:highlight w:val="yellow"/>
          <w:lang w:val="en-GB"/>
        </w:rPr>
        <w:t xml:space="preserve"> </w:t>
      </w:r>
      <w:r w:rsidR="00181561" w:rsidRPr="00EA146B">
        <w:rPr>
          <w:rFonts w:ascii="Verdana" w:eastAsia="Verdana" w:hAnsi="Verdana" w:cs="Verdana"/>
          <w:sz w:val="22"/>
          <w:szCs w:val="22"/>
          <w:highlight w:val="yellow"/>
          <w:lang w:val="en-GB"/>
        </w:rPr>
        <w:t xml:space="preserve">November </w:t>
      </w:r>
      <w:r w:rsidR="00CB7CD9" w:rsidRPr="00EA146B">
        <w:rPr>
          <w:rFonts w:ascii="Verdana" w:eastAsia="Verdana" w:hAnsi="Verdana" w:cs="Verdana"/>
          <w:sz w:val="22"/>
          <w:szCs w:val="22"/>
          <w:highlight w:val="yellow"/>
          <w:lang w:val="en-GB"/>
        </w:rPr>
        <w:t>2020</w:t>
      </w:r>
      <w:r w:rsidRPr="00B60B19">
        <w:rPr>
          <w:rFonts w:ascii="Verdana" w:eastAsia="Verdana" w:hAnsi="Verdana" w:cs="Verdana"/>
          <w:sz w:val="22"/>
          <w:szCs w:val="22"/>
          <w:lang w:val="en-GB"/>
        </w:rPr>
        <w:t>.  Events taking place after this date are not reflected in the financial statements or notes.  Where</w:t>
      </w:r>
      <w:r w:rsidRPr="00E0209D">
        <w:rPr>
          <w:rFonts w:ascii="Verdana" w:eastAsia="Verdana" w:hAnsi="Verdana" w:cs="Verdana"/>
          <w:sz w:val="22"/>
          <w:szCs w:val="22"/>
          <w:lang w:val="en-GB"/>
        </w:rPr>
        <w:t xml:space="preserve"> events taking place before this date provide</w:t>
      </w:r>
      <w:r w:rsidR="00181561">
        <w:rPr>
          <w:rFonts w:ascii="Verdana" w:eastAsia="Verdana" w:hAnsi="Verdana" w:cs="Verdana"/>
          <w:sz w:val="22"/>
          <w:szCs w:val="22"/>
          <w:lang w:val="en-GB"/>
        </w:rPr>
        <w:t>d</w:t>
      </w:r>
      <w:r w:rsidRPr="00E0209D">
        <w:rPr>
          <w:rFonts w:ascii="Verdana" w:eastAsia="Verdana" w:hAnsi="Verdana" w:cs="Verdana"/>
          <w:sz w:val="22"/>
          <w:szCs w:val="22"/>
          <w:lang w:val="en-GB"/>
        </w:rPr>
        <w:t xml:space="preserve"> information about conditions existing at 31 March 20</w:t>
      </w:r>
      <w:r w:rsidR="00CB7CD9" w:rsidRPr="00E0209D">
        <w:rPr>
          <w:rFonts w:ascii="Verdana" w:eastAsia="Verdana" w:hAnsi="Verdana" w:cs="Verdana"/>
          <w:sz w:val="22"/>
          <w:szCs w:val="22"/>
          <w:lang w:val="en-GB"/>
        </w:rPr>
        <w:t>20</w:t>
      </w:r>
      <w:r w:rsidRPr="00E0209D">
        <w:rPr>
          <w:rFonts w:ascii="Verdana" w:eastAsia="Verdana" w:hAnsi="Verdana" w:cs="Verdana"/>
          <w:sz w:val="22"/>
          <w:szCs w:val="22"/>
          <w:lang w:val="en-GB"/>
        </w:rPr>
        <w:t xml:space="preserve">, the figures in the financial statements and notes </w:t>
      </w:r>
      <w:r w:rsidR="00181561">
        <w:rPr>
          <w:rFonts w:ascii="Verdana" w:eastAsia="Verdana" w:hAnsi="Verdana" w:cs="Verdana"/>
          <w:sz w:val="22"/>
          <w:szCs w:val="22"/>
          <w:lang w:val="en-GB"/>
        </w:rPr>
        <w:t>have been</w:t>
      </w:r>
      <w:r w:rsidRPr="00E0209D">
        <w:rPr>
          <w:rFonts w:ascii="Verdana" w:eastAsia="Verdana" w:hAnsi="Verdana" w:cs="Verdana"/>
          <w:sz w:val="22"/>
          <w:szCs w:val="22"/>
          <w:lang w:val="en-GB"/>
        </w:rPr>
        <w:t xml:space="preserve"> adjusted in all material respects to reflect the impact of this information.  </w:t>
      </w:r>
    </w:p>
    <w:p w:rsidR="00E0209D" w:rsidRPr="00E0209D" w:rsidRDefault="00E0209D" w:rsidP="007D3C35">
      <w:pPr>
        <w:pStyle w:val="Normal0"/>
        <w:spacing w:after="160"/>
        <w:jc w:val="both"/>
        <w:rPr>
          <w:rFonts w:ascii="Verdana" w:eastAsia="Verdana" w:hAnsi="Verdana" w:cs="Verdana"/>
          <w:sz w:val="22"/>
          <w:szCs w:val="22"/>
          <w:lang w:val="en-GB"/>
        </w:rPr>
      </w:pPr>
      <w:r w:rsidRPr="00E0209D">
        <w:rPr>
          <w:rFonts w:ascii="Verdana" w:eastAsia="Verdana" w:hAnsi="Verdana" w:cs="Verdana"/>
          <w:sz w:val="22"/>
          <w:szCs w:val="22"/>
          <w:lang w:val="en-GB"/>
        </w:rPr>
        <w:t>The</w:t>
      </w:r>
      <w:r w:rsidR="00181561">
        <w:rPr>
          <w:rFonts w:ascii="Verdana" w:eastAsia="Verdana" w:hAnsi="Verdana" w:cs="Verdana"/>
          <w:sz w:val="22"/>
          <w:szCs w:val="22"/>
          <w:lang w:val="en-GB"/>
        </w:rPr>
        <w:t xml:space="preserve"> financial statements and notes have therefore been adjusted for the following event</w:t>
      </w:r>
      <w:r w:rsidR="006E1B73">
        <w:rPr>
          <w:rFonts w:ascii="Verdana" w:eastAsia="Verdana" w:hAnsi="Verdana" w:cs="Verdana"/>
          <w:sz w:val="22"/>
          <w:szCs w:val="22"/>
          <w:lang w:val="en-GB"/>
        </w:rPr>
        <w:t>s</w:t>
      </w:r>
      <w:r w:rsidR="00181561">
        <w:rPr>
          <w:rFonts w:ascii="Verdana" w:eastAsia="Verdana" w:hAnsi="Verdana" w:cs="Verdana"/>
          <w:sz w:val="22"/>
          <w:szCs w:val="22"/>
          <w:lang w:val="en-GB"/>
        </w:rPr>
        <w:t xml:space="preserve"> which took place after 31 March 2020</w:t>
      </w:r>
      <w:r w:rsidRPr="00E0209D">
        <w:rPr>
          <w:rFonts w:ascii="Verdana" w:eastAsia="Verdana" w:hAnsi="Verdana" w:cs="Verdana"/>
          <w:sz w:val="22"/>
          <w:szCs w:val="22"/>
          <w:lang w:val="en-GB"/>
        </w:rPr>
        <w:t>.</w:t>
      </w:r>
    </w:p>
    <w:p w:rsidR="0098712B" w:rsidRDefault="00E0209D" w:rsidP="00E0209D">
      <w:pPr>
        <w:jc w:val="both"/>
        <w:rPr>
          <w:rFonts w:ascii="Verdana" w:eastAsia="Verdana" w:hAnsi="Verdana" w:cs="Verdana"/>
          <w:b/>
          <w:sz w:val="22"/>
          <w:szCs w:val="22"/>
          <w:lang w:val="en-GB"/>
        </w:rPr>
      </w:pPr>
      <w:r w:rsidRPr="00E0209D">
        <w:rPr>
          <w:rFonts w:ascii="Verdana" w:eastAsia="Verdana" w:hAnsi="Verdana" w:cs="Verdana"/>
          <w:b/>
          <w:sz w:val="22"/>
          <w:szCs w:val="22"/>
          <w:lang w:val="en-GB"/>
        </w:rPr>
        <w:t xml:space="preserve">Impact of McCloud/Sargeant court of appeal </w:t>
      </w:r>
    </w:p>
    <w:p w:rsidR="00E0209D" w:rsidRPr="00E0209D" w:rsidRDefault="00E0209D" w:rsidP="00E0209D">
      <w:pPr>
        <w:jc w:val="both"/>
        <w:rPr>
          <w:rFonts w:ascii="Verdana" w:hAnsi="Verdana"/>
          <w:sz w:val="22"/>
          <w:szCs w:val="22"/>
        </w:rPr>
      </w:pPr>
    </w:p>
    <w:p w:rsidR="00181561" w:rsidRPr="00EA146B" w:rsidRDefault="004F5584" w:rsidP="00E0209D">
      <w:pPr>
        <w:jc w:val="both"/>
        <w:rPr>
          <w:rFonts w:ascii="Verdana" w:hAnsi="Verdana"/>
          <w:sz w:val="22"/>
          <w:szCs w:val="22"/>
        </w:rPr>
      </w:pPr>
      <w:r>
        <w:rPr>
          <w:rFonts w:ascii="Verdana" w:hAnsi="Verdana"/>
          <w:sz w:val="22"/>
          <w:szCs w:val="22"/>
        </w:rPr>
        <w:t xml:space="preserve">On 27 June 2019 the Supreme Court refused leave to appeal on the McCloud/Sargeant case that the ‘transitional protection’ offered to some members as part of the reform to public sector pensions amounted to unlawful discrimination. Pension calculations in the draft accounts therefore assumed the remedy would apply to all pension scheme members not included in the transitional protection. </w:t>
      </w:r>
      <w:r w:rsidR="000E7D0A" w:rsidRPr="00EA146B">
        <w:rPr>
          <w:rFonts w:ascii="Verdana" w:hAnsi="Verdana"/>
          <w:sz w:val="22"/>
          <w:szCs w:val="22"/>
        </w:rPr>
        <w:t xml:space="preserve">Following </w:t>
      </w:r>
      <w:r w:rsidR="000E7D0A">
        <w:rPr>
          <w:rFonts w:ascii="Verdana" w:hAnsi="Verdana"/>
          <w:sz w:val="22"/>
          <w:szCs w:val="22"/>
        </w:rPr>
        <w:t>HM Treasury’s publication</w:t>
      </w:r>
      <w:r>
        <w:rPr>
          <w:rFonts w:ascii="Verdana" w:hAnsi="Verdana"/>
          <w:sz w:val="22"/>
          <w:szCs w:val="22"/>
        </w:rPr>
        <w:t xml:space="preserve"> in August 2020</w:t>
      </w:r>
      <w:r w:rsidR="000E7D0A">
        <w:rPr>
          <w:rFonts w:ascii="Verdana" w:hAnsi="Verdana"/>
          <w:sz w:val="22"/>
          <w:szCs w:val="22"/>
        </w:rPr>
        <w:t xml:space="preserve"> of the consultation into changes to the transitional arrangements to the 2015 Scheme, </w:t>
      </w:r>
      <w:r>
        <w:rPr>
          <w:rFonts w:ascii="Verdana" w:hAnsi="Verdana"/>
          <w:sz w:val="22"/>
          <w:szCs w:val="22"/>
        </w:rPr>
        <w:t>these accounts</w:t>
      </w:r>
      <w:r w:rsidR="000E7D0A">
        <w:rPr>
          <w:rFonts w:ascii="Verdana" w:hAnsi="Verdana"/>
          <w:sz w:val="22"/>
          <w:szCs w:val="22"/>
        </w:rPr>
        <w:t xml:space="preserve"> have </w:t>
      </w:r>
      <w:r>
        <w:rPr>
          <w:rFonts w:ascii="Verdana" w:hAnsi="Verdana"/>
          <w:sz w:val="22"/>
          <w:szCs w:val="22"/>
        </w:rPr>
        <w:t>been updated using</w:t>
      </w:r>
      <w:r w:rsidR="000E7D0A">
        <w:rPr>
          <w:rFonts w:ascii="Verdana" w:hAnsi="Verdana"/>
          <w:sz w:val="22"/>
          <w:szCs w:val="22"/>
        </w:rPr>
        <w:t xml:space="preserve"> pension calculations to only allow for potential McCloud remedy costs for those who were in service on 31 March 2012 and 1 April 2015. This change is based on the eligibility criteria set out by HMT in their consultation and reduces the overall McCloud liability</w:t>
      </w:r>
      <w:r w:rsidR="00DB05DC">
        <w:rPr>
          <w:rFonts w:ascii="Verdana" w:hAnsi="Verdana"/>
          <w:sz w:val="22"/>
          <w:szCs w:val="22"/>
        </w:rPr>
        <w:t xml:space="preserve"> in the Chief Constable Accounts by £29m</w:t>
      </w:r>
      <w:r w:rsidR="000C615A">
        <w:rPr>
          <w:rFonts w:ascii="Verdana" w:hAnsi="Verdana"/>
          <w:sz w:val="22"/>
          <w:szCs w:val="22"/>
        </w:rPr>
        <w:t xml:space="preserve"> and a Past Service Cost Gain in 2019/20</w:t>
      </w:r>
      <w:r w:rsidR="000E7D0A">
        <w:rPr>
          <w:rFonts w:ascii="Verdana" w:hAnsi="Verdana"/>
          <w:sz w:val="22"/>
          <w:szCs w:val="22"/>
        </w:rPr>
        <w:t>.</w:t>
      </w:r>
      <w:r w:rsidR="00FF52CE">
        <w:rPr>
          <w:rFonts w:ascii="Verdana" w:hAnsi="Verdana"/>
          <w:sz w:val="22"/>
          <w:szCs w:val="22"/>
        </w:rPr>
        <w:t xml:space="preserve"> Details of the final pension figures are detailed within Note 17.</w:t>
      </w:r>
    </w:p>
    <w:p w:rsidR="00E0209D" w:rsidRPr="00E0209D" w:rsidRDefault="00E0209D" w:rsidP="00E0209D">
      <w:pPr>
        <w:jc w:val="both"/>
        <w:rPr>
          <w:rFonts w:ascii="Verdana" w:eastAsia="Verdana" w:hAnsi="Verdana" w:cs="Verdana"/>
          <w:b/>
          <w:sz w:val="22"/>
          <w:szCs w:val="22"/>
          <w:lang w:val="en-GB"/>
        </w:rPr>
      </w:pPr>
    </w:p>
    <w:p w:rsidR="00ED12F8" w:rsidRDefault="00ED12F8" w:rsidP="00E0209D">
      <w:pPr>
        <w:jc w:val="both"/>
        <w:rPr>
          <w:rFonts w:ascii="Verdana" w:eastAsia="Verdana" w:hAnsi="Verdana" w:cs="Verdana"/>
          <w:b/>
          <w:sz w:val="22"/>
          <w:szCs w:val="22"/>
          <w:lang w:val="en-GB"/>
        </w:rPr>
      </w:pPr>
    </w:p>
    <w:p w:rsidR="00ED12F8" w:rsidRDefault="00ED12F8" w:rsidP="00E0209D">
      <w:pPr>
        <w:jc w:val="both"/>
        <w:rPr>
          <w:rFonts w:ascii="Verdana" w:eastAsia="Verdana" w:hAnsi="Verdana" w:cs="Verdana"/>
          <w:b/>
          <w:sz w:val="22"/>
          <w:szCs w:val="22"/>
          <w:lang w:val="en-GB"/>
        </w:rPr>
      </w:pPr>
    </w:p>
    <w:p w:rsidR="00ED12F8" w:rsidRDefault="00ED12F8" w:rsidP="00E0209D">
      <w:pPr>
        <w:jc w:val="both"/>
        <w:rPr>
          <w:rFonts w:ascii="Verdana" w:eastAsia="Verdana" w:hAnsi="Verdana" w:cs="Verdana"/>
          <w:b/>
          <w:sz w:val="22"/>
          <w:szCs w:val="22"/>
          <w:lang w:val="en-GB"/>
        </w:rPr>
      </w:pPr>
    </w:p>
    <w:p w:rsidR="0098712B" w:rsidRDefault="00E0209D" w:rsidP="00E0209D">
      <w:pPr>
        <w:jc w:val="both"/>
        <w:rPr>
          <w:rFonts w:ascii="Verdana" w:eastAsia="Verdana" w:hAnsi="Verdana" w:cs="Verdana"/>
          <w:b/>
          <w:sz w:val="22"/>
          <w:szCs w:val="22"/>
          <w:lang w:val="en-GB"/>
        </w:rPr>
      </w:pPr>
      <w:r w:rsidRPr="00E0209D">
        <w:rPr>
          <w:rFonts w:ascii="Verdana" w:eastAsia="Verdana" w:hAnsi="Verdana" w:cs="Verdana"/>
          <w:b/>
          <w:sz w:val="22"/>
          <w:szCs w:val="22"/>
          <w:lang w:val="en-GB"/>
        </w:rPr>
        <w:t xml:space="preserve">Impact of Covid-19 virus pandemic </w:t>
      </w:r>
    </w:p>
    <w:p w:rsidR="00E0209D" w:rsidRPr="00E0209D" w:rsidRDefault="00E0209D" w:rsidP="00E0209D">
      <w:pPr>
        <w:jc w:val="both"/>
        <w:rPr>
          <w:rFonts w:ascii="Verdana" w:eastAsia="Verdana" w:hAnsi="Verdana" w:cs="Verdana"/>
          <w:b/>
          <w:sz w:val="22"/>
          <w:szCs w:val="22"/>
          <w:lang w:val="en-GB"/>
        </w:rPr>
      </w:pPr>
    </w:p>
    <w:p w:rsidR="006E1B73" w:rsidRDefault="0015627F" w:rsidP="00E0209D">
      <w:pPr>
        <w:pStyle w:val="Normal0"/>
        <w:spacing w:after="160"/>
        <w:jc w:val="both"/>
        <w:rPr>
          <w:rFonts w:ascii="Verdana" w:hAnsi="Verdana"/>
          <w:sz w:val="22"/>
          <w:szCs w:val="22"/>
        </w:rPr>
      </w:pPr>
      <w:r w:rsidRPr="00EA146B">
        <w:rPr>
          <w:rFonts w:ascii="Verdana" w:hAnsi="Verdana"/>
          <w:sz w:val="22"/>
          <w:szCs w:val="22"/>
        </w:rPr>
        <w:t xml:space="preserve">On 23 March 2020, </w:t>
      </w:r>
      <w:r>
        <w:rPr>
          <w:rFonts w:ascii="Verdana" w:hAnsi="Verdana"/>
          <w:sz w:val="22"/>
          <w:szCs w:val="22"/>
        </w:rPr>
        <w:t xml:space="preserve">the Prime Minister announced that to limit the spread of the coronavirus he would be asking people to stay at home and where possible work from home and only make essential journeys. Effectively this meant that a lot of businesses became unable to carry on operating and many employees were ‘furloughed’ on 80% of their existing salary paid by central government. The financial and social outcomes of this are not yet fully understood, however, it is anticipated that the condition will exist for the short to medium future and that it will have a significant impact upon the UK and global economy. </w:t>
      </w:r>
    </w:p>
    <w:p w:rsidR="006E1B73" w:rsidRDefault="0015627F" w:rsidP="00E0209D">
      <w:pPr>
        <w:pStyle w:val="Normal0"/>
        <w:spacing w:after="160"/>
        <w:jc w:val="both"/>
        <w:rPr>
          <w:rFonts w:ascii="Verdana" w:hAnsi="Verdana"/>
          <w:sz w:val="22"/>
          <w:szCs w:val="22"/>
        </w:rPr>
      </w:pPr>
      <w:r>
        <w:rPr>
          <w:rFonts w:ascii="Verdana" w:hAnsi="Verdana"/>
          <w:sz w:val="22"/>
          <w:szCs w:val="22"/>
        </w:rPr>
        <w:t>As the condition did exist at the Balance Sheet date of 31 March 2020, this is an adjusting event. This required further estimations of its financial effect as at 31 March 202</w:t>
      </w:r>
      <w:r w:rsidR="008515EF">
        <w:rPr>
          <w:rFonts w:ascii="Verdana" w:hAnsi="Verdana"/>
          <w:sz w:val="22"/>
          <w:szCs w:val="22"/>
        </w:rPr>
        <w:t xml:space="preserve">0 for material items </w:t>
      </w:r>
      <w:r>
        <w:rPr>
          <w:rFonts w:ascii="Verdana" w:hAnsi="Verdana"/>
          <w:sz w:val="22"/>
          <w:szCs w:val="22"/>
        </w:rPr>
        <w:t>particularly with regards to the financial impact on Pension Scheme liability valuations.</w:t>
      </w:r>
      <w:r w:rsidR="00072FB1">
        <w:rPr>
          <w:rFonts w:ascii="Verdana" w:hAnsi="Verdana"/>
          <w:sz w:val="22"/>
          <w:szCs w:val="22"/>
        </w:rPr>
        <w:t xml:space="preserve"> </w:t>
      </w:r>
    </w:p>
    <w:p w:rsidR="0015627F" w:rsidRPr="00EA146B" w:rsidRDefault="008515EF" w:rsidP="00E0209D">
      <w:pPr>
        <w:pStyle w:val="Normal0"/>
        <w:spacing w:after="160"/>
        <w:jc w:val="both"/>
        <w:rPr>
          <w:rFonts w:ascii="Verdana" w:hAnsi="Verdana"/>
          <w:sz w:val="22"/>
          <w:szCs w:val="22"/>
        </w:rPr>
      </w:pPr>
      <w:r>
        <w:rPr>
          <w:rFonts w:ascii="Verdana" w:hAnsi="Verdana"/>
          <w:sz w:val="22"/>
          <w:szCs w:val="22"/>
        </w:rPr>
        <w:t xml:space="preserve">Revised ‘IAS19’ actuary reports for pension valuation calculations were obtained </w:t>
      </w:r>
      <w:r w:rsidR="006E1B73">
        <w:rPr>
          <w:rFonts w:ascii="Verdana" w:hAnsi="Verdana"/>
          <w:sz w:val="22"/>
          <w:szCs w:val="22"/>
        </w:rPr>
        <w:t>in September 2020 with the McCloud re-calculations as noted</w:t>
      </w:r>
      <w:r>
        <w:rPr>
          <w:rFonts w:ascii="Verdana" w:hAnsi="Verdana"/>
          <w:sz w:val="22"/>
          <w:szCs w:val="22"/>
        </w:rPr>
        <w:t xml:space="preserve"> above and the accounts revised accordingly. </w:t>
      </w:r>
    </w:p>
    <w:p w:rsidR="0015627F" w:rsidRPr="00EA146B" w:rsidRDefault="00E0209D" w:rsidP="00E0209D">
      <w:pPr>
        <w:pStyle w:val="Normal0"/>
        <w:spacing w:after="160"/>
        <w:jc w:val="both"/>
        <w:rPr>
          <w:rFonts w:ascii="Verdana" w:hAnsi="Verdana"/>
          <w:sz w:val="22"/>
          <w:szCs w:val="22"/>
        </w:rPr>
      </w:pPr>
      <w:r w:rsidRPr="008515EF">
        <w:rPr>
          <w:rFonts w:ascii="Verdana" w:hAnsi="Verdana"/>
          <w:sz w:val="22"/>
          <w:szCs w:val="22"/>
        </w:rPr>
        <w:t>Any additional deployment of staff and officers in relation to Covid-19 during March 2020 w</w:t>
      </w:r>
      <w:r w:rsidR="008515EF" w:rsidRPr="00EA146B">
        <w:rPr>
          <w:rFonts w:ascii="Verdana" w:hAnsi="Verdana"/>
          <w:sz w:val="22"/>
          <w:szCs w:val="22"/>
        </w:rPr>
        <w:t>as</w:t>
      </w:r>
      <w:r w:rsidRPr="008515EF">
        <w:rPr>
          <w:rFonts w:ascii="Verdana" w:hAnsi="Verdana"/>
          <w:sz w:val="22"/>
          <w:szCs w:val="22"/>
        </w:rPr>
        <w:t xml:space="preserve"> already reflected within the 2019/20 accounts by way of the short term accumulated absences accounting accrual </w:t>
      </w:r>
      <w:r w:rsidR="008515EF" w:rsidRPr="00EA146B">
        <w:rPr>
          <w:rFonts w:ascii="Verdana" w:hAnsi="Verdana"/>
          <w:sz w:val="22"/>
          <w:szCs w:val="22"/>
        </w:rPr>
        <w:t xml:space="preserve">and no other </w:t>
      </w:r>
      <w:r w:rsidRPr="008515EF">
        <w:rPr>
          <w:rFonts w:ascii="Verdana" w:hAnsi="Verdana"/>
          <w:sz w:val="22"/>
          <w:szCs w:val="22"/>
        </w:rPr>
        <w:t>material</w:t>
      </w:r>
      <w:r w:rsidR="008515EF" w:rsidRPr="00EA146B">
        <w:rPr>
          <w:rFonts w:ascii="Verdana" w:hAnsi="Verdana"/>
          <w:sz w:val="22"/>
          <w:szCs w:val="22"/>
        </w:rPr>
        <w:t xml:space="preserve"> </w:t>
      </w:r>
      <w:r w:rsidRPr="008515EF">
        <w:rPr>
          <w:rFonts w:ascii="Verdana" w:hAnsi="Verdana"/>
          <w:sz w:val="22"/>
          <w:szCs w:val="22"/>
        </w:rPr>
        <w:t>adjustments</w:t>
      </w:r>
      <w:r w:rsidR="008515EF" w:rsidRPr="00EA146B">
        <w:rPr>
          <w:rFonts w:ascii="Verdana" w:hAnsi="Verdana"/>
          <w:sz w:val="22"/>
          <w:szCs w:val="22"/>
        </w:rPr>
        <w:t xml:space="preserve"> resulting from the pandemic were identified for adjustment</w:t>
      </w:r>
      <w:r w:rsidRPr="008515EF">
        <w:rPr>
          <w:rFonts w:ascii="Verdana" w:hAnsi="Verdana"/>
          <w:sz w:val="22"/>
          <w:szCs w:val="22"/>
        </w:rPr>
        <w:t xml:space="preserve"> in the final revised financial statements.</w:t>
      </w:r>
    </w:p>
    <w:p w:rsidR="00F227D9" w:rsidRDefault="00ED12F8" w:rsidP="007D3C35">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Expenditure incurred on additional service provision, or reduced income from services or investments pertaining to 2020/21 will be accounted for within the 2020/21 financial statements in accordance with our accounting policies and accepted accounting practice.</w:t>
      </w:r>
    </w:p>
    <w:p w:rsidR="00ED12F8" w:rsidRDefault="00ED12F8" w:rsidP="007D3C35">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There are no other events after the Balance Sheet Date.</w:t>
      </w:r>
    </w:p>
    <w:p w:rsidR="00F227D9" w:rsidRPr="00FC06D6" w:rsidRDefault="00F227D9" w:rsidP="007D3C35">
      <w:pPr>
        <w:pStyle w:val="Normal0"/>
        <w:spacing w:after="160"/>
        <w:jc w:val="both"/>
        <w:rPr>
          <w:rFonts w:ascii="Verdana" w:hAnsi="Verdana"/>
          <w:sz w:val="4"/>
          <w:szCs w:val="4"/>
          <w:lang w:val="pt-BR"/>
        </w:rPr>
      </w:pPr>
    </w:p>
    <w:p w:rsidR="00F227D9" w:rsidRPr="00696AC1" w:rsidRDefault="00F227D9" w:rsidP="007D3C35">
      <w:pPr>
        <w:pStyle w:val="Heading1"/>
        <w:spacing w:after="240"/>
        <w:jc w:val="both"/>
        <w:rPr>
          <w:lang w:val="pt-BR"/>
        </w:rPr>
      </w:pPr>
      <w:bookmarkStart w:id="12" w:name="_Toc55900982"/>
      <w:r w:rsidRPr="00696AC1">
        <w:rPr>
          <w:lang w:val="pt-BR"/>
        </w:rPr>
        <w:t xml:space="preserve">Note </w:t>
      </w:r>
      <w:r w:rsidR="00EB0483">
        <w:rPr>
          <w:lang w:val="pt-BR"/>
        </w:rPr>
        <w:t>4</w:t>
      </w:r>
      <w:r w:rsidRPr="00696AC1">
        <w:rPr>
          <w:lang w:val="pt-BR"/>
        </w:rPr>
        <w:t xml:space="preserve"> - Assumptions Made about the Future and Other Major Sources of Estimation Uncertainty</w:t>
      </w:r>
      <w:bookmarkEnd w:id="12"/>
      <w:r w:rsidRPr="00696AC1">
        <w:rPr>
          <w:lang w:val="pt-BR"/>
        </w:rPr>
        <w:t xml:space="preserve"> </w:t>
      </w:r>
    </w:p>
    <w:p w:rsidR="00F227D9" w:rsidRPr="00696AC1" w:rsidRDefault="00F227D9" w:rsidP="007D3C35">
      <w:pPr>
        <w:pStyle w:val="Normal0"/>
        <w:spacing w:after="160"/>
        <w:jc w:val="both"/>
        <w:rPr>
          <w:rFonts w:ascii="Verdana" w:eastAsia="Verdana" w:hAnsi="Verdana" w:cs="Verdana"/>
          <w:sz w:val="22"/>
          <w:szCs w:val="22"/>
          <w:lang w:val="en-GB"/>
        </w:rPr>
      </w:pPr>
      <w:r w:rsidRPr="00696AC1">
        <w:rPr>
          <w:rFonts w:ascii="Verdana" w:eastAsia="Verdana" w:hAnsi="Verdana" w:cs="Verdana"/>
          <w:sz w:val="22"/>
          <w:szCs w:val="22"/>
          <w:lang w:val="en-GB"/>
        </w:rPr>
        <w:t>The Statement of Accounts contains estimated figures that are based on assumptions made by the Chief Constable about the future or that are otherwise uncertain. Estimates are made taking into account historical experience, current trends and other relevant factors. However, because balances cannot be determined with certainty, actual results could be materially different from the assumptions and estimates.</w:t>
      </w:r>
    </w:p>
    <w:p w:rsidR="00F227D9" w:rsidRDefault="00F227D9" w:rsidP="007D3C35">
      <w:pPr>
        <w:pStyle w:val="Normal0"/>
        <w:spacing w:after="160"/>
        <w:jc w:val="both"/>
        <w:rPr>
          <w:rFonts w:ascii="Verdana" w:eastAsia="Verdana" w:hAnsi="Verdana" w:cs="Verdana"/>
          <w:sz w:val="22"/>
          <w:szCs w:val="22"/>
          <w:lang w:val="en-GB"/>
        </w:rPr>
      </w:pPr>
      <w:r w:rsidRPr="00696AC1">
        <w:rPr>
          <w:rFonts w:ascii="Verdana" w:eastAsia="Verdana" w:hAnsi="Verdana" w:cs="Verdana"/>
          <w:sz w:val="22"/>
          <w:szCs w:val="22"/>
          <w:lang w:val="en-GB"/>
        </w:rPr>
        <w:t>The items in the Chief Constable's Balance Sheet at 31 March 20</w:t>
      </w:r>
      <w:r w:rsidR="006224E3" w:rsidRPr="00696AC1">
        <w:rPr>
          <w:rFonts w:ascii="Verdana" w:eastAsia="Verdana" w:hAnsi="Verdana" w:cs="Verdana"/>
          <w:sz w:val="22"/>
          <w:szCs w:val="22"/>
          <w:lang w:val="en-GB"/>
        </w:rPr>
        <w:t>20</w:t>
      </w:r>
      <w:r w:rsidRPr="00696AC1">
        <w:rPr>
          <w:rFonts w:ascii="Verdana" w:eastAsia="Verdana" w:hAnsi="Verdana" w:cs="Verdana"/>
          <w:sz w:val="22"/>
          <w:szCs w:val="22"/>
          <w:lang w:val="en-GB"/>
        </w:rPr>
        <w:t xml:space="preserve"> for which there is a significant risk of material adjustment in the forthcoming financial year are as follows:</w:t>
      </w:r>
    </w:p>
    <w:tbl>
      <w:tblPr>
        <w:tblW w:w="10348" w:type="dxa"/>
        <w:tblInd w:w="108" w:type="dxa"/>
        <w:tblLook w:val="04A0" w:firstRow="1" w:lastRow="0" w:firstColumn="1" w:lastColumn="0" w:noHBand="0" w:noVBand="1"/>
      </w:tblPr>
      <w:tblGrid>
        <w:gridCol w:w="1660"/>
        <w:gridCol w:w="4152"/>
        <w:gridCol w:w="4536"/>
      </w:tblGrid>
      <w:tr w:rsidR="00C20BD8" w:rsidTr="007C11F3">
        <w:trPr>
          <w:trHeight w:val="557"/>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BD8" w:rsidRPr="00980F0A" w:rsidRDefault="00C20BD8" w:rsidP="007C11F3">
            <w:pPr>
              <w:pStyle w:val="Normal0"/>
              <w:spacing w:line="240" w:lineRule="auto"/>
              <w:jc w:val="both"/>
              <w:rPr>
                <w:rFonts w:ascii="Arial" w:eastAsia="Times New Roman" w:hAnsi="Arial" w:cs="Arial"/>
                <w:b/>
                <w:bCs/>
                <w:color w:val="000000"/>
                <w:sz w:val="18"/>
                <w:szCs w:val="18"/>
                <w:lang w:eastAsia="en-GB"/>
              </w:rPr>
            </w:pPr>
            <w:r w:rsidRPr="00980F0A">
              <w:rPr>
                <w:rFonts w:ascii="Arial" w:eastAsia="Times New Roman" w:hAnsi="Arial" w:cs="Arial"/>
                <w:b/>
                <w:bCs/>
                <w:color w:val="000000"/>
                <w:sz w:val="18"/>
                <w:szCs w:val="18"/>
                <w:lang w:eastAsia="en-GB"/>
              </w:rPr>
              <w:t xml:space="preserve">Item </w:t>
            </w:r>
          </w:p>
        </w:tc>
        <w:tc>
          <w:tcPr>
            <w:tcW w:w="4152" w:type="dxa"/>
            <w:tcBorders>
              <w:top w:val="single" w:sz="4" w:space="0" w:color="auto"/>
              <w:left w:val="nil"/>
              <w:bottom w:val="single" w:sz="4" w:space="0" w:color="auto"/>
              <w:right w:val="single" w:sz="4" w:space="0" w:color="auto"/>
            </w:tcBorders>
            <w:shd w:val="clear" w:color="auto" w:fill="auto"/>
            <w:vAlign w:val="center"/>
            <w:hideMark/>
          </w:tcPr>
          <w:p w:rsidR="00C20BD8" w:rsidRPr="00980F0A" w:rsidRDefault="00C20BD8" w:rsidP="007C11F3">
            <w:pPr>
              <w:pStyle w:val="Normal0"/>
              <w:spacing w:line="240" w:lineRule="auto"/>
              <w:jc w:val="both"/>
              <w:rPr>
                <w:rFonts w:ascii="Arial" w:eastAsia="Times New Roman" w:hAnsi="Arial" w:cs="Arial"/>
                <w:b/>
                <w:bCs/>
                <w:color w:val="000000"/>
                <w:sz w:val="18"/>
                <w:szCs w:val="18"/>
                <w:lang w:eastAsia="en-GB"/>
              </w:rPr>
            </w:pPr>
            <w:r w:rsidRPr="00980F0A">
              <w:rPr>
                <w:rFonts w:ascii="Arial" w:eastAsia="Times New Roman" w:hAnsi="Arial" w:cs="Arial"/>
                <w:b/>
                <w:bCs/>
                <w:color w:val="000000"/>
                <w:sz w:val="18"/>
                <w:szCs w:val="18"/>
                <w:lang w:eastAsia="en-GB"/>
              </w:rPr>
              <w:t xml:space="preserve">Uncertainties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20BD8" w:rsidRPr="00980F0A" w:rsidRDefault="00C20BD8" w:rsidP="007C11F3">
            <w:pPr>
              <w:pStyle w:val="Normal0"/>
              <w:spacing w:line="240" w:lineRule="auto"/>
              <w:jc w:val="both"/>
              <w:rPr>
                <w:rFonts w:ascii="Arial" w:eastAsia="Times New Roman" w:hAnsi="Arial" w:cs="Arial"/>
                <w:b/>
                <w:bCs/>
                <w:color w:val="000000"/>
                <w:sz w:val="18"/>
                <w:szCs w:val="18"/>
                <w:lang w:eastAsia="en-GB"/>
              </w:rPr>
            </w:pPr>
            <w:r w:rsidRPr="00980F0A">
              <w:rPr>
                <w:rFonts w:ascii="Arial" w:eastAsia="Times New Roman" w:hAnsi="Arial" w:cs="Arial"/>
                <w:b/>
                <w:bCs/>
                <w:color w:val="000000"/>
                <w:sz w:val="18"/>
                <w:szCs w:val="18"/>
                <w:lang w:eastAsia="en-GB"/>
              </w:rPr>
              <w:t xml:space="preserve">Effect if Actual Results Differ from Assumptions </w:t>
            </w:r>
          </w:p>
        </w:tc>
      </w:tr>
      <w:tr w:rsidR="00C20BD8" w:rsidTr="007C11F3">
        <w:trPr>
          <w:trHeight w:val="2416"/>
        </w:trPr>
        <w:tc>
          <w:tcPr>
            <w:tcW w:w="1660" w:type="dxa"/>
            <w:tcBorders>
              <w:top w:val="nil"/>
              <w:left w:val="single" w:sz="4" w:space="0" w:color="auto"/>
              <w:bottom w:val="single" w:sz="4" w:space="0" w:color="auto"/>
              <w:right w:val="single" w:sz="4" w:space="0" w:color="auto"/>
            </w:tcBorders>
            <w:shd w:val="clear" w:color="auto" w:fill="auto"/>
            <w:hideMark/>
          </w:tcPr>
          <w:p w:rsidR="00C20BD8" w:rsidRPr="00C20BD8" w:rsidRDefault="00C20BD8" w:rsidP="007C11F3">
            <w:pPr>
              <w:pStyle w:val="Normal0"/>
              <w:spacing w:line="240" w:lineRule="auto"/>
              <w:jc w:val="both"/>
              <w:rPr>
                <w:rFonts w:ascii="Verdana" w:eastAsia="Times New Roman" w:hAnsi="Verdana" w:cs="Arial"/>
                <w:b/>
                <w:bCs/>
                <w:color w:val="000000"/>
                <w:sz w:val="18"/>
                <w:szCs w:val="18"/>
                <w:lang w:eastAsia="en-GB"/>
              </w:rPr>
            </w:pPr>
            <w:r w:rsidRPr="00C20BD8">
              <w:rPr>
                <w:rFonts w:ascii="Verdana" w:eastAsia="Times New Roman" w:hAnsi="Verdana" w:cs="Arial"/>
                <w:b/>
                <w:bCs/>
                <w:color w:val="000000"/>
                <w:sz w:val="18"/>
                <w:szCs w:val="18"/>
                <w:lang w:eastAsia="en-GB"/>
              </w:rPr>
              <w:t xml:space="preserve">Pensions Liability </w:t>
            </w:r>
          </w:p>
        </w:tc>
        <w:tc>
          <w:tcPr>
            <w:tcW w:w="4152" w:type="dxa"/>
            <w:tcBorders>
              <w:top w:val="nil"/>
              <w:left w:val="nil"/>
              <w:bottom w:val="single" w:sz="4" w:space="0" w:color="auto"/>
              <w:right w:val="single" w:sz="4" w:space="0" w:color="auto"/>
            </w:tcBorders>
            <w:shd w:val="clear" w:color="auto" w:fill="auto"/>
            <w:hideMark/>
          </w:tcPr>
          <w:p w:rsidR="00C20BD8" w:rsidRPr="00C20BD8" w:rsidRDefault="00C20BD8" w:rsidP="007C11F3">
            <w:pPr>
              <w:pStyle w:val="Normal0"/>
              <w:spacing w:line="240" w:lineRule="auto"/>
              <w:jc w:val="both"/>
              <w:rPr>
                <w:rFonts w:ascii="Verdana" w:eastAsia="Times New Roman" w:hAnsi="Verdana" w:cs="Arial"/>
                <w:color w:val="000000"/>
                <w:sz w:val="18"/>
                <w:szCs w:val="18"/>
                <w:lang w:eastAsia="en-GB"/>
              </w:rPr>
            </w:pPr>
            <w:r w:rsidRPr="00C20BD8">
              <w:rPr>
                <w:rFonts w:ascii="Verdana" w:eastAsia="Times New Roman" w:hAnsi="Verdana" w:cs="Arial"/>
                <w:color w:val="000000"/>
                <w:sz w:val="18"/>
                <w:szCs w:val="18"/>
                <w:lang w:eastAsia="en-GB"/>
              </w:rPr>
              <w:t xml:space="preserve">Estimation of the net liability to pay pensions depends on a number of complex judgements relating to the discount rate used, the rate at which salaries are projected to increase, changes in retirement ages, mortality rates and expected returns on pension fund assets. The Governments Actuary's Department have been engaged to provide the Group with expert advice about the assumptions to be applied for the Police Pension Schemes and Hymans Robertson LLP provides the same advice for the Police Staff Pension Scheme. </w:t>
            </w:r>
          </w:p>
          <w:p w:rsidR="00C20BD8" w:rsidRPr="00C20BD8" w:rsidRDefault="00C20BD8" w:rsidP="007C11F3">
            <w:pPr>
              <w:pStyle w:val="Normal0"/>
              <w:spacing w:line="240" w:lineRule="auto"/>
              <w:jc w:val="both"/>
              <w:rPr>
                <w:rFonts w:ascii="Verdana" w:eastAsia="Times New Roman" w:hAnsi="Verdana" w:cs="Arial"/>
                <w:color w:val="000000"/>
                <w:sz w:val="18"/>
                <w:szCs w:val="18"/>
                <w:lang w:eastAsia="en-GB"/>
              </w:rPr>
            </w:pPr>
          </w:p>
          <w:p w:rsidR="00C20BD8" w:rsidRPr="00C20BD8" w:rsidRDefault="00C20BD8" w:rsidP="007C11F3">
            <w:pPr>
              <w:pStyle w:val="Normal0"/>
              <w:spacing w:line="240" w:lineRule="auto"/>
              <w:jc w:val="both"/>
              <w:rPr>
                <w:rFonts w:ascii="Verdana" w:eastAsia="Times New Roman" w:hAnsi="Verdana" w:cs="Arial"/>
                <w:color w:val="000000"/>
                <w:sz w:val="18"/>
                <w:szCs w:val="18"/>
                <w:lang w:eastAsia="en-GB"/>
              </w:rPr>
            </w:pPr>
            <w:r w:rsidRPr="00C20BD8">
              <w:rPr>
                <w:rFonts w:ascii="Verdana" w:eastAsia="Times New Roman" w:hAnsi="Verdana" w:cs="Arial"/>
                <w:color w:val="000000"/>
                <w:sz w:val="18"/>
                <w:szCs w:val="18"/>
                <w:lang w:eastAsia="en-GB"/>
              </w:rPr>
              <w:t xml:space="preserve">Pension assumptions now include the impact of ‘McCloud/Sargeant’ transitional protections for both officer and staff pension schemes to better reflect the Fund’s local assumptions, particularly those for salary increases and withdrawal rates.  </w:t>
            </w:r>
          </w:p>
          <w:p w:rsidR="00C20BD8" w:rsidRPr="00C20BD8" w:rsidRDefault="00C20BD8" w:rsidP="007C11F3">
            <w:pPr>
              <w:pStyle w:val="Normal0"/>
              <w:spacing w:line="240" w:lineRule="auto"/>
              <w:jc w:val="both"/>
              <w:rPr>
                <w:rFonts w:ascii="Verdana" w:eastAsia="Times New Roman" w:hAnsi="Verdana" w:cs="Arial"/>
                <w:color w:val="000000"/>
                <w:sz w:val="18"/>
                <w:szCs w:val="18"/>
                <w:lang w:eastAsia="en-GB"/>
              </w:rPr>
            </w:pPr>
          </w:p>
          <w:p w:rsidR="00C20BD8" w:rsidRPr="00C20BD8" w:rsidRDefault="00C20BD8" w:rsidP="007C11F3">
            <w:pPr>
              <w:pStyle w:val="Normal0"/>
              <w:spacing w:line="240" w:lineRule="auto"/>
              <w:jc w:val="both"/>
              <w:rPr>
                <w:rFonts w:ascii="Verdana" w:eastAsia="Times New Roman" w:hAnsi="Verdana" w:cs="Arial"/>
                <w:color w:val="000000"/>
                <w:sz w:val="18"/>
                <w:szCs w:val="18"/>
                <w:lang w:eastAsia="en-GB"/>
              </w:rPr>
            </w:pPr>
            <w:r w:rsidRPr="00C20BD8">
              <w:rPr>
                <w:rFonts w:ascii="Verdana" w:eastAsia="Times New Roman" w:hAnsi="Verdana" w:cs="Arial"/>
                <w:color w:val="000000"/>
                <w:sz w:val="18"/>
                <w:szCs w:val="18"/>
                <w:lang w:eastAsia="en-GB"/>
              </w:rPr>
              <w:t>The Fund’s actuary also carried out calculations in order to estimate the impact that the Guaranteed Minimum Pension (GMP) equalisation will have on the pension fund liabilities.</w:t>
            </w:r>
          </w:p>
        </w:tc>
        <w:tc>
          <w:tcPr>
            <w:tcW w:w="4536" w:type="dxa"/>
            <w:tcBorders>
              <w:top w:val="nil"/>
              <w:left w:val="nil"/>
              <w:bottom w:val="single" w:sz="4" w:space="0" w:color="auto"/>
              <w:right w:val="single" w:sz="4" w:space="0" w:color="auto"/>
            </w:tcBorders>
            <w:shd w:val="clear" w:color="auto" w:fill="auto"/>
            <w:hideMark/>
          </w:tcPr>
          <w:p w:rsidR="00C20BD8" w:rsidRPr="00C20BD8" w:rsidRDefault="00C20BD8" w:rsidP="007C11F3">
            <w:pPr>
              <w:pStyle w:val="NoSpacing"/>
              <w:rPr>
                <w:sz w:val="18"/>
                <w:szCs w:val="18"/>
                <w:lang w:val="en-GB" w:eastAsia="en-GB"/>
              </w:rPr>
            </w:pPr>
            <w:r w:rsidRPr="00C20BD8">
              <w:rPr>
                <w:sz w:val="18"/>
                <w:szCs w:val="18"/>
                <w:lang w:val="en-GB" w:eastAsia="en-GB"/>
              </w:rPr>
              <w:t xml:space="preserve">The effects on the net pension liability of changes in individual assumptions can </w:t>
            </w:r>
            <w:r w:rsidR="00CC6FE1">
              <w:rPr>
                <w:sz w:val="18"/>
                <w:szCs w:val="18"/>
                <w:lang w:val="en-GB" w:eastAsia="en-GB"/>
              </w:rPr>
              <w:t xml:space="preserve">be measured. For instance, a </w:t>
            </w:r>
            <w:r w:rsidR="0098712B">
              <w:rPr>
                <w:sz w:val="18"/>
                <w:szCs w:val="18"/>
                <w:lang w:val="en-GB" w:eastAsia="en-GB"/>
              </w:rPr>
              <w:t>0.5</w:t>
            </w:r>
            <w:r w:rsidRPr="00C20BD8">
              <w:rPr>
                <w:sz w:val="18"/>
                <w:szCs w:val="18"/>
                <w:lang w:val="en-GB" w:eastAsia="en-GB"/>
              </w:rPr>
              <w:t xml:space="preserve">% decrease in the </w:t>
            </w:r>
            <w:r w:rsidRPr="00A42AC5">
              <w:rPr>
                <w:sz w:val="18"/>
                <w:szCs w:val="18"/>
                <w:lang w:val="en-GB" w:eastAsia="en-GB"/>
              </w:rPr>
              <w:t xml:space="preserve">real discount rate assumption would result in an increase in the staff scheme pension </w:t>
            </w:r>
            <w:r w:rsidRPr="00254C6C">
              <w:rPr>
                <w:sz w:val="18"/>
                <w:szCs w:val="18"/>
                <w:lang w:val="en-GB" w:eastAsia="en-GB"/>
              </w:rPr>
              <w:t>liability of £</w:t>
            </w:r>
            <w:r w:rsidR="00254C6C" w:rsidRPr="00EA146B">
              <w:rPr>
                <w:sz w:val="18"/>
                <w:szCs w:val="18"/>
                <w:lang w:val="en-GB" w:eastAsia="en-GB"/>
              </w:rPr>
              <w:t>49.9</w:t>
            </w:r>
            <w:r w:rsidRPr="00254C6C">
              <w:rPr>
                <w:sz w:val="18"/>
                <w:szCs w:val="18"/>
                <w:lang w:val="en-GB" w:eastAsia="en-GB"/>
              </w:rPr>
              <w:t>m and an increase in the police officer pension scheme pension liability of £</w:t>
            </w:r>
            <w:r w:rsidR="00254C6C" w:rsidRPr="00EA146B">
              <w:rPr>
                <w:sz w:val="18"/>
                <w:szCs w:val="18"/>
                <w:lang w:val="en-GB" w:eastAsia="en-GB"/>
              </w:rPr>
              <w:t>197</w:t>
            </w:r>
            <w:r w:rsidR="00A42AC5" w:rsidRPr="00254C6C">
              <w:rPr>
                <w:sz w:val="18"/>
                <w:szCs w:val="18"/>
                <w:lang w:val="en-GB" w:eastAsia="en-GB"/>
              </w:rPr>
              <w:t>.0</w:t>
            </w:r>
            <w:r w:rsidRPr="00254C6C">
              <w:rPr>
                <w:sz w:val="18"/>
                <w:szCs w:val="18"/>
                <w:lang w:val="en-GB" w:eastAsia="en-GB"/>
              </w:rPr>
              <w:t>m.</w:t>
            </w:r>
            <w:r w:rsidRPr="00A42AC5">
              <w:rPr>
                <w:sz w:val="18"/>
                <w:szCs w:val="18"/>
                <w:lang w:val="en-GB" w:eastAsia="en-GB"/>
              </w:rPr>
              <w:t xml:space="preserve"> However, the assumptions interact in complex ways. During 2019/20, the </w:t>
            </w:r>
            <w:r w:rsidR="004E070E">
              <w:rPr>
                <w:sz w:val="18"/>
                <w:szCs w:val="18"/>
                <w:lang w:val="en-GB" w:eastAsia="en-GB"/>
              </w:rPr>
              <w:t>CC</w:t>
            </w:r>
            <w:r w:rsidRPr="00A42AC5">
              <w:rPr>
                <w:sz w:val="18"/>
                <w:szCs w:val="18"/>
                <w:lang w:val="en-GB" w:eastAsia="en-GB"/>
              </w:rPr>
              <w:t>'s actuaries advised</w:t>
            </w:r>
            <w:r w:rsidRPr="00C20BD8">
              <w:rPr>
                <w:sz w:val="18"/>
                <w:szCs w:val="18"/>
                <w:lang w:val="en-GB" w:eastAsia="en-GB"/>
              </w:rPr>
              <w:t xml:space="preserve"> that </w:t>
            </w:r>
            <w:r w:rsidRPr="007C4FDE">
              <w:rPr>
                <w:sz w:val="18"/>
                <w:szCs w:val="18"/>
                <w:lang w:val="en-GB" w:eastAsia="en-GB"/>
              </w:rPr>
              <w:t>the net pension liability</w:t>
            </w:r>
            <w:r w:rsidR="00B33F2E" w:rsidRPr="007C4FDE">
              <w:rPr>
                <w:sz w:val="18"/>
                <w:szCs w:val="18"/>
                <w:lang w:val="en-GB" w:eastAsia="en-GB"/>
              </w:rPr>
              <w:t xml:space="preserve"> had decreased in total by £1</w:t>
            </w:r>
            <w:r w:rsidR="007C4FDE" w:rsidRPr="00EA146B">
              <w:rPr>
                <w:sz w:val="18"/>
                <w:szCs w:val="18"/>
                <w:lang w:val="en-GB" w:eastAsia="en-GB"/>
              </w:rPr>
              <w:t>29.0</w:t>
            </w:r>
            <w:r w:rsidRPr="007C4FDE">
              <w:rPr>
                <w:sz w:val="18"/>
                <w:szCs w:val="18"/>
                <w:lang w:val="en-GB" w:eastAsia="en-GB"/>
              </w:rPr>
              <w:t>m as a result of revised actuarial assumptions</w:t>
            </w:r>
            <w:r w:rsidRPr="00C20BD8">
              <w:rPr>
                <w:sz w:val="18"/>
                <w:szCs w:val="18"/>
                <w:lang w:val="en-GB" w:eastAsia="en-GB"/>
              </w:rPr>
              <w:t>.</w:t>
            </w:r>
          </w:p>
          <w:p w:rsidR="00C20BD8" w:rsidRPr="00C20BD8" w:rsidRDefault="00C20BD8" w:rsidP="007C11F3">
            <w:pPr>
              <w:pStyle w:val="Normal0"/>
              <w:spacing w:line="240" w:lineRule="auto"/>
              <w:jc w:val="both"/>
              <w:rPr>
                <w:rFonts w:ascii="Verdana" w:eastAsia="Times New Roman" w:hAnsi="Verdana" w:cs="Arial"/>
                <w:color w:val="000000"/>
                <w:sz w:val="18"/>
                <w:szCs w:val="18"/>
                <w:lang w:eastAsia="en-GB"/>
              </w:rPr>
            </w:pPr>
          </w:p>
          <w:p w:rsidR="00C20BD8" w:rsidRPr="00C20BD8" w:rsidRDefault="00C20BD8" w:rsidP="007C11F3">
            <w:pPr>
              <w:pStyle w:val="Normal0"/>
              <w:spacing w:line="240" w:lineRule="auto"/>
              <w:jc w:val="both"/>
              <w:rPr>
                <w:rFonts w:ascii="Verdana" w:eastAsia="Times New Roman" w:hAnsi="Verdana" w:cs="Arial"/>
                <w:color w:val="000000"/>
                <w:sz w:val="18"/>
                <w:szCs w:val="18"/>
                <w:highlight w:val="yellow"/>
                <w:lang w:eastAsia="en-GB"/>
              </w:rPr>
            </w:pPr>
            <w:r w:rsidRPr="00C20BD8">
              <w:rPr>
                <w:rFonts w:ascii="Verdana" w:eastAsia="Times New Roman" w:hAnsi="Verdana" w:cs="Arial"/>
                <w:color w:val="000000"/>
                <w:sz w:val="18"/>
                <w:szCs w:val="18"/>
                <w:lang w:eastAsia="en-GB"/>
              </w:rPr>
              <w:t>Quantifying the impact of the ‘McCloud/Sargeant’ judgement at this stage is very difficult because it will depend on the compensation awarded, members’ future salary increases, length of service and retirement age, and whether (when) members withdraw from active service.  Salary increases in particular can vary significantly from year to year and from member to member depending on factors such as budget restraint, job performance and career progression.  The GMP estimate assumes that the permanent solution eventually agreed will be equivalent in cost to extending the interim solution to all members reaching state pension age from 6 April 2016 onwards.</w:t>
            </w:r>
          </w:p>
        </w:tc>
      </w:tr>
      <w:tr w:rsidR="00C20BD8" w:rsidTr="007C11F3">
        <w:trPr>
          <w:trHeight w:val="1697"/>
        </w:trPr>
        <w:tc>
          <w:tcPr>
            <w:tcW w:w="1660" w:type="dxa"/>
            <w:tcBorders>
              <w:top w:val="single" w:sz="4" w:space="0" w:color="auto"/>
              <w:left w:val="single" w:sz="4" w:space="0" w:color="auto"/>
              <w:bottom w:val="single" w:sz="4" w:space="0" w:color="auto"/>
              <w:right w:val="single" w:sz="4" w:space="0" w:color="auto"/>
            </w:tcBorders>
            <w:vAlign w:val="center"/>
          </w:tcPr>
          <w:p w:rsidR="00C20BD8" w:rsidRPr="00C20BD8" w:rsidRDefault="00C20BD8" w:rsidP="007C11F3">
            <w:pPr>
              <w:pStyle w:val="NoSpacing"/>
              <w:rPr>
                <w:b/>
                <w:sz w:val="18"/>
                <w:szCs w:val="18"/>
                <w:lang w:val="en-GB" w:eastAsia="en-GB"/>
              </w:rPr>
            </w:pPr>
            <w:r w:rsidRPr="00C20BD8">
              <w:rPr>
                <w:b/>
                <w:sz w:val="18"/>
                <w:szCs w:val="18"/>
                <w:lang w:val="en-GB" w:eastAsia="en-GB"/>
              </w:rPr>
              <w:t xml:space="preserve">Pensions Costs  </w:t>
            </w:r>
          </w:p>
        </w:tc>
        <w:tc>
          <w:tcPr>
            <w:tcW w:w="4152" w:type="dxa"/>
            <w:tcBorders>
              <w:top w:val="single" w:sz="4" w:space="0" w:color="auto"/>
              <w:left w:val="single" w:sz="4" w:space="0" w:color="auto"/>
              <w:bottom w:val="single" w:sz="4" w:space="0" w:color="auto"/>
              <w:right w:val="single" w:sz="4" w:space="0" w:color="auto"/>
            </w:tcBorders>
            <w:vAlign w:val="center"/>
          </w:tcPr>
          <w:p w:rsidR="00C20BD8" w:rsidRPr="00C20BD8" w:rsidRDefault="00C20BD8" w:rsidP="007C11F3">
            <w:pPr>
              <w:pStyle w:val="NoSpacing"/>
              <w:jc w:val="both"/>
              <w:rPr>
                <w:sz w:val="18"/>
                <w:szCs w:val="18"/>
                <w:lang w:val="en-GB" w:eastAsia="en-GB"/>
              </w:rPr>
            </w:pPr>
            <w:r w:rsidRPr="00C20BD8">
              <w:rPr>
                <w:sz w:val="18"/>
                <w:szCs w:val="18"/>
                <w:lang w:val="en-GB" w:eastAsia="en-GB"/>
              </w:rPr>
              <w:t>There are three pension schemes for police officers, the 2006 Police Officer Pension Scheme (NPPS), the Police Pension Scheme (</w:t>
            </w:r>
            <w:smartTag w:uri="urn:schemas-microsoft-com:office:smarttags" w:element="stockticker">
              <w:r w:rsidRPr="00C20BD8">
                <w:rPr>
                  <w:sz w:val="18"/>
                  <w:szCs w:val="18"/>
                  <w:lang w:val="en-GB" w:eastAsia="en-GB"/>
                </w:rPr>
                <w:t>PPS</w:t>
              </w:r>
            </w:smartTag>
            <w:r w:rsidRPr="00C20BD8">
              <w:rPr>
                <w:sz w:val="18"/>
                <w:szCs w:val="18"/>
                <w:lang w:val="en-GB" w:eastAsia="en-GB"/>
              </w:rPr>
              <w:t xml:space="preserve">) and the Police Pension Scheme 2015 (2015 scheme); all of which are unfunded, defined benefit schemes. An unfunded scheme treated as a defined benefit scheme has no investment assets to meet its pension liability the Group must generate cash to meet the actual pension payments as they fall due. </w:t>
            </w:r>
          </w:p>
        </w:tc>
        <w:tc>
          <w:tcPr>
            <w:tcW w:w="4536" w:type="dxa"/>
            <w:tcBorders>
              <w:top w:val="single" w:sz="4" w:space="0" w:color="auto"/>
              <w:left w:val="single" w:sz="4" w:space="0" w:color="auto"/>
              <w:bottom w:val="single" w:sz="4" w:space="0" w:color="auto"/>
              <w:right w:val="single" w:sz="4" w:space="0" w:color="auto"/>
            </w:tcBorders>
            <w:vAlign w:val="center"/>
          </w:tcPr>
          <w:p w:rsidR="00C20BD8" w:rsidRPr="00C20BD8" w:rsidRDefault="00C20BD8" w:rsidP="007C11F3">
            <w:pPr>
              <w:pStyle w:val="NoSpacing"/>
              <w:jc w:val="both"/>
              <w:rPr>
                <w:sz w:val="18"/>
                <w:szCs w:val="18"/>
                <w:lang w:val="en-GB" w:eastAsia="en-GB"/>
              </w:rPr>
            </w:pPr>
            <w:r w:rsidRPr="00C20BD8">
              <w:rPr>
                <w:sz w:val="18"/>
                <w:szCs w:val="18"/>
                <w:lang w:val="en-GB" w:eastAsia="en-GB"/>
              </w:rPr>
              <w:t>The benefits payable are funded by contributions from employers and police officers and any shortfall is met by a top up grant from the Home Office (£17.3m for 2019/20) and other Pension Grant to the PCC. Further details of the schemes can be found in the Police Officer Pension Fund Accounts.</w:t>
            </w:r>
          </w:p>
          <w:p w:rsidR="00C20BD8" w:rsidRPr="00C20BD8" w:rsidRDefault="00C20BD8" w:rsidP="007C11F3">
            <w:pPr>
              <w:pStyle w:val="Normal0"/>
              <w:jc w:val="both"/>
              <w:rPr>
                <w:rFonts w:ascii="Verdana" w:eastAsia="Calibri" w:hAnsi="Verdana"/>
                <w:sz w:val="18"/>
                <w:szCs w:val="18"/>
                <w:lang w:val="en-GB" w:eastAsia="en-GB"/>
              </w:rPr>
            </w:pPr>
          </w:p>
        </w:tc>
      </w:tr>
    </w:tbl>
    <w:p w:rsidR="00C20BD8" w:rsidRDefault="00C20BD8" w:rsidP="007D3C35">
      <w:pPr>
        <w:pStyle w:val="Normal0"/>
        <w:spacing w:after="160"/>
        <w:jc w:val="both"/>
        <w:rPr>
          <w:rFonts w:ascii="Verdana" w:eastAsia="Verdana" w:hAnsi="Verdana" w:cs="Verdana"/>
          <w:sz w:val="22"/>
          <w:szCs w:val="22"/>
          <w:lang w:val="en-GB"/>
        </w:rPr>
      </w:pPr>
    </w:p>
    <w:p w:rsidR="00C20BD8" w:rsidRDefault="00C20BD8" w:rsidP="007D3C35">
      <w:pPr>
        <w:pStyle w:val="Normal0"/>
        <w:spacing w:after="160"/>
        <w:jc w:val="both"/>
        <w:rPr>
          <w:rFonts w:ascii="Verdana" w:eastAsia="Verdana" w:hAnsi="Verdana" w:cs="Verdana"/>
          <w:sz w:val="22"/>
          <w:szCs w:val="22"/>
          <w:lang w:val="en-GB"/>
        </w:rPr>
      </w:pPr>
    </w:p>
    <w:p w:rsidR="00C20BD8" w:rsidRPr="00696AC1" w:rsidRDefault="00C20BD8" w:rsidP="007D3C35">
      <w:pPr>
        <w:pStyle w:val="Normal0"/>
        <w:spacing w:after="160"/>
        <w:jc w:val="both"/>
        <w:rPr>
          <w:rFonts w:ascii="Verdana" w:eastAsia="Verdana" w:hAnsi="Verdana" w:cs="Verdana"/>
          <w:sz w:val="22"/>
          <w:szCs w:val="22"/>
          <w:lang w:val="en-GB"/>
        </w:rPr>
      </w:pPr>
    </w:p>
    <w:p w:rsidR="00F227D9" w:rsidRPr="00FC06D6" w:rsidRDefault="00F227D9" w:rsidP="00F227D9">
      <w:pPr>
        <w:pStyle w:val="Normal0"/>
        <w:spacing w:after="160"/>
        <w:rPr>
          <w:rFonts w:ascii="Verdana" w:hAnsi="Verdana"/>
          <w:sz w:val="4"/>
          <w:szCs w:val="4"/>
          <w:lang w:val="pt-BR"/>
        </w:rPr>
      </w:pPr>
    </w:p>
    <w:p w:rsidR="00F227D9" w:rsidRDefault="00F227D9">
      <w:pPr>
        <w:pStyle w:val="Normal0"/>
        <w:rPr>
          <w:lang w:val="en-GB"/>
        </w:rPr>
      </w:pPr>
    </w:p>
    <w:p w:rsidR="00EB0483" w:rsidRDefault="00EB0483">
      <w:pPr>
        <w:pStyle w:val="Normal0"/>
        <w:rPr>
          <w:lang w:val="en-GB"/>
        </w:rPr>
      </w:pPr>
    </w:p>
    <w:p w:rsidR="00EB0483" w:rsidRDefault="00EB0483">
      <w:pPr>
        <w:pStyle w:val="Normal0"/>
        <w:rPr>
          <w:lang w:val="en-GB"/>
        </w:rPr>
        <w:sectPr w:rsidR="00EB0483" w:rsidSect="00F227D9">
          <w:pgSz w:w="11900" w:h="16840"/>
          <w:pgMar w:top="720" w:right="720" w:bottom="720" w:left="720" w:header="708" w:footer="708" w:gutter="0"/>
          <w:cols w:space="708"/>
          <w:docGrid w:linePitch="360"/>
        </w:sectPr>
      </w:pPr>
    </w:p>
    <w:p w:rsidR="00F227D9" w:rsidRDefault="00F227D9" w:rsidP="00F227D9">
      <w:pPr>
        <w:pStyle w:val="Heading1"/>
        <w:spacing w:line="259" w:lineRule="auto"/>
        <w:rPr>
          <w:lang w:val="en-GB"/>
        </w:rPr>
      </w:pPr>
      <w:bookmarkStart w:id="13" w:name="_Toc55900983"/>
      <w:r>
        <w:rPr>
          <w:lang w:val="en-GB"/>
        </w:rPr>
        <w:t>Note 5 -Expenditure and Funding Analysis</w:t>
      </w:r>
      <w:bookmarkEnd w:id="13"/>
    </w:p>
    <w:p w:rsidR="00F227D9" w:rsidRDefault="00F227D9" w:rsidP="00F227D9">
      <w:pPr>
        <w:pStyle w:val="Normal0"/>
        <w:spacing w:line="240" w:lineRule="auto"/>
        <w:rPr>
          <w:rFonts w:ascii="Verdana" w:hAnsi="Verdana"/>
          <w:sz w:val="22"/>
          <w:szCs w:val="22"/>
          <w:lang w:val="en-GB"/>
        </w:rPr>
      </w:pPr>
    </w:p>
    <w:p w:rsidR="00F227D9" w:rsidRDefault="00F227D9" w:rsidP="00F227D9">
      <w:pPr>
        <w:pStyle w:val="Normal0"/>
        <w:spacing w:line="240" w:lineRule="auto"/>
        <w:rPr>
          <w:rFonts w:ascii="Verdana" w:hAnsi="Verdana"/>
          <w:sz w:val="22"/>
          <w:szCs w:val="22"/>
          <w:lang w:val="en-GB"/>
        </w:rPr>
      </w:pPr>
    </w:p>
    <w:tbl>
      <w:tblPr>
        <w:tblW w:w="0" w:type="auto"/>
        <w:jc w:val="center"/>
        <w:tblLayout w:type="fixed"/>
        <w:tblLook w:val="04A0" w:firstRow="1" w:lastRow="0" w:firstColumn="1" w:lastColumn="0" w:noHBand="0" w:noVBand="1"/>
      </w:tblPr>
      <w:tblGrid>
        <w:gridCol w:w="1335"/>
        <w:gridCol w:w="1335"/>
        <w:gridCol w:w="1335"/>
        <w:gridCol w:w="1755"/>
        <w:gridCol w:w="1335"/>
        <w:gridCol w:w="1335"/>
        <w:gridCol w:w="1335"/>
      </w:tblGrid>
      <w:tr w:rsidR="0053376B" w:rsidTr="007D3C35">
        <w:trPr>
          <w:trHeight w:val="255"/>
          <w:jc w:val="center"/>
        </w:trPr>
        <w:tc>
          <w:tcPr>
            <w:tcW w:w="4005" w:type="dxa"/>
            <w:gridSpan w:val="3"/>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p>
        </w:tc>
        <w:tc>
          <w:tcPr>
            <w:tcW w:w="175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2"/>
                <w:lang w:val="en-GB"/>
              </w:rPr>
            </w:pPr>
          </w:p>
        </w:tc>
        <w:tc>
          <w:tcPr>
            <w:tcW w:w="4005" w:type="dxa"/>
            <w:gridSpan w:val="3"/>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2019/20</w:t>
            </w:r>
          </w:p>
        </w:tc>
      </w:tr>
      <w:tr w:rsidR="0053376B" w:rsidTr="00CB3842">
        <w:trPr>
          <w:trHeight w:val="1029"/>
          <w:jc w:val="center"/>
        </w:trPr>
        <w:tc>
          <w:tcPr>
            <w:tcW w:w="133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Net Expenditure Chargeable to the General Fund Balance</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16"/>
                <w:lang w:val="en-GB"/>
              </w:rPr>
            </w:pPr>
          </w:p>
        </w:tc>
        <w:tc>
          <w:tcPr>
            <w:tcW w:w="1335" w:type="dxa"/>
            <w:shd w:val="clear" w:color="auto" w:fill="auto"/>
            <w:tcMar>
              <w:top w:w="20" w:type="dxa"/>
              <w:left w:w="20" w:type="dxa"/>
              <w:bottom w:w="20" w:type="dxa"/>
              <w:right w:w="20" w:type="dxa"/>
            </w:tcMar>
          </w:tcPr>
          <w:p w:rsidR="00F227D9" w:rsidRDefault="00F227D9" w:rsidP="00CB3842">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 xml:space="preserve">Net Expenditure in the </w:t>
            </w:r>
            <w:r w:rsidR="00CB3842">
              <w:rPr>
                <w:rFonts w:ascii="Verdana" w:eastAsia="Verdana" w:hAnsi="Verdana" w:cs="Verdana"/>
                <w:b/>
                <w:color w:val="000000"/>
                <w:sz w:val="16"/>
                <w:lang w:val="en-GB"/>
              </w:rPr>
              <w:t>CIES</w:t>
            </w:r>
          </w:p>
        </w:tc>
        <w:tc>
          <w:tcPr>
            <w:tcW w:w="175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Net Expenditure Chargeable to the General Fund Balance</w:t>
            </w:r>
          </w:p>
        </w:tc>
        <w:tc>
          <w:tcPr>
            <w:tcW w:w="133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Adjustments</w:t>
            </w:r>
          </w:p>
        </w:tc>
        <w:tc>
          <w:tcPr>
            <w:tcW w:w="1335" w:type="dxa"/>
            <w:shd w:val="clear" w:color="auto" w:fill="auto"/>
            <w:tcMar>
              <w:top w:w="20" w:type="dxa"/>
              <w:left w:w="20" w:type="dxa"/>
              <w:bottom w:w="20" w:type="dxa"/>
              <w:right w:w="20" w:type="dxa"/>
            </w:tcMar>
          </w:tcPr>
          <w:p w:rsidR="00F227D9" w:rsidRDefault="00F227D9" w:rsidP="00CB3842">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 xml:space="preserve">Net Expenditure in the </w:t>
            </w:r>
            <w:r w:rsidR="00CB3842">
              <w:rPr>
                <w:rFonts w:ascii="Verdana" w:eastAsia="Verdana" w:hAnsi="Verdana" w:cs="Verdana"/>
                <w:b/>
                <w:color w:val="000000"/>
                <w:sz w:val="16"/>
                <w:lang w:val="en-GB"/>
              </w:rPr>
              <w:t>CIES</w:t>
            </w:r>
          </w:p>
        </w:tc>
      </w:tr>
      <w:tr w:rsidR="0053376B" w:rsidTr="007D3C35">
        <w:trPr>
          <w:trHeight w:val="255"/>
          <w:jc w:val="center"/>
        </w:trPr>
        <w:tc>
          <w:tcPr>
            <w:tcW w:w="1335"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755"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81,885</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127,565</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209,450</w:t>
            </w:r>
          </w:p>
        </w:tc>
        <w:tc>
          <w:tcPr>
            <w:tcW w:w="175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Police Payroll</w:t>
            </w:r>
          </w:p>
        </w:tc>
        <w:tc>
          <w:tcPr>
            <w:tcW w:w="1335" w:type="dxa"/>
            <w:shd w:val="clear" w:color="auto" w:fill="auto"/>
            <w:tcMar>
              <w:top w:w="20" w:type="dxa"/>
              <w:left w:w="20" w:type="dxa"/>
              <w:bottom w:w="20" w:type="dxa"/>
              <w:right w:w="20" w:type="dxa"/>
            </w:tcMar>
          </w:tcPr>
          <w:p w:rsidR="00F227D9" w:rsidRDefault="0028489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w:t>
            </w:r>
            <w:r w:rsidR="00232962">
              <w:rPr>
                <w:rFonts w:ascii="Verdana" w:eastAsia="Verdana" w:hAnsi="Verdana" w:cs="Verdana"/>
                <w:color w:val="000000"/>
                <w:sz w:val="16"/>
                <w:lang w:val="en-GB"/>
              </w:rPr>
              <w:t>1</w:t>
            </w:r>
            <w:r w:rsidR="00F227D9">
              <w:rPr>
                <w:rFonts w:ascii="Verdana" w:eastAsia="Verdana" w:hAnsi="Verdana" w:cs="Verdana"/>
                <w:color w:val="000000"/>
                <w:sz w:val="16"/>
                <w:lang w:val="en-GB"/>
              </w:rPr>
              <w:t>,</w:t>
            </w:r>
            <w:r w:rsidR="00232962">
              <w:rPr>
                <w:rFonts w:ascii="Verdana" w:eastAsia="Verdana" w:hAnsi="Verdana" w:cs="Verdana"/>
                <w:color w:val="000000"/>
                <w:sz w:val="16"/>
                <w:lang w:val="en-GB"/>
              </w:rPr>
              <w:t>044</w:t>
            </w:r>
          </w:p>
        </w:tc>
        <w:tc>
          <w:tcPr>
            <w:tcW w:w="1335" w:type="dxa"/>
            <w:shd w:val="clear" w:color="auto" w:fill="auto"/>
            <w:tcMar>
              <w:top w:w="20" w:type="dxa"/>
              <w:left w:w="20" w:type="dxa"/>
              <w:bottom w:w="20" w:type="dxa"/>
              <w:right w:w="20" w:type="dxa"/>
            </w:tcMar>
          </w:tcPr>
          <w:p w:rsidR="00F227D9" w:rsidRDefault="0028489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49</w:t>
            </w:r>
            <w:r w:rsidR="00F227D9">
              <w:rPr>
                <w:rFonts w:ascii="Verdana" w:eastAsia="Verdana" w:hAnsi="Verdana" w:cs="Verdana"/>
                <w:color w:val="000000"/>
                <w:sz w:val="16"/>
                <w:lang w:val="en-GB"/>
              </w:rPr>
              <w:t>,</w:t>
            </w:r>
            <w:r>
              <w:rPr>
                <w:rFonts w:ascii="Verdana" w:eastAsia="Verdana" w:hAnsi="Verdana" w:cs="Verdana"/>
                <w:color w:val="000000"/>
                <w:sz w:val="16"/>
                <w:lang w:val="en-GB"/>
              </w:rPr>
              <w:t>188</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r w:rsidR="0028489A">
              <w:rPr>
                <w:rFonts w:ascii="Verdana" w:eastAsia="Verdana" w:hAnsi="Verdana" w:cs="Verdana"/>
                <w:color w:val="000000"/>
                <w:sz w:val="16"/>
                <w:lang w:val="en-GB"/>
              </w:rPr>
              <w:t>30</w:t>
            </w:r>
            <w:r>
              <w:rPr>
                <w:rFonts w:ascii="Verdana" w:eastAsia="Verdana" w:hAnsi="Verdana" w:cs="Verdana"/>
                <w:color w:val="000000"/>
                <w:sz w:val="16"/>
                <w:lang w:val="en-GB"/>
              </w:rPr>
              <w:t>,</w:t>
            </w:r>
            <w:r w:rsidR="00232962">
              <w:rPr>
                <w:rFonts w:ascii="Verdana" w:eastAsia="Verdana" w:hAnsi="Verdana" w:cs="Verdana"/>
                <w:color w:val="000000"/>
                <w:sz w:val="16"/>
                <w:lang w:val="en-GB"/>
              </w:rPr>
              <w:t>232</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4,270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4,270</w:t>
            </w:r>
          </w:p>
        </w:tc>
        <w:tc>
          <w:tcPr>
            <w:tcW w:w="175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Police Overtime</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5,377</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5,377</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58,817</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13,826</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72,643</w:t>
            </w:r>
          </w:p>
        </w:tc>
        <w:tc>
          <w:tcPr>
            <w:tcW w:w="175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Staff Payroll</w:t>
            </w:r>
          </w:p>
        </w:tc>
        <w:tc>
          <w:tcPr>
            <w:tcW w:w="1335" w:type="dxa"/>
            <w:shd w:val="clear" w:color="auto" w:fill="auto"/>
            <w:tcMar>
              <w:top w:w="20" w:type="dxa"/>
              <w:left w:w="20" w:type="dxa"/>
              <w:bottom w:w="20" w:type="dxa"/>
              <w:right w:w="20" w:type="dxa"/>
            </w:tcMar>
          </w:tcPr>
          <w:p w:rsidR="00F227D9" w:rsidRDefault="0028489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w:t>
            </w:r>
            <w:r w:rsidR="00232962">
              <w:rPr>
                <w:rFonts w:ascii="Verdana" w:eastAsia="Verdana" w:hAnsi="Verdana" w:cs="Verdana"/>
                <w:color w:val="000000"/>
                <w:sz w:val="16"/>
                <w:lang w:val="en-GB"/>
              </w:rPr>
              <w:t>1</w:t>
            </w:r>
            <w:r w:rsidR="00F227D9">
              <w:rPr>
                <w:rFonts w:ascii="Verdana" w:eastAsia="Verdana" w:hAnsi="Verdana" w:cs="Verdana"/>
                <w:color w:val="000000"/>
                <w:sz w:val="16"/>
                <w:lang w:val="en-GB"/>
              </w:rPr>
              <w:t>,</w:t>
            </w:r>
            <w:r w:rsidR="00232962">
              <w:rPr>
                <w:rFonts w:ascii="Verdana" w:eastAsia="Verdana" w:hAnsi="Verdana" w:cs="Verdana"/>
                <w:color w:val="000000"/>
                <w:sz w:val="16"/>
                <w:lang w:val="en-GB"/>
              </w:rPr>
              <w:t>953</w:t>
            </w:r>
          </w:p>
        </w:tc>
        <w:tc>
          <w:tcPr>
            <w:tcW w:w="1335" w:type="dxa"/>
            <w:shd w:val="clear" w:color="auto" w:fill="auto"/>
            <w:tcMar>
              <w:top w:w="20" w:type="dxa"/>
              <w:left w:w="20" w:type="dxa"/>
              <w:bottom w:w="20" w:type="dxa"/>
              <w:right w:w="20" w:type="dxa"/>
            </w:tcMar>
          </w:tcPr>
          <w:p w:rsidR="00F227D9" w:rsidRDefault="0028489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w:t>
            </w:r>
            <w:r w:rsidR="00F227D9">
              <w:rPr>
                <w:rFonts w:ascii="Verdana" w:eastAsia="Verdana" w:hAnsi="Verdana" w:cs="Verdana"/>
                <w:color w:val="000000"/>
                <w:sz w:val="16"/>
                <w:lang w:val="en-GB"/>
              </w:rPr>
              <w:t>,</w:t>
            </w:r>
            <w:r>
              <w:rPr>
                <w:rFonts w:ascii="Verdana" w:eastAsia="Verdana" w:hAnsi="Verdana" w:cs="Verdana"/>
                <w:color w:val="000000"/>
                <w:sz w:val="16"/>
                <w:lang w:val="en-GB"/>
              </w:rPr>
              <w:t>8</w:t>
            </w:r>
            <w:r w:rsidR="00232962">
              <w:rPr>
                <w:rFonts w:ascii="Verdana" w:eastAsia="Verdana" w:hAnsi="Verdana" w:cs="Verdana"/>
                <w:color w:val="000000"/>
                <w:sz w:val="16"/>
                <w:lang w:val="en-GB"/>
              </w:rPr>
              <w:t>44</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w:t>
            </w:r>
            <w:r w:rsidR="00C338AE">
              <w:rPr>
                <w:rFonts w:ascii="Verdana" w:eastAsia="Verdana" w:hAnsi="Verdana" w:cs="Verdana"/>
                <w:color w:val="000000"/>
                <w:sz w:val="16"/>
                <w:lang w:val="en-GB"/>
              </w:rPr>
              <w:t>5</w:t>
            </w:r>
            <w:r>
              <w:rPr>
                <w:rFonts w:ascii="Verdana" w:eastAsia="Verdana" w:hAnsi="Verdana" w:cs="Verdana"/>
                <w:color w:val="000000"/>
                <w:sz w:val="16"/>
                <w:lang w:val="en-GB"/>
              </w:rPr>
              <w:t>,</w:t>
            </w:r>
            <w:r w:rsidR="00232962">
              <w:rPr>
                <w:rFonts w:ascii="Verdana" w:eastAsia="Verdana" w:hAnsi="Verdana" w:cs="Verdana"/>
                <w:color w:val="000000"/>
                <w:sz w:val="16"/>
                <w:lang w:val="en-GB"/>
              </w:rPr>
              <w:t>79</w:t>
            </w:r>
            <w:r w:rsidR="00C338AE">
              <w:rPr>
                <w:rFonts w:ascii="Verdana" w:eastAsia="Verdana" w:hAnsi="Verdana" w:cs="Verdana"/>
                <w:color w:val="000000"/>
                <w:sz w:val="16"/>
                <w:lang w:val="en-GB"/>
              </w:rPr>
              <w:t>7</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1,437</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1,437</w:t>
            </w:r>
          </w:p>
        </w:tc>
        <w:tc>
          <w:tcPr>
            <w:tcW w:w="175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Staff Overtime</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1,695</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1,695</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1,048</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1,048</w:t>
            </w:r>
          </w:p>
        </w:tc>
        <w:tc>
          <w:tcPr>
            <w:tcW w:w="175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Agency</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2,014</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2,014</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1,169</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1,169</w:t>
            </w:r>
          </w:p>
        </w:tc>
        <w:tc>
          <w:tcPr>
            <w:tcW w:w="175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Training</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1,144</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1,144</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1,800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1,800</w:t>
            </w:r>
          </w:p>
        </w:tc>
        <w:tc>
          <w:tcPr>
            <w:tcW w:w="175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Payroll Costs</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1,736</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1,736</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9,722</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9,722</w:t>
            </w:r>
          </w:p>
        </w:tc>
        <w:tc>
          <w:tcPr>
            <w:tcW w:w="175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Premises</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12,643</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12,643</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26,297</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26,297</w:t>
            </w:r>
          </w:p>
        </w:tc>
        <w:tc>
          <w:tcPr>
            <w:tcW w:w="175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Supplies and Services</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26,876</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26,876</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4,460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4,460</w:t>
            </w:r>
          </w:p>
        </w:tc>
        <w:tc>
          <w:tcPr>
            <w:tcW w:w="175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Transport</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5,273</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5,273</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8,879</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8,879</w:t>
            </w:r>
          </w:p>
        </w:tc>
        <w:tc>
          <w:tcPr>
            <w:tcW w:w="1755" w:type="dxa"/>
            <w:shd w:val="clear" w:color="auto" w:fill="auto"/>
            <w:tcMar>
              <w:top w:w="20" w:type="dxa"/>
              <w:left w:w="20" w:type="dxa"/>
              <w:bottom w:w="20" w:type="dxa"/>
              <w:right w:w="20" w:type="dxa"/>
            </w:tcMar>
          </w:tcPr>
          <w:p w:rsidR="00F227D9" w:rsidRDefault="0095140D">
            <w:pPr>
              <w:pStyle w:val="T1TableStyle"/>
              <w:rPr>
                <w:rFonts w:ascii="Verdana" w:eastAsia="Verdana" w:hAnsi="Verdana" w:cs="Verdana"/>
                <w:color w:val="000000"/>
                <w:sz w:val="16"/>
                <w:lang w:val="en-GB"/>
              </w:rPr>
            </w:pPr>
            <w:r>
              <w:rPr>
                <w:rFonts w:ascii="Verdana" w:eastAsia="Verdana" w:hAnsi="Verdana" w:cs="Verdana"/>
                <w:color w:val="000000"/>
                <w:sz w:val="16"/>
                <w:lang w:val="en-GB"/>
              </w:rPr>
              <w:t>*</w:t>
            </w:r>
            <w:r w:rsidR="00F227D9">
              <w:rPr>
                <w:rFonts w:ascii="Verdana" w:eastAsia="Verdana" w:hAnsi="Verdana" w:cs="Verdana"/>
                <w:color w:val="000000"/>
                <w:sz w:val="16"/>
                <w:lang w:val="en-GB"/>
              </w:rPr>
              <w:t>Depreciation</w:t>
            </w:r>
            <w:r w:rsidR="00263ED1">
              <w:rPr>
                <w:rFonts w:ascii="Verdana" w:eastAsia="Verdana" w:hAnsi="Verdana" w:cs="Verdana"/>
                <w:color w:val="000000"/>
                <w:sz w:val="16"/>
                <w:lang w:val="en-GB"/>
              </w:rPr>
              <w:t>/Amortisation (Proxy)</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11,19</w:t>
            </w:r>
            <w:r w:rsidR="007026D3">
              <w:rPr>
                <w:rFonts w:ascii="Verdana" w:eastAsia="Verdana" w:hAnsi="Verdana" w:cs="Verdana"/>
                <w:color w:val="000000"/>
                <w:sz w:val="16"/>
                <w:lang w:val="en-GB"/>
              </w:rPr>
              <w:t>6</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11,19</w:t>
            </w:r>
            <w:r w:rsidR="007026D3">
              <w:rPr>
                <w:rFonts w:ascii="Verdana" w:eastAsia="Verdana" w:hAnsi="Verdana" w:cs="Verdana"/>
                <w:color w:val="000000"/>
                <w:sz w:val="16"/>
                <w:lang w:val="en-GB"/>
              </w:rPr>
              <w:t>6</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(11,860)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(11,860)</w:t>
            </w:r>
          </w:p>
        </w:tc>
        <w:tc>
          <w:tcPr>
            <w:tcW w:w="175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Income</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(13,233)</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(13,233)</w:t>
            </w:r>
          </w:p>
        </w:tc>
      </w:tr>
      <w:tr w:rsidR="005F4361" w:rsidTr="007D3C35">
        <w:trPr>
          <w:trHeight w:val="255"/>
          <w:jc w:val="center"/>
        </w:trPr>
        <w:tc>
          <w:tcPr>
            <w:tcW w:w="1335" w:type="dxa"/>
            <w:shd w:val="clear" w:color="auto" w:fill="auto"/>
            <w:tcMar>
              <w:top w:w="20" w:type="dxa"/>
              <w:left w:w="20" w:type="dxa"/>
              <w:bottom w:w="20" w:type="dxa"/>
              <w:right w:w="20" w:type="dxa"/>
            </w:tcMar>
          </w:tcPr>
          <w:p w:rsidR="005F4361" w:rsidRDefault="005F4361">
            <w:pPr>
              <w:pStyle w:val="T1TableStyle"/>
              <w:jc w:val="right"/>
              <w:rPr>
                <w:rFonts w:ascii="Verdana" w:eastAsia="Verdana" w:hAnsi="Verdana" w:cs="Verdana"/>
                <w:color w:val="000000"/>
                <w:sz w:val="16"/>
                <w:lang w:val="en-GB"/>
              </w:rPr>
            </w:pPr>
          </w:p>
          <w:p w:rsidR="005F4361" w:rsidRDefault="005F4361">
            <w:pPr>
              <w:pStyle w:val="T1TableStyle"/>
              <w:jc w:val="right"/>
              <w:rPr>
                <w:rFonts w:ascii="Verdana" w:eastAsia="Verdana" w:hAnsi="Verdana" w:cs="Verdana"/>
                <w:color w:val="000000"/>
                <w:sz w:val="16"/>
                <w:lang w:val="en-GB"/>
              </w:rPr>
            </w:pPr>
          </w:p>
        </w:tc>
        <w:tc>
          <w:tcPr>
            <w:tcW w:w="1335" w:type="dxa"/>
            <w:shd w:val="clear" w:color="auto" w:fill="auto"/>
            <w:tcMar>
              <w:top w:w="20" w:type="dxa"/>
              <w:left w:w="20" w:type="dxa"/>
              <w:bottom w:w="20" w:type="dxa"/>
              <w:right w:w="20" w:type="dxa"/>
            </w:tcMar>
          </w:tcPr>
          <w:p w:rsidR="005F4361" w:rsidRDefault="005F4361">
            <w:pPr>
              <w:pStyle w:val="T1TableStyle"/>
              <w:jc w:val="right"/>
              <w:rPr>
                <w:rFonts w:ascii="Verdana" w:eastAsia="Verdana" w:hAnsi="Verdana" w:cs="Verdana"/>
                <w:color w:val="000000"/>
                <w:sz w:val="16"/>
                <w:lang w:val="en-GB"/>
              </w:rPr>
            </w:pPr>
          </w:p>
        </w:tc>
        <w:tc>
          <w:tcPr>
            <w:tcW w:w="1335" w:type="dxa"/>
            <w:shd w:val="clear" w:color="auto" w:fill="auto"/>
            <w:tcMar>
              <w:top w:w="20" w:type="dxa"/>
              <w:left w:w="20" w:type="dxa"/>
              <w:bottom w:w="20" w:type="dxa"/>
              <w:right w:w="20" w:type="dxa"/>
            </w:tcMar>
          </w:tcPr>
          <w:p w:rsidR="005F4361" w:rsidRDefault="005F4361">
            <w:pPr>
              <w:pStyle w:val="T1TableStyle"/>
              <w:jc w:val="right"/>
              <w:rPr>
                <w:rFonts w:ascii="Verdana" w:eastAsia="Verdana" w:hAnsi="Verdana" w:cs="Verdana"/>
                <w:color w:val="000000"/>
                <w:sz w:val="16"/>
                <w:lang w:val="en-GB"/>
              </w:rPr>
            </w:pPr>
          </w:p>
        </w:tc>
        <w:tc>
          <w:tcPr>
            <w:tcW w:w="1755" w:type="dxa"/>
            <w:shd w:val="clear" w:color="auto" w:fill="auto"/>
            <w:tcMar>
              <w:top w:w="20" w:type="dxa"/>
              <w:left w:w="20" w:type="dxa"/>
              <w:bottom w:w="20" w:type="dxa"/>
              <w:right w:w="20" w:type="dxa"/>
            </w:tcMar>
          </w:tcPr>
          <w:p w:rsidR="005F4361" w:rsidRDefault="005F4361">
            <w:pPr>
              <w:pStyle w:val="T1TableStyle"/>
              <w:rPr>
                <w:rFonts w:ascii="Verdana" w:eastAsia="Verdana" w:hAnsi="Verdana" w:cs="Verdana"/>
                <w:color w:val="000000"/>
                <w:sz w:val="16"/>
                <w:lang w:val="en-GB"/>
              </w:rPr>
            </w:pPr>
            <w:r>
              <w:rPr>
                <w:rFonts w:ascii="Verdana" w:eastAsia="Verdana" w:hAnsi="Verdana" w:cs="Verdana"/>
                <w:color w:val="000000"/>
                <w:sz w:val="16"/>
                <w:lang w:val="en-GB"/>
              </w:rPr>
              <w:t>Rounding</w:t>
            </w:r>
          </w:p>
        </w:tc>
        <w:tc>
          <w:tcPr>
            <w:tcW w:w="1335" w:type="dxa"/>
            <w:shd w:val="clear" w:color="auto" w:fill="auto"/>
            <w:tcMar>
              <w:top w:w="20" w:type="dxa"/>
              <w:left w:w="20" w:type="dxa"/>
              <w:bottom w:w="20" w:type="dxa"/>
              <w:right w:w="20" w:type="dxa"/>
            </w:tcMar>
          </w:tcPr>
          <w:p w:rsidR="005F4361" w:rsidRDefault="005F4361">
            <w:pPr>
              <w:pStyle w:val="T1TableStyle"/>
              <w:jc w:val="right"/>
              <w:rPr>
                <w:rFonts w:ascii="Verdana" w:eastAsia="Verdana" w:hAnsi="Verdana" w:cs="Verdana"/>
                <w:color w:val="000000"/>
                <w:sz w:val="16"/>
                <w:lang w:val="en-GB"/>
              </w:rPr>
            </w:pPr>
          </w:p>
        </w:tc>
        <w:tc>
          <w:tcPr>
            <w:tcW w:w="1335" w:type="dxa"/>
            <w:shd w:val="clear" w:color="auto" w:fill="auto"/>
            <w:tcMar>
              <w:top w:w="20" w:type="dxa"/>
              <w:left w:w="20" w:type="dxa"/>
              <w:bottom w:w="20" w:type="dxa"/>
              <w:right w:w="20" w:type="dxa"/>
            </w:tcMar>
          </w:tcPr>
          <w:p w:rsidR="005F4361" w:rsidRDefault="005F436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1335" w:type="dxa"/>
            <w:shd w:val="clear" w:color="auto" w:fill="auto"/>
            <w:tcMar>
              <w:top w:w="20" w:type="dxa"/>
              <w:left w:w="20" w:type="dxa"/>
              <w:bottom w:w="20" w:type="dxa"/>
              <w:right w:w="20" w:type="dxa"/>
            </w:tcMar>
          </w:tcPr>
          <w:p w:rsidR="005F4361" w:rsidRDefault="005F436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 xml:space="preserve">        (1)</w:t>
            </w:r>
          </w:p>
        </w:tc>
      </w:tr>
      <w:tr w:rsidR="0053376B" w:rsidTr="007D3C35">
        <w:trPr>
          <w:trHeight w:val="85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3D5B85">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187</w:t>
            </w:r>
            <w:r w:rsidR="009B0797">
              <w:rPr>
                <w:rFonts w:ascii="Verdana" w:eastAsia="Verdana" w:hAnsi="Verdana" w:cs="Verdana"/>
                <w:b/>
                <w:color w:val="000000"/>
                <w:sz w:val="16"/>
                <w:lang w:val="en-GB"/>
              </w:rPr>
              <w:t>,</w:t>
            </w:r>
            <w:r>
              <w:rPr>
                <w:rFonts w:ascii="Verdana" w:eastAsia="Verdana" w:hAnsi="Verdana" w:cs="Verdana"/>
                <w:b/>
                <w:color w:val="000000"/>
                <w:sz w:val="16"/>
                <w:lang w:val="en-GB"/>
              </w:rPr>
              <w:t>923</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141,391</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3D5B85">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329</w:t>
            </w:r>
            <w:r w:rsidR="00F227D9">
              <w:rPr>
                <w:rFonts w:ascii="Verdana" w:eastAsia="Verdana" w:hAnsi="Verdana" w:cs="Verdana"/>
                <w:b/>
                <w:color w:val="000000"/>
                <w:sz w:val="16"/>
                <w:lang w:val="en-GB"/>
              </w:rPr>
              <w:t>,3</w:t>
            </w:r>
            <w:r>
              <w:rPr>
                <w:rFonts w:ascii="Verdana" w:eastAsia="Verdana" w:hAnsi="Verdana" w:cs="Verdana"/>
                <w:b/>
                <w:color w:val="000000"/>
                <w:sz w:val="16"/>
                <w:lang w:val="en-GB"/>
              </w:rPr>
              <w:t>15</w:t>
            </w:r>
          </w:p>
        </w:tc>
        <w:tc>
          <w:tcPr>
            <w:tcW w:w="175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93CA0">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Net Cost</w:t>
            </w:r>
            <w:r w:rsidR="00F227D9">
              <w:rPr>
                <w:rFonts w:ascii="Verdana" w:eastAsia="Verdana" w:hAnsi="Verdana" w:cs="Verdana"/>
                <w:b/>
                <w:color w:val="000000"/>
                <w:sz w:val="16"/>
                <w:lang w:val="en-GB"/>
              </w:rPr>
              <w:t xml:space="preserve"> of Services</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2E456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197</w:t>
            </w:r>
            <w:r w:rsidR="003D5B85">
              <w:rPr>
                <w:rFonts w:ascii="Verdana" w:eastAsia="Verdana" w:hAnsi="Verdana" w:cs="Verdana"/>
                <w:b/>
                <w:color w:val="000000"/>
                <w:sz w:val="16"/>
                <w:lang w:val="en-GB"/>
              </w:rPr>
              <w:t>,</w:t>
            </w:r>
            <w:r>
              <w:rPr>
                <w:rFonts w:ascii="Verdana" w:eastAsia="Verdana" w:hAnsi="Verdana" w:cs="Verdana"/>
                <w:b/>
                <w:color w:val="000000"/>
                <w:sz w:val="16"/>
                <w:lang w:val="en-GB"/>
              </w:rPr>
              <w:t>718</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C338A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63</w:t>
            </w:r>
            <w:r w:rsidR="00F227D9">
              <w:rPr>
                <w:rFonts w:ascii="Verdana" w:eastAsia="Verdana" w:hAnsi="Verdana" w:cs="Verdana"/>
                <w:b/>
                <w:color w:val="000000"/>
                <w:sz w:val="16"/>
                <w:lang w:val="en-GB"/>
              </w:rPr>
              <w:t>,</w:t>
            </w:r>
            <w:r>
              <w:rPr>
                <w:rFonts w:ascii="Verdana" w:eastAsia="Verdana" w:hAnsi="Verdana" w:cs="Verdana"/>
                <w:b/>
                <w:color w:val="000000"/>
                <w:sz w:val="16"/>
                <w:lang w:val="en-GB"/>
              </w:rPr>
              <w:t>0</w:t>
            </w:r>
            <w:r w:rsidR="00232962">
              <w:rPr>
                <w:rFonts w:ascii="Verdana" w:eastAsia="Verdana" w:hAnsi="Verdana" w:cs="Verdana"/>
                <w:b/>
                <w:color w:val="000000"/>
                <w:sz w:val="16"/>
                <w:lang w:val="en-GB"/>
              </w:rPr>
              <w:t>31</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5F436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260</w:t>
            </w:r>
            <w:r w:rsidR="00F9000A">
              <w:rPr>
                <w:rFonts w:ascii="Verdana" w:eastAsia="Verdana" w:hAnsi="Verdana" w:cs="Verdana"/>
                <w:b/>
                <w:color w:val="000000"/>
                <w:sz w:val="16"/>
                <w:lang w:val="en-GB"/>
              </w:rPr>
              <w:t>,</w:t>
            </w:r>
            <w:r w:rsidR="003D5B85">
              <w:rPr>
                <w:rFonts w:ascii="Verdana" w:eastAsia="Verdana" w:hAnsi="Verdana" w:cs="Verdana"/>
                <w:b/>
                <w:color w:val="000000"/>
                <w:sz w:val="16"/>
                <w:lang w:val="en-GB"/>
              </w:rPr>
              <w:t>7</w:t>
            </w:r>
            <w:r>
              <w:rPr>
                <w:rFonts w:ascii="Verdana" w:eastAsia="Verdana" w:hAnsi="Verdana" w:cs="Verdana"/>
                <w:b/>
                <w:color w:val="000000"/>
                <w:sz w:val="16"/>
                <w:lang w:val="en-GB"/>
              </w:rPr>
              <w:t>49</w:t>
            </w:r>
          </w:p>
          <w:p w:rsidR="00C338AE" w:rsidRDefault="00C338AE">
            <w:pPr>
              <w:pStyle w:val="T1TableStyle"/>
              <w:jc w:val="right"/>
              <w:rPr>
                <w:rFonts w:ascii="Verdana" w:eastAsia="Verdana" w:hAnsi="Verdana" w:cs="Verdana"/>
                <w:b/>
                <w:color w:val="000000"/>
                <w:sz w:val="16"/>
                <w:lang w:val="en-GB"/>
              </w:rPr>
            </w:pPr>
          </w:p>
        </w:tc>
      </w:tr>
      <w:tr w:rsidR="00F93CA0" w:rsidTr="00F93CA0">
        <w:trPr>
          <w:trHeight w:val="420"/>
          <w:jc w:val="center"/>
        </w:trPr>
        <w:tc>
          <w:tcPr>
            <w:tcW w:w="1335" w:type="dxa"/>
            <w:shd w:val="clear" w:color="auto" w:fill="auto"/>
            <w:tcMar>
              <w:top w:w="20" w:type="dxa"/>
              <w:left w:w="20" w:type="dxa"/>
              <w:bottom w:w="20" w:type="dxa"/>
              <w:right w:w="20" w:type="dxa"/>
            </w:tcMar>
          </w:tcPr>
          <w:p w:rsidR="00F93CA0" w:rsidRDefault="00F93CA0" w:rsidP="00F93CA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(187,923)</w:t>
            </w:r>
          </w:p>
        </w:tc>
        <w:tc>
          <w:tcPr>
            <w:tcW w:w="1335" w:type="dxa"/>
            <w:shd w:val="clear" w:color="auto" w:fill="auto"/>
            <w:tcMar>
              <w:top w:w="20" w:type="dxa"/>
              <w:left w:w="20" w:type="dxa"/>
              <w:bottom w:w="20" w:type="dxa"/>
              <w:right w:w="20" w:type="dxa"/>
            </w:tcMar>
          </w:tcPr>
          <w:p w:rsidR="00F93CA0" w:rsidRDefault="00F93CA0" w:rsidP="00F93CA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93CA0" w:rsidRDefault="00F93CA0" w:rsidP="00F93CA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(187,923)</w:t>
            </w:r>
          </w:p>
        </w:tc>
        <w:tc>
          <w:tcPr>
            <w:tcW w:w="1755" w:type="dxa"/>
            <w:shd w:val="clear" w:color="auto" w:fill="auto"/>
            <w:tcMar>
              <w:top w:w="20" w:type="dxa"/>
              <w:left w:w="20" w:type="dxa"/>
              <w:bottom w:w="20" w:type="dxa"/>
              <w:right w:w="20" w:type="dxa"/>
            </w:tcMar>
          </w:tcPr>
          <w:p w:rsidR="00F93CA0" w:rsidRDefault="00F93CA0" w:rsidP="00F93CA0">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Income and Expenditure</w:t>
            </w:r>
          </w:p>
        </w:tc>
        <w:tc>
          <w:tcPr>
            <w:tcW w:w="1335" w:type="dxa"/>
            <w:shd w:val="clear" w:color="auto" w:fill="auto"/>
            <w:tcMar>
              <w:top w:w="20" w:type="dxa"/>
              <w:left w:w="20" w:type="dxa"/>
              <w:bottom w:w="20" w:type="dxa"/>
              <w:right w:w="20" w:type="dxa"/>
            </w:tcMar>
          </w:tcPr>
          <w:p w:rsidR="00F93CA0" w:rsidRDefault="00F93CA0" w:rsidP="00F93CA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(197,718)</w:t>
            </w:r>
          </w:p>
        </w:tc>
        <w:tc>
          <w:tcPr>
            <w:tcW w:w="1335" w:type="dxa"/>
            <w:shd w:val="clear" w:color="auto" w:fill="auto"/>
            <w:tcMar>
              <w:top w:w="20" w:type="dxa"/>
              <w:left w:w="20" w:type="dxa"/>
              <w:bottom w:w="20" w:type="dxa"/>
              <w:right w:w="20" w:type="dxa"/>
            </w:tcMar>
          </w:tcPr>
          <w:p w:rsidR="00F93CA0" w:rsidRDefault="00F93CA0" w:rsidP="00F93CA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93CA0" w:rsidRDefault="00F93CA0" w:rsidP="00F93CA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(197,718)</w:t>
            </w:r>
          </w:p>
        </w:tc>
      </w:tr>
      <w:tr w:rsidR="002E4563" w:rsidRPr="003D5B85" w:rsidTr="00F93CA0">
        <w:trPr>
          <w:trHeight w:val="420"/>
          <w:jc w:val="center"/>
        </w:trPr>
        <w:tc>
          <w:tcPr>
            <w:tcW w:w="1335" w:type="dxa"/>
            <w:shd w:val="clear" w:color="auto" w:fill="auto"/>
            <w:tcMar>
              <w:top w:w="20" w:type="dxa"/>
              <w:left w:w="20" w:type="dxa"/>
              <w:bottom w:w="20" w:type="dxa"/>
              <w:right w:w="20" w:type="dxa"/>
            </w:tcMar>
          </w:tcPr>
          <w:p w:rsidR="002E4563" w:rsidRPr="00EA146B" w:rsidRDefault="002E4563" w:rsidP="00F93CA0">
            <w:pPr>
              <w:pStyle w:val="T1TableStyle"/>
              <w:jc w:val="right"/>
              <w:rPr>
                <w:rFonts w:ascii="Verdana" w:eastAsia="Verdana" w:hAnsi="Verdana" w:cs="Verdana"/>
                <w:b/>
                <w:color w:val="000000"/>
                <w:sz w:val="16"/>
                <w:lang w:val="en-GB"/>
              </w:rPr>
            </w:pPr>
          </w:p>
          <w:p w:rsidR="002E4563" w:rsidRPr="00EA146B" w:rsidRDefault="003D5B85" w:rsidP="00F93CA0">
            <w:pPr>
              <w:pStyle w:val="T1TableStyle"/>
              <w:jc w:val="right"/>
              <w:rPr>
                <w:rFonts w:ascii="Verdana" w:eastAsia="Verdana" w:hAnsi="Verdana" w:cs="Verdana"/>
                <w:b/>
                <w:color w:val="000000"/>
                <w:sz w:val="16"/>
                <w:lang w:val="en-GB"/>
              </w:rPr>
            </w:pPr>
            <w:r w:rsidRPr="00EA146B">
              <w:rPr>
                <w:rFonts w:ascii="Verdana" w:eastAsia="Verdana" w:hAnsi="Verdana" w:cs="Verdana"/>
                <w:b/>
                <w:color w:val="000000"/>
                <w:sz w:val="16"/>
                <w:lang w:val="en-GB"/>
              </w:rPr>
              <w:t>0</w:t>
            </w:r>
          </w:p>
        </w:tc>
        <w:tc>
          <w:tcPr>
            <w:tcW w:w="1335" w:type="dxa"/>
            <w:shd w:val="clear" w:color="auto" w:fill="auto"/>
            <w:tcMar>
              <w:top w:w="20" w:type="dxa"/>
              <w:left w:w="20" w:type="dxa"/>
              <w:bottom w:w="20" w:type="dxa"/>
              <w:right w:w="20" w:type="dxa"/>
            </w:tcMar>
          </w:tcPr>
          <w:p w:rsidR="002E4563" w:rsidRPr="00EA146B" w:rsidRDefault="002E4563" w:rsidP="00F93CA0">
            <w:pPr>
              <w:pStyle w:val="T1TableStyle"/>
              <w:jc w:val="right"/>
              <w:rPr>
                <w:rFonts w:ascii="Verdana" w:eastAsia="Verdana" w:hAnsi="Verdana" w:cs="Verdana"/>
                <w:b/>
                <w:color w:val="000000"/>
                <w:sz w:val="16"/>
                <w:lang w:val="en-GB"/>
              </w:rPr>
            </w:pPr>
          </w:p>
          <w:p w:rsidR="003D5B85" w:rsidRPr="00EA146B" w:rsidRDefault="003D5B85" w:rsidP="00F93CA0">
            <w:pPr>
              <w:pStyle w:val="T1TableStyle"/>
              <w:jc w:val="right"/>
              <w:rPr>
                <w:rFonts w:ascii="Verdana" w:eastAsia="Verdana" w:hAnsi="Verdana" w:cs="Verdana"/>
                <w:b/>
                <w:color w:val="000000"/>
                <w:sz w:val="16"/>
                <w:lang w:val="en-GB"/>
              </w:rPr>
            </w:pPr>
            <w:r w:rsidRPr="00EA146B">
              <w:rPr>
                <w:rFonts w:ascii="Verdana" w:eastAsia="Verdana" w:hAnsi="Verdana" w:cs="Verdana"/>
                <w:b/>
                <w:color w:val="000000"/>
                <w:sz w:val="16"/>
                <w:lang w:val="en-GB"/>
              </w:rPr>
              <w:t>143,391</w:t>
            </w:r>
          </w:p>
        </w:tc>
        <w:tc>
          <w:tcPr>
            <w:tcW w:w="1335" w:type="dxa"/>
            <w:shd w:val="clear" w:color="auto" w:fill="auto"/>
            <w:tcMar>
              <w:top w:w="20" w:type="dxa"/>
              <w:left w:w="20" w:type="dxa"/>
              <w:bottom w:w="20" w:type="dxa"/>
              <w:right w:w="20" w:type="dxa"/>
            </w:tcMar>
          </w:tcPr>
          <w:p w:rsidR="002E4563" w:rsidRPr="00EA146B" w:rsidRDefault="002E4563" w:rsidP="00EA146B">
            <w:pPr>
              <w:pStyle w:val="T1TableStyle"/>
              <w:rPr>
                <w:rFonts w:ascii="Verdana" w:eastAsia="Verdana" w:hAnsi="Verdana" w:cs="Verdana"/>
                <w:b/>
                <w:color w:val="000000"/>
                <w:sz w:val="16"/>
                <w:lang w:val="en-GB"/>
              </w:rPr>
            </w:pPr>
          </w:p>
          <w:p w:rsidR="003D5B85" w:rsidRPr="00EA146B" w:rsidRDefault="003D5B85" w:rsidP="00EA146B">
            <w:pPr>
              <w:pStyle w:val="T1TableStyle"/>
              <w:rPr>
                <w:rFonts w:ascii="Verdana" w:eastAsia="Verdana" w:hAnsi="Verdana" w:cs="Verdana"/>
                <w:b/>
                <w:color w:val="000000"/>
                <w:sz w:val="16"/>
                <w:lang w:val="en-GB"/>
              </w:rPr>
            </w:pPr>
            <w:r w:rsidRPr="00EA146B">
              <w:rPr>
                <w:rFonts w:ascii="Verdana" w:eastAsia="Verdana" w:hAnsi="Verdana" w:cs="Verdana"/>
                <w:b/>
                <w:color w:val="000000"/>
                <w:sz w:val="16"/>
                <w:lang w:val="en-GB"/>
              </w:rPr>
              <w:t xml:space="preserve">         143.391</w:t>
            </w:r>
          </w:p>
        </w:tc>
        <w:tc>
          <w:tcPr>
            <w:tcW w:w="1755" w:type="dxa"/>
            <w:shd w:val="clear" w:color="auto" w:fill="auto"/>
            <w:tcMar>
              <w:top w:w="20" w:type="dxa"/>
              <w:left w:w="20" w:type="dxa"/>
              <w:bottom w:w="20" w:type="dxa"/>
              <w:right w:w="20" w:type="dxa"/>
            </w:tcMar>
          </w:tcPr>
          <w:p w:rsidR="002E4563" w:rsidRPr="00EA146B" w:rsidRDefault="002E4563" w:rsidP="00F93CA0">
            <w:pPr>
              <w:pStyle w:val="T1TableStyle"/>
              <w:rPr>
                <w:rFonts w:ascii="Verdana" w:eastAsia="Verdana" w:hAnsi="Verdana" w:cs="Verdana"/>
                <w:b/>
                <w:color w:val="000000"/>
                <w:sz w:val="16"/>
                <w:lang w:val="en-GB"/>
              </w:rPr>
            </w:pPr>
          </w:p>
          <w:p w:rsidR="002E4563" w:rsidRPr="00EA146B" w:rsidRDefault="002E4563">
            <w:pPr>
              <w:pStyle w:val="T1TableStyle"/>
              <w:rPr>
                <w:rFonts w:ascii="Verdana" w:eastAsia="Verdana" w:hAnsi="Verdana" w:cs="Verdana"/>
                <w:b/>
                <w:color w:val="000000"/>
                <w:sz w:val="16"/>
                <w:lang w:val="en-GB"/>
              </w:rPr>
            </w:pPr>
            <w:r w:rsidRPr="00EA146B">
              <w:rPr>
                <w:rFonts w:ascii="Verdana" w:eastAsia="Verdana" w:hAnsi="Verdana" w:cs="Verdana"/>
                <w:b/>
                <w:color w:val="000000"/>
                <w:sz w:val="16"/>
                <w:lang w:val="en-GB"/>
              </w:rPr>
              <w:t>Surplus or Def</w:t>
            </w:r>
            <w:r w:rsidR="005F4361">
              <w:rPr>
                <w:rFonts w:ascii="Verdana" w:eastAsia="Verdana" w:hAnsi="Verdana" w:cs="Verdana"/>
                <w:b/>
                <w:color w:val="000000"/>
                <w:sz w:val="16"/>
                <w:lang w:val="en-GB"/>
              </w:rPr>
              <w:t>i</w:t>
            </w:r>
            <w:r w:rsidRPr="00EA146B">
              <w:rPr>
                <w:rFonts w:ascii="Verdana" w:eastAsia="Verdana" w:hAnsi="Verdana" w:cs="Verdana"/>
                <w:b/>
                <w:color w:val="000000"/>
                <w:sz w:val="16"/>
                <w:lang w:val="en-GB"/>
              </w:rPr>
              <w:t>cit Provision of Services</w:t>
            </w:r>
          </w:p>
        </w:tc>
        <w:tc>
          <w:tcPr>
            <w:tcW w:w="1335" w:type="dxa"/>
            <w:shd w:val="clear" w:color="auto" w:fill="auto"/>
            <w:tcMar>
              <w:top w:w="20" w:type="dxa"/>
              <w:left w:w="20" w:type="dxa"/>
              <w:bottom w:w="20" w:type="dxa"/>
              <w:right w:w="20" w:type="dxa"/>
            </w:tcMar>
          </w:tcPr>
          <w:p w:rsidR="002E4563" w:rsidRPr="00EA146B" w:rsidRDefault="002E4563" w:rsidP="00F93CA0">
            <w:pPr>
              <w:pStyle w:val="T1TableStyle"/>
              <w:jc w:val="right"/>
              <w:rPr>
                <w:rFonts w:ascii="Verdana" w:eastAsia="Verdana" w:hAnsi="Verdana" w:cs="Verdana"/>
                <w:b/>
                <w:color w:val="000000"/>
                <w:sz w:val="16"/>
                <w:lang w:val="en-GB"/>
              </w:rPr>
            </w:pPr>
          </w:p>
          <w:p w:rsidR="002E4563" w:rsidRPr="00EA146B" w:rsidRDefault="002E4563" w:rsidP="00F93CA0">
            <w:pPr>
              <w:pStyle w:val="T1TableStyle"/>
              <w:jc w:val="right"/>
              <w:rPr>
                <w:rFonts w:ascii="Verdana" w:eastAsia="Verdana" w:hAnsi="Verdana" w:cs="Verdana"/>
                <w:b/>
                <w:color w:val="000000"/>
                <w:sz w:val="16"/>
                <w:lang w:val="en-GB"/>
              </w:rPr>
            </w:pPr>
            <w:r w:rsidRPr="00EA146B">
              <w:rPr>
                <w:rFonts w:ascii="Verdana" w:eastAsia="Verdana" w:hAnsi="Verdana" w:cs="Verdana"/>
                <w:b/>
                <w:color w:val="000000"/>
                <w:sz w:val="16"/>
                <w:lang w:val="en-GB"/>
              </w:rPr>
              <w:t>0</w:t>
            </w:r>
          </w:p>
        </w:tc>
        <w:tc>
          <w:tcPr>
            <w:tcW w:w="1335" w:type="dxa"/>
            <w:shd w:val="clear" w:color="auto" w:fill="auto"/>
            <w:tcMar>
              <w:top w:w="20" w:type="dxa"/>
              <w:left w:w="20" w:type="dxa"/>
              <w:bottom w:w="20" w:type="dxa"/>
              <w:right w:w="20" w:type="dxa"/>
            </w:tcMar>
          </w:tcPr>
          <w:p w:rsidR="002E4563" w:rsidRPr="00EA146B" w:rsidRDefault="002E4563" w:rsidP="00EA146B">
            <w:pPr>
              <w:rPr>
                <w:b/>
                <w:sz w:val="16"/>
                <w:szCs w:val="16"/>
                <w:lang w:val="en-GB"/>
              </w:rPr>
            </w:pPr>
            <w:r w:rsidRPr="00EA146B">
              <w:rPr>
                <w:b/>
                <w:sz w:val="16"/>
                <w:szCs w:val="16"/>
                <w:lang w:val="en-GB"/>
              </w:rPr>
              <w:t xml:space="preserve">                         </w:t>
            </w:r>
          </w:p>
          <w:p w:rsidR="002E4563" w:rsidRPr="00EA146B" w:rsidRDefault="002E4563" w:rsidP="00EA146B">
            <w:pPr>
              <w:rPr>
                <w:rFonts w:ascii="Verdana" w:hAnsi="Verdana"/>
                <w:b/>
                <w:sz w:val="16"/>
                <w:szCs w:val="16"/>
                <w:lang w:val="en-GB"/>
              </w:rPr>
            </w:pPr>
            <w:r w:rsidRPr="00EA146B">
              <w:rPr>
                <w:rFonts w:ascii="Verdana" w:hAnsi="Verdana"/>
                <w:b/>
                <w:sz w:val="16"/>
                <w:szCs w:val="16"/>
                <w:lang w:val="en-GB"/>
              </w:rPr>
              <w:t xml:space="preserve"> </w:t>
            </w:r>
            <w:r w:rsidR="00583AB9" w:rsidRPr="002A69A9">
              <w:rPr>
                <w:rFonts w:ascii="Verdana" w:hAnsi="Verdana"/>
                <w:b/>
                <w:sz w:val="16"/>
                <w:szCs w:val="16"/>
                <w:lang w:val="en-GB"/>
              </w:rPr>
              <w:t xml:space="preserve">           </w:t>
            </w:r>
            <w:r w:rsidR="00583AB9">
              <w:rPr>
                <w:rFonts w:ascii="Verdana" w:hAnsi="Verdana"/>
                <w:b/>
                <w:sz w:val="16"/>
                <w:szCs w:val="16"/>
                <w:lang w:val="en-GB"/>
              </w:rPr>
              <w:t>63,031</w:t>
            </w:r>
            <w:r w:rsidR="00583AB9" w:rsidRPr="002A69A9">
              <w:rPr>
                <w:rFonts w:ascii="Verdana" w:hAnsi="Verdana"/>
                <w:b/>
                <w:sz w:val="16"/>
                <w:szCs w:val="16"/>
                <w:lang w:val="en-GB"/>
              </w:rPr>
              <w:t xml:space="preserve">     </w:t>
            </w:r>
            <w:r w:rsidR="00583AB9">
              <w:rPr>
                <w:rFonts w:ascii="Verdana" w:hAnsi="Verdana"/>
                <w:b/>
                <w:sz w:val="16"/>
                <w:szCs w:val="16"/>
                <w:lang w:val="en-GB"/>
              </w:rPr>
              <w:t xml:space="preserve">                             </w:t>
            </w:r>
          </w:p>
        </w:tc>
        <w:tc>
          <w:tcPr>
            <w:tcW w:w="1335" w:type="dxa"/>
            <w:shd w:val="clear" w:color="auto" w:fill="auto"/>
            <w:tcMar>
              <w:top w:w="20" w:type="dxa"/>
              <w:left w:w="20" w:type="dxa"/>
              <w:bottom w:w="20" w:type="dxa"/>
              <w:right w:w="20" w:type="dxa"/>
            </w:tcMar>
          </w:tcPr>
          <w:p w:rsidR="002E4563" w:rsidRDefault="002E4563" w:rsidP="00F93CA0">
            <w:pPr>
              <w:pStyle w:val="T1TableStyle"/>
              <w:jc w:val="right"/>
              <w:rPr>
                <w:rFonts w:ascii="Verdana" w:eastAsia="Verdana" w:hAnsi="Verdana" w:cs="Verdana"/>
                <w:b/>
                <w:color w:val="000000"/>
                <w:sz w:val="16"/>
                <w:lang w:val="en-GB"/>
              </w:rPr>
            </w:pPr>
          </w:p>
          <w:p w:rsidR="00583AB9" w:rsidRPr="00EA146B" w:rsidRDefault="00583AB9">
            <w:pPr>
              <w:pStyle w:val="T1TableStyle"/>
              <w:jc w:val="right"/>
              <w:rPr>
                <w:rFonts w:ascii="Verdana" w:eastAsia="Verdana" w:hAnsi="Verdana" w:cs="Verdana"/>
                <w:b/>
                <w:color w:val="000000"/>
                <w:sz w:val="16"/>
                <w:lang w:val="en-GB"/>
              </w:rPr>
            </w:pPr>
            <w:r w:rsidRPr="002A69A9">
              <w:rPr>
                <w:rFonts w:ascii="Verdana" w:eastAsia="Verdana" w:hAnsi="Verdana" w:cs="Verdana"/>
                <w:b/>
                <w:color w:val="000000"/>
                <w:sz w:val="16"/>
                <w:lang w:val="en-GB"/>
              </w:rPr>
              <w:t>63</w:t>
            </w:r>
            <w:r w:rsidRPr="00EA146B">
              <w:rPr>
                <w:rFonts w:ascii="Verdana" w:eastAsia="Verdana" w:hAnsi="Verdana" w:cs="Verdana"/>
                <w:b/>
                <w:color w:val="000000"/>
                <w:sz w:val="16"/>
                <w:lang w:val="en-GB"/>
              </w:rPr>
              <w:t>,</w:t>
            </w:r>
            <w:r w:rsidRPr="002A69A9">
              <w:rPr>
                <w:rFonts w:ascii="Verdana" w:eastAsia="Verdana" w:hAnsi="Verdana" w:cs="Verdana"/>
                <w:b/>
                <w:color w:val="000000"/>
                <w:sz w:val="16"/>
                <w:lang w:val="en-GB"/>
              </w:rPr>
              <w:t>031</w:t>
            </w:r>
          </w:p>
        </w:tc>
      </w:tr>
      <w:tr w:rsidR="0053376B" w:rsidRPr="003D5B85" w:rsidTr="007D3C35">
        <w:trPr>
          <w:trHeight w:hRule="exact" w:val="90"/>
          <w:jc w:val="center"/>
        </w:trPr>
        <w:tc>
          <w:tcPr>
            <w:tcW w:w="1335" w:type="dxa"/>
            <w:shd w:val="clear" w:color="auto" w:fill="auto"/>
            <w:tcMar>
              <w:top w:w="20" w:type="dxa"/>
              <w:left w:w="20" w:type="dxa"/>
              <w:bottom w:w="20" w:type="dxa"/>
              <w:right w:w="20" w:type="dxa"/>
            </w:tcMar>
          </w:tcPr>
          <w:p w:rsidR="00F227D9" w:rsidRPr="00EA146B" w:rsidRDefault="00F227D9">
            <w:pPr>
              <w:pStyle w:val="T1TableStyle"/>
              <w:jc w:val="center"/>
              <w:rPr>
                <w:rFonts w:ascii="Calibri" w:eastAsia="Calibri" w:hAnsi="Calibri" w:cs="Calibri"/>
                <w:b/>
                <w:color w:val="000000"/>
                <w:sz w:val="2"/>
                <w:lang w:val="en-GB"/>
              </w:rPr>
            </w:pPr>
            <w:r w:rsidRPr="00EA146B">
              <w:rPr>
                <w:rFonts w:ascii="Calibri" w:eastAsia="Calibri" w:hAnsi="Calibri" w:cs="Calibri"/>
                <w:b/>
                <w:color w:val="000000"/>
                <w:sz w:val="2"/>
                <w:lang w:val="en-GB"/>
              </w:rPr>
              <w:t xml:space="preserve"> </w:t>
            </w:r>
          </w:p>
        </w:tc>
        <w:tc>
          <w:tcPr>
            <w:tcW w:w="1335" w:type="dxa"/>
            <w:shd w:val="clear" w:color="auto" w:fill="auto"/>
            <w:tcMar>
              <w:top w:w="20" w:type="dxa"/>
              <w:left w:w="20" w:type="dxa"/>
              <w:bottom w:w="20" w:type="dxa"/>
              <w:right w:w="20" w:type="dxa"/>
            </w:tcMar>
          </w:tcPr>
          <w:p w:rsidR="00F227D9" w:rsidRPr="00EA146B" w:rsidRDefault="00F227D9">
            <w:pPr>
              <w:pStyle w:val="T1TableStyle"/>
              <w:jc w:val="center"/>
              <w:rPr>
                <w:rFonts w:ascii="Calibri" w:eastAsia="Calibri" w:hAnsi="Calibri" w:cs="Calibri"/>
                <w:b/>
                <w:color w:val="000000"/>
                <w:sz w:val="2"/>
                <w:lang w:val="en-GB"/>
              </w:rPr>
            </w:pPr>
            <w:r w:rsidRPr="00EA146B">
              <w:rPr>
                <w:rFonts w:ascii="Calibri" w:eastAsia="Calibri" w:hAnsi="Calibri" w:cs="Calibri"/>
                <w:b/>
                <w:color w:val="000000"/>
                <w:sz w:val="2"/>
                <w:lang w:val="en-GB"/>
              </w:rPr>
              <w:t xml:space="preserve"> </w:t>
            </w:r>
          </w:p>
        </w:tc>
        <w:tc>
          <w:tcPr>
            <w:tcW w:w="1335" w:type="dxa"/>
            <w:shd w:val="clear" w:color="auto" w:fill="auto"/>
            <w:tcMar>
              <w:top w:w="20" w:type="dxa"/>
              <w:left w:w="20" w:type="dxa"/>
              <w:bottom w:w="20" w:type="dxa"/>
              <w:right w:w="20" w:type="dxa"/>
            </w:tcMar>
          </w:tcPr>
          <w:p w:rsidR="00F227D9" w:rsidRPr="00EA146B" w:rsidRDefault="00F227D9">
            <w:pPr>
              <w:pStyle w:val="T1TableStyle"/>
              <w:jc w:val="center"/>
              <w:rPr>
                <w:rFonts w:ascii="Calibri" w:eastAsia="Calibri" w:hAnsi="Calibri" w:cs="Calibri"/>
                <w:b/>
                <w:color w:val="000000"/>
                <w:sz w:val="2"/>
                <w:lang w:val="en-GB"/>
              </w:rPr>
            </w:pPr>
            <w:r w:rsidRPr="00EA146B">
              <w:rPr>
                <w:rFonts w:ascii="Calibri" w:eastAsia="Calibri" w:hAnsi="Calibri" w:cs="Calibri"/>
                <w:b/>
                <w:color w:val="000000"/>
                <w:sz w:val="2"/>
                <w:lang w:val="en-GB"/>
              </w:rPr>
              <w:t xml:space="preserve"> </w:t>
            </w:r>
          </w:p>
        </w:tc>
        <w:tc>
          <w:tcPr>
            <w:tcW w:w="1755" w:type="dxa"/>
            <w:shd w:val="clear" w:color="auto" w:fill="auto"/>
            <w:tcMar>
              <w:top w:w="20" w:type="dxa"/>
              <w:left w:w="20" w:type="dxa"/>
              <w:bottom w:w="20" w:type="dxa"/>
              <w:right w:w="20" w:type="dxa"/>
            </w:tcMar>
          </w:tcPr>
          <w:p w:rsidR="00F227D9" w:rsidRPr="00EA146B" w:rsidRDefault="00F227D9">
            <w:pPr>
              <w:pStyle w:val="T1TableStyle"/>
              <w:jc w:val="center"/>
              <w:rPr>
                <w:rFonts w:ascii="Calibri" w:eastAsia="Calibri" w:hAnsi="Calibri" w:cs="Calibri"/>
                <w:b/>
                <w:color w:val="000000"/>
                <w:sz w:val="2"/>
                <w:lang w:val="en-GB"/>
              </w:rPr>
            </w:pPr>
            <w:r w:rsidRPr="00EA146B">
              <w:rPr>
                <w:rFonts w:ascii="Calibri" w:eastAsia="Calibri" w:hAnsi="Calibri" w:cs="Calibri"/>
                <w:b/>
                <w:color w:val="000000"/>
                <w:sz w:val="2"/>
                <w:lang w:val="en-GB"/>
              </w:rPr>
              <w:t xml:space="preserve"> </w:t>
            </w:r>
          </w:p>
        </w:tc>
        <w:tc>
          <w:tcPr>
            <w:tcW w:w="1335" w:type="dxa"/>
            <w:shd w:val="clear" w:color="auto" w:fill="auto"/>
            <w:tcMar>
              <w:top w:w="20" w:type="dxa"/>
              <w:left w:w="20" w:type="dxa"/>
              <w:bottom w:w="20" w:type="dxa"/>
              <w:right w:w="20" w:type="dxa"/>
            </w:tcMar>
          </w:tcPr>
          <w:p w:rsidR="00F227D9" w:rsidRPr="00EA146B" w:rsidRDefault="00F227D9">
            <w:pPr>
              <w:pStyle w:val="T1TableStyle"/>
              <w:jc w:val="center"/>
              <w:rPr>
                <w:rFonts w:ascii="Calibri" w:eastAsia="Calibri" w:hAnsi="Calibri" w:cs="Calibri"/>
                <w:b/>
                <w:color w:val="000000"/>
                <w:sz w:val="2"/>
                <w:lang w:val="en-GB"/>
              </w:rPr>
            </w:pPr>
            <w:r w:rsidRPr="00EA146B">
              <w:rPr>
                <w:rFonts w:ascii="Calibri" w:eastAsia="Calibri" w:hAnsi="Calibri" w:cs="Calibri"/>
                <w:b/>
                <w:color w:val="000000"/>
                <w:sz w:val="2"/>
                <w:lang w:val="en-GB"/>
              </w:rPr>
              <w:t xml:space="preserve"> </w:t>
            </w:r>
          </w:p>
        </w:tc>
        <w:tc>
          <w:tcPr>
            <w:tcW w:w="1335" w:type="dxa"/>
            <w:shd w:val="clear" w:color="auto" w:fill="auto"/>
            <w:tcMar>
              <w:top w:w="20" w:type="dxa"/>
              <w:left w:w="20" w:type="dxa"/>
              <w:bottom w:w="20" w:type="dxa"/>
              <w:right w:w="20" w:type="dxa"/>
            </w:tcMar>
          </w:tcPr>
          <w:p w:rsidR="00F227D9" w:rsidRPr="00EA146B" w:rsidRDefault="00F227D9">
            <w:pPr>
              <w:pStyle w:val="T1TableStyle"/>
              <w:jc w:val="center"/>
              <w:rPr>
                <w:rFonts w:ascii="Calibri" w:eastAsia="Calibri" w:hAnsi="Calibri" w:cs="Calibri"/>
                <w:b/>
                <w:color w:val="000000"/>
                <w:sz w:val="2"/>
                <w:lang w:val="en-GB"/>
              </w:rPr>
            </w:pPr>
            <w:r w:rsidRPr="00EA146B">
              <w:rPr>
                <w:rFonts w:ascii="Calibri" w:eastAsia="Calibri" w:hAnsi="Calibri" w:cs="Calibri"/>
                <w:b/>
                <w:color w:val="000000"/>
                <w:sz w:val="2"/>
                <w:lang w:val="en-GB"/>
              </w:rPr>
              <w:t xml:space="preserve"> </w:t>
            </w:r>
          </w:p>
        </w:tc>
        <w:tc>
          <w:tcPr>
            <w:tcW w:w="1335" w:type="dxa"/>
            <w:shd w:val="clear" w:color="auto" w:fill="auto"/>
            <w:tcMar>
              <w:top w:w="20" w:type="dxa"/>
              <w:left w:w="20" w:type="dxa"/>
              <w:bottom w:w="20" w:type="dxa"/>
              <w:right w:w="20" w:type="dxa"/>
            </w:tcMar>
          </w:tcPr>
          <w:p w:rsidR="00F227D9" w:rsidRPr="00EA146B" w:rsidRDefault="00F227D9">
            <w:pPr>
              <w:pStyle w:val="T1TableStyle"/>
              <w:jc w:val="center"/>
              <w:rPr>
                <w:rFonts w:ascii="Calibri" w:eastAsia="Calibri" w:hAnsi="Calibri" w:cs="Calibri"/>
                <w:b/>
                <w:color w:val="000000"/>
                <w:sz w:val="2"/>
                <w:lang w:val="en-GB"/>
              </w:rPr>
            </w:pPr>
            <w:r w:rsidRPr="00EA146B">
              <w:rPr>
                <w:rFonts w:ascii="Calibri" w:eastAsia="Calibri" w:hAnsi="Calibri" w:cs="Calibri"/>
                <w:b/>
                <w:color w:val="000000"/>
                <w:sz w:val="2"/>
                <w:lang w:val="en-GB"/>
              </w:rPr>
              <w:t xml:space="preserve"> </w:t>
            </w:r>
          </w:p>
        </w:tc>
      </w:tr>
    </w:tbl>
    <w:p w:rsidR="00F227D9" w:rsidRPr="00EA146B" w:rsidRDefault="00F227D9">
      <w:pPr>
        <w:pStyle w:val="T1TableStyle"/>
        <w:rPr>
          <w:b/>
          <w:lang w:val="en-GB"/>
        </w:rPr>
      </w:pPr>
    </w:p>
    <w:p w:rsidR="00F227D9" w:rsidRDefault="0095140D">
      <w:pPr>
        <w:pStyle w:val="Normal0"/>
        <w:spacing w:after="160" w:line="259" w:lineRule="auto"/>
        <w:rPr>
          <w:sz w:val="22"/>
          <w:szCs w:val="22"/>
          <w:lang w:val="en-GB"/>
        </w:rPr>
      </w:pPr>
      <w:r>
        <w:rPr>
          <w:sz w:val="22"/>
          <w:szCs w:val="22"/>
          <w:lang w:val="en-GB"/>
        </w:rPr>
        <w:t>Depreciation/ Amortisation in 19/20 includes a figure of £2</w:t>
      </w:r>
      <w:r w:rsidR="00FA298C">
        <w:rPr>
          <w:sz w:val="22"/>
          <w:szCs w:val="22"/>
          <w:lang w:val="en-GB"/>
        </w:rPr>
        <w:t>.</w:t>
      </w:r>
      <w:r>
        <w:rPr>
          <w:sz w:val="22"/>
          <w:szCs w:val="22"/>
          <w:lang w:val="en-GB"/>
        </w:rPr>
        <w:t>0</w:t>
      </w:r>
      <w:r w:rsidR="002E4C7E">
        <w:rPr>
          <w:sz w:val="22"/>
          <w:szCs w:val="22"/>
          <w:lang w:val="en-GB"/>
        </w:rPr>
        <w:t>81</w:t>
      </w:r>
      <w:r>
        <w:rPr>
          <w:sz w:val="22"/>
          <w:szCs w:val="22"/>
          <w:lang w:val="en-GB"/>
        </w:rPr>
        <w:t>m for downward PPE revalua</w:t>
      </w:r>
      <w:r w:rsidR="002E4C7E">
        <w:rPr>
          <w:sz w:val="22"/>
          <w:szCs w:val="22"/>
          <w:lang w:val="en-GB"/>
        </w:rPr>
        <w:t>t</w:t>
      </w:r>
      <w:r>
        <w:rPr>
          <w:sz w:val="22"/>
          <w:szCs w:val="22"/>
          <w:lang w:val="en-GB"/>
        </w:rPr>
        <w:t>ions</w:t>
      </w:r>
    </w:p>
    <w:p w:rsidR="00F93CA0" w:rsidRDefault="00F93CA0">
      <w:pPr>
        <w:pStyle w:val="Normal0"/>
        <w:spacing w:after="160" w:line="259" w:lineRule="auto"/>
        <w:rPr>
          <w:sz w:val="22"/>
          <w:szCs w:val="22"/>
          <w:lang w:val="en-GB"/>
        </w:rPr>
      </w:pPr>
    </w:p>
    <w:p w:rsidR="003D5B85" w:rsidRDefault="003D5B85">
      <w:pPr>
        <w:pStyle w:val="Normal0"/>
        <w:spacing w:after="160" w:line="259" w:lineRule="auto"/>
        <w:rPr>
          <w:sz w:val="22"/>
          <w:szCs w:val="22"/>
          <w:lang w:val="en-GB"/>
        </w:rPr>
      </w:pPr>
    </w:p>
    <w:p w:rsidR="00F93CA0" w:rsidRDefault="00F93CA0">
      <w:pPr>
        <w:pStyle w:val="Normal0"/>
        <w:spacing w:after="160" w:line="259" w:lineRule="auto"/>
        <w:rPr>
          <w:sz w:val="22"/>
          <w:szCs w:val="22"/>
          <w:lang w:val="en-GB"/>
        </w:rPr>
      </w:pPr>
    </w:p>
    <w:p w:rsidR="00F93CA0" w:rsidRDefault="00F93CA0">
      <w:pPr>
        <w:pStyle w:val="Normal0"/>
        <w:spacing w:after="160" w:line="259" w:lineRule="auto"/>
        <w:rPr>
          <w:sz w:val="22"/>
          <w:szCs w:val="22"/>
          <w:lang w:val="en-GB"/>
        </w:rPr>
      </w:pPr>
    </w:p>
    <w:p w:rsidR="00F227D9" w:rsidRDefault="00F227D9">
      <w:pPr>
        <w:pStyle w:val="Normal0"/>
        <w:spacing w:after="160" w:line="259" w:lineRule="auto"/>
        <w:rPr>
          <w:sz w:val="22"/>
          <w:szCs w:val="22"/>
          <w:lang w:val="en-GB"/>
        </w:rPr>
      </w:pPr>
    </w:p>
    <w:p w:rsidR="00112634" w:rsidRDefault="00112634">
      <w:pPr>
        <w:pStyle w:val="Normal0"/>
        <w:spacing w:after="160" w:line="259" w:lineRule="auto"/>
        <w:rPr>
          <w:sz w:val="22"/>
          <w:szCs w:val="22"/>
          <w:lang w:val="en-GB"/>
        </w:rPr>
      </w:pPr>
    </w:p>
    <w:p w:rsidR="00112634" w:rsidRDefault="00112634">
      <w:pPr>
        <w:pStyle w:val="Normal0"/>
        <w:spacing w:after="160" w:line="259" w:lineRule="auto"/>
        <w:rPr>
          <w:sz w:val="22"/>
          <w:szCs w:val="22"/>
          <w:lang w:val="en-GB"/>
        </w:rPr>
      </w:pPr>
    </w:p>
    <w:p w:rsidR="00112634" w:rsidRDefault="00112634">
      <w:pPr>
        <w:pStyle w:val="Normal0"/>
        <w:spacing w:after="160" w:line="259" w:lineRule="auto"/>
        <w:rPr>
          <w:sz w:val="22"/>
          <w:szCs w:val="22"/>
          <w:lang w:val="en-GB"/>
        </w:rPr>
      </w:pPr>
    </w:p>
    <w:p w:rsidR="00112634" w:rsidRDefault="00112634">
      <w:pPr>
        <w:pStyle w:val="Normal0"/>
        <w:spacing w:after="160" w:line="259" w:lineRule="auto"/>
        <w:rPr>
          <w:sz w:val="22"/>
          <w:szCs w:val="22"/>
          <w:lang w:val="en-GB"/>
        </w:rPr>
      </w:pPr>
    </w:p>
    <w:p w:rsidR="00112634" w:rsidRDefault="00112634">
      <w:pPr>
        <w:pStyle w:val="Normal0"/>
        <w:spacing w:after="160" w:line="259" w:lineRule="auto"/>
        <w:rPr>
          <w:sz w:val="22"/>
          <w:szCs w:val="22"/>
          <w:lang w:val="en-GB"/>
        </w:rPr>
      </w:pPr>
    </w:p>
    <w:p w:rsidR="00112634" w:rsidRDefault="00112634">
      <w:pPr>
        <w:pStyle w:val="Normal0"/>
        <w:spacing w:after="160" w:line="259" w:lineRule="auto"/>
        <w:rPr>
          <w:sz w:val="22"/>
          <w:szCs w:val="22"/>
          <w:lang w:val="en-GB"/>
        </w:rPr>
      </w:pPr>
    </w:p>
    <w:p w:rsidR="00112634" w:rsidRDefault="00112634">
      <w:pPr>
        <w:pStyle w:val="Normal0"/>
        <w:spacing w:after="160" w:line="259" w:lineRule="auto"/>
        <w:rPr>
          <w:sz w:val="22"/>
          <w:szCs w:val="22"/>
          <w:lang w:val="en-GB"/>
        </w:rPr>
      </w:pPr>
    </w:p>
    <w:p w:rsidR="00112634" w:rsidRDefault="00112634">
      <w:pPr>
        <w:pStyle w:val="Normal0"/>
        <w:spacing w:after="160" w:line="259" w:lineRule="auto"/>
        <w:rPr>
          <w:sz w:val="22"/>
          <w:szCs w:val="22"/>
          <w:lang w:val="en-GB"/>
        </w:rPr>
      </w:pPr>
    </w:p>
    <w:p w:rsidR="00112634" w:rsidRDefault="00112634">
      <w:pPr>
        <w:pStyle w:val="Normal0"/>
        <w:spacing w:after="160" w:line="259" w:lineRule="auto"/>
        <w:rPr>
          <w:sz w:val="22"/>
          <w:szCs w:val="22"/>
          <w:lang w:val="en-GB"/>
        </w:rPr>
      </w:pPr>
    </w:p>
    <w:p w:rsidR="00F227D9" w:rsidRPr="007D3C35" w:rsidRDefault="00F227D9" w:rsidP="007D3C35">
      <w:pPr>
        <w:pStyle w:val="Heading1"/>
        <w:spacing w:line="259" w:lineRule="auto"/>
        <w:rPr>
          <w:lang w:val="en-GB"/>
        </w:rPr>
      </w:pPr>
      <w:bookmarkStart w:id="14" w:name="_Toc55900984"/>
      <w:r w:rsidRPr="007D3C35">
        <w:rPr>
          <w:lang w:val="en-GB"/>
        </w:rPr>
        <w:t>Note 6 - Adjustments between Accounting Basis and Funding Basis under Regulations</w:t>
      </w:r>
      <w:bookmarkEnd w:id="14"/>
    </w:p>
    <w:p w:rsidR="007D3C35" w:rsidRDefault="007D3C35" w:rsidP="007D3C35">
      <w:pPr>
        <w:pStyle w:val="Normal0"/>
        <w:spacing w:after="160" w:line="259" w:lineRule="auto"/>
        <w:jc w:val="both"/>
        <w:rPr>
          <w:rFonts w:ascii="Verdana" w:eastAsia="Verdana" w:hAnsi="Verdana" w:cs="Verdana"/>
          <w:sz w:val="22"/>
          <w:szCs w:val="22"/>
          <w:lang w:val="en-GB"/>
        </w:rPr>
      </w:pPr>
    </w:p>
    <w:p w:rsidR="00F227D9" w:rsidRDefault="00F227D9" w:rsidP="007D3C35">
      <w:pPr>
        <w:pStyle w:val="Normal0"/>
        <w:spacing w:after="160" w:line="259" w:lineRule="auto"/>
        <w:jc w:val="both"/>
        <w:rPr>
          <w:rFonts w:ascii="Verdana" w:eastAsia="Verdana" w:hAnsi="Verdana" w:cs="Verdana"/>
          <w:sz w:val="22"/>
          <w:szCs w:val="22"/>
          <w:lang w:val="en-GB"/>
        </w:rPr>
      </w:pPr>
      <w:r>
        <w:rPr>
          <w:rFonts w:ascii="Verdana" w:eastAsia="Verdana" w:hAnsi="Verdana" w:cs="Verdana"/>
          <w:sz w:val="22"/>
          <w:szCs w:val="22"/>
          <w:lang w:val="en-GB"/>
        </w:rPr>
        <w:t>The table below details the adjustments made to the Total Comprehensive Income and Expenditure Statement recognised by the Chief Constable in the year, in accordance with proper accounting practice to the resources that are specified by statutory provisions as being available to the Chief Constable to meet future capital and revenue expenditure.</w:t>
      </w:r>
    </w:p>
    <w:p w:rsidR="00F227D9" w:rsidRDefault="00F227D9">
      <w:pPr>
        <w:pStyle w:val="Normal0"/>
        <w:spacing w:after="160" w:line="259" w:lineRule="auto"/>
        <w:rPr>
          <w:rFonts w:ascii="Verdana" w:eastAsia="Verdana" w:hAnsi="Verdana" w:cs="Verdana"/>
          <w:sz w:val="22"/>
          <w:szCs w:val="22"/>
          <w:lang w:val="en-GB"/>
        </w:rPr>
      </w:pPr>
    </w:p>
    <w:tbl>
      <w:tblPr>
        <w:tblW w:w="0" w:type="auto"/>
        <w:jc w:val="center"/>
        <w:tblLayout w:type="fixed"/>
        <w:tblLook w:val="04A0" w:firstRow="1" w:lastRow="0" w:firstColumn="1" w:lastColumn="0" w:noHBand="0" w:noVBand="1"/>
      </w:tblPr>
      <w:tblGrid>
        <w:gridCol w:w="3225"/>
        <w:gridCol w:w="1125"/>
        <w:gridCol w:w="1125"/>
      </w:tblGrid>
      <w:tr w:rsidR="0053376B" w:rsidTr="007D3C35">
        <w:trPr>
          <w:trHeight w:val="600"/>
          <w:jc w:val="center"/>
        </w:trPr>
        <w:tc>
          <w:tcPr>
            <w:tcW w:w="32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2019/2020</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General Fund Balance</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Movement in Unusable Reserves</w:t>
            </w:r>
          </w:p>
        </w:tc>
      </w:tr>
      <w:tr w:rsidR="0053376B" w:rsidTr="007D3C35">
        <w:trPr>
          <w:trHeight w:val="300"/>
          <w:jc w:val="center"/>
        </w:trPr>
        <w:tc>
          <w:tcPr>
            <w:tcW w:w="322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2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2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53376B" w:rsidTr="007D3C35">
        <w:trPr>
          <w:trHeight w:val="255"/>
          <w:jc w:val="center"/>
        </w:trPr>
        <w:tc>
          <w:tcPr>
            <w:tcW w:w="32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Adjustments to the Revenue Resources</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53376B" w:rsidTr="007D3C35">
        <w:trPr>
          <w:trHeight w:val="255"/>
          <w:jc w:val="center"/>
        </w:trPr>
        <w:tc>
          <w:tcPr>
            <w:tcW w:w="32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Amounts by which income and expenditure included in the Comprehensive Income and Expenditure Statement are different from revenue for the year calculated in accordance with statutory requirements:</w:t>
            </w:r>
          </w:p>
        </w:tc>
        <w:tc>
          <w:tcPr>
            <w:tcW w:w="11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53376B" w:rsidTr="007D3C35">
        <w:trPr>
          <w:trHeight w:val="255"/>
          <w:jc w:val="center"/>
        </w:trPr>
        <w:tc>
          <w:tcPr>
            <w:tcW w:w="32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Pension cost (transferred to (or from) the Pensions Reserve)</w:t>
            </w:r>
          </w:p>
        </w:tc>
        <w:tc>
          <w:tcPr>
            <w:tcW w:w="112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E10A30">
              <w:rPr>
                <w:rFonts w:ascii="Verdana" w:eastAsia="Verdana" w:hAnsi="Verdana" w:cs="Verdana"/>
                <w:color w:val="000000"/>
                <w:sz w:val="16"/>
                <w:lang w:val="en-GB"/>
              </w:rPr>
              <w:t>62</w:t>
            </w:r>
            <w:r>
              <w:rPr>
                <w:rFonts w:ascii="Verdana" w:eastAsia="Verdana" w:hAnsi="Verdana" w:cs="Verdana"/>
                <w:color w:val="000000"/>
                <w:sz w:val="16"/>
                <w:lang w:val="en-GB"/>
              </w:rPr>
              <w:t>,</w:t>
            </w:r>
            <w:r w:rsidR="00E10A30">
              <w:rPr>
                <w:rFonts w:ascii="Verdana" w:eastAsia="Verdana" w:hAnsi="Verdana" w:cs="Verdana"/>
                <w:color w:val="000000"/>
                <w:sz w:val="16"/>
                <w:lang w:val="en-GB"/>
              </w:rPr>
              <w:t>88</w:t>
            </w:r>
            <w:r w:rsidR="006D15D3">
              <w:rPr>
                <w:rFonts w:ascii="Verdana" w:eastAsia="Verdana" w:hAnsi="Verdana" w:cs="Verdana"/>
                <w:color w:val="000000"/>
                <w:sz w:val="16"/>
                <w:lang w:val="en-GB"/>
              </w:rPr>
              <w:t>6</w:t>
            </w:r>
            <w:r>
              <w:rPr>
                <w:rFonts w:ascii="Verdana" w:eastAsia="Verdana" w:hAnsi="Verdana" w:cs="Verdana"/>
                <w:color w:val="000000"/>
                <w:sz w:val="16"/>
                <w:lang w:val="en-GB"/>
              </w:rPr>
              <w:t>)</w:t>
            </w:r>
          </w:p>
        </w:tc>
        <w:tc>
          <w:tcPr>
            <w:tcW w:w="1125" w:type="dxa"/>
            <w:shd w:val="clear" w:color="auto" w:fill="auto"/>
            <w:tcMar>
              <w:top w:w="20" w:type="dxa"/>
              <w:left w:w="20" w:type="dxa"/>
              <w:bottom w:w="20" w:type="dxa"/>
              <w:right w:w="20" w:type="dxa"/>
            </w:tcMar>
          </w:tcPr>
          <w:p w:rsidR="00F227D9" w:rsidRDefault="00E10A3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62</w:t>
            </w:r>
            <w:r w:rsidR="00F227D9">
              <w:rPr>
                <w:rFonts w:ascii="Verdana" w:eastAsia="Verdana" w:hAnsi="Verdana" w:cs="Verdana"/>
                <w:color w:val="000000"/>
                <w:sz w:val="16"/>
                <w:lang w:val="en-GB"/>
              </w:rPr>
              <w:t>,</w:t>
            </w:r>
            <w:r>
              <w:rPr>
                <w:rFonts w:ascii="Verdana" w:eastAsia="Verdana" w:hAnsi="Verdana" w:cs="Verdana"/>
                <w:color w:val="000000"/>
                <w:sz w:val="16"/>
                <w:lang w:val="en-GB"/>
              </w:rPr>
              <w:t>8</w:t>
            </w:r>
            <w:r w:rsidR="003A6CBF">
              <w:rPr>
                <w:rFonts w:ascii="Verdana" w:eastAsia="Verdana" w:hAnsi="Verdana" w:cs="Verdana"/>
                <w:color w:val="000000"/>
                <w:sz w:val="16"/>
                <w:lang w:val="en-GB"/>
              </w:rPr>
              <w:t>86</w:t>
            </w:r>
          </w:p>
        </w:tc>
      </w:tr>
      <w:tr w:rsidR="0053376B" w:rsidTr="007D3C35">
        <w:trPr>
          <w:trHeight w:val="255"/>
          <w:jc w:val="center"/>
        </w:trPr>
        <w:tc>
          <w:tcPr>
            <w:tcW w:w="32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Holiday pay (transferred to the Accumulated Absences reserve)</w:t>
            </w:r>
          </w:p>
        </w:tc>
        <w:tc>
          <w:tcPr>
            <w:tcW w:w="1125" w:type="dxa"/>
            <w:shd w:val="clear" w:color="auto" w:fill="auto"/>
            <w:tcMar>
              <w:top w:w="20" w:type="dxa"/>
              <w:left w:w="20" w:type="dxa"/>
              <w:bottom w:w="20" w:type="dxa"/>
              <w:right w:w="20" w:type="dxa"/>
            </w:tcMar>
          </w:tcPr>
          <w:p w:rsidR="00F227D9" w:rsidRDefault="0011263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(145)</w:t>
            </w:r>
          </w:p>
        </w:tc>
        <w:tc>
          <w:tcPr>
            <w:tcW w:w="1125" w:type="dxa"/>
            <w:shd w:val="clear" w:color="auto" w:fill="auto"/>
            <w:tcMar>
              <w:top w:w="20" w:type="dxa"/>
              <w:left w:w="20" w:type="dxa"/>
              <w:bottom w:w="20" w:type="dxa"/>
              <w:right w:w="20" w:type="dxa"/>
            </w:tcMar>
          </w:tcPr>
          <w:p w:rsidR="00F227D9" w:rsidRDefault="0011263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145</w:t>
            </w:r>
          </w:p>
        </w:tc>
      </w:tr>
      <w:tr w:rsidR="0053376B" w:rsidTr="007D3C35">
        <w:trPr>
          <w:trHeight w:hRule="exact" w:val="150"/>
          <w:jc w:val="center"/>
        </w:trPr>
        <w:tc>
          <w:tcPr>
            <w:tcW w:w="32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53376B" w:rsidTr="007D3C35">
        <w:trPr>
          <w:trHeight w:hRule="exact" w:val="150"/>
          <w:jc w:val="center"/>
        </w:trPr>
        <w:tc>
          <w:tcPr>
            <w:tcW w:w="32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53376B" w:rsidTr="007D3C35">
        <w:trPr>
          <w:trHeight w:val="255"/>
          <w:jc w:val="center"/>
        </w:trPr>
        <w:tc>
          <w:tcPr>
            <w:tcW w:w="322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Adjustments</w:t>
            </w:r>
          </w:p>
        </w:tc>
        <w:tc>
          <w:tcPr>
            <w:tcW w:w="112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E10A30">
              <w:rPr>
                <w:rFonts w:ascii="Verdana" w:eastAsia="Verdana" w:hAnsi="Verdana" w:cs="Verdana"/>
                <w:b/>
                <w:color w:val="000000"/>
                <w:sz w:val="16"/>
                <w:lang w:val="en-GB"/>
              </w:rPr>
              <w:t>63</w:t>
            </w:r>
            <w:r>
              <w:rPr>
                <w:rFonts w:ascii="Verdana" w:eastAsia="Verdana" w:hAnsi="Verdana" w:cs="Verdana"/>
                <w:b/>
                <w:color w:val="000000"/>
                <w:sz w:val="16"/>
                <w:lang w:val="en-GB"/>
              </w:rPr>
              <w:t>,</w:t>
            </w:r>
            <w:r w:rsidR="00E10A30">
              <w:rPr>
                <w:rFonts w:ascii="Verdana" w:eastAsia="Verdana" w:hAnsi="Verdana" w:cs="Verdana"/>
                <w:b/>
                <w:color w:val="000000"/>
                <w:sz w:val="16"/>
                <w:lang w:val="en-GB"/>
              </w:rPr>
              <w:t>0</w:t>
            </w:r>
            <w:r w:rsidR="006D15D3">
              <w:rPr>
                <w:rFonts w:ascii="Verdana" w:eastAsia="Verdana" w:hAnsi="Verdana" w:cs="Verdana"/>
                <w:b/>
                <w:color w:val="000000"/>
                <w:sz w:val="16"/>
                <w:lang w:val="en-GB"/>
              </w:rPr>
              <w:t>31</w:t>
            </w:r>
            <w:r>
              <w:rPr>
                <w:rFonts w:ascii="Verdana" w:eastAsia="Verdana" w:hAnsi="Verdana" w:cs="Verdana"/>
                <w:b/>
                <w:color w:val="000000"/>
                <w:sz w:val="16"/>
                <w:lang w:val="en-GB"/>
              </w:rPr>
              <w:t>)</w:t>
            </w:r>
          </w:p>
        </w:tc>
        <w:tc>
          <w:tcPr>
            <w:tcW w:w="112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E10A3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63,0</w:t>
            </w:r>
            <w:r w:rsidR="003A6CBF">
              <w:rPr>
                <w:rFonts w:ascii="Verdana" w:eastAsia="Verdana" w:hAnsi="Verdana" w:cs="Verdana"/>
                <w:b/>
                <w:color w:val="000000"/>
                <w:sz w:val="16"/>
                <w:lang w:val="en-GB"/>
              </w:rPr>
              <w:t>31</w:t>
            </w:r>
          </w:p>
        </w:tc>
      </w:tr>
    </w:tbl>
    <w:p w:rsidR="00F227D9" w:rsidRDefault="00F227D9">
      <w:pPr>
        <w:pStyle w:val="T1TableStyle"/>
        <w:rPr>
          <w:rFonts w:ascii="Verdana" w:eastAsia="Verdana" w:hAnsi="Verdana" w:cs="Verdana"/>
          <w:sz w:val="22"/>
          <w:lang w:val="en-GB"/>
        </w:rPr>
      </w:pPr>
    </w:p>
    <w:tbl>
      <w:tblPr>
        <w:tblW w:w="0" w:type="auto"/>
        <w:jc w:val="center"/>
        <w:tblLayout w:type="fixed"/>
        <w:tblLook w:val="04A0" w:firstRow="1" w:lastRow="0" w:firstColumn="1" w:lastColumn="0" w:noHBand="0" w:noVBand="1"/>
      </w:tblPr>
      <w:tblGrid>
        <w:gridCol w:w="3225"/>
        <w:gridCol w:w="1125"/>
        <w:gridCol w:w="1125"/>
      </w:tblGrid>
      <w:tr w:rsidR="0053376B" w:rsidTr="007D3C35">
        <w:trPr>
          <w:trHeight w:val="255"/>
          <w:jc w:val="center"/>
        </w:trPr>
        <w:tc>
          <w:tcPr>
            <w:tcW w:w="32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2018/2019</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General Fund Balance</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Movement in Unusable Reserves</w:t>
            </w:r>
          </w:p>
        </w:tc>
      </w:tr>
      <w:tr w:rsidR="0053376B" w:rsidTr="007D3C35">
        <w:trPr>
          <w:trHeight w:val="255"/>
          <w:jc w:val="center"/>
        </w:trPr>
        <w:tc>
          <w:tcPr>
            <w:tcW w:w="322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2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2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53376B" w:rsidTr="007D3C35">
        <w:trPr>
          <w:trHeight w:val="255"/>
          <w:jc w:val="center"/>
        </w:trPr>
        <w:tc>
          <w:tcPr>
            <w:tcW w:w="32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Adjustments to the Revenue Resources</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53376B" w:rsidTr="007D3C35">
        <w:trPr>
          <w:trHeight w:val="255"/>
          <w:jc w:val="center"/>
        </w:trPr>
        <w:tc>
          <w:tcPr>
            <w:tcW w:w="32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Amounts by which income and expenditure included in the Comprehensive Income and Expenditure Statement are different from revenue for the year calculated in accordance with statutory requirements:</w:t>
            </w:r>
          </w:p>
        </w:tc>
        <w:tc>
          <w:tcPr>
            <w:tcW w:w="11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53376B" w:rsidTr="007D3C35">
        <w:trPr>
          <w:trHeight w:val="255"/>
          <w:jc w:val="center"/>
        </w:trPr>
        <w:tc>
          <w:tcPr>
            <w:tcW w:w="32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Pension cost (transferred to (or from) the Pensions Reserve)</w:t>
            </w:r>
          </w:p>
        </w:tc>
        <w:tc>
          <w:tcPr>
            <w:tcW w:w="1125" w:type="dxa"/>
            <w:shd w:val="clear" w:color="auto" w:fill="auto"/>
            <w:tcMar>
              <w:top w:w="20" w:type="dxa"/>
              <w:left w:w="20" w:type="dxa"/>
              <w:bottom w:w="20" w:type="dxa"/>
              <w:right w:w="20" w:type="dxa"/>
            </w:tcMar>
          </w:tcPr>
          <w:p w:rsidR="00F227D9" w:rsidRDefault="00F227D9" w:rsidP="0011263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112634">
              <w:rPr>
                <w:rFonts w:ascii="Verdana" w:eastAsia="Verdana" w:hAnsi="Verdana" w:cs="Verdana"/>
                <w:color w:val="000000"/>
                <w:sz w:val="16"/>
                <w:lang w:val="en-GB"/>
              </w:rPr>
              <w:t>141,085</w:t>
            </w:r>
            <w:r>
              <w:rPr>
                <w:rFonts w:ascii="Verdana" w:eastAsia="Verdana" w:hAnsi="Verdana" w:cs="Verdana"/>
                <w:color w:val="000000"/>
                <w:sz w:val="16"/>
                <w:lang w:val="en-GB"/>
              </w:rPr>
              <w:t>)</w:t>
            </w:r>
          </w:p>
        </w:tc>
        <w:tc>
          <w:tcPr>
            <w:tcW w:w="1125" w:type="dxa"/>
            <w:shd w:val="clear" w:color="auto" w:fill="auto"/>
            <w:tcMar>
              <w:top w:w="20" w:type="dxa"/>
              <w:left w:w="20" w:type="dxa"/>
              <w:bottom w:w="20" w:type="dxa"/>
              <w:right w:w="20" w:type="dxa"/>
            </w:tcMar>
          </w:tcPr>
          <w:p w:rsidR="00F227D9" w:rsidRDefault="00112634" w:rsidP="0011263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141,085</w:t>
            </w:r>
          </w:p>
        </w:tc>
      </w:tr>
      <w:tr w:rsidR="0053376B" w:rsidTr="007D3C35">
        <w:trPr>
          <w:trHeight w:val="255"/>
          <w:jc w:val="center"/>
        </w:trPr>
        <w:tc>
          <w:tcPr>
            <w:tcW w:w="32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Holiday pay (transferred to the Accumulated Absences reserve)</w:t>
            </w:r>
          </w:p>
        </w:tc>
        <w:tc>
          <w:tcPr>
            <w:tcW w:w="112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(306)</w:t>
            </w:r>
          </w:p>
        </w:tc>
        <w:tc>
          <w:tcPr>
            <w:tcW w:w="112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306</w:t>
            </w:r>
          </w:p>
        </w:tc>
      </w:tr>
      <w:tr w:rsidR="0053376B" w:rsidTr="007D3C35">
        <w:trPr>
          <w:trHeight w:hRule="exact" w:val="80"/>
          <w:jc w:val="center"/>
        </w:trPr>
        <w:tc>
          <w:tcPr>
            <w:tcW w:w="32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53376B" w:rsidTr="007D3C35">
        <w:trPr>
          <w:trHeight w:hRule="exact" w:val="150"/>
          <w:jc w:val="center"/>
        </w:trPr>
        <w:tc>
          <w:tcPr>
            <w:tcW w:w="32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53376B" w:rsidTr="007D3C35">
        <w:trPr>
          <w:trHeight w:val="255"/>
          <w:jc w:val="center"/>
        </w:trPr>
        <w:tc>
          <w:tcPr>
            <w:tcW w:w="322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Adjustments</w:t>
            </w:r>
          </w:p>
        </w:tc>
        <w:tc>
          <w:tcPr>
            <w:tcW w:w="112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(141,391)</w:t>
            </w:r>
          </w:p>
        </w:tc>
        <w:tc>
          <w:tcPr>
            <w:tcW w:w="112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141,391</w:t>
            </w:r>
          </w:p>
        </w:tc>
      </w:tr>
    </w:tbl>
    <w:p w:rsidR="00F227D9" w:rsidRDefault="00F227D9">
      <w:pPr>
        <w:pStyle w:val="T1TableStyle"/>
        <w:rPr>
          <w:rFonts w:ascii="Verdana" w:eastAsia="Verdana" w:hAnsi="Verdana" w:cs="Verdana"/>
          <w:sz w:val="22"/>
          <w:lang w:val="en-GB"/>
        </w:rPr>
      </w:pPr>
    </w:p>
    <w:p w:rsidR="00F227D9" w:rsidRDefault="00F227D9">
      <w:pPr>
        <w:pStyle w:val="Normal0"/>
        <w:spacing w:after="160" w:line="259" w:lineRule="auto"/>
        <w:rPr>
          <w:rFonts w:ascii="Verdana" w:eastAsia="Verdana" w:hAnsi="Verdana" w:cs="Verdana"/>
          <w:sz w:val="22"/>
          <w:szCs w:val="22"/>
          <w:lang w:val="en-GB"/>
        </w:rPr>
      </w:pPr>
    </w:p>
    <w:p w:rsidR="00F227D9" w:rsidRDefault="00F227D9">
      <w:pPr>
        <w:pStyle w:val="Normal0"/>
        <w:spacing w:after="160" w:line="259" w:lineRule="auto"/>
        <w:rPr>
          <w:rFonts w:ascii="Verdana" w:eastAsia="Verdana" w:hAnsi="Verdana" w:cs="Verdana"/>
          <w:sz w:val="22"/>
          <w:szCs w:val="22"/>
          <w:lang w:val="en-GB"/>
        </w:rPr>
      </w:pPr>
    </w:p>
    <w:p w:rsidR="005B4F75" w:rsidRDefault="005B4F75">
      <w:pPr>
        <w:pStyle w:val="Normal0"/>
        <w:spacing w:after="160" w:line="259" w:lineRule="auto"/>
        <w:rPr>
          <w:rFonts w:ascii="Verdana" w:eastAsia="Verdana" w:hAnsi="Verdana" w:cs="Verdana"/>
          <w:sz w:val="22"/>
          <w:szCs w:val="22"/>
          <w:lang w:val="en-GB"/>
        </w:rPr>
      </w:pPr>
    </w:p>
    <w:p w:rsidR="005B4F75" w:rsidRDefault="005B4F75">
      <w:pPr>
        <w:pStyle w:val="Normal0"/>
        <w:spacing w:after="160" w:line="259" w:lineRule="auto"/>
        <w:rPr>
          <w:rFonts w:ascii="Verdana" w:eastAsia="Verdana" w:hAnsi="Verdana" w:cs="Verdana"/>
          <w:sz w:val="22"/>
          <w:szCs w:val="22"/>
          <w:lang w:val="en-GB"/>
        </w:rPr>
      </w:pPr>
    </w:p>
    <w:p w:rsidR="00F227D9" w:rsidRPr="00864372" w:rsidRDefault="00F227D9" w:rsidP="00F227D9">
      <w:pPr>
        <w:pStyle w:val="Heading1"/>
        <w:spacing w:after="240" w:line="259" w:lineRule="auto"/>
        <w:rPr>
          <w:lang w:val="pt-BR"/>
        </w:rPr>
      </w:pPr>
      <w:bookmarkStart w:id="15" w:name="_Toc55900985"/>
      <w:r w:rsidRPr="00864372">
        <w:rPr>
          <w:lang w:val="pt-BR"/>
        </w:rPr>
        <w:t>Note 7 - Grant Income</w:t>
      </w:r>
      <w:bookmarkEnd w:id="15"/>
      <w:r w:rsidRPr="00864372">
        <w:rPr>
          <w:lang w:val="pt-BR"/>
        </w:rPr>
        <w:t xml:space="preserve"> </w:t>
      </w:r>
    </w:p>
    <w:tbl>
      <w:tblPr>
        <w:tblW w:w="0" w:type="auto"/>
        <w:jc w:val="center"/>
        <w:tblLayout w:type="fixed"/>
        <w:tblLook w:val="04A0" w:firstRow="1" w:lastRow="0" w:firstColumn="1" w:lastColumn="0" w:noHBand="0" w:noVBand="1"/>
      </w:tblPr>
      <w:tblGrid>
        <w:gridCol w:w="1965"/>
        <w:gridCol w:w="195"/>
        <w:gridCol w:w="4800"/>
        <w:gridCol w:w="1965"/>
      </w:tblGrid>
      <w:tr w:rsidR="0053376B" w:rsidRPr="00864372" w:rsidTr="007D3C35">
        <w:trPr>
          <w:trHeight w:val="720"/>
          <w:jc w:val="center"/>
        </w:trPr>
        <w:tc>
          <w:tcPr>
            <w:tcW w:w="8925" w:type="dxa"/>
            <w:gridSpan w:val="4"/>
            <w:shd w:val="clear" w:color="auto" w:fill="auto"/>
            <w:tcMar>
              <w:top w:w="20" w:type="dxa"/>
              <w:left w:w="20" w:type="dxa"/>
              <w:bottom w:w="20" w:type="dxa"/>
              <w:right w:w="20" w:type="dxa"/>
            </w:tcMar>
            <w:vAlign w:val="bottom"/>
          </w:tcPr>
          <w:p w:rsidR="00F227D9" w:rsidRPr="00864372" w:rsidRDefault="00F227D9">
            <w:pPr>
              <w:pStyle w:val="T1TableStyle"/>
              <w:rPr>
                <w:rFonts w:ascii="Verdana" w:eastAsia="Verdana" w:hAnsi="Verdana" w:cs="Verdana"/>
                <w:b/>
                <w:color w:val="000000"/>
                <w:sz w:val="24"/>
                <w:lang w:val="en-GB"/>
              </w:rPr>
            </w:pPr>
            <w:r w:rsidRPr="00864372">
              <w:rPr>
                <w:rFonts w:ascii="Verdana" w:eastAsia="Verdana" w:hAnsi="Verdana" w:cs="Verdana"/>
                <w:b/>
                <w:color w:val="000000"/>
                <w:sz w:val="24"/>
                <w:lang w:val="en-GB"/>
              </w:rPr>
              <w:t xml:space="preserve">Credited to Services </w:t>
            </w:r>
          </w:p>
        </w:tc>
      </w:tr>
      <w:tr w:rsidR="0053376B" w:rsidRPr="00864372" w:rsidTr="007D3C35">
        <w:trPr>
          <w:trHeight w:hRule="exact" w:val="360"/>
          <w:jc w:val="center"/>
        </w:trPr>
        <w:tc>
          <w:tcPr>
            <w:tcW w:w="1965" w:type="dxa"/>
            <w:shd w:val="clear" w:color="auto" w:fill="auto"/>
            <w:tcMar>
              <w:top w:w="20" w:type="dxa"/>
              <w:left w:w="20" w:type="dxa"/>
              <w:bottom w:w="20" w:type="dxa"/>
              <w:right w:w="20" w:type="dxa"/>
            </w:tcMar>
            <w:vAlign w:val="bottom"/>
          </w:tcPr>
          <w:p w:rsidR="00F227D9" w:rsidRPr="00864372" w:rsidRDefault="00F227D9">
            <w:pPr>
              <w:pStyle w:val="T1TableStyle"/>
              <w:rPr>
                <w:rFonts w:ascii="Verdana" w:eastAsia="Verdana" w:hAnsi="Verdana" w:cs="Verdana"/>
                <w:b/>
                <w:color w:val="000000"/>
                <w:sz w:val="2"/>
                <w:lang w:val="en-GB"/>
              </w:rPr>
            </w:pPr>
            <w:r w:rsidRPr="00864372">
              <w:rPr>
                <w:rFonts w:ascii="Verdana" w:eastAsia="Verdana" w:hAnsi="Verdana" w:cs="Verdana"/>
                <w:b/>
                <w:color w:val="000000"/>
                <w:sz w:val="2"/>
                <w:lang w:val="en-GB"/>
              </w:rPr>
              <w:t xml:space="preserve"> </w:t>
            </w:r>
          </w:p>
        </w:tc>
        <w:tc>
          <w:tcPr>
            <w:tcW w:w="195" w:type="dxa"/>
            <w:shd w:val="clear" w:color="auto" w:fill="auto"/>
            <w:tcMar>
              <w:top w:w="20" w:type="dxa"/>
              <w:left w:w="20" w:type="dxa"/>
              <w:bottom w:w="20" w:type="dxa"/>
              <w:right w:w="20" w:type="dxa"/>
            </w:tcMar>
            <w:vAlign w:val="bottom"/>
          </w:tcPr>
          <w:p w:rsidR="00F227D9" w:rsidRPr="00864372" w:rsidRDefault="00F227D9">
            <w:pPr>
              <w:pStyle w:val="T1TableStyle"/>
              <w:rPr>
                <w:rFonts w:ascii="Verdana" w:eastAsia="Verdana" w:hAnsi="Verdana" w:cs="Verdana"/>
                <w:b/>
                <w:color w:val="000000"/>
                <w:sz w:val="2"/>
                <w:lang w:val="en-GB"/>
              </w:rPr>
            </w:pPr>
            <w:r w:rsidRPr="00864372">
              <w:rPr>
                <w:rFonts w:ascii="Verdana" w:eastAsia="Verdana" w:hAnsi="Verdana" w:cs="Verdana"/>
                <w:b/>
                <w:color w:val="000000"/>
                <w:sz w:val="2"/>
                <w:lang w:val="en-GB"/>
              </w:rPr>
              <w:t xml:space="preserve"> </w:t>
            </w:r>
          </w:p>
        </w:tc>
        <w:tc>
          <w:tcPr>
            <w:tcW w:w="4800" w:type="dxa"/>
            <w:shd w:val="clear" w:color="auto" w:fill="auto"/>
            <w:tcMar>
              <w:top w:w="20" w:type="dxa"/>
              <w:left w:w="20" w:type="dxa"/>
              <w:bottom w:w="20" w:type="dxa"/>
              <w:right w:w="20" w:type="dxa"/>
            </w:tcMar>
            <w:vAlign w:val="bottom"/>
          </w:tcPr>
          <w:p w:rsidR="00F227D9" w:rsidRPr="00864372" w:rsidRDefault="00F227D9">
            <w:pPr>
              <w:pStyle w:val="T1TableStyle"/>
              <w:rPr>
                <w:rFonts w:ascii="Verdana" w:eastAsia="Verdana" w:hAnsi="Verdana" w:cs="Verdana"/>
                <w:b/>
                <w:color w:val="000000"/>
                <w:sz w:val="2"/>
                <w:lang w:val="en-GB"/>
              </w:rPr>
            </w:pPr>
            <w:r w:rsidRPr="00864372">
              <w:rPr>
                <w:rFonts w:ascii="Verdana" w:eastAsia="Verdana" w:hAnsi="Verdana" w:cs="Verdana"/>
                <w:b/>
                <w:color w:val="000000"/>
                <w:sz w:val="2"/>
                <w:lang w:val="en-GB"/>
              </w:rPr>
              <w:t xml:space="preserve"> </w:t>
            </w:r>
          </w:p>
        </w:tc>
        <w:tc>
          <w:tcPr>
            <w:tcW w:w="1965" w:type="dxa"/>
            <w:shd w:val="clear" w:color="auto" w:fill="auto"/>
            <w:tcMar>
              <w:top w:w="20" w:type="dxa"/>
              <w:left w:w="20" w:type="dxa"/>
              <w:bottom w:w="20" w:type="dxa"/>
              <w:right w:w="20" w:type="dxa"/>
            </w:tcMar>
            <w:vAlign w:val="bottom"/>
          </w:tcPr>
          <w:p w:rsidR="00F227D9" w:rsidRPr="00864372" w:rsidRDefault="00F227D9">
            <w:pPr>
              <w:pStyle w:val="T1TableStyle"/>
              <w:rPr>
                <w:rFonts w:ascii="Verdana" w:eastAsia="Verdana" w:hAnsi="Verdana" w:cs="Verdana"/>
                <w:b/>
                <w:color w:val="000000"/>
                <w:sz w:val="2"/>
                <w:lang w:val="en-GB"/>
              </w:rPr>
            </w:pPr>
            <w:r w:rsidRPr="00864372">
              <w:rPr>
                <w:rFonts w:ascii="Verdana" w:eastAsia="Verdana" w:hAnsi="Verdana" w:cs="Verdana"/>
                <w:b/>
                <w:color w:val="000000"/>
                <w:sz w:val="2"/>
                <w:lang w:val="en-GB"/>
              </w:rPr>
              <w:t xml:space="preserve"> </w:t>
            </w:r>
          </w:p>
        </w:tc>
      </w:tr>
      <w:tr w:rsidR="0053376B" w:rsidRPr="00864372" w:rsidTr="007D3C35">
        <w:trPr>
          <w:trHeight w:val="360"/>
          <w:jc w:val="center"/>
        </w:trPr>
        <w:tc>
          <w:tcPr>
            <w:tcW w:w="1965" w:type="dxa"/>
            <w:shd w:val="clear" w:color="auto" w:fill="auto"/>
            <w:tcMar>
              <w:top w:w="20" w:type="dxa"/>
              <w:left w:w="20" w:type="dxa"/>
              <w:bottom w:w="20" w:type="dxa"/>
              <w:right w:w="20" w:type="dxa"/>
            </w:tcMar>
            <w:vAlign w:val="bottom"/>
          </w:tcPr>
          <w:p w:rsidR="00F227D9" w:rsidRPr="00864372" w:rsidRDefault="00F227D9">
            <w:pPr>
              <w:pStyle w:val="T1TableStyle"/>
              <w:jc w:val="center"/>
              <w:rPr>
                <w:rFonts w:ascii="Verdana" w:eastAsia="Verdana" w:hAnsi="Verdana" w:cs="Verdana"/>
                <w:b/>
                <w:color w:val="000000"/>
                <w:sz w:val="16"/>
                <w:lang w:val="en-GB"/>
              </w:rPr>
            </w:pPr>
            <w:r w:rsidRPr="00864372">
              <w:rPr>
                <w:rFonts w:ascii="Verdana" w:eastAsia="Verdana" w:hAnsi="Verdana" w:cs="Verdana"/>
                <w:b/>
                <w:color w:val="000000"/>
                <w:sz w:val="16"/>
                <w:lang w:val="en-GB"/>
              </w:rPr>
              <w:t>31 March 2019</w:t>
            </w:r>
          </w:p>
        </w:tc>
        <w:tc>
          <w:tcPr>
            <w:tcW w:w="195" w:type="dxa"/>
            <w:shd w:val="clear" w:color="auto" w:fill="auto"/>
            <w:tcMar>
              <w:top w:w="20" w:type="dxa"/>
              <w:left w:w="20" w:type="dxa"/>
              <w:bottom w:w="20" w:type="dxa"/>
              <w:right w:w="20" w:type="dxa"/>
            </w:tcMar>
          </w:tcPr>
          <w:p w:rsidR="00F227D9" w:rsidRPr="00864372" w:rsidRDefault="00F227D9">
            <w:pPr>
              <w:pStyle w:val="T1TableStyle"/>
              <w:rPr>
                <w:rFonts w:ascii="Verdana" w:eastAsia="Verdana" w:hAnsi="Verdana" w:cs="Verdana"/>
                <w:b/>
                <w:color w:val="000000"/>
                <w:sz w:val="2"/>
                <w:lang w:val="en-GB"/>
              </w:rPr>
            </w:pPr>
            <w:r w:rsidRPr="00864372">
              <w:rPr>
                <w:rFonts w:ascii="Verdana" w:eastAsia="Verdana" w:hAnsi="Verdana" w:cs="Verdana"/>
                <w:b/>
                <w:color w:val="000000"/>
                <w:sz w:val="2"/>
                <w:lang w:val="en-GB"/>
              </w:rPr>
              <w:t xml:space="preserve"> </w:t>
            </w:r>
          </w:p>
        </w:tc>
        <w:tc>
          <w:tcPr>
            <w:tcW w:w="4800" w:type="dxa"/>
            <w:shd w:val="clear" w:color="auto" w:fill="auto"/>
            <w:tcMar>
              <w:top w:w="20" w:type="dxa"/>
              <w:left w:w="20" w:type="dxa"/>
              <w:bottom w:w="20" w:type="dxa"/>
              <w:right w:w="20" w:type="dxa"/>
            </w:tcMar>
          </w:tcPr>
          <w:p w:rsidR="00F227D9" w:rsidRPr="00864372" w:rsidRDefault="00F227D9">
            <w:pPr>
              <w:pStyle w:val="T1TableStyle"/>
              <w:rPr>
                <w:rFonts w:ascii="Verdana" w:eastAsia="Verdana" w:hAnsi="Verdana" w:cs="Verdana"/>
                <w:b/>
                <w:color w:val="000000"/>
                <w:sz w:val="2"/>
                <w:lang w:val="en-GB"/>
              </w:rPr>
            </w:pPr>
            <w:r w:rsidRPr="00864372">
              <w:rPr>
                <w:rFonts w:ascii="Verdana" w:eastAsia="Verdana" w:hAnsi="Verdana" w:cs="Verdana"/>
                <w:b/>
                <w:color w:val="000000"/>
                <w:sz w:val="2"/>
                <w:lang w:val="en-GB"/>
              </w:rPr>
              <w:t xml:space="preserve"> </w:t>
            </w:r>
          </w:p>
        </w:tc>
        <w:tc>
          <w:tcPr>
            <w:tcW w:w="1965" w:type="dxa"/>
            <w:shd w:val="clear" w:color="auto" w:fill="auto"/>
            <w:tcMar>
              <w:top w:w="20" w:type="dxa"/>
              <w:left w:w="20" w:type="dxa"/>
              <w:bottom w:w="20" w:type="dxa"/>
              <w:right w:w="20" w:type="dxa"/>
            </w:tcMar>
            <w:vAlign w:val="bottom"/>
          </w:tcPr>
          <w:p w:rsidR="00F227D9" w:rsidRPr="00864372" w:rsidRDefault="00F227D9">
            <w:pPr>
              <w:pStyle w:val="T1TableStyle"/>
              <w:jc w:val="center"/>
              <w:rPr>
                <w:rFonts w:ascii="Verdana" w:eastAsia="Verdana" w:hAnsi="Verdana" w:cs="Verdana"/>
                <w:b/>
                <w:color w:val="000000"/>
                <w:sz w:val="16"/>
                <w:lang w:val="en-GB"/>
              </w:rPr>
            </w:pPr>
            <w:r w:rsidRPr="00864372">
              <w:rPr>
                <w:rFonts w:ascii="Verdana" w:eastAsia="Verdana" w:hAnsi="Verdana" w:cs="Verdana"/>
                <w:b/>
                <w:color w:val="000000"/>
                <w:sz w:val="16"/>
                <w:lang w:val="en-GB"/>
              </w:rPr>
              <w:t>31 March 2020</w:t>
            </w:r>
          </w:p>
        </w:tc>
      </w:tr>
      <w:tr w:rsidR="0053376B" w:rsidRPr="00864372" w:rsidTr="007D3C35">
        <w:trPr>
          <w:trHeight w:val="255"/>
          <w:jc w:val="center"/>
        </w:trPr>
        <w:tc>
          <w:tcPr>
            <w:tcW w:w="1965" w:type="dxa"/>
            <w:tcBorders>
              <w:bottom w:val="single" w:sz="2" w:space="0" w:color="000000"/>
            </w:tcBorders>
            <w:shd w:val="clear" w:color="auto" w:fill="auto"/>
            <w:tcMar>
              <w:top w:w="20" w:type="dxa"/>
              <w:left w:w="20" w:type="dxa"/>
              <w:bottom w:w="20" w:type="dxa"/>
              <w:right w:w="20" w:type="dxa"/>
            </w:tcMar>
          </w:tcPr>
          <w:p w:rsidR="00F227D9" w:rsidRPr="00864372" w:rsidRDefault="00F227D9">
            <w:pPr>
              <w:pStyle w:val="T1TableStyle"/>
              <w:jc w:val="right"/>
              <w:rPr>
                <w:rFonts w:ascii="Verdana" w:eastAsia="Verdana" w:hAnsi="Verdana" w:cs="Verdana"/>
                <w:b/>
                <w:color w:val="000000"/>
                <w:sz w:val="16"/>
                <w:lang w:val="en-GB"/>
              </w:rPr>
            </w:pPr>
            <w:r w:rsidRPr="00864372">
              <w:rPr>
                <w:rFonts w:ascii="Verdana" w:eastAsia="Verdana" w:hAnsi="Verdana" w:cs="Verdana"/>
                <w:b/>
                <w:color w:val="000000"/>
                <w:sz w:val="16"/>
                <w:lang w:val="en-GB"/>
              </w:rPr>
              <w:t>£000</w:t>
            </w:r>
          </w:p>
        </w:tc>
        <w:tc>
          <w:tcPr>
            <w:tcW w:w="195" w:type="dxa"/>
            <w:tcBorders>
              <w:bottom w:val="single" w:sz="2" w:space="0" w:color="000000"/>
            </w:tcBorders>
            <w:shd w:val="clear" w:color="auto" w:fill="auto"/>
            <w:tcMar>
              <w:top w:w="20" w:type="dxa"/>
              <w:left w:w="20" w:type="dxa"/>
              <w:bottom w:w="20" w:type="dxa"/>
              <w:right w:w="20" w:type="dxa"/>
            </w:tcMar>
          </w:tcPr>
          <w:p w:rsidR="00F227D9" w:rsidRPr="00864372" w:rsidRDefault="00F227D9">
            <w:pPr>
              <w:pStyle w:val="T1TableStyle"/>
              <w:jc w:val="right"/>
              <w:rPr>
                <w:rFonts w:ascii="Verdana" w:eastAsia="Verdana" w:hAnsi="Verdana" w:cs="Verdana"/>
                <w:b/>
                <w:color w:val="000000"/>
                <w:sz w:val="2"/>
                <w:lang w:val="en-GB"/>
              </w:rPr>
            </w:pPr>
            <w:r w:rsidRPr="00864372">
              <w:rPr>
                <w:rFonts w:ascii="Verdana" w:eastAsia="Verdana" w:hAnsi="Verdana" w:cs="Verdana"/>
                <w:b/>
                <w:color w:val="000000"/>
                <w:sz w:val="2"/>
                <w:lang w:val="en-GB"/>
              </w:rPr>
              <w:t xml:space="preserve"> </w:t>
            </w:r>
          </w:p>
        </w:tc>
        <w:tc>
          <w:tcPr>
            <w:tcW w:w="4800" w:type="dxa"/>
            <w:tcBorders>
              <w:bottom w:val="single" w:sz="2" w:space="0" w:color="000000"/>
            </w:tcBorders>
            <w:shd w:val="clear" w:color="auto" w:fill="auto"/>
            <w:tcMar>
              <w:top w:w="20" w:type="dxa"/>
              <w:left w:w="20" w:type="dxa"/>
              <w:bottom w:w="20" w:type="dxa"/>
              <w:right w:w="20" w:type="dxa"/>
            </w:tcMar>
          </w:tcPr>
          <w:p w:rsidR="00F227D9" w:rsidRPr="00864372" w:rsidRDefault="00F227D9">
            <w:pPr>
              <w:pStyle w:val="T1TableStyle"/>
              <w:jc w:val="right"/>
              <w:rPr>
                <w:rFonts w:ascii="Verdana" w:eastAsia="Verdana" w:hAnsi="Verdana" w:cs="Verdana"/>
                <w:b/>
                <w:color w:val="000000"/>
                <w:sz w:val="2"/>
                <w:lang w:val="en-GB"/>
              </w:rPr>
            </w:pPr>
            <w:r w:rsidRPr="00864372">
              <w:rPr>
                <w:rFonts w:ascii="Verdana" w:eastAsia="Verdana" w:hAnsi="Verdana" w:cs="Verdana"/>
                <w:b/>
                <w:color w:val="000000"/>
                <w:sz w:val="2"/>
                <w:lang w:val="en-GB"/>
              </w:rPr>
              <w:t xml:space="preserve"> </w:t>
            </w:r>
          </w:p>
        </w:tc>
        <w:tc>
          <w:tcPr>
            <w:tcW w:w="1965" w:type="dxa"/>
            <w:tcBorders>
              <w:bottom w:val="single" w:sz="2" w:space="0" w:color="000000"/>
            </w:tcBorders>
            <w:shd w:val="clear" w:color="auto" w:fill="auto"/>
            <w:tcMar>
              <w:top w:w="20" w:type="dxa"/>
              <w:left w:w="20" w:type="dxa"/>
              <w:bottom w:w="20" w:type="dxa"/>
              <w:right w:w="20" w:type="dxa"/>
            </w:tcMar>
          </w:tcPr>
          <w:p w:rsidR="00F227D9" w:rsidRPr="00864372" w:rsidRDefault="00F227D9">
            <w:pPr>
              <w:pStyle w:val="T1TableStyle"/>
              <w:jc w:val="right"/>
              <w:rPr>
                <w:rFonts w:ascii="Verdana" w:eastAsia="Verdana" w:hAnsi="Verdana" w:cs="Verdana"/>
                <w:b/>
                <w:color w:val="000000"/>
                <w:sz w:val="16"/>
                <w:lang w:val="en-GB"/>
              </w:rPr>
            </w:pPr>
            <w:r w:rsidRPr="00864372">
              <w:rPr>
                <w:rFonts w:ascii="Verdana" w:eastAsia="Verdana" w:hAnsi="Verdana" w:cs="Verdana"/>
                <w:b/>
                <w:color w:val="000000"/>
                <w:sz w:val="16"/>
                <w:lang w:val="en-GB"/>
              </w:rPr>
              <w:t>£000</w:t>
            </w:r>
          </w:p>
        </w:tc>
      </w:tr>
      <w:tr w:rsidR="0053376B" w:rsidRPr="00864372" w:rsidTr="007D3C35">
        <w:trPr>
          <w:trHeight w:val="255"/>
          <w:jc w:val="center"/>
        </w:trPr>
        <w:tc>
          <w:tcPr>
            <w:tcW w:w="1965" w:type="dxa"/>
            <w:shd w:val="clear" w:color="auto" w:fill="auto"/>
            <w:tcMar>
              <w:top w:w="20" w:type="dxa"/>
              <w:left w:w="20" w:type="dxa"/>
              <w:bottom w:w="20" w:type="dxa"/>
              <w:right w:w="20" w:type="dxa"/>
            </w:tcMar>
          </w:tcPr>
          <w:p w:rsidR="00F227D9" w:rsidRPr="00864372" w:rsidRDefault="00F227D9">
            <w:pPr>
              <w:pStyle w:val="T1TableStyle"/>
              <w:jc w:val="right"/>
              <w:rPr>
                <w:rFonts w:ascii="Verdana" w:eastAsia="Verdana" w:hAnsi="Verdana" w:cs="Verdana"/>
                <w:color w:val="000000"/>
                <w:sz w:val="16"/>
                <w:lang w:val="en-GB"/>
              </w:rPr>
            </w:pPr>
            <w:r w:rsidRPr="00864372">
              <w:rPr>
                <w:rFonts w:ascii="Verdana" w:eastAsia="Verdana" w:hAnsi="Verdana" w:cs="Verdana"/>
                <w:color w:val="000000"/>
                <w:sz w:val="16"/>
                <w:lang w:val="en-GB"/>
              </w:rPr>
              <w:t>(906)</w:t>
            </w:r>
          </w:p>
        </w:tc>
        <w:tc>
          <w:tcPr>
            <w:tcW w:w="195" w:type="dxa"/>
            <w:shd w:val="clear" w:color="auto" w:fill="auto"/>
            <w:tcMar>
              <w:top w:w="20" w:type="dxa"/>
              <w:left w:w="20" w:type="dxa"/>
              <w:bottom w:w="20" w:type="dxa"/>
              <w:right w:w="20" w:type="dxa"/>
            </w:tcMar>
          </w:tcPr>
          <w:p w:rsidR="00F227D9" w:rsidRPr="00864372" w:rsidRDefault="00F227D9">
            <w:pPr>
              <w:pStyle w:val="T1TableStyle"/>
              <w:jc w:val="center"/>
              <w:rPr>
                <w:rFonts w:ascii="Verdana" w:eastAsia="Verdana" w:hAnsi="Verdana" w:cs="Verdana"/>
                <w:color w:val="000000"/>
                <w:sz w:val="2"/>
                <w:lang w:val="en-GB"/>
              </w:rPr>
            </w:pPr>
            <w:r w:rsidRPr="00864372">
              <w:rPr>
                <w:rFonts w:ascii="Verdana" w:eastAsia="Verdana" w:hAnsi="Verdana" w:cs="Verdana"/>
                <w:color w:val="000000"/>
                <w:sz w:val="2"/>
                <w:lang w:val="en-GB"/>
              </w:rPr>
              <w:t xml:space="preserve"> </w:t>
            </w:r>
          </w:p>
        </w:tc>
        <w:tc>
          <w:tcPr>
            <w:tcW w:w="4800" w:type="dxa"/>
            <w:shd w:val="clear" w:color="auto" w:fill="auto"/>
            <w:tcMar>
              <w:top w:w="20" w:type="dxa"/>
              <w:left w:w="20" w:type="dxa"/>
              <w:bottom w:w="20" w:type="dxa"/>
              <w:right w:w="20" w:type="dxa"/>
            </w:tcMar>
          </w:tcPr>
          <w:p w:rsidR="00F227D9" w:rsidRPr="00864372" w:rsidRDefault="00F227D9">
            <w:pPr>
              <w:pStyle w:val="T1TableStyle"/>
              <w:rPr>
                <w:rFonts w:ascii="Verdana" w:eastAsia="Verdana" w:hAnsi="Verdana" w:cs="Verdana"/>
                <w:color w:val="000000"/>
                <w:sz w:val="16"/>
                <w:lang w:val="en-GB"/>
              </w:rPr>
            </w:pPr>
            <w:r w:rsidRPr="00864372">
              <w:rPr>
                <w:rFonts w:ascii="Verdana" w:eastAsia="Verdana" w:hAnsi="Verdana" w:cs="Verdana"/>
                <w:color w:val="000000"/>
                <w:sz w:val="16"/>
                <w:lang w:val="en-GB"/>
              </w:rPr>
              <w:t>Counter Terrorism</w:t>
            </w:r>
          </w:p>
        </w:tc>
        <w:tc>
          <w:tcPr>
            <w:tcW w:w="1965" w:type="dxa"/>
            <w:shd w:val="clear" w:color="auto" w:fill="auto"/>
            <w:tcMar>
              <w:top w:w="20" w:type="dxa"/>
              <w:left w:w="20" w:type="dxa"/>
              <w:bottom w:w="20" w:type="dxa"/>
              <w:right w:w="20" w:type="dxa"/>
            </w:tcMar>
          </w:tcPr>
          <w:p w:rsidR="00F227D9" w:rsidRPr="00864372" w:rsidRDefault="00B634E7">
            <w:pPr>
              <w:pStyle w:val="T1TableStyle"/>
              <w:jc w:val="right"/>
              <w:rPr>
                <w:rFonts w:ascii="Verdana" w:eastAsia="Verdana" w:hAnsi="Verdana" w:cs="Verdana"/>
                <w:color w:val="000000"/>
                <w:sz w:val="16"/>
                <w:lang w:val="en-GB"/>
              </w:rPr>
            </w:pPr>
            <w:r w:rsidRPr="00864372">
              <w:rPr>
                <w:rFonts w:ascii="Verdana" w:eastAsia="Verdana" w:hAnsi="Verdana" w:cs="Verdana"/>
                <w:color w:val="000000"/>
                <w:sz w:val="16"/>
                <w:lang w:val="en-GB"/>
              </w:rPr>
              <w:t>(955)</w:t>
            </w:r>
          </w:p>
        </w:tc>
      </w:tr>
      <w:tr w:rsidR="0053376B" w:rsidRPr="00864372" w:rsidTr="007D3C35">
        <w:trPr>
          <w:trHeight w:val="255"/>
          <w:jc w:val="center"/>
        </w:trPr>
        <w:tc>
          <w:tcPr>
            <w:tcW w:w="1965" w:type="dxa"/>
            <w:shd w:val="clear" w:color="auto" w:fill="auto"/>
            <w:tcMar>
              <w:top w:w="20" w:type="dxa"/>
              <w:left w:w="20" w:type="dxa"/>
              <w:bottom w:w="20" w:type="dxa"/>
              <w:right w:w="20" w:type="dxa"/>
            </w:tcMar>
          </w:tcPr>
          <w:p w:rsidR="00F227D9" w:rsidRPr="00864372" w:rsidRDefault="00F227D9">
            <w:pPr>
              <w:pStyle w:val="T1TableStyle"/>
              <w:jc w:val="right"/>
              <w:rPr>
                <w:rFonts w:ascii="Verdana" w:eastAsia="Verdana" w:hAnsi="Verdana" w:cs="Verdana"/>
                <w:color w:val="000000"/>
                <w:sz w:val="16"/>
                <w:lang w:val="en-GB"/>
              </w:rPr>
            </w:pPr>
            <w:r w:rsidRPr="00864372">
              <w:rPr>
                <w:rFonts w:ascii="Verdana" w:eastAsia="Verdana" w:hAnsi="Verdana" w:cs="Verdana"/>
                <w:color w:val="000000"/>
                <w:sz w:val="16"/>
                <w:lang w:val="en-GB"/>
              </w:rPr>
              <w:t>(238)</w:t>
            </w:r>
          </w:p>
        </w:tc>
        <w:tc>
          <w:tcPr>
            <w:tcW w:w="195" w:type="dxa"/>
            <w:shd w:val="clear" w:color="auto" w:fill="auto"/>
            <w:tcMar>
              <w:top w:w="20" w:type="dxa"/>
              <w:left w:w="20" w:type="dxa"/>
              <w:bottom w:w="20" w:type="dxa"/>
              <w:right w:w="20" w:type="dxa"/>
            </w:tcMar>
          </w:tcPr>
          <w:p w:rsidR="00F227D9" w:rsidRPr="00864372" w:rsidRDefault="00F227D9">
            <w:pPr>
              <w:pStyle w:val="T1TableStyle"/>
              <w:jc w:val="center"/>
              <w:rPr>
                <w:rFonts w:ascii="Verdana" w:eastAsia="Verdana" w:hAnsi="Verdana" w:cs="Verdana"/>
                <w:color w:val="000000"/>
                <w:sz w:val="2"/>
                <w:lang w:val="en-GB"/>
              </w:rPr>
            </w:pPr>
            <w:r w:rsidRPr="00864372">
              <w:rPr>
                <w:rFonts w:ascii="Verdana" w:eastAsia="Verdana" w:hAnsi="Verdana" w:cs="Verdana"/>
                <w:color w:val="000000"/>
                <w:sz w:val="2"/>
                <w:lang w:val="en-GB"/>
              </w:rPr>
              <w:t xml:space="preserve"> </w:t>
            </w:r>
          </w:p>
        </w:tc>
        <w:tc>
          <w:tcPr>
            <w:tcW w:w="4800" w:type="dxa"/>
            <w:shd w:val="clear" w:color="auto" w:fill="auto"/>
            <w:tcMar>
              <w:top w:w="20" w:type="dxa"/>
              <w:left w:w="20" w:type="dxa"/>
              <w:bottom w:w="20" w:type="dxa"/>
              <w:right w:w="20" w:type="dxa"/>
            </w:tcMar>
          </w:tcPr>
          <w:p w:rsidR="00F227D9" w:rsidRPr="00864372" w:rsidRDefault="00F227D9">
            <w:pPr>
              <w:pStyle w:val="T1TableStyle"/>
              <w:rPr>
                <w:rFonts w:ascii="Verdana" w:eastAsia="Verdana" w:hAnsi="Verdana" w:cs="Verdana"/>
                <w:color w:val="000000"/>
                <w:sz w:val="16"/>
                <w:lang w:val="en-GB"/>
              </w:rPr>
            </w:pPr>
            <w:r w:rsidRPr="00864372">
              <w:rPr>
                <w:rFonts w:ascii="Verdana" w:eastAsia="Verdana" w:hAnsi="Verdana" w:cs="Verdana"/>
                <w:color w:val="000000"/>
                <w:sz w:val="16"/>
                <w:lang w:val="en-GB"/>
              </w:rPr>
              <w:t>Other</w:t>
            </w:r>
          </w:p>
        </w:tc>
        <w:tc>
          <w:tcPr>
            <w:tcW w:w="1965" w:type="dxa"/>
            <w:shd w:val="clear" w:color="auto" w:fill="auto"/>
            <w:tcMar>
              <w:top w:w="20" w:type="dxa"/>
              <w:left w:w="20" w:type="dxa"/>
              <w:bottom w:w="20" w:type="dxa"/>
              <w:right w:w="20" w:type="dxa"/>
            </w:tcMar>
          </w:tcPr>
          <w:p w:rsidR="00F227D9" w:rsidRPr="00864372" w:rsidRDefault="00B634E7" w:rsidP="00864372">
            <w:pPr>
              <w:pStyle w:val="T1TableStyle"/>
              <w:jc w:val="right"/>
              <w:rPr>
                <w:rFonts w:ascii="Verdana" w:eastAsia="Verdana" w:hAnsi="Verdana" w:cs="Verdana"/>
                <w:color w:val="000000"/>
                <w:sz w:val="16"/>
                <w:lang w:val="en-GB"/>
              </w:rPr>
            </w:pPr>
            <w:r w:rsidRPr="00864372">
              <w:rPr>
                <w:rFonts w:ascii="Verdana" w:eastAsia="Verdana" w:hAnsi="Verdana" w:cs="Verdana"/>
                <w:color w:val="000000"/>
                <w:sz w:val="16"/>
                <w:lang w:val="en-GB"/>
              </w:rPr>
              <w:t>(</w:t>
            </w:r>
            <w:r w:rsidR="00864372" w:rsidRPr="00864372">
              <w:rPr>
                <w:rFonts w:ascii="Verdana" w:eastAsia="Verdana" w:hAnsi="Verdana" w:cs="Verdana"/>
                <w:color w:val="000000"/>
                <w:sz w:val="16"/>
                <w:lang w:val="en-GB"/>
              </w:rPr>
              <w:t>594</w:t>
            </w:r>
            <w:r w:rsidRPr="00864372">
              <w:rPr>
                <w:rFonts w:ascii="Verdana" w:eastAsia="Verdana" w:hAnsi="Verdana" w:cs="Verdana"/>
                <w:color w:val="000000"/>
                <w:sz w:val="16"/>
                <w:lang w:val="en-GB"/>
              </w:rPr>
              <w:t>)</w:t>
            </w:r>
          </w:p>
        </w:tc>
      </w:tr>
      <w:tr w:rsidR="0053376B" w:rsidRPr="00B634E7" w:rsidTr="007D3C35">
        <w:trPr>
          <w:trHeight w:val="255"/>
          <w:jc w:val="center"/>
        </w:trPr>
        <w:tc>
          <w:tcPr>
            <w:tcW w:w="196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864372" w:rsidRDefault="00F227D9">
            <w:pPr>
              <w:pStyle w:val="T1TableStyle"/>
              <w:jc w:val="right"/>
              <w:rPr>
                <w:rFonts w:ascii="Verdana" w:eastAsia="Verdana" w:hAnsi="Verdana" w:cs="Verdana"/>
                <w:b/>
                <w:color w:val="000000"/>
                <w:sz w:val="16"/>
                <w:lang w:val="en-GB"/>
              </w:rPr>
            </w:pPr>
            <w:r w:rsidRPr="00864372">
              <w:rPr>
                <w:rFonts w:ascii="Verdana" w:eastAsia="Verdana" w:hAnsi="Verdana" w:cs="Verdana"/>
                <w:b/>
                <w:color w:val="000000"/>
                <w:sz w:val="16"/>
                <w:lang w:val="en-GB"/>
              </w:rPr>
              <w:t>(1,144)</w:t>
            </w:r>
          </w:p>
        </w:tc>
        <w:tc>
          <w:tcPr>
            <w:tcW w:w="19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864372" w:rsidRDefault="00F227D9">
            <w:pPr>
              <w:pStyle w:val="T1TableStyle"/>
              <w:jc w:val="center"/>
              <w:rPr>
                <w:rFonts w:ascii="Verdana" w:eastAsia="Verdana" w:hAnsi="Verdana" w:cs="Verdana"/>
                <w:b/>
                <w:color w:val="000000"/>
                <w:sz w:val="2"/>
                <w:lang w:val="en-GB"/>
              </w:rPr>
            </w:pPr>
            <w:r w:rsidRPr="00864372">
              <w:rPr>
                <w:rFonts w:ascii="Verdana" w:eastAsia="Verdana" w:hAnsi="Verdana" w:cs="Verdana"/>
                <w:b/>
                <w:color w:val="000000"/>
                <w:sz w:val="2"/>
                <w:lang w:val="en-GB"/>
              </w:rPr>
              <w:t xml:space="preserve"> </w:t>
            </w:r>
          </w:p>
        </w:tc>
        <w:tc>
          <w:tcPr>
            <w:tcW w:w="480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864372" w:rsidRDefault="00F227D9">
            <w:pPr>
              <w:pStyle w:val="T1TableStyle"/>
              <w:rPr>
                <w:rFonts w:ascii="Verdana" w:eastAsia="Verdana" w:hAnsi="Verdana" w:cs="Verdana"/>
                <w:b/>
                <w:color w:val="000000"/>
                <w:sz w:val="16"/>
                <w:lang w:val="en-GB"/>
              </w:rPr>
            </w:pPr>
            <w:r w:rsidRPr="00864372">
              <w:rPr>
                <w:rFonts w:ascii="Verdana" w:eastAsia="Verdana" w:hAnsi="Verdana" w:cs="Verdana"/>
                <w:b/>
                <w:color w:val="000000"/>
                <w:sz w:val="16"/>
                <w:lang w:val="en-GB"/>
              </w:rPr>
              <w:t>Total</w:t>
            </w:r>
          </w:p>
        </w:tc>
        <w:tc>
          <w:tcPr>
            <w:tcW w:w="196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864372" w:rsidRDefault="00B634E7" w:rsidP="00864372">
            <w:pPr>
              <w:pStyle w:val="T1TableStyle"/>
              <w:jc w:val="right"/>
              <w:rPr>
                <w:rFonts w:ascii="Verdana" w:eastAsia="Verdana" w:hAnsi="Verdana" w:cs="Verdana"/>
                <w:b/>
                <w:color w:val="000000"/>
                <w:sz w:val="16"/>
                <w:lang w:val="en-GB"/>
              </w:rPr>
            </w:pPr>
            <w:r w:rsidRPr="00864372">
              <w:rPr>
                <w:rFonts w:ascii="Verdana" w:eastAsia="Verdana" w:hAnsi="Verdana" w:cs="Verdana"/>
                <w:b/>
                <w:color w:val="000000"/>
                <w:sz w:val="16"/>
                <w:lang w:val="en-GB"/>
              </w:rPr>
              <w:t>(1,</w:t>
            </w:r>
            <w:r w:rsidR="00864372" w:rsidRPr="00864372">
              <w:rPr>
                <w:rFonts w:ascii="Verdana" w:eastAsia="Verdana" w:hAnsi="Verdana" w:cs="Verdana"/>
                <w:b/>
                <w:color w:val="000000"/>
                <w:sz w:val="16"/>
                <w:lang w:val="en-GB"/>
              </w:rPr>
              <w:t>549</w:t>
            </w:r>
            <w:r w:rsidR="00F227D9" w:rsidRPr="00864372">
              <w:rPr>
                <w:rFonts w:ascii="Verdana" w:eastAsia="Verdana" w:hAnsi="Verdana" w:cs="Verdana"/>
                <w:b/>
                <w:color w:val="000000"/>
                <w:sz w:val="16"/>
                <w:lang w:val="en-GB"/>
              </w:rPr>
              <w:t>)</w:t>
            </w:r>
          </w:p>
        </w:tc>
      </w:tr>
    </w:tbl>
    <w:p w:rsidR="00F227D9" w:rsidRDefault="00F227D9">
      <w:pPr>
        <w:pStyle w:val="T1TableStyle"/>
        <w:rPr>
          <w:rFonts w:ascii="Verdana" w:eastAsia="Verdana" w:hAnsi="Verdana" w:cs="Verdana"/>
          <w:sz w:val="22"/>
          <w:lang w:val="en-GB"/>
        </w:rPr>
      </w:pPr>
    </w:p>
    <w:p w:rsidR="00F227D9" w:rsidRDefault="00F227D9" w:rsidP="00F227D9">
      <w:pPr>
        <w:pStyle w:val="Heading1"/>
        <w:spacing w:after="240"/>
        <w:rPr>
          <w:lang w:val="pt-BR"/>
        </w:rPr>
      </w:pPr>
      <w:bookmarkStart w:id="16" w:name="_Toc55900986"/>
      <w:r>
        <w:rPr>
          <w:lang w:val="pt-BR"/>
        </w:rPr>
        <w:t>Note 8 - Unusable Reserves</w:t>
      </w:r>
      <w:bookmarkEnd w:id="16"/>
      <w:r>
        <w:rPr>
          <w:lang w:val="pt-BR"/>
        </w:rPr>
        <w:t xml:space="preserve"> </w:t>
      </w:r>
    </w:p>
    <w:tbl>
      <w:tblPr>
        <w:tblW w:w="0" w:type="auto"/>
        <w:jc w:val="center"/>
        <w:tblLayout w:type="fixed"/>
        <w:tblLook w:val="04A0" w:firstRow="1" w:lastRow="0" w:firstColumn="1" w:lastColumn="0" w:noHBand="0" w:noVBand="1"/>
      </w:tblPr>
      <w:tblGrid>
        <w:gridCol w:w="1335"/>
        <w:gridCol w:w="180"/>
        <w:gridCol w:w="3225"/>
        <w:gridCol w:w="1335"/>
      </w:tblGrid>
      <w:tr w:rsidR="0053376B" w:rsidTr="007D3C35">
        <w:trPr>
          <w:trHeight w:val="255"/>
          <w:jc w:val="center"/>
        </w:trPr>
        <w:tc>
          <w:tcPr>
            <w:tcW w:w="133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c>
          <w:tcPr>
            <w:tcW w:w="180"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53376B" w:rsidTr="007D3C35">
        <w:trPr>
          <w:trHeight w:val="255"/>
          <w:jc w:val="center"/>
        </w:trPr>
        <w:tc>
          <w:tcPr>
            <w:tcW w:w="133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2,156,930</w:t>
            </w:r>
          </w:p>
        </w:tc>
        <w:tc>
          <w:tcPr>
            <w:tcW w:w="18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Pension Reserve</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r w:rsidR="006D52D2">
              <w:rPr>
                <w:rFonts w:ascii="Verdana" w:eastAsia="Verdana" w:hAnsi="Verdana" w:cs="Verdana"/>
                <w:color w:val="000000"/>
                <w:sz w:val="16"/>
                <w:lang w:val="en-GB"/>
              </w:rPr>
              <w:t>0</w:t>
            </w:r>
            <w:r w:rsidR="00DF2096">
              <w:rPr>
                <w:rFonts w:ascii="Verdana" w:eastAsia="Verdana" w:hAnsi="Verdana" w:cs="Verdana"/>
                <w:color w:val="000000"/>
                <w:sz w:val="16"/>
                <w:lang w:val="en-GB"/>
              </w:rPr>
              <w:t>26</w:t>
            </w:r>
            <w:r w:rsidR="006D52D2">
              <w:rPr>
                <w:rFonts w:ascii="Verdana" w:eastAsia="Verdana" w:hAnsi="Verdana" w:cs="Verdana"/>
                <w:color w:val="000000"/>
                <w:sz w:val="16"/>
                <w:lang w:val="en-GB"/>
              </w:rPr>
              <w:t>,</w:t>
            </w:r>
            <w:r w:rsidR="00DF2096">
              <w:rPr>
                <w:rFonts w:ascii="Verdana" w:eastAsia="Verdana" w:hAnsi="Verdana" w:cs="Verdana"/>
                <w:color w:val="000000"/>
                <w:sz w:val="16"/>
                <w:lang w:val="en-GB"/>
              </w:rPr>
              <w:t>555</w:t>
            </w:r>
          </w:p>
        </w:tc>
      </w:tr>
      <w:tr w:rsidR="0053376B" w:rsidTr="007D3C35">
        <w:trPr>
          <w:trHeight w:val="255"/>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908</w:t>
            </w:r>
          </w:p>
        </w:tc>
        <w:tc>
          <w:tcPr>
            <w:tcW w:w="18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 xml:space="preserve">Accumulated Absences Account </w:t>
            </w:r>
          </w:p>
        </w:tc>
        <w:tc>
          <w:tcPr>
            <w:tcW w:w="1335" w:type="dxa"/>
            <w:shd w:val="clear" w:color="auto" w:fill="auto"/>
            <w:tcMar>
              <w:top w:w="20" w:type="dxa"/>
              <w:left w:w="20" w:type="dxa"/>
              <w:bottom w:w="20" w:type="dxa"/>
              <w:right w:w="20" w:type="dxa"/>
            </w:tcMar>
          </w:tcPr>
          <w:p w:rsidR="00F227D9" w:rsidRDefault="006D52D2">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1,053</w:t>
            </w:r>
          </w:p>
        </w:tc>
      </w:tr>
      <w:tr w:rsidR="0053376B" w:rsidTr="007D3C35">
        <w:trPr>
          <w:trHeight w:val="25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2,157,838</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w:t>
            </w:r>
            <w:r w:rsidR="00DF2096">
              <w:rPr>
                <w:rFonts w:ascii="Verdana" w:eastAsia="Verdana" w:hAnsi="Verdana" w:cs="Verdana"/>
                <w:b/>
                <w:color w:val="000000"/>
                <w:sz w:val="16"/>
                <w:lang w:val="en-GB"/>
              </w:rPr>
              <w:t>27</w:t>
            </w:r>
            <w:r>
              <w:rPr>
                <w:rFonts w:ascii="Verdana" w:eastAsia="Verdana" w:hAnsi="Verdana" w:cs="Verdana"/>
                <w:b/>
                <w:color w:val="000000"/>
                <w:sz w:val="16"/>
                <w:lang w:val="en-GB"/>
              </w:rPr>
              <w:t>,</w:t>
            </w:r>
            <w:r w:rsidR="00DF2096">
              <w:rPr>
                <w:rFonts w:ascii="Verdana" w:eastAsia="Verdana" w:hAnsi="Verdana" w:cs="Verdana"/>
                <w:b/>
                <w:color w:val="000000"/>
                <w:sz w:val="16"/>
                <w:lang w:val="en-GB"/>
              </w:rPr>
              <w:t>608</w:t>
            </w:r>
          </w:p>
        </w:tc>
      </w:tr>
    </w:tbl>
    <w:p w:rsidR="00F227D9" w:rsidRDefault="00F227D9">
      <w:pPr>
        <w:pStyle w:val="T1TableStyle"/>
        <w:rPr>
          <w:rFonts w:ascii="Verdana" w:eastAsia="Verdana" w:hAnsi="Verdana" w:cs="Verdana"/>
          <w:sz w:val="22"/>
          <w:lang w:val="en-GB"/>
        </w:rPr>
      </w:pPr>
    </w:p>
    <w:p w:rsidR="00CB3842" w:rsidRDefault="00CB3842">
      <w:pPr>
        <w:pStyle w:val="T1TableStyle"/>
        <w:rPr>
          <w:rFonts w:ascii="Verdana" w:eastAsia="Verdana" w:hAnsi="Verdana" w:cs="Verdana"/>
          <w:sz w:val="22"/>
          <w:lang w:val="en-GB"/>
        </w:rPr>
      </w:pPr>
    </w:p>
    <w:tbl>
      <w:tblPr>
        <w:tblW w:w="0" w:type="auto"/>
        <w:jc w:val="center"/>
        <w:tblLayout w:type="fixed"/>
        <w:tblLook w:val="04A0" w:firstRow="1" w:lastRow="0" w:firstColumn="1" w:lastColumn="0" w:noHBand="0" w:noVBand="1"/>
      </w:tblPr>
      <w:tblGrid>
        <w:gridCol w:w="1971"/>
        <w:gridCol w:w="265"/>
        <w:gridCol w:w="4762"/>
        <w:gridCol w:w="1975"/>
      </w:tblGrid>
      <w:tr w:rsidR="0053376B" w:rsidRPr="00730D03" w:rsidTr="00CB3842">
        <w:trPr>
          <w:trHeight w:val="193"/>
          <w:jc w:val="center"/>
        </w:trPr>
        <w:tc>
          <w:tcPr>
            <w:tcW w:w="8973" w:type="dxa"/>
            <w:gridSpan w:val="4"/>
            <w:shd w:val="clear" w:color="auto" w:fill="auto"/>
            <w:tcMar>
              <w:top w:w="20" w:type="dxa"/>
              <w:left w:w="20" w:type="dxa"/>
              <w:bottom w:w="20" w:type="dxa"/>
              <w:right w:w="20" w:type="dxa"/>
            </w:tcMar>
            <w:vAlign w:val="bottom"/>
          </w:tcPr>
          <w:p w:rsidR="00F227D9" w:rsidRPr="00730D03" w:rsidRDefault="00F227D9">
            <w:pPr>
              <w:pStyle w:val="T1TableStyle"/>
              <w:rPr>
                <w:rFonts w:ascii="Verdana" w:eastAsia="Verdana" w:hAnsi="Verdana" w:cs="Verdana"/>
                <w:b/>
                <w:color w:val="000000"/>
                <w:lang w:val="en-GB"/>
              </w:rPr>
            </w:pPr>
            <w:r w:rsidRPr="00730D03">
              <w:rPr>
                <w:rFonts w:ascii="Verdana" w:eastAsia="Verdana" w:hAnsi="Verdana" w:cs="Verdana"/>
                <w:b/>
                <w:color w:val="000000"/>
                <w:lang w:val="en-GB"/>
              </w:rPr>
              <w:t>Pension Reserve</w:t>
            </w:r>
          </w:p>
        </w:tc>
      </w:tr>
      <w:tr w:rsidR="0053376B" w:rsidRPr="00730D03" w:rsidTr="00CB3842">
        <w:trPr>
          <w:trHeight w:hRule="exact" w:val="193"/>
          <w:jc w:val="center"/>
        </w:trPr>
        <w:tc>
          <w:tcPr>
            <w:tcW w:w="1971" w:type="dxa"/>
            <w:shd w:val="clear" w:color="auto" w:fill="auto"/>
            <w:tcMar>
              <w:top w:w="20" w:type="dxa"/>
              <w:left w:w="20" w:type="dxa"/>
              <w:bottom w:w="20" w:type="dxa"/>
              <w:right w:w="20" w:type="dxa"/>
            </w:tcMar>
            <w:vAlign w:val="bottom"/>
          </w:tcPr>
          <w:p w:rsidR="00F227D9" w:rsidRPr="00730D03" w:rsidRDefault="00F227D9">
            <w:pPr>
              <w:pStyle w:val="T1TableStyle"/>
              <w:rPr>
                <w:rFonts w:ascii="Verdana" w:eastAsia="Verdana" w:hAnsi="Verdana" w:cs="Verdana"/>
                <w:b/>
                <w:color w:val="000000"/>
                <w:sz w:val="2"/>
                <w:lang w:val="en-GB"/>
              </w:rPr>
            </w:pPr>
            <w:r w:rsidRPr="00730D03">
              <w:rPr>
                <w:rFonts w:ascii="Verdana" w:eastAsia="Verdana" w:hAnsi="Verdana" w:cs="Verdana"/>
                <w:b/>
                <w:color w:val="000000"/>
                <w:sz w:val="2"/>
                <w:lang w:val="en-GB"/>
              </w:rPr>
              <w:t xml:space="preserve"> </w:t>
            </w:r>
          </w:p>
        </w:tc>
        <w:tc>
          <w:tcPr>
            <w:tcW w:w="265" w:type="dxa"/>
            <w:shd w:val="clear" w:color="auto" w:fill="auto"/>
            <w:tcMar>
              <w:top w:w="20" w:type="dxa"/>
              <w:left w:w="20" w:type="dxa"/>
              <w:bottom w:w="20" w:type="dxa"/>
              <w:right w:w="20" w:type="dxa"/>
            </w:tcMar>
            <w:vAlign w:val="bottom"/>
          </w:tcPr>
          <w:p w:rsidR="00F227D9" w:rsidRPr="00730D03" w:rsidRDefault="00F227D9">
            <w:pPr>
              <w:pStyle w:val="T1TableStyle"/>
              <w:rPr>
                <w:rFonts w:ascii="Verdana" w:eastAsia="Verdana" w:hAnsi="Verdana" w:cs="Verdana"/>
                <w:b/>
                <w:color w:val="000000"/>
                <w:sz w:val="2"/>
                <w:lang w:val="en-GB"/>
              </w:rPr>
            </w:pPr>
            <w:r w:rsidRPr="00730D03">
              <w:rPr>
                <w:rFonts w:ascii="Verdana" w:eastAsia="Verdana" w:hAnsi="Verdana" w:cs="Verdana"/>
                <w:b/>
                <w:color w:val="000000"/>
                <w:sz w:val="2"/>
                <w:lang w:val="en-GB"/>
              </w:rPr>
              <w:t xml:space="preserve"> </w:t>
            </w:r>
          </w:p>
        </w:tc>
        <w:tc>
          <w:tcPr>
            <w:tcW w:w="4762" w:type="dxa"/>
            <w:shd w:val="clear" w:color="auto" w:fill="auto"/>
            <w:tcMar>
              <w:top w:w="20" w:type="dxa"/>
              <w:left w:w="20" w:type="dxa"/>
              <w:bottom w:w="20" w:type="dxa"/>
              <w:right w:w="20" w:type="dxa"/>
            </w:tcMar>
            <w:vAlign w:val="bottom"/>
          </w:tcPr>
          <w:p w:rsidR="00F227D9" w:rsidRPr="00730D03" w:rsidRDefault="00F227D9">
            <w:pPr>
              <w:pStyle w:val="T1TableStyle"/>
              <w:rPr>
                <w:rFonts w:ascii="Verdana" w:eastAsia="Verdana" w:hAnsi="Verdana" w:cs="Verdana"/>
                <w:b/>
                <w:color w:val="000000"/>
                <w:sz w:val="2"/>
                <w:lang w:val="en-GB"/>
              </w:rPr>
            </w:pPr>
            <w:r w:rsidRPr="00730D03">
              <w:rPr>
                <w:rFonts w:ascii="Verdana" w:eastAsia="Verdana" w:hAnsi="Verdana" w:cs="Verdana"/>
                <w:b/>
                <w:color w:val="000000"/>
                <w:sz w:val="2"/>
                <w:lang w:val="en-GB"/>
              </w:rPr>
              <w:t xml:space="preserve"> </w:t>
            </w:r>
          </w:p>
        </w:tc>
        <w:tc>
          <w:tcPr>
            <w:tcW w:w="1973" w:type="dxa"/>
            <w:shd w:val="clear" w:color="auto" w:fill="auto"/>
            <w:tcMar>
              <w:top w:w="20" w:type="dxa"/>
              <w:left w:w="20" w:type="dxa"/>
              <w:bottom w:w="20" w:type="dxa"/>
              <w:right w:w="20" w:type="dxa"/>
            </w:tcMar>
            <w:vAlign w:val="bottom"/>
          </w:tcPr>
          <w:p w:rsidR="00F227D9" w:rsidRPr="00730D03" w:rsidRDefault="00F227D9">
            <w:pPr>
              <w:pStyle w:val="T1TableStyle"/>
              <w:rPr>
                <w:rFonts w:ascii="Verdana" w:eastAsia="Verdana" w:hAnsi="Verdana" w:cs="Verdana"/>
                <w:b/>
                <w:color w:val="000000"/>
                <w:sz w:val="2"/>
                <w:lang w:val="en-GB"/>
              </w:rPr>
            </w:pPr>
            <w:r w:rsidRPr="00730D03">
              <w:rPr>
                <w:rFonts w:ascii="Verdana" w:eastAsia="Verdana" w:hAnsi="Verdana" w:cs="Verdana"/>
                <w:b/>
                <w:color w:val="000000"/>
                <w:sz w:val="2"/>
                <w:lang w:val="en-GB"/>
              </w:rPr>
              <w:t xml:space="preserve"> </w:t>
            </w:r>
          </w:p>
        </w:tc>
      </w:tr>
      <w:tr w:rsidR="0053376B" w:rsidRPr="00730D03" w:rsidTr="00CB3842">
        <w:trPr>
          <w:trHeight w:val="193"/>
          <w:jc w:val="center"/>
        </w:trPr>
        <w:tc>
          <w:tcPr>
            <w:tcW w:w="1971" w:type="dxa"/>
            <w:shd w:val="clear" w:color="auto" w:fill="auto"/>
            <w:tcMar>
              <w:top w:w="20" w:type="dxa"/>
              <w:left w:w="20" w:type="dxa"/>
              <w:bottom w:w="20" w:type="dxa"/>
              <w:right w:w="20" w:type="dxa"/>
            </w:tcMar>
            <w:vAlign w:val="bottom"/>
          </w:tcPr>
          <w:p w:rsidR="00F227D9" w:rsidRPr="00730D03" w:rsidRDefault="00F227D9">
            <w:pPr>
              <w:pStyle w:val="T1TableStyle"/>
              <w:jc w:val="center"/>
              <w:rPr>
                <w:rFonts w:ascii="Verdana" w:eastAsia="Verdana" w:hAnsi="Verdana" w:cs="Verdana"/>
                <w:b/>
                <w:color w:val="000000"/>
                <w:sz w:val="16"/>
                <w:lang w:val="en-GB"/>
              </w:rPr>
            </w:pPr>
            <w:r w:rsidRPr="00730D03">
              <w:rPr>
                <w:rFonts w:ascii="Verdana" w:eastAsia="Verdana" w:hAnsi="Verdana" w:cs="Verdana"/>
                <w:b/>
                <w:color w:val="000000"/>
                <w:sz w:val="16"/>
                <w:lang w:val="en-GB"/>
              </w:rPr>
              <w:t>31 March 2019</w:t>
            </w:r>
          </w:p>
        </w:tc>
        <w:tc>
          <w:tcPr>
            <w:tcW w:w="265" w:type="dxa"/>
            <w:shd w:val="clear" w:color="auto" w:fill="auto"/>
            <w:tcMar>
              <w:top w:w="20" w:type="dxa"/>
              <w:left w:w="20" w:type="dxa"/>
              <w:bottom w:w="20" w:type="dxa"/>
              <w:right w:w="20" w:type="dxa"/>
            </w:tcMar>
            <w:vAlign w:val="bottom"/>
          </w:tcPr>
          <w:p w:rsidR="00F227D9" w:rsidRPr="00730D03" w:rsidRDefault="00F227D9">
            <w:pPr>
              <w:pStyle w:val="T1TableStyle"/>
              <w:jc w:val="center"/>
              <w:rPr>
                <w:rFonts w:ascii="Verdana" w:eastAsia="Verdana" w:hAnsi="Verdana" w:cs="Verdana"/>
                <w:b/>
                <w:color w:val="000000"/>
                <w:sz w:val="2"/>
                <w:lang w:val="en-GB"/>
              </w:rPr>
            </w:pPr>
            <w:r w:rsidRPr="00730D03">
              <w:rPr>
                <w:rFonts w:ascii="Verdana" w:eastAsia="Verdana" w:hAnsi="Verdana" w:cs="Verdana"/>
                <w:b/>
                <w:color w:val="000000"/>
                <w:sz w:val="2"/>
                <w:lang w:val="en-GB"/>
              </w:rPr>
              <w:t xml:space="preserve"> </w:t>
            </w:r>
          </w:p>
        </w:tc>
        <w:tc>
          <w:tcPr>
            <w:tcW w:w="4762" w:type="dxa"/>
            <w:shd w:val="clear" w:color="auto" w:fill="auto"/>
            <w:tcMar>
              <w:top w:w="20" w:type="dxa"/>
              <w:left w:w="20" w:type="dxa"/>
              <w:bottom w:w="20" w:type="dxa"/>
              <w:right w:w="20" w:type="dxa"/>
            </w:tcMar>
            <w:vAlign w:val="bottom"/>
          </w:tcPr>
          <w:p w:rsidR="00F227D9" w:rsidRPr="00730D03" w:rsidRDefault="00F227D9">
            <w:pPr>
              <w:pStyle w:val="T1TableStyle"/>
              <w:jc w:val="center"/>
              <w:rPr>
                <w:rFonts w:ascii="Verdana" w:eastAsia="Verdana" w:hAnsi="Verdana" w:cs="Verdana"/>
                <w:b/>
                <w:color w:val="000000"/>
                <w:sz w:val="2"/>
                <w:lang w:val="en-GB"/>
              </w:rPr>
            </w:pPr>
            <w:r w:rsidRPr="00730D03">
              <w:rPr>
                <w:rFonts w:ascii="Verdana" w:eastAsia="Verdana" w:hAnsi="Verdana" w:cs="Verdana"/>
                <w:b/>
                <w:color w:val="000000"/>
                <w:sz w:val="2"/>
                <w:lang w:val="en-GB"/>
              </w:rPr>
              <w:t xml:space="preserve"> </w:t>
            </w:r>
          </w:p>
        </w:tc>
        <w:tc>
          <w:tcPr>
            <w:tcW w:w="1973" w:type="dxa"/>
            <w:shd w:val="clear" w:color="auto" w:fill="auto"/>
            <w:tcMar>
              <w:top w:w="20" w:type="dxa"/>
              <w:left w:w="20" w:type="dxa"/>
              <w:bottom w:w="20" w:type="dxa"/>
              <w:right w:w="20" w:type="dxa"/>
            </w:tcMar>
            <w:vAlign w:val="bottom"/>
          </w:tcPr>
          <w:p w:rsidR="00F227D9" w:rsidRPr="00730D03" w:rsidRDefault="00F227D9">
            <w:pPr>
              <w:pStyle w:val="T1TableStyle"/>
              <w:jc w:val="center"/>
              <w:rPr>
                <w:rFonts w:ascii="Verdana" w:eastAsia="Verdana" w:hAnsi="Verdana" w:cs="Verdana"/>
                <w:b/>
                <w:color w:val="000000"/>
                <w:sz w:val="16"/>
                <w:lang w:val="en-GB"/>
              </w:rPr>
            </w:pPr>
            <w:r w:rsidRPr="00730D03">
              <w:rPr>
                <w:rFonts w:ascii="Verdana" w:eastAsia="Verdana" w:hAnsi="Verdana" w:cs="Verdana"/>
                <w:b/>
                <w:color w:val="000000"/>
                <w:sz w:val="16"/>
                <w:lang w:val="en-GB"/>
              </w:rPr>
              <w:t>31 March 2020</w:t>
            </w:r>
          </w:p>
        </w:tc>
      </w:tr>
      <w:tr w:rsidR="0053376B" w:rsidRPr="00730D03" w:rsidTr="00CB3842">
        <w:trPr>
          <w:trHeight w:val="193"/>
          <w:jc w:val="center"/>
        </w:trPr>
        <w:tc>
          <w:tcPr>
            <w:tcW w:w="1971" w:type="dxa"/>
            <w:tcBorders>
              <w:bottom w:val="single" w:sz="4" w:space="0" w:color="auto"/>
            </w:tcBorders>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b/>
                <w:color w:val="000000"/>
                <w:sz w:val="16"/>
                <w:lang w:val="en-GB"/>
              </w:rPr>
            </w:pPr>
            <w:r w:rsidRPr="00730D03">
              <w:rPr>
                <w:rFonts w:ascii="Verdana" w:eastAsia="Verdana" w:hAnsi="Verdana" w:cs="Verdana"/>
                <w:b/>
                <w:color w:val="000000"/>
                <w:sz w:val="16"/>
                <w:lang w:val="en-GB"/>
              </w:rPr>
              <w:t>£000</w:t>
            </w:r>
          </w:p>
        </w:tc>
        <w:tc>
          <w:tcPr>
            <w:tcW w:w="265" w:type="dxa"/>
            <w:tcBorders>
              <w:bottom w:val="single" w:sz="4" w:space="0" w:color="auto"/>
            </w:tcBorders>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b/>
                <w:color w:val="000000"/>
                <w:sz w:val="2"/>
                <w:lang w:val="en-GB"/>
              </w:rPr>
            </w:pPr>
            <w:r w:rsidRPr="00730D03">
              <w:rPr>
                <w:rFonts w:ascii="Verdana" w:eastAsia="Verdana" w:hAnsi="Verdana" w:cs="Verdana"/>
                <w:b/>
                <w:color w:val="000000"/>
                <w:sz w:val="2"/>
                <w:lang w:val="en-GB"/>
              </w:rPr>
              <w:t xml:space="preserve"> </w:t>
            </w:r>
          </w:p>
        </w:tc>
        <w:tc>
          <w:tcPr>
            <w:tcW w:w="4762" w:type="dxa"/>
            <w:tcBorders>
              <w:bottom w:val="single" w:sz="4" w:space="0" w:color="auto"/>
            </w:tcBorders>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b/>
                <w:color w:val="000000"/>
                <w:sz w:val="2"/>
                <w:lang w:val="en-GB"/>
              </w:rPr>
            </w:pPr>
            <w:r w:rsidRPr="00730D03">
              <w:rPr>
                <w:rFonts w:ascii="Verdana" w:eastAsia="Verdana" w:hAnsi="Verdana" w:cs="Verdana"/>
                <w:b/>
                <w:color w:val="000000"/>
                <w:sz w:val="2"/>
                <w:lang w:val="en-GB"/>
              </w:rPr>
              <w:t xml:space="preserve"> </w:t>
            </w:r>
          </w:p>
        </w:tc>
        <w:tc>
          <w:tcPr>
            <w:tcW w:w="1973" w:type="dxa"/>
            <w:tcBorders>
              <w:bottom w:val="single" w:sz="4" w:space="0" w:color="auto"/>
            </w:tcBorders>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b/>
                <w:color w:val="000000"/>
                <w:sz w:val="16"/>
                <w:lang w:val="en-GB"/>
              </w:rPr>
            </w:pPr>
            <w:r w:rsidRPr="00730D03">
              <w:rPr>
                <w:rFonts w:ascii="Verdana" w:eastAsia="Verdana" w:hAnsi="Verdana" w:cs="Verdana"/>
                <w:b/>
                <w:color w:val="000000"/>
                <w:sz w:val="16"/>
                <w:lang w:val="en-GB"/>
              </w:rPr>
              <w:t>£000</w:t>
            </w:r>
          </w:p>
        </w:tc>
      </w:tr>
      <w:tr w:rsidR="0053376B" w:rsidRPr="00730D03" w:rsidTr="00CB3842">
        <w:trPr>
          <w:trHeight w:val="193"/>
          <w:jc w:val="center"/>
        </w:trPr>
        <w:tc>
          <w:tcPr>
            <w:tcW w:w="1971" w:type="dxa"/>
            <w:tcBorders>
              <w:top w:val="single" w:sz="4" w:space="0" w:color="auto"/>
              <w:bottom w:val="single" w:sz="2" w:space="0" w:color="000000"/>
            </w:tcBorders>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color w:val="000000"/>
                <w:sz w:val="16"/>
                <w:lang w:val="en-GB"/>
              </w:rPr>
            </w:pPr>
            <w:r w:rsidRPr="00730D03">
              <w:rPr>
                <w:rFonts w:ascii="Verdana" w:eastAsia="Verdana" w:hAnsi="Verdana" w:cs="Verdana"/>
                <w:color w:val="000000"/>
                <w:sz w:val="16"/>
                <w:lang w:val="en-GB"/>
              </w:rPr>
              <w:t>1,928,225</w:t>
            </w:r>
          </w:p>
        </w:tc>
        <w:tc>
          <w:tcPr>
            <w:tcW w:w="265" w:type="dxa"/>
            <w:tcBorders>
              <w:top w:val="single" w:sz="4" w:space="0" w:color="auto"/>
              <w:bottom w:val="single" w:sz="2" w:space="0" w:color="000000"/>
            </w:tcBorders>
            <w:shd w:val="clear" w:color="auto" w:fill="auto"/>
            <w:tcMar>
              <w:top w:w="20" w:type="dxa"/>
              <w:left w:w="20" w:type="dxa"/>
              <w:bottom w:w="20" w:type="dxa"/>
              <w:right w:w="20" w:type="dxa"/>
            </w:tcMar>
          </w:tcPr>
          <w:p w:rsidR="00F227D9" w:rsidRPr="00730D03" w:rsidRDefault="00F227D9">
            <w:pPr>
              <w:pStyle w:val="T1TableStyle"/>
              <w:jc w:val="center"/>
              <w:rPr>
                <w:rFonts w:ascii="Verdana" w:eastAsia="Verdana" w:hAnsi="Verdana" w:cs="Verdana"/>
                <w:color w:val="000000"/>
                <w:sz w:val="2"/>
                <w:lang w:val="en-GB"/>
              </w:rPr>
            </w:pPr>
            <w:r w:rsidRPr="00730D03">
              <w:rPr>
                <w:rFonts w:ascii="Verdana" w:eastAsia="Verdana" w:hAnsi="Verdana" w:cs="Verdana"/>
                <w:color w:val="000000"/>
                <w:sz w:val="2"/>
                <w:lang w:val="en-GB"/>
              </w:rPr>
              <w:t xml:space="preserve"> </w:t>
            </w:r>
          </w:p>
        </w:tc>
        <w:tc>
          <w:tcPr>
            <w:tcW w:w="4762" w:type="dxa"/>
            <w:tcBorders>
              <w:top w:val="single" w:sz="4" w:space="0" w:color="auto"/>
              <w:bottom w:val="single" w:sz="2" w:space="0" w:color="000000"/>
            </w:tcBorders>
            <w:shd w:val="clear" w:color="auto" w:fill="auto"/>
            <w:tcMar>
              <w:top w:w="20" w:type="dxa"/>
              <w:left w:w="20" w:type="dxa"/>
              <w:bottom w:w="20" w:type="dxa"/>
              <w:right w:w="20" w:type="dxa"/>
            </w:tcMar>
          </w:tcPr>
          <w:p w:rsidR="00F227D9" w:rsidRPr="00730D03" w:rsidRDefault="00F227D9">
            <w:pPr>
              <w:pStyle w:val="T1TableStyle"/>
              <w:rPr>
                <w:rFonts w:ascii="Verdana" w:eastAsia="Verdana" w:hAnsi="Verdana" w:cs="Verdana"/>
                <w:color w:val="000000"/>
                <w:sz w:val="16"/>
                <w:lang w:val="en-GB"/>
              </w:rPr>
            </w:pPr>
            <w:r w:rsidRPr="00730D03">
              <w:rPr>
                <w:rFonts w:ascii="Verdana" w:eastAsia="Verdana" w:hAnsi="Verdana" w:cs="Verdana"/>
                <w:color w:val="000000"/>
                <w:sz w:val="16"/>
                <w:lang w:val="en-GB"/>
              </w:rPr>
              <w:t xml:space="preserve">Balance 1 April </w:t>
            </w:r>
          </w:p>
        </w:tc>
        <w:tc>
          <w:tcPr>
            <w:tcW w:w="1973" w:type="dxa"/>
            <w:tcBorders>
              <w:top w:val="single" w:sz="4" w:space="0" w:color="auto"/>
              <w:bottom w:val="single" w:sz="2" w:space="0" w:color="000000"/>
            </w:tcBorders>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color w:val="000000"/>
                <w:sz w:val="16"/>
                <w:lang w:val="en-GB"/>
              </w:rPr>
            </w:pPr>
            <w:r w:rsidRPr="00730D03">
              <w:rPr>
                <w:rFonts w:ascii="Verdana" w:eastAsia="Verdana" w:hAnsi="Verdana" w:cs="Verdana"/>
                <w:color w:val="000000"/>
                <w:sz w:val="16"/>
                <w:lang w:val="en-GB"/>
              </w:rPr>
              <w:t>2,156,930</w:t>
            </w:r>
          </w:p>
        </w:tc>
      </w:tr>
      <w:tr w:rsidR="002B0C61" w:rsidRPr="00730D03" w:rsidTr="00CB3842">
        <w:trPr>
          <w:trHeight w:val="193"/>
          <w:jc w:val="center"/>
        </w:trPr>
        <w:tc>
          <w:tcPr>
            <w:tcW w:w="1971" w:type="dxa"/>
            <w:tcBorders>
              <w:top w:val="single" w:sz="4" w:space="0" w:color="auto"/>
              <w:bottom w:val="single" w:sz="2" w:space="0" w:color="000000"/>
            </w:tcBorders>
            <w:shd w:val="clear" w:color="auto" w:fill="auto"/>
            <w:tcMar>
              <w:top w:w="20" w:type="dxa"/>
              <w:left w:w="20" w:type="dxa"/>
              <w:bottom w:w="20" w:type="dxa"/>
              <w:right w:w="20" w:type="dxa"/>
            </w:tcMar>
          </w:tcPr>
          <w:p w:rsidR="002B0C61" w:rsidRPr="00730D03" w:rsidRDefault="002B0C61">
            <w:pPr>
              <w:pStyle w:val="T1TableStyle"/>
              <w:jc w:val="right"/>
              <w:rPr>
                <w:rFonts w:ascii="Verdana" w:eastAsia="Verdana" w:hAnsi="Verdana" w:cs="Verdana"/>
                <w:color w:val="000000"/>
                <w:sz w:val="16"/>
                <w:lang w:val="en-GB"/>
              </w:rPr>
            </w:pPr>
          </w:p>
        </w:tc>
        <w:tc>
          <w:tcPr>
            <w:tcW w:w="265" w:type="dxa"/>
            <w:tcBorders>
              <w:top w:val="single" w:sz="4" w:space="0" w:color="auto"/>
              <w:bottom w:val="single" w:sz="2" w:space="0" w:color="000000"/>
            </w:tcBorders>
            <w:shd w:val="clear" w:color="auto" w:fill="auto"/>
            <w:tcMar>
              <w:top w:w="20" w:type="dxa"/>
              <w:left w:w="20" w:type="dxa"/>
              <w:bottom w:w="20" w:type="dxa"/>
              <w:right w:w="20" w:type="dxa"/>
            </w:tcMar>
          </w:tcPr>
          <w:p w:rsidR="002B0C61" w:rsidRPr="00730D03" w:rsidRDefault="002B0C61">
            <w:pPr>
              <w:pStyle w:val="T1TableStyle"/>
              <w:jc w:val="center"/>
              <w:rPr>
                <w:rFonts w:ascii="Verdana" w:eastAsia="Verdana" w:hAnsi="Verdana" w:cs="Verdana"/>
                <w:color w:val="000000"/>
                <w:sz w:val="2"/>
                <w:lang w:val="en-GB"/>
              </w:rPr>
            </w:pPr>
          </w:p>
        </w:tc>
        <w:tc>
          <w:tcPr>
            <w:tcW w:w="4762" w:type="dxa"/>
            <w:tcBorders>
              <w:top w:val="single" w:sz="4" w:space="0" w:color="auto"/>
              <w:bottom w:val="single" w:sz="2" w:space="0" w:color="000000"/>
            </w:tcBorders>
            <w:shd w:val="clear" w:color="auto" w:fill="auto"/>
            <w:tcMar>
              <w:top w:w="20" w:type="dxa"/>
              <w:left w:w="20" w:type="dxa"/>
              <w:bottom w:w="20" w:type="dxa"/>
              <w:right w:w="20" w:type="dxa"/>
            </w:tcMar>
          </w:tcPr>
          <w:p w:rsidR="002B0C61" w:rsidRPr="00730D03" w:rsidRDefault="002B0C61">
            <w:pPr>
              <w:pStyle w:val="T1TableStyle"/>
              <w:rPr>
                <w:rFonts w:ascii="Verdana" w:eastAsia="Verdana" w:hAnsi="Verdana" w:cs="Verdana"/>
                <w:color w:val="000000"/>
                <w:sz w:val="16"/>
                <w:lang w:val="en-GB"/>
              </w:rPr>
            </w:pPr>
            <w:r w:rsidRPr="00730D03">
              <w:rPr>
                <w:rFonts w:ascii="Verdana" w:eastAsia="Verdana" w:hAnsi="Verdana" w:cs="Verdana"/>
                <w:color w:val="000000"/>
                <w:sz w:val="16"/>
                <w:lang w:val="en-GB"/>
              </w:rPr>
              <w:t>Transfer to PCC Pension Reserve</w:t>
            </w:r>
          </w:p>
        </w:tc>
        <w:tc>
          <w:tcPr>
            <w:tcW w:w="1973" w:type="dxa"/>
            <w:tcBorders>
              <w:top w:val="single" w:sz="4" w:space="0" w:color="auto"/>
              <w:bottom w:val="single" w:sz="2" w:space="0" w:color="000000"/>
            </w:tcBorders>
            <w:shd w:val="clear" w:color="auto" w:fill="auto"/>
            <w:tcMar>
              <w:top w:w="20" w:type="dxa"/>
              <w:left w:w="20" w:type="dxa"/>
              <w:bottom w:w="20" w:type="dxa"/>
              <w:right w:w="20" w:type="dxa"/>
            </w:tcMar>
          </w:tcPr>
          <w:p w:rsidR="002B0C61" w:rsidRPr="00730D03" w:rsidRDefault="002B0C61">
            <w:pPr>
              <w:pStyle w:val="T1TableStyle"/>
              <w:jc w:val="right"/>
              <w:rPr>
                <w:rFonts w:ascii="Verdana" w:eastAsia="Verdana" w:hAnsi="Verdana" w:cs="Verdana"/>
                <w:color w:val="000000"/>
                <w:sz w:val="16"/>
                <w:lang w:val="en-GB"/>
              </w:rPr>
            </w:pPr>
            <w:r w:rsidRPr="00730D03">
              <w:rPr>
                <w:rFonts w:ascii="Verdana" w:eastAsia="Verdana" w:hAnsi="Verdana" w:cs="Verdana"/>
                <w:color w:val="000000"/>
                <w:sz w:val="16"/>
                <w:lang w:val="en-GB"/>
              </w:rPr>
              <w:t>(1,414)</w:t>
            </w:r>
          </w:p>
        </w:tc>
      </w:tr>
      <w:tr w:rsidR="0053376B" w:rsidRPr="00730D03" w:rsidTr="00CB3842">
        <w:trPr>
          <w:trHeight w:val="270"/>
          <w:jc w:val="center"/>
        </w:trPr>
        <w:tc>
          <w:tcPr>
            <w:tcW w:w="1971" w:type="dxa"/>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color w:val="000000"/>
                <w:sz w:val="16"/>
                <w:lang w:val="en-GB"/>
              </w:rPr>
            </w:pPr>
            <w:r w:rsidRPr="00730D03">
              <w:rPr>
                <w:rFonts w:ascii="Verdana" w:eastAsia="Verdana" w:hAnsi="Verdana" w:cs="Verdana"/>
                <w:color w:val="000000"/>
                <w:sz w:val="16"/>
                <w:lang w:val="en-GB"/>
              </w:rPr>
              <w:t>87,620</w:t>
            </w:r>
          </w:p>
        </w:tc>
        <w:tc>
          <w:tcPr>
            <w:tcW w:w="265" w:type="dxa"/>
            <w:shd w:val="clear" w:color="auto" w:fill="auto"/>
            <w:tcMar>
              <w:top w:w="20" w:type="dxa"/>
              <w:left w:w="20" w:type="dxa"/>
              <w:bottom w:w="20" w:type="dxa"/>
              <w:right w:w="20" w:type="dxa"/>
            </w:tcMar>
          </w:tcPr>
          <w:p w:rsidR="00F227D9" w:rsidRPr="00730D03" w:rsidRDefault="00F227D9">
            <w:pPr>
              <w:pStyle w:val="T1TableStyle"/>
              <w:jc w:val="center"/>
              <w:rPr>
                <w:rFonts w:ascii="Verdana" w:eastAsia="Verdana" w:hAnsi="Verdana" w:cs="Verdana"/>
                <w:color w:val="000000"/>
                <w:sz w:val="2"/>
                <w:lang w:val="en-GB"/>
              </w:rPr>
            </w:pPr>
            <w:r w:rsidRPr="00730D03">
              <w:rPr>
                <w:rFonts w:ascii="Verdana" w:eastAsia="Verdana" w:hAnsi="Verdana" w:cs="Verdana"/>
                <w:color w:val="000000"/>
                <w:sz w:val="2"/>
                <w:lang w:val="en-GB"/>
              </w:rPr>
              <w:t xml:space="preserve"> </w:t>
            </w:r>
          </w:p>
        </w:tc>
        <w:tc>
          <w:tcPr>
            <w:tcW w:w="4762" w:type="dxa"/>
            <w:shd w:val="clear" w:color="auto" w:fill="auto"/>
            <w:tcMar>
              <w:top w:w="20" w:type="dxa"/>
              <w:left w:w="20" w:type="dxa"/>
              <w:bottom w:w="20" w:type="dxa"/>
              <w:right w:w="20" w:type="dxa"/>
            </w:tcMar>
          </w:tcPr>
          <w:p w:rsidR="00F227D9" w:rsidRPr="00730D03" w:rsidRDefault="00F227D9">
            <w:pPr>
              <w:pStyle w:val="T1TableStyle"/>
              <w:rPr>
                <w:rFonts w:ascii="Verdana" w:eastAsia="Verdana" w:hAnsi="Verdana" w:cs="Verdana"/>
                <w:color w:val="000000"/>
                <w:sz w:val="16"/>
                <w:lang w:val="en-GB"/>
              </w:rPr>
            </w:pPr>
            <w:r w:rsidRPr="00730D03">
              <w:rPr>
                <w:rFonts w:ascii="Verdana" w:eastAsia="Verdana" w:hAnsi="Verdana" w:cs="Verdana"/>
                <w:color w:val="000000"/>
                <w:sz w:val="16"/>
                <w:lang w:val="en-GB"/>
              </w:rPr>
              <w:t>Re</w:t>
            </w:r>
            <w:r w:rsidR="00B33F2E">
              <w:rPr>
                <w:rFonts w:ascii="Verdana" w:eastAsia="Verdana" w:hAnsi="Verdana" w:cs="Verdana"/>
                <w:color w:val="000000"/>
                <w:sz w:val="16"/>
                <w:lang w:val="en-GB"/>
              </w:rPr>
              <w:t>-</w:t>
            </w:r>
            <w:r w:rsidRPr="00730D03">
              <w:rPr>
                <w:rFonts w:ascii="Verdana" w:eastAsia="Verdana" w:hAnsi="Verdana" w:cs="Verdana"/>
                <w:color w:val="000000"/>
                <w:sz w:val="16"/>
                <w:lang w:val="en-GB"/>
              </w:rPr>
              <w:t>measurements of the net defined benefit (liability)/asset</w:t>
            </w:r>
          </w:p>
        </w:tc>
        <w:tc>
          <w:tcPr>
            <w:tcW w:w="1973" w:type="dxa"/>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color w:val="000000"/>
                <w:sz w:val="16"/>
                <w:lang w:val="en-GB"/>
              </w:rPr>
            </w:pPr>
            <w:r w:rsidRPr="00730D03">
              <w:rPr>
                <w:rFonts w:ascii="Verdana" w:eastAsia="Verdana" w:hAnsi="Verdana" w:cs="Verdana"/>
                <w:color w:val="000000"/>
                <w:sz w:val="16"/>
                <w:lang w:val="en-GB"/>
              </w:rPr>
              <w:t>(191,</w:t>
            </w:r>
            <w:r w:rsidR="00DF2096">
              <w:rPr>
                <w:rFonts w:ascii="Verdana" w:eastAsia="Verdana" w:hAnsi="Verdana" w:cs="Verdana"/>
                <w:color w:val="000000"/>
                <w:sz w:val="16"/>
                <w:lang w:val="en-GB"/>
              </w:rPr>
              <w:t>84</w:t>
            </w:r>
            <w:r w:rsidRPr="00730D03">
              <w:rPr>
                <w:rFonts w:ascii="Verdana" w:eastAsia="Verdana" w:hAnsi="Verdana" w:cs="Verdana"/>
                <w:color w:val="000000"/>
                <w:sz w:val="16"/>
                <w:lang w:val="en-GB"/>
              </w:rPr>
              <w:t>7)</w:t>
            </w:r>
          </w:p>
        </w:tc>
      </w:tr>
      <w:tr w:rsidR="0053376B" w:rsidRPr="00730D03" w:rsidTr="00CB3842">
        <w:trPr>
          <w:trHeight w:val="812"/>
          <w:jc w:val="center"/>
        </w:trPr>
        <w:tc>
          <w:tcPr>
            <w:tcW w:w="1971" w:type="dxa"/>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color w:val="000000"/>
                <w:sz w:val="16"/>
                <w:lang w:val="en-GB"/>
              </w:rPr>
            </w:pPr>
            <w:r w:rsidRPr="00730D03">
              <w:rPr>
                <w:rFonts w:ascii="Verdana" w:eastAsia="Verdana" w:hAnsi="Verdana" w:cs="Verdana"/>
                <w:color w:val="000000"/>
                <w:sz w:val="16"/>
                <w:lang w:val="en-GB"/>
              </w:rPr>
              <w:t>198,431</w:t>
            </w:r>
          </w:p>
        </w:tc>
        <w:tc>
          <w:tcPr>
            <w:tcW w:w="265" w:type="dxa"/>
            <w:shd w:val="clear" w:color="auto" w:fill="auto"/>
            <w:tcMar>
              <w:top w:w="20" w:type="dxa"/>
              <w:left w:w="20" w:type="dxa"/>
              <w:bottom w:w="20" w:type="dxa"/>
              <w:right w:w="20" w:type="dxa"/>
            </w:tcMar>
          </w:tcPr>
          <w:p w:rsidR="00F227D9" w:rsidRPr="00730D03" w:rsidRDefault="00F227D9">
            <w:pPr>
              <w:pStyle w:val="T1TableStyle"/>
              <w:jc w:val="center"/>
              <w:rPr>
                <w:rFonts w:ascii="Verdana" w:eastAsia="Verdana" w:hAnsi="Verdana" w:cs="Verdana"/>
                <w:color w:val="000000"/>
                <w:sz w:val="2"/>
                <w:lang w:val="en-GB"/>
              </w:rPr>
            </w:pPr>
            <w:r w:rsidRPr="00730D03">
              <w:rPr>
                <w:rFonts w:ascii="Verdana" w:eastAsia="Verdana" w:hAnsi="Verdana" w:cs="Verdana"/>
                <w:color w:val="000000"/>
                <w:sz w:val="2"/>
                <w:lang w:val="en-GB"/>
              </w:rPr>
              <w:t xml:space="preserve"> </w:t>
            </w:r>
          </w:p>
        </w:tc>
        <w:tc>
          <w:tcPr>
            <w:tcW w:w="4762" w:type="dxa"/>
            <w:shd w:val="clear" w:color="auto" w:fill="auto"/>
            <w:tcMar>
              <w:top w:w="20" w:type="dxa"/>
              <w:left w:w="20" w:type="dxa"/>
              <w:bottom w:w="20" w:type="dxa"/>
              <w:right w:w="20" w:type="dxa"/>
            </w:tcMar>
          </w:tcPr>
          <w:p w:rsidR="00F227D9" w:rsidRPr="00730D03" w:rsidRDefault="00F227D9">
            <w:pPr>
              <w:pStyle w:val="T1TableStyle"/>
              <w:rPr>
                <w:rFonts w:ascii="Verdana" w:eastAsia="Verdana" w:hAnsi="Verdana" w:cs="Verdana"/>
                <w:color w:val="000000"/>
                <w:sz w:val="16"/>
                <w:lang w:val="en-GB"/>
              </w:rPr>
            </w:pPr>
            <w:r w:rsidRPr="00730D03">
              <w:rPr>
                <w:rFonts w:ascii="Verdana" w:eastAsia="Verdana" w:hAnsi="Verdana" w:cs="Verdana"/>
                <w:color w:val="000000"/>
                <w:sz w:val="16"/>
                <w:lang w:val="en-GB"/>
              </w:rPr>
              <w:t xml:space="preserve">Reversal of items relating to retirement benefits debited or credited to the Surplus or Deficit on the Provision of Services in the Comprehensive Income and Expenditure Statement </w:t>
            </w:r>
          </w:p>
        </w:tc>
        <w:tc>
          <w:tcPr>
            <w:tcW w:w="1973" w:type="dxa"/>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color w:val="000000"/>
                <w:sz w:val="16"/>
                <w:lang w:val="en-GB"/>
              </w:rPr>
            </w:pPr>
            <w:r w:rsidRPr="00730D03">
              <w:rPr>
                <w:rFonts w:ascii="Verdana" w:eastAsia="Verdana" w:hAnsi="Verdana" w:cs="Verdana"/>
                <w:color w:val="000000"/>
                <w:sz w:val="16"/>
                <w:lang w:val="en-GB"/>
              </w:rPr>
              <w:t>1</w:t>
            </w:r>
            <w:r w:rsidR="00DF2096">
              <w:rPr>
                <w:rFonts w:ascii="Verdana" w:eastAsia="Verdana" w:hAnsi="Verdana" w:cs="Verdana"/>
                <w:color w:val="000000"/>
                <w:sz w:val="16"/>
                <w:lang w:val="en-GB"/>
              </w:rPr>
              <w:t>13</w:t>
            </w:r>
            <w:r w:rsidRPr="00730D03">
              <w:rPr>
                <w:rFonts w:ascii="Verdana" w:eastAsia="Verdana" w:hAnsi="Verdana" w:cs="Verdana"/>
                <w:color w:val="000000"/>
                <w:sz w:val="16"/>
                <w:lang w:val="en-GB"/>
              </w:rPr>
              <w:t>,</w:t>
            </w:r>
            <w:r w:rsidR="00DF2096">
              <w:rPr>
                <w:rFonts w:ascii="Verdana" w:eastAsia="Verdana" w:hAnsi="Verdana" w:cs="Verdana"/>
                <w:color w:val="000000"/>
                <w:sz w:val="16"/>
                <w:lang w:val="en-GB"/>
              </w:rPr>
              <w:t>180</w:t>
            </w:r>
          </w:p>
        </w:tc>
      </w:tr>
      <w:tr w:rsidR="0053376B" w:rsidRPr="00730D03" w:rsidTr="00CB3842">
        <w:trPr>
          <w:trHeight w:val="405"/>
          <w:jc w:val="center"/>
        </w:trPr>
        <w:tc>
          <w:tcPr>
            <w:tcW w:w="1971" w:type="dxa"/>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color w:val="000000"/>
                <w:sz w:val="16"/>
                <w:lang w:val="en-GB"/>
              </w:rPr>
            </w:pPr>
            <w:r w:rsidRPr="00730D03">
              <w:rPr>
                <w:rFonts w:ascii="Verdana" w:eastAsia="Verdana" w:hAnsi="Verdana" w:cs="Verdana"/>
                <w:color w:val="000000"/>
                <w:sz w:val="16"/>
                <w:lang w:val="en-GB"/>
              </w:rPr>
              <w:t>(57,346)</w:t>
            </w:r>
          </w:p>
        </w:tc>
        <w:tc>
          <w:tcPr>
            <w:tcW w:w="265" w:type="dxa"/>
            <w:shd w:val="clear" w:color="auto" w:fill="auto"/>
            <w:tcMar>
              <w:top w:w="20" w:type="dxa"/>
              <w:left w:w="20" w:type="dxa"/>
              <w:bottom w:w="20" w:type="dxa"/>
              <w:right w:w="20" w:type="dxa"/>
            </w:tcMar>
          </w:tcPr>
          <w:p w:rsidR="00F227D9" w:rsidRPr="00730D03" w:rsidRDefault="00F227D9">
            <w:pPr>
              <w:pStyle w:val="T1TableStyle"/>
              <w:jc w:val="center"/>
              <w:rPr>
                <w:rFonts w:ascii="Verdana" w:eastAsia="Verdana" w:hAnsi="Verdana" w:cs="Verdana"/>
                <w:color w:val="000000"/>
                <w:sz w:val="2"/>
                <w:lang w:val="en-GB"/>
              </w:rPr>
            </w:pPr>
            <w:r w:rsidRPr="00730D03">
              <w:rPr>
                <w:rFonts w:ascii="Verdana" w:eastAsia="Verdana" w:hAnsi="Verdana" w:cs="Verdana"/>
                <w:color w:val="000000"/>
                <w:sz w:val="2"/>
                <w:lang w:val="en-GB"/>
              </w:rPr>
              <w:t xml:space="preserve"> </w:t>
            </w:r>
          </w:p>
        </w:tc>
        <w:tc>
          <w:tcPr>
            <w:tcW w:w="4762" w:type="dxa"/>
            <w:shd w:val="clear" w:color="auto" w:fill="auto"/>
            <w:tcMar>
              <w:top w:w="20" w:type="dxa"/>
              <w:left w:w="20" w:type="dxa"/>
              <w:bottom w:w="20" w:type="dxa"/>
              <w:right w:w="20" w:type="dxa"/>
            </w:tcMar>
          </w:tcPr>
          <w:p w:rsidR="00F227D9" w:rsidRPr="00730D03" w:rsidRDefault="00F227D9">
            <w:pPr>
              <w:pStyle w:val="T1TableStyle"/>
              <w:rPr>
                <w:rFonts w:ascii="Verdana" w:eastAsia="Verdana" w:hAnsi="Verdana" w:cs="Verdana"/>
                <w:color w:val="000000"/>
                <w:sz w:val="16"/>
                <w:lang w:val="en-GB"/>
              </w:rPr>
            </w:pPr>
            <w:r w:rsidRPr="00730D03">
              <w:rPr>
                <w:rFonts w:ascii="Verdana" w:eastAsia="Verdana" w:hAnsi="Verdana" w:cs="Verdana"/>
                <w:color w:val="000000"/>
                <w:sz w:val="16"/>
                <w:lang w:val="en-GB"/>
              </w:rPr>
              <w:t>Employer's pensions contributions and direct payments to pensioners payable in the year</w:t>
            </w:r>
          </w:p>
        </w:tc>
        <w:tc>
          <w:tcPr>
            <w:tcW w:w="1973" w:type="dxa"/>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color w:val="000000"/>
                <w:sz w:val="16"/>
                <w:lang w:val="en-GB"/>
              </w:rPr>
            </w:pPr>
            <w:r w:rsidRPr="00730D03">
              <w:rPr>
                <w:rFonts w:ascii="Verdana" w:eastAsia="Verdana" w:hAnsi="Verdana" w:cs="Verdana"/>
                <w:color w:val="000000"/>
                <w:sz w:val="16"/>
                <w:lang w:val="en-GB"/>
              </w:rPr>
              <w:t>(5</w:t>
            </w:r>
            <w:r w:rsidR="00DF2096">
              <w:rPr>
                <w:rFonts w:ascii="Verdana" w:eastAsia="Verdana" w:hAnsi="Verdana" w:cs="Verdana"/>
                <w:color w:val="000000"/>
                <w:sz w:val="16"/>
                <w:lang w:val="en-GB"/>
              </w:rPr>
              <w:t>0</w:t>
            </w:r>
            <w:r w:rsidRPr="00730D03">
              <w:rPr>
                <w:rFonts w:ascii="Verdana" w:eastAsia="Verdana" w:hAnsi="Verdana" w:cs="Verdana"/>
                <w:color w:val="000000"/>
                <w:sz w:val="16"/>
                <w:lang w:val="en-GB"/>
              </w:rPr>
              <w:t>,</w:t>
            </w:r>
            <w:r w:rsidR="00DF2096">
              <w:rPr>
                <w:rFonts w:ascii="Verdana" w:eastAsia="Verdana" w:hAnsi="Verdana" w:cs="Verdana"/>
                <w:color w:val="000000"/>
                <w:sz w:val="16"/>
                <w:lang w:val="en-GB"/>
              </w:rPr>
              <w:t>294</w:t>
            </w:r>
            <w:r w:rsidRPr="00730D03">
              <w:rPr>
                <w:rFonts w:ascii="Verdana" w:eastAsia="Verdana" w:hAnsi="Verdana" w:cs="Verdana"/>
                <w:color w:val="000000"/>
                <w:sz w:val="16"/>
                <w:lang w:val="en-GB"/>
              </w:rPr>
              <w:t>)</w:t>
            </w:r>
          </w:p>
        </w:tc>
      </w:tr>
      <w:tr w:rsidR="0053376B" w:rsidRPr="00730D03" w:rsidTr="00CB3842">
        <w:trPr>
          <w:trHeight w:val="202"/>
          <w:jc w:val="center"/>
        </w:trPr>
        <w:tc>
          <w:tcPr>
            <w:tcW w:w="1971"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b/>
                <w:color w:val="000000"/>
                <w:sz w:val="16"/>
                <w:lang w:val="en-GB"/>
              </w:rPr>
            </w:pPr>
            <w:r w:rsidRPr="00730D03">
              <w:rPr>
                <w:rFonts w:ascii="Verdana" w:eastAsia="Verdana" w:hAnsi="Verdana" w:cs="Verdana"/>
                <w:b/>
                <w:color w:val="000000"/>
                <w:sz w:val="16"/>
                <w:lang w:val="en-GB"/>
              </w:rPr>
              <w:t>2,156,930</w:t>
            </w:r>
          </w:p>
        </w:tc>
        <w:tc>
          <w:tcPr>
            <w:tcW w:w="26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730D03" w:rsidRDefault="00F227D9">
            <w:pPr>
              <w:pStyle w:val="T1TableStyle"/>
              <w:jc w:val="center"/>
              <w:rPr>
                <w:rFonts w:ascii="Verdana" w:eastAsia="Verdana" w:hAnsi="Verdana" w:cs="Verdana"/>
                <w:b/>
                <w:color w:val="000000"/>
                <w:sz w:val="2"/>
                <w:lang w:val="en-GB"/>
              </w:rPr>
            </w:pPr>
            <w:r w:rsidRPr="00730D03">
              <w:rPr>
                <w:rFonts w:ascii="Verdana" w:eastAsia="Verdana" w:hAnsi="Verdana" w:cs="Verdana"/>
                <w:b/>
                <w:color w:val="000000"/>
                <w:sz w:val="2"/>
                <w:lang w:val="en-GB"/>
              </w:rPr>
              <w:t xml:space="preserve"> </w:t>
            </w:r>
          </w:p>
        </w:tc>
        <w:tc>
          <w:tcPr>
            <w:tcW w:w="4762"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730D03" w:rsidRDefault="00F227D9">
            <w:pPr>
              <w:pStyle w:val="T1TableStyle"/>
              <w:rPr>
                <w:rFonts w:ascii="Verdana" w:eastAsia="Verdana" w:hAnsi="Verdana" w:cs="Verdana"/>
                <w:b/>
                <w:color w:val="000000"/>
                <w:sz w:val="16"/>
                <w:lang w:val="en-GB"/>
              </w:rPr>
            </w:pPr>
            <w:r w:rsidRPr="00730D03">
              <w:rPr>
                <w:rFonts w:ascii="Verdana" w:eastAsia="Verdana" w:hAnsi="Verdana" w:cs="Verdana"/>
                <w:b/>
                <w:color w:val="000000"/>
                <w:sz w:val="16"/>
                <w:lang w:val="en-GB"/>
              </w:rPr>
              <w:t xml:space="preserve">Balance 31 March </w:t>
            </w:r>
          </w:p>
        </w:tc>
        <w:tc>
          <w:tcPr>
            <w:tcW w:w="1973"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730D03" w:rsidRDefault="00F227D9">
            <w:pPr>
              <w:pStyle w:val="T1TableStyle"/>
              <w:jc w:val="right"/>
              <w:rPr>
                <w:rFonts w:ascii="Verdana" w:eastAsia="Verdana" w:hAnsi="Verdana" w:cs="Verdana"/>
                <w:b/>
                <w:color w:val="000000"/>
                <w:sz w:val="16"/>
                <w:lang w:val="en-GB"/>
              </w:rPr>
            </w:pPr>
            <w:r w:rsidRPr="0092209F">
              <w:rPr>
                <w:rFonts w:ascii="Verdana" w:eastAsia="Verdana" w:hAnsi="Verdana" w:cs="Verdana"/>
                <w:b/>
                <w:color w:val="000000"/>
                <w:sz w:val="16"/>
                <w:lang w:val="en-GB"/>
              </w:rPr>
              <w:t>2,0</w:t>
            </w:r>
            <w:r w:rsidR="00DF2096">
              <w:rPr>
                <w:rFonts w:ascii="Verdana" w:eastAsia="Verdana" w:hAnsi="Verdana" w:cs="Verdana"/>
                <w:b/>
                <w:color w:val="000000"/>
                <w:sz w:val="16"/>
                <w:lang w:val="en-GB"/>
              </w:rPr>
              <w:t>26</w:t>
            </w:r>
            <w:r w:rsidRPr="0092209F">
              <w:rPr>
                <w:rFonts w:ascii="Verdana" w:eastAsia="Verdana" w:hAnsi="Verdana" w:cs="Verdana"/>
                <w:b/>
                <w:color w:val="000000"/>
                <w:sz w:val="16"/>
                <w:lang w:val="en-GB"/>
              </w:rPr>
              <w:t>,</w:t>
            </w:r>
            <w:r w:rsidR="00DF2096">
              <w:rPr>
                <w:rFonts w:ascii="Verdana" w:eastAsia="Verdana" w:hAnsi="Verdana" w:cs="Verdana"/>
                <w:b/>
                <w:color w:val="000000"/>
                <w:sz w:val="16"/>
                <w:lang w:val="en-GB"/>
              </w:rPr>
              <w:t>555</w:t>
            </w:r>
          </w:p>
        </w:tc>
      </w:tr>
    </w:tbl>
    <w:p w:rsidR="00F227D9" w:rsidRDefault="00F227D9">
      <w:pPr>
        <w:pStyle w:val="T1TableStyle"/>
        <w:rPr>
          <w:rFonts w:ascii="Verdana" w:eastAsia="Verdana" w:hAnsi="Verdana" w:cs="Verdana"/>
          <w:sz w:val="22"/>
          <w:lang w:val="en-GB"/>
        </w:rPr>
      </w:pPr>
    </w:p>
    <w:p w:rsidR="00645BB6" w:rsidRDefault="00645BB6" w:rsidP="00645BB6">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 Pensions Reserve reflects the timing adjustments arising from the different arrangements for accounting for post-employment benefits and for funding benefits in accordance with statutory provisions [Statutory Instrument No. 2010/454].  Post-employment benefits are accounted for in the Comprehensive Income and Expenditure Statement as the benefits are earned by employees accruing years of service, updating the liabilities recognised in line with inflation assumptions, changing assumptions and investment returns on any resources set aside to meet the costs.  However, statutory arrangements require benefits earned, to be financed as the employer makes contribution to pension funds, or eventual payment of any pensions for which it is directly responsible.  The debit balance on the Pensions Reserve therefore shows a substantial shortfall in the benefits earned by past and current employees and the resources set aside to meet them.  The statutory arrangement will ensure that funding will have been set aside by the time the benefits come to be paid.</w:t>
      </w:r>
    </w:p>
    <w:p w:rsidR="00F227D9" w:rsidRDefault="00F227D9">
      <w:pPr>
        <w:pStyle w:val="Normal0"/>
        <w:spacing w:after="160"/>
        <w:rPr>
          <w:rFonts w:ascii="Verdana" w:eastAsia="Verdana" w:hAnsi="Verdana" w:cs="Verdana"/>
          <w:sz w:val="22"/>
          <w:szCs w:val="22"/>
          <w:lang w:val="en-GB"/>
        </w:rPr>
      </w:pPr>
    </w:p>
    <w:p w:rsidR="00CB3842" w:rsidRDefault="00CB3842">
      <w:pPr>
        <w:pStyle w:val="Normal0"/>
        <w:spacing w:after="160"/>
        <w:rPr>
          <w:rFonts w:ascii="Verdana" w:eastAsia="Verdana" w:hAnsi="Verdana" w:cs="Verdana"/>
          <w:sz w:val="22"/>
          <w:szCs w:val="22"/>
          <w:lang w:val="en-GB"/>
        </w:rPr>
      </w:pPr>
    </w:p>
    <w:tbl>
      <w:tblPr>
        <w:tblW w:w="0" w:type="auto"/>
        <w:jc w:val="center"/>
        <w:tblLayout w:type="fixed"/>
        <w:tblLook w:val="04A0" w:firstRow="1" w:lastRow="0" w:firstColumn="1" w:lastColumn="0" w:noHBand="0" w:noVBand="1"/>
      </w:tblPr>
      <w:tblGrid>
        <w:gridCol w:w="1895"/>
        <w:gridCol w:w="255"/>
        <w:gridCol w:w="4578"/>
        <w:gridCol w:w="1896"/>
      </w:tblGrid>
      <w:tr w:rsidR="0053376B" w:rsidTr="00CB3842">
        <w:trPr>
          <w:trHeight w:val="191"/>
          <w:jc w:val="center"/>
        </w:trPr>
        <w:tc>
          <w:tcPr>
            <w:tcW w:w="8624" w:type="dxa"/>
            <w:gridSpan w:val="4"/>
            <w:shd w:val="clear" w:color="auto" w:fill="auto"/>
            <w:tcMar>
              <w:top w:w="20" w:type="dxa"/>
              <w:left w:w="20" w:type="dxa"/>
              <w:bottom w:w="20" w:type="dxa"/>
              <w:right w:w="20" w:type="dxa"/>
            </w:tcMar>
            <w:vAlign w:val="bottom"/>
          </w:tcPr>
          <w:p w:rsidR="00F227D9" w:rsidRDefault="00F227D9">
            <w:pPr>
              <w:pStyle w:val="T1TableStyle"/>
              <w:rPr>
                <w:rFonts w:ascii="Verdana" w:eastAsia="Verdana" w:hAnsi="Verdana" w:cs="Verdana"/>
                <w:b/>
                <w:color w:val="000000"/>
                <w:lang w:val="en-GB"/>
              </w:rPr>
            </w:pPr>
            <w:r>
              <w:rPr>
                <w:rFonts w:ascii="Verdana" w:eastAsia="Verdana" w:hAnsi="Verdana" w:cs="Verdana"/>
                <w:b/>
                <w:color w:val="000000"/>
                <w:lang w:val="en-GB"/>
              </w:rPr>
              <w:t>Accumulated Absences Account</w:t>
            </w:r>
          </w:p>
        </w:tc>
      </w:tr>
      <w:tr w:rsidR="0053376B" w:rsidTr="00CB3842">
        <w:trPr>
          <w:trHeight w:hRule="exact" w:val="191"/>
          <w:jc w:val="center"/>
        </w:trPr>
        <w:tc>
          <w:tcPr>
            <w:tcW w:w="1895" w:type="dxa"/>
            <w:shd w:val="clear" w:color="auto" w:fill="auto"/>
            <w:tcMar>
              <w:top w:w="20" w:type="dxa"/>
              <w:left w:w="20" w:type="dxa"/>
              <w:bottom w:w="20" w:type="dxa"/>
              <w:right w:w="20" w:type="dxa"/>
            </w:tcMar>
            <w:vAlign w:val="bottom"/>
          </w:tcPr>
          <w:p w:rsidR="00F227D9" w:rsidRDefault="00F227D9">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55" w:type="dxa"/>
            <w:shd w:val="clear" w:color="auto" w:fill="auto"/>
            <w:tcMar>
              <w:top w:w="20" w:type="dxa"/>
              <w:left w:w="20" w:type="dxa"/>
              <w:bottom w:w="20" w:type="dxa"/>
              <w:right w:w="20" w:type="dxa"/>
            </w:tcMar>
            <w:vAlign w:val="bottom"/>
          </w:tcPr>
          <w:p w:rsidR="00F227D9" w:rsidRDefault="00F227D9">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578" w:type="dxa"/>
            <w:shd w:val="clear" w:color="auto" w:fill="auto"/>
            <w:tcMar>
              <w:top w:w="20" w:type="dxa"/>
              <w:left w:w="20" w:type="dxa"/>
              <w:bottom w:w="20" w:type="dxa"/>
              <w:right w:w="20" w:type="dxa"/>
            </w:tcMar>
            <w:vAlign w:val="bottom"/>
          </w:tcPr>
          <w:p w:rsidR="00F227D9" w:rsidRDefault="00F227D9">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895" w:type="dxa"/>
            <w:shd w:val="clear" w:color="auto" w:fill="auto"/>
            <w:tcMar>
              <w:top w:w="20" w:type="dxa"/>
              <w:left w:w="20" w:type="dxa"/>
              <w:bottom w:w="20" w:type="dxa"/>
              <w:right w:w="20" w:type="dxa"/>
            </w:tcMar>
            <w:vAlign w:val="bottom"/>
          </w:tcPr>
          <w:p w:rsidR="00F227D9" w:rsidRDefault="00F227D9">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53376B" w:rsidTr="00CB3842">
        <w:trPr>
          <w:trHeight w:val="191"/>
          <w:jc w:val="center"/>
        </w:trPr>
        <w:tc>
          <w:tcPr>
            <w:tcW w:w="189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c>
          <w:tcPr>
            <w:tcW w:w="25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578"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89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53376B" w:rsidTr="00CB3842">
        <w:trPr>
          <w:trHeight w:val="191"/>
          <w:jc w:val="center"/>
        </w:trPr>
        <w:tc>
          <w:tcPr>
            <w:tcW w:w="189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25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578"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89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53376B" w:rsidTr="00CB3842">
        <w:trPr>
          <w:trHeight w:val="191"/>
          <w:jc w:val="center"/>
        </w:trPr>
        <w:tc>
          <w:tcPr>
            <w:tcW w:w="189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602</w:t>
            </w:r>
          </w:p>
        </w:tc>
        <w:tc>
          <w:tcPr>
            <w:tcW w:w="25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4578"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 xml:space="preserve">Balance 1 April </w:t>
            </w:r>
          </w:p>
        </w:tc>
        <w:tc>
          <w:tcPr>
            <w:tcW w:w="189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908</w:t>
            </w:r>
          </w:p>
        </w:tc>
      </w:tr>
      <w:tr w:rsidR="0053376B" w:rsidTr="00CB3842">
        <w:trPr>
          <w:trHeight w:val="402"/>
          <w:jc w:val="center"/>
        </w:trPr>
        <w:tc>
          <w:tcPr>
            <w:tcW w:w="189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(602)</w:t>
            </w:r>
          </w:p>
        </w:tc>
        <w:tc>
          <w:tcPr>
            <w:tcW w:w="25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4578"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Settlement or cancellation of accrual made at the end of the preceding year</w:t>
            </w:r>
          </w:p>
        </w:tc>
        <w:tc>
          <w:tcPr>
            <w:tcW w:w="1895" w:type="dxa"/>
            <w:shd w:val="clear" w:color="auto" w:fill="auto"/>
            <w:tcMar>
              <w:top w:w="20" w:type="dxa"/>
              <w:left w:w="20" w:type="dxa"/>
              <w:bottom w:w="20" w:type="dxa"/>
              <w:right w:w="20" w:type="dxa"/>
            </w:tcMar>
          </w:tcPr>
          <w:p w:rsidR="00F227D9" w:rsidRDefault="00443FC8">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(908)</w:t>
            </w:r>
          </w:p>
        </w:tc>
      </w:tr>
      <w:tr w:rsidR="0053376B" w:rsidTr="00CB3842">
        <w:trPr>
          <w:trHeight w:val="268"/>
          <w:jc w:val="center"/>
        </w:trPr>
        <w:tc>
          <w:tcPr>
            <w:tcW w:w="189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908</w:t>
            </w:r>
          </w:p>
        </w:tc>
        <w:tc>
          <w:tcPr>
            <w:tcW w:w="255"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4578"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Amounts accrued at the end of the current year</w:t>
            </w:r>
          </w:p>
        </w:tc>
        <w:tc>
          <w:tcPr>
            <w:tcW w:w="1895" w:type="dxa"/>
            <w:shd w:val="clear" w:color="auto" w:fill="auto"/>
            <w:tcMar>
              <w:top w:w="20" w:type="dxa"/>
              <w:left w:w="20" w:type="dxa"/>
              <w:bottom w:w="20" w:type="dxa"/>
              <w:right w:w="20" w:type="dxa"/>
            </w:tcMar>
          </w:tcPr>
          <w:p w:rsidR="00F227D9" w:rsidRDefault="00443FC8">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1,053</w:t>
            </w:r>
          </w:p>
        </w:tc>
      </w:tr>
      <w:tr w:rsidR="0053376B" w:rsidTr="00CB3842">
        <w:trPr>
          <w:trHeight w:val="1073"/>
          <w:jc w:val="center"/>
        </w:trPr>
        <w:tc>
          <w:tcPr>
            <w:tcW w:w="1895" w:type="dxa"/>
            <w:tcBorders>
              <w:top w:val="single" w:sz="2" w:space="0" w:color="000000"/>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306</w:t>
            </w:r>
          </w:p>
        </w:tc>
        <w:tc>
          <w:tcPr>
            <w:tcW w:w="255" w:type="dxa"/>
            <w:tcBorders>
              <w:top w:val="single" w:sz="2" w:space="0" w:color="000000"/>
              <w:bottom w:val="single" w:sz="2" w:space="0" w:color="000000"/>
            </w:tcBorders>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4578" w:type="dxa"/>
            <w:tcBorders>
              <w:top w:val="single" w:sz="2" w:space="0" w:color="000000"/>
              <w:bottom w:val="single" w:sz="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Amount by which officer remuneration charged to the Comprehensive Income and Expenditure Statement on an accruals basis is different from remuneration chargeable in year in accordance with statutory requirements</w:t>
            </w:r>
          </w:p>
        </w:tc>
        <w:tc>
          <w:tcPr>
            <w:tcW w:w="1895" w:type="dxa"/>
            <w:tcBorders>
              <w:top w:val="single" w:sz="2" w:space="0" w:color="000000"/>
              <w:bottom w:val="single" w:sz="2" w:space="0" w:color="000000"/>
            </w:tcBorders>
            <w:shd w:val="clear" w:color="auto" w:fill="auto"/>
            <w:tcMar>
              <w:top w:w="20" w:type="dxa"/>
              <w:left w:w="20" w:type="dxa"/>
              <w:bottom w:w="20" w:type="dxa"/>
              <w:right w:w="20" w:type="dxa"/>
            </w:tcMar>
          </w:tcPr>
          <w:p w:rsidR="00F227D9" w:rsidRDefault="00443FC8">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145</w:t>
            </w:r>
          </w:p>
          <w:p w:rsidR="00443FC8" w:rsidRDefault="00443FC8" w:rsidP="00443FC8">
            <w:pPr>
              <w:pStyle w:val="T1TableStyle"/>
              <w:jc w:val="center"/>
              <w:rPr>
                <w:rFonts w:ascii="Verdana" w:eastAsia="Verdana" w:hAnsi="Verdana" w:cs="Verdana"/>
                <w:color w:val="000000"/>
                <w:sz w:val="16"/>
                <w:lang w:val="en-GB"/>
              </w:rPr>
            </w:pPr>
          </w:p>
        </w:tc>
      </w:tr>
      <w:tr w:rsidR="0053376B" w:rsidTr="00CB3842">
        <w:trPr>
          <w:trHeight w:val="201"/>
          <w:jc w:val="center"/>
        </w:trPr>
        <w:tc>
          <w:tcPr>
            <w:tcW w:w="189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908</w:t>
            </w:r>
          </w:p>
        </w:tc>
        <w:tc>
          <w:tcPr>
            <w:tcW w:w="25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578"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 xml:space="preserve">Balance 31 March </w:t>
            </w:r>
          </w:p>
        </w:tc>
        <w:tc>
          <w:tcPr>
            <w:tcW w:w="189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443FC8">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1,053</w:t>
            </w:r>
          </w:p>
        </w:tc>
      </w:tr>
    </w:tbl>
    <w:p w:rsidR="00F227D9" w:rsidRDefault="00F227D9">
      <w:pPr>
        <w:pStyle w:val="T1TableStyle"/>
        <w:rPr>
          <w:rFonts w:ascii="Verdana" w:eastAsia="Verdana" w:hAnsi="Verdana" w:cs="Verdana"/>
          <w:sz w:val="22"/>
          <w:lang w:val="en-GB"/>
        </w:rPr>
      </w:pPr>
    </w:p>
    <w:p w:rsidR="00F227D9" w:rsidRDefault="00F227D9" w:rsidP="00645BB6">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 xml:space="preserve">The Accumulated Absences Account </w:t>
      </w:r>
      <w:r w:rsidR="00645BB6">
        <w:rPr>
          <w:rFonts w:ascii="Verdana" w:eastAsia="Verdana" w:hAnsi="Verdana" w:cs="Verdana"/>
          <w:sz w:val="22"/>
          <w:szCs w:val="22"/>
          <w:lang w:val="en-GB"/>
        </w:rPr>
        <w:t>reflects</w:t>
      </w:r>
      <w:r>
        <w:rPr>
          <w:rFonts w:ascii="Verdana" w:eastAsia="Verdana" w:hAnsi="Verdana" w:cs="Verdana"/>
          <w:sz w:val="22"/>
          <w:szCs w:val="22"/>
          <w:lang w:val="en-GB"/>
        </w:rPr>
        <w:t xml:space="preserve"> the differences that would otherwise arise on the General Fund Balance from accruing for compensated absences earned but not taken in the year, e.g. annual leave entitlement carried forward at 31 March 20</w:t>
      </w:r>
      <w:r w:rsidR="00443FC8">
        <w:rPr>
          <w:rFonts w:ascii="Verdana" w:eastAsia="Verdana" w:hAnsi="Verdana" w:cs="Verdana"/>
          <w:sz w:val="22"/>
          <w:szCs w:val="22"/>
          <w:lang w:val="en-GB"/>
        </w:rPr>
        <w:t>20</w:t>
      </w:r>
      <w:r>
        <w:rPr>
          <w:rFonts w:ascii="Verdana" w:eastAsia="Verdana" w:hAnsi="Verdana" w:cs="Verdana"/>
          <w:sz w:val="22"/>
          <w:szCs w:val="22"/>
          <w:lang w:val="en-GB"/>
        </w:rPr>
        <w:t xml:space="preserve">. Statutory arrangements require that the impact on the General Fund Balance is </w:t>
      </w:r>
      <w:r w:rsidR="00645BB6">
        <w:rPr>
          <w:rFonts w:ascii="Verdana" w:eastAsia="Verdana" w:hAnsi="Verdana" w:cs="Verdana"/>
          <w:sz w:val="22"/>
          <w:szCs w:val="22"/>
          <w:lang w:val="en-GB"/>
        </w:rPr>
        <w:t xml:space="preserve">offset by </w:t>
      </w:r>
      <w:r>
        <w:rPr>
          <w:rFonts w:ascii="Verdana" w:eastAsia="Verdana" w:hAnsi="Verdana" w:cs="Verdana"/>
          <w:sz w:val="22"/>
          <w:szCs w:val="22"/>
          <w:lang w:val="en-GB"/>
        </w:rPr>
        <w:t xml:space="preserve">transfers to </w:t>
      </w:r>
      <w:r w:rsidR="00645BB6">
        <w:rPr>
          <w:rFonts w:ascii="Verdana" w:eastAsia="Verdana" w:hAnsi="Verdana" w:cs="Verdana"/>
          <w:sz w:val="22"/>
          <w:szCs w:val="22"/>
          <w:lang w:val="en-GB"/>
        </w:rPr>
        <w:t>mitigate the impact on Council Tax</w:t>
      </w:r>
      <w:r>
        <w:rPr>
          <w:rFonts w:ascii="Verdana" w:eastAsia="Verdana" w:hAnsi="Verdana" w:cs="Verdana"/>
          <w:sz w:val="22"/>
          <w:szCs w:val="22"/>
          <w:lang w:val="en-GB"/>
        </w:rPr>
        <w:t>.</w:t>
      </w:r>
    </w:p>
    <w:p w:rsidR="00F227D9" w:rsidRDefault="00F227D9" w:rsidP="00F227D9">
      <w:pPr>
        <w:pStyle w:val="Heading1"/>
        <w:spacing w:after="240"/>
        <w:rPr>
          <w:lang w:val="pt-BR"/>
        </w:rPr>
      </w:pPr>
      <w:bookmarkStart w:id="17" w:name="_Toc55900987"/>
      <w:r>
        <w:rPr>
          <w:lang w:val="pt-BR"/>
        </w:rPr>
        <w:t>Note 9 - Debtors</w:t>
      </w:r>
      <w:bookmarkEnd w:id="17"/>
      <w:r>
        <w:rPr>
          <w:lang w:val="pt-BR"/>
        </w:rPr>
        <w:t xml:space="preserve"> </w:t>
      </w:r>
    </w:p>
    <w:p w:rsidR="00F227D9" w:rsidRDefault="00F227D9">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Debts outstanding at 31 March 20</w:t>
      </w:r>
      <w:r w:rsidR="00443FC8">
        <w:rPr>
          <w:rFonts w:ascii="Verdana" w:eastAsia="Verdana" w:hAnsi="Verdana" w:cs="Verdana"/>
          <w:sz w:val="22"/>
          <w:szCs w:val="22"/>
          <w:lang w:val="en-GB"/>
        </w:rPr>
        <w:t>20</w:t>
      </w:r>
      <w:r>
        <w:rPr>
          <w:rFonts w:ascii="Verdana" w:eastAsia="Verdana" w:hAnsi="Verdana" w:cs="Verdana"/>
          <w:sz w:val="22"/>
          <w:szCs w:val="22"/>
          <w:lang w:val="en-GB"/>
        </w:rPr>
        <w:t xml:space="preserve"> are as follows:</w:t>
      </w:r>
    </w:p>
    <w:tbl>
      <w:tblPr>
        <w:tblW w:w="0" w:type="auto"/>
        <w:jc w:val="center"/>
        <w:tblLayout w:type="fixed"/>
        <w:tblLook w:val="04A0" w:firstRow="1" w:lastRow="0" w:firstColumn="1" w:lastColumn="0" w:noHBand="0" w:noVBand="1"/>
      </w:tblPr>
      <w:tblGrid>
        <w:gridCol w:w="1545"/>
        <w:gridCol w:w="180"/>
        <w:gridCol w:w="2730"/>
        <w:gridCol w:w="1545"/>
      </w:tblGrid>
      <w:tr w:rsidR="0053376B" w:rsidTr="007D3C35">
        <w:trPr>
          <w:trHeight w:val="300"/>
          <w:jc w:val="center"/>
        </w:trPr>
        <w:tc>
          <w:tcPr>
            <w:tcW w:w="154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c>
          <w:tcPr>
            <w:tcW w:w="180"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730"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54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53376B" w:rsidTr="007D3C35">
        <w:trPr>
          <w:trHeight w:val="300"/>
          <w:jc w:val="center"/>
        </w:trPr>
        <w:tc>
          <w:tcPr>
            <w:tcW w:w="154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730"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54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53376B" w:rsidTr="007D3C35">
        <w:trPr>
          <w:trHeight w:val="300"/>
          <w:jc w:val="center"/>
        </w:trPr>
        <w:tc>
          <w:tcPr>
            <w:tcW w:w="154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110</w:t>
            </w:r>
          </w:p>
        </w:tc>
        <w:tc>
          <w:tcPr>
            <w:tcW w:w="18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273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Receivable Amounts</w:t>
            </w:r>
          </w:p>
        </w:tc>
        <w:tc>
          <w:tcPr>
            <w:tcW w:w="154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110</w:t>
            </w:r>
          </w:p>
        </w:tc>
      </w:tr>
      <w:tr w:rsidR="0053376B" w:rsidTr="007D3C35">
        <w:trPr>
          <w:trHeight w:val="315"/>
          <w:jc w:val="center"/>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110</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73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110</w:t>
            </w:r>
          </w:p>
        </w:tc>
      </w:tr>
    </w:tbl>
    <w:p w:rsidR="00F227D9" w:rsidRDefault="00F227D9">
      <w:pPr>
        <w:pStyle w:val="T1TableStyle"/>
        <w:rPr>
          <w:rFonts w:ascii="Verdana" w:eastAsia="Verdana" w:hAnsi="Verdana" w:cs="Verdana"/>
          <w:sz w:val="22"/>
          <w:lang w:val="en-GB"/>
        </w:rPr>
      </w:pPr>
    </w:p>
    <w:p w:rsidR="00F227D9" w:rsidRDefault="00F227D9">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This debtor relates to the restructuring provision, representing PCC funding to match provision.</w:t>
      </w:r>
    </w:p>
    <w:p w:rsidR="00F227D9" w:rsidRDefault="00F227D9" w:rsidP="00F227D9">
      <w:pPr>
        <w:pStyle w:val="Heading1"/>
        <w:spacing w:after="240"/>
        <w:rPr>
          <w:lang w:val="pt-BR"/>
        </w:rPr>
      </w:pPr>
      <w:bookmarkStart w:id="18" w:name="_Toc55900988"/>
      <w:r>
        <w:rPr>
          <w:lang w:val="pt-BR"/>
        </w:rPr>
        <w:t>Note 10 - Creditors</w:t>
      </w:r>
      <w:bookmarkEnd w:id="18"/>
      <w:r>
        <w:rPr>
          <w:lang w:val="pt-BR"/>
        </w:rPr>
        <w:t xml:space="preserve"> </w:t>
      </w:r>
    </w:p>
    <w:p w:rsidR="00F227D9" w:rsidRDefault="00F227D9">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Payments due at 31 March 20</w:t>
      </w:r>
      <w:r w:rsidR="00443FC8">
        <w:rPr>
          <w:rFonts w:ascii="Verdana" w:eastAsia="Verdana" w:hAnsi="Verdana" w:cs="Verdana"/>
          <w:sz w:val="22"/>
          <w:szCs w:val="22"/>
          <w:lang w:val="en-GB"/>
        </w:rPr>
        <w:t>20</w:t>
      </w:r>
      <w:r>
        <w:rPr>
          <w:rFonts w:ascii="Verdana" w:eastAsia="Verdana" w:hAnsi="Verdana" w:cs="Verdana"/>
          <w:sz w:val="22"/>
          <w:szCs w:val="22"/>
          <w:lang w:val="en-GB"/>
        </w:rPr>
        <w:t xml:space="preserve"> are as follows:</w:t>
      </w:r>
    </w:p>
    <w:tbl>
      <w:tblPr>
        <w:tblW w:w="0" w:type="auto"/>
        <w:jc w:val="center"/>
        <w:tblLayout w:type="fixed"/>
        <w:tblLook w:val="04A0" w:firstRow="1" w:lastRow="0" w:firstColumn="1" w:lastColumn="0" w:noHBand="0" w:noVBand="1"/>
      </w:tblPr>
      <w:tblGrid>
        <w:gridCol w:w="1665"/>
        <w:gridCol w:w="180"/>
        <w:gridCol w:w="2955"/>
        <w:gridCol w:w="1665"/>
      </w:tblGrid>
      <w:tr w:rsidR="0053376B" w:rsidTr="007D3C35">
        <w:trPr>
          <w:trHeight w:val="300"/>
          <w:jc w:val="center"/>
        </w:trPr>
        <w:tc>
          <w:tcPr>
            <w:tcW w:w="166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c>
          <w:tcPr>
            <w:tcW w:w="180"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955" w:type="dxa"/>
            <w:shd w:val="clear" w:color="auto" w:fill="auto"/>
            <w:tcMar>
              <w:top w:w="20" w:type="dxa"/>
              <w:left w:w="20" w:type="dxa"/>
              <w:bottom w:w="20" w:type="dxa"/>
              <w:right w:w="20" w:type="dxa"/>
            </w:tcMar>
            <w:vAlign w:val="bottom"/>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66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53376B" w:rsidTr="007D3C35">
        <w:trPr>
          <w:trHeight w:val="300"/>
          <w:jc w:val="center"/>
        </w:trPr>
        <w:tc>
          <w:tcPr>
            <w:tcW w:w="166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95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66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53376B" w:rsidTr="007D3C35">
        <w:trPr>
          <w:trHeight w:val="300"/>
          <w:jc w:val="center"/>
        </w:trPr>
        <w:tc>
          <w:tcPr>
            <w:tcW w:w="166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(908)</w:t>
            </w:r>
          </w:p>
        </w:tc>
        <w:tc>
          <w:tcPr>
            <w:tcW w:w="18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2955"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payables</w:t>
            </w:r>
          </w:p>
        </w:tc>
        <w:tc>
          <w:tcPr>
            <w:tcW w:w="166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(1,053)</w:t>
            </w:r>
          </w:p>
        </w:tc>
      </w:tr>
      <w:tr w:rsidR="0053376B" w:rsidTr="007D3C35">
        <w:trPr>
          <w:trHeight w:val="315"/>
          <w:jc w:val="center"/>
        </w:trPr>
        <w:tc>
          <w:tcPr>
            <w:tcW w:w="166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(908)</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95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Creditors</w:t>
            </w:r>
          </w:p>
        </w:tc>
        <w:tc>
          <w:tcPr>
            <w:tcW w:w="166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(1,053)</w:t>
            </w:r>
          </w:p>
        </w:tc>
      </w:tr>
    </w:tbl>
    <w:p w:rsidR="00F227D9" w:rsidRDefault="00F227D9">
      <w:pPr>
        <w:pStyle w:val="T1TableStyle"/>
        <w:rPr>
          <w:rFonts w:ascii="Verdana" w:eastAsia="Verdana" w:hAnsi="Verdana" w:cs="Verdana"/>
          <w:sz w:val="22"/>
          <w:lang w:val="en-GB"/>
        </w:rPr>
      </w:pPr>
    </w:p>
    <w:p w:rsidR="00F227D9" w:rsidRDefault="00F227D9">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This creditor relates to the Accumulated Absences Reserve.</w:t>
      </w:r>
    </w:p>
    <w:p w:rsidR="00F227D9" w:rsidRDefault="00F227D9">
      <w:pPr>
        <w:pStyle w:val="Normal0"/>
        <w:spacing w:after="160"/>
        <w:rPr>
          <w:rFonts w:ascii="Verdana" w:hAnsi="Verdana"/>
          <w:sz w:val="22"/>
          <w:szCs w:val="22"/>
          <w:lang w:val="en-GB"/>
        </w:rPr>
      </w:pPr>
    </w:p>
    <w:p w:rsidR="00CB3842" w:rsidRDefault="00CB3842">
      <w:pPr>
        <w:rPr>
          <w:rFonts w:asciiTheme="majorHAnsi" w:eastAsiaTheme="majorEastAsia" w:hAnsiTheme="majorHAnsi" w:cstheme="majorBidi"/>
          <w:color w:val="2E74B5" w:themeColor="accent1" w:themeShade="BF"/>
          <w:sz w:val="32"/>
          <w:szCs w:val="32"/>
          <w:lang w:val="pt-BR"/>
        </w:rPr>
      </w:pPr>
      <w:r>
        <w:rPr>
          <w:lang w:val="pt-BR"/>
        </w:rPr>
        <w:br w:type="page"/>
      </w:r>
    </w:p>
    <w:p w:rsidR="00F227D9" w:rsidRDefault="00F227D9" w:rsidP="00F227D9">
      <w:pPr>
        <w:pStyle w:val="Heading1"/>
        <w:spacing w:line="259" w:lineRule="auto"/>
        <w:rPr>
          <w:lang w:val="pt-BR"/>
        </w:rPr>
      </w:pPr>
      <w:bookmarkStart w:id="19" w:name="_Toc55900989"/>
      <w:r w:rsidRPr="00482758">
        <w:rPr>
          <w:lang w:val="pt-BR"/>
        </w:rPr>
        <w:t>Note 11 - Provisions</w:t>
      </w:r>
      <w:bookmarkEnd w:id="19"/>
    </w:p>
    <w:p w:rsidR="00F227D9" w:rsidRDefault="00F227D9" w:rsidP="00F227D9">
      <w:pPr>
        <w:pStyle w:val="Normal0"/>
        <w:spacing w:after="160" w:line="259" w:lineRule="auto"/>
        <w:rPr>
          <w:rFonts w:ascii="Verdana" w:hAnsi="Verdana"/>
          <w:sz w:val="22"/>
          <w:szCs w:val="22"/>
          <w:lang w:val="pt-BR"/>
        </w:rPr>
      </w:pPr>
    </w:p>
    <w:p w:rsidR="00F227D9" w:rsidRDefault="00F227D9" w:rsidP="00F227D9">
      <w:pPr>
        <w:pStyle w:val="Normal0"/>
        <w:spacing w:line="240" w:lineRule="auto"/>
        <w:rPr>
          <w:rFonts w:ascii="Verdana" w:hAnsi="Verdana"/>
          <w:sz w:val="22"/>
          <w:szCs w:val="22"/>
          <w:lang w:val="pt-BR"/>
        </w:rPr>
      </w:pPr>
      <w:r>
        <w:rPr>
          <w:rFonts w:ascii="Verdana" w:eastAsia="Calibri" w:hAnsi="Verdana" w:cs="Arial"/>
          <w:sz w:val="22"/>
          <w:szCs w:val="22"/>
          <w:lang w:val="pt-BR"/>
        </w:rPr>
        <w:t>Provisions held at 31 March 20</w:t>
      </w:r>
      <w:r w:rsidR="00443FC8">
        <w:rPr>
          <w:rFonts w:ascii="Verdana" w:eastAsia="Calibri" w:hAnsi="Verdana" w:cs="Arial"/>
          <w:sz w:val="22"/>
          <w:szCs w:val="22"/>
          <w:lang w:val="pt-BR"/>
        </w:rPr>
        <w:t>20</w:t>
      </w:r>
      <w:r>
        <w:rPr>
          <w:rFonts w:ascii="Verdana" w:eastAsia="Calibri" w:hAnsi="Verdana" w:cs="Arial"/>
          <w:sz w:val="22"/>
          <w:szCs w:val="22"/>
          <w:lang w:val="pt-BR"/>
        </w:rPr>
        <w:t xml:space="preserve"> are as follows: </w:t>
      </w:r>
    </w:p>
    <w:tbl>
      <w:tblPr>
        <w:tblW w:w="0" w:type="auto"/>
        <w:jc w:val="center"/>
        <w:tblLayout w:type="fixed"/>
        <w:tblLook w:val="04A0" w:firstRow="1" w:lastRow="0" w:firstColumn="1" w:lastColumn="0" w:noHBand="0" w:noVBand="1"/>
      </w:tblPr>
      <w:tblGrid>
        <w:gridCol w:w="3498"/>
        <w:gridCol w:w="2661"/>
      </w:tblGrid>
      <w:tr w:rsidR="0053376B" w:rsidTr="008810EB">
        <w:trPr>
          <w:trHeight w:val="186"/>
          <w:jc w:val="center"/>
        </w:trPr>
        <w:tc>
          <w:tcPr>
            <w:tcW w:w="3498" w:type="dxa"/>
            <w:shd w:val="clear" w:color="auto" w:fill="auto"/>
            <w:tcMar>
              <w:top w:w="20" w:type="dxa"/>
              <w:left w:w="20" w:type="dxa"/>
              <w:bottom w:w="20" w:type="dxa"/>
              <w:right w:w="20" w:type="dxa"/>
            </w:tcMar>
            <w:vAlign w:val="bottom"/>
          </w:tcPr>
          <w:p w:rsidR="0053376B" w:rsidRDefault="00F227D9" w:rsidP="00F227D9">
            <w:pPr>
              <w:pStyle w:val="T1TableStyle"/>
              <w:rPr>
                <w:rFonts w:ascii="Verdana" w:eastAsia="Verdana" w:hAnsi="Verdana" w:cs="Verdana"/>
                <w:b/>
                <w:color w:val="000000"/>
                <w:szCs w:val="22"/>
                <w:lang w:val="en-GB"/>
              </w:rPr>
            </w:pPr>
            <w:r>
              <w:rPr>
                <w:rFonts w:ascii="Verdana" w:eastAsia="Verdana" w:hAnsi="Verdana" w:cs="Verdana"/>
                <w:b/>
                <w:color w:val="000000"/>
                <w:szCs w:val="22"/>
                <w:lang w:val="en-GB"/>
              </w:rPr>
              <w:t>Current Provisions</w:t>
            </w:r>
          </w:p>
        </w:tc>
        <w:tc>
          <w:tcPr>
            <w:tcW w:w="2661" w:type="dxa"/>
            <w:shd w:val="clear" w:color="auto" w:fill="auto"/>
            <w:tcMar>
              <w:top w:w="20" w:type="dxa"/>
              <w:left w:w="20" w:type="dxa"/>
              <w:bottom w:w="20" w:type="dxa"/>
              <w:right w:w="20" w:type="dxa"/>
            </w:tcMar>
            <w:vAlign w:val="bottom"/>
          </w:tcPr>
          <w:p w:rsidR="0053376B" w:rsidRDefault="00F227D9" w:rsidP="00F227D9">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r>
      <w:tr w:rsidR="0053376B" w:rsidTr="008810EB">
        <w:trPr>
          <w:trHeight w:hRule="exact" w:val="219"/>
          <w:jc w:val="center"/>
        </w:trPr>
        <w:tc>
          <w:tcPr>
            <w:tcW w:w="3498" w:type="dxa"/>
            <w:shd w:val="clear" w:color="auto" w:fill="auto"/>
            <w:tcMar>
              <w:top w:w="20" w:type="dxa"/>
              <w:left w:w="20" w:type="dxa"/>
              <w:bottom w:w="20" w:type="dxa"/>
              <w:right w:w="20" w:type="dxa"/>
            </w:tcMar>
            <w:vAlign w:val="bottom"/>
          </w:tcPr>
          <w:p w:rsidR="0053376B" w:rsidRDefault="00F227D9" w:rsidP="00F227D9">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2661" w:type="dxa"/>
            <w:shd w:val="clear" w:color="auto" w:fill="auto"/>
            <w:tcMar>
              <w:top w:w="20" w:type="dxa"/>
              <w:left w:w="20" w:type="dxa"/>
              <w:bottom w:w="20" w:type="dxa"/>
              <w:right w:w="20" w:type="dxa"/>
            </w:tcMar>
            <w:vAlign w:val="bottom"/>
          </w:tcPr>
          <w:p w:rsidR="0053376B" w:rsidRDefault="00F227D9" w:rsidP="00F227D9">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r>
      <w:tr w:rsidR="0053376B" w:rsidTr="008810EB">
        <w:trPr>
          <w:trHeight w:val="372"/>
          <w:jc w:val="center"/>
        </w:trPr>
        <w:tc>
          <w:tcPr>
            <w:tcW w:w="3498" w:type="dxa"/>
            <w:shd w:val="clear" w:color="auto" w:fill="auto"/>
            <w:tcMar>
              <w:top w:w="20" w:type="dxa"/>
              <w:left w:w="20" w:type="dxa"/>
              <w:bottom w:w="20" w:type="dxa"/>
              <w:right w:w="20" w:type="dxa"/>
            </w:tcMar>
            <w:vAlign w:val="bottom"/>
          </w:tcPr>
          <w:p w:rsidR="0053376B" w:rsidRDefault="00F227D9" w:rsidP="00F227D9">
            <w:pPr>
              <w:pStyle w:val="T1TableStyle"/>
              <w:rPr>
                <w:rFonts w:ascii="Verdana" w:eastAsia="Verdana" w:hAnsi="Verdana" w:cs="Verdana"/>
                <w:b/>
                <w:color w:val="000000"/>
                <w:szCs w:val="22"/>
                <w:lang w:val="en-GB"/>
              </w:rPr>
            </w:pPr>
            <w:r>
              <w:rPr>
                <w:rFonts w:ascii="Verdana" w:eastAsia="Verdana" w:hAnsi="Verdana" w:cs="Verdana"/>
                <w:b/>
                <w:color w:val="000000"/>
                <w:szCs w:val="22"/>
                <w:lang w:val="en-GB"/>
              </w:rPr>
              <w:t>2019/20</w:t>
            </w:r>
          </w:p>
        </w:tc>
        <w:tc>
          <w:tcPr>
            <w:tcW w:w="2661" w:type="dxa"/>
            <w:shd w:val="clear" w:color="auto" w:fill="auto"/>
            <w:tcMar>
              <w:top w:w="20" w:type="dxa"/>
              <w:left w:w="20" w:type="dxa"/>
              <w:bottom w:w="20" w:type="dxa"/>
              <w:right w:w="20" w:type="dxa"/>
            </w:tcMar>
            <w:vAlign w:val="bottom"/>
          </w:tcPr>
          <w:p w:rsidR="0053376B" w:rsidRDefault="00F227D9" w:rsidP="00F227D9">
            <w:pPr>
              <w:pStyle w:val="T1TableStyle"/>
              <w:jc w:val="center"/>
              <w:rPr>
                <w:rFonts w:ascii="Verdana" w:eastAsia="Verdana" w:hAnsi="Verdana" w:cs="Verdana"/>
                <w:b/>
                <w:color w:val="000000"/>
                <w:sz w:val="16"/>
                <w:szCs w:val="22"/>
                <w:lang w:val="en-GB"/>
              </w:rPr>
            </w:pPr>
            <w:r>
              <w:rPr>
                <w:rFonts w:ascii="Verdana" w:eastAsia="Verdana" w:hAnsi="Verdana" w:cs="Verdana"/>
                <w:b/>
                <w:color w:val="000000"/>
                <w:sz w:val="16"/>
                <w:szCs w:val="22"/>
                <w:lang w:val="en-GB"/>
              </w:rPr>
              <w:t>Restructuring Provision</w:t>
            </w:r>
          </w:p>
        </w:tc>
      </w:tr>
      <w:tr w:rsidR="0053376B" w:rsidTr="008810EB">
        <w:trPr>
          <w:trHeight w:val="219"/>
          <w:jc w:val="center"/>
        </w:trPr>
        <w:tc>
          <w:tcPr>
            <w:tcW w:w="3498" w:type="dxa"/>
            <w:tcBorders>
              <w:bottom w:val="single" w:sz="2" w:space="0" w:color="000000"/>
            </w:tcBorders>
            <w:shd w:val="clear" w:color="auto" w:fill="auto"/>
            <w:tcMar>
              <w:top w:w="20" w:type="dxa"/>
              <w:left w:w="20" w:type="dxa"/>
              <w:bottom w:w="20" w:type="dxa"/>
              <w:right w:w="20" w:type="dxa"/>
            </w:tcMar>
          </w:tcPr>
          <w:p w:rsidR="0053376B" w:rsidRDefault="00F227D9" w:rsidP="00F227D9">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2661" w:type="dxa"/>
            <w:tcBorders>
              <w:bottom w:val="single" w:sz="2" w:space="0" w:color="000000"/>
            </w:tcBorders>
            <w:shd w:val="clear" w:color="auto" w:fill="auto"/>
            <w:tcMar>
              <w:top w:w="20" w:type="dxa"/>
              <w:left w:w="20" w:type="dxa"/>
              <w:bottom w:w="20" w:type="dxa"/>
              <w:right w:w="20" w:type="dxa"/>
            </w:tcMar>
            <w:vAlign w:val="bottom"/>
          </w:tcPr>
          <w:p w:rsidR="0053376B" w:rsidRDefault="00F227D9" w:rsidP="00F227D9">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£000</w:t>
            </w:r>
          </w:p>
        </w:tc>
      </w:tr>
      <w:tr w:rsidR="0053376B" w:rsidTr="008810EB">
        <w:trPr>
          <w:trHeight w:val="164"/>
          <w:jc w:val="center"/>
        </w:trPr>
        <w:tc>
          <w:tcPr>
            <w:tcW w:w="3498" w:type="dxa"/>
            <w:shd w:val="clear" w:color="auto" w:fill="auto"/>
            <w:tcMar>
              <w:top w:w="20" w:type="dxa"/>
              <w:left w:w="20" w:type="dxa"/>
              <w:bottom w:w="20" w:type="dxa"/>
              <w:right w:w="20" w:type="dxa"/>
            </w:tcMar>
          </w:tcPr>
          <w:p w:rsidR="0053376B" w:rsidRDefault="00F227D9" w:rsidP="00F227D9">
            <w:pPr>
              <w:pStyle w:val="T1TableStyle"/>
              <w:rPr>
                <w:rFonts w:ascii="Verdana" w:eastAsia="Verdana" w:hAnsi="Verdana" w:cs="Verdana"/>
                <w:color w:val="000000"/>
                <w:sz w:val="16"/>
                <w:szCs w:val="22"/>
                <w:lang w:val="en-GB"/>
              </w:rPr>
            </w:pPr>
            <w:r>
              <w:rPr>
                <w:rFonts w:ascii="Verdana" w:eastAsia="Verdana" w:hAnsi="Verdana" w:cs="Verdana"/>
                <w:color w:val="000000"/>
                <w:sz w:val="16"/>
                <w:szCs w:val="22"/>
                <w:lang w:val="en-GB"/>
              </w:rPr>
              <w:t>Opening Balance</w:t>
            </w:r>
          </w:p>
        </w:tc>
        <w:tc>
          <w:tcPr>
            <w:tcW w:w="2661" w:type="dxa"/>
            <w:shd w:val="clear" w:color="auto" w:fill="auto"/>
            <w:tcMar>
              <w:top w:w="20" w:type="dxa"/>
              <w:left w:w="20" w:type="dxa"/>
              <w:bottom w:w="20" w:type="dxa"/>
              <w:right w:w="20" w:type="dxa"/>
            </w:tcMar>
          </w:tcPr>
          <w:p w:rsidR="0053376B" w:rsidRDefault="00F227D9" w:rsidP="00F227D9">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(110)</w:t>
            </w:r>
          </w:p>
        </w:tc>
      </w:tr>
      <w:tr w:rsidR="0053376B" w:rsidTr="008810EB">
        <w:trPr>
          <w:trHeight w:val="460"/>
          <w:jc w:val="center"/>
        </w:trPr>
        <w:tc>
          <w:tcPr>
            <w:tcW w:w="3498" w:type="dxa"/>
            <w:shd w:val="clear" w:color="auto" w:fill="auto"/>
            <w:tcMar>
              <w:top w:w="20" w:type="dxa"/>
              <w:left w:w="20" w:type="dxa"/>
              <w:bottom w:w="20" w:type="dxa"/>
              <w:right w:w="20" w:type="dxa"/>
            </w:tcMar>
          </w:tcPr>
          <w:p w:rsidR="0053376B" w:rsidRDefault="00F227D9" w:rsidP="00F227D9">
            <w:pPr>
              <w:pStyle w:val="T1TableStyle"/>
              <w:rPr>
                <w:rFonts w:ascii="Verdana" w:eastAsia="Verdana" w:hAnsi="Verdana" w:cs="Verdana"/>
                <w:color w:val="000000"/>
                <w:sz w:val="16"/>
                <w:szCs w:val="22"/>
                <w:lang w:val="en-GB"/>
              </w:rPr>
            </w:pPr>
            <w:r>
              <w:rPr>
                <w:rFonts w:ascii="Verdana" w:eastAsia="Verdana" w:hAnsi="Verdana" w:cs="Verdana"/>
                <w:color w:val="000000"/>
                <w:sz w:val="16"/>
                <w:szCs w:val="22"/>
                <w:lang w:val="en-GB"/>
              </w:rPr>
              <w:t>Increase in provision during year</w:t>
            </w:r>
          </w:p>
        </w:tc>
        <w:tc>
          <w:tcPr>
            <w:tcW w:w="2661" w:type="dxa"/>
            <w:shd w:val="clear" w:color="auto" w:fill="auto"/>
            <w:tcMar>
              <w:top w:w="20" w:type="dxa"/>
              <w:left w:w="20" w:type="dxa"/>
              <w:bottom w:w="20" w:type="dxa"/>
              <w:right w:w="20" w:type="dxa"/>
            </w:tcMar>
          </w:tcPr>
          <w:p w:rsidR="0053376B" w:rsidRDefault="00F227D9" w:rsidP="00F227D9">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0</w:t>
            </w:r>
          </w:p>
        </w:tc>
      </w:tr>
      <w:tr w:rsidR="0053376B" w:rsidTr="008810EB">
        <w:trPr>
          <w:trHeight w:val="306"/>
          <w:jc w:val="center"/>
        </w:trPr>
        <w:tc>
          <w:tcPr>
            <w:tcW w:w="3498" w:type="dxa"/>
            <w:shd w:val="clear" w:color="auto" w:fill="auto"/>
            <w:tcMar>
              <w:top w:w="20" w:type="dxa"/>
              <w:left w:w="20" w:type="dxa"/>
              <w:bottom w:w="20" w:type="dxa"/>
              <w:right w:w="20" w:type="dxa"/>
            </w:tcMar>
          </w:tcPr>
          <w:p w:rsidR="0053376B" w:rsidRDefault="00F227D9" w:rsidP="00F227D9">
            <w:pPr>
              <w:pStyle w:val="T1TableStyle"/>
              <w:rPr>
                <w:rFonts w:ascii="Verdana" w:eastAsia="Verdana" w:hAnsi="Verdana" w:cs="Verdana"/>
                <w:color w:val="000000"/>
                <w:sz w:val="16"/>
                <w:szCs w:val="22"/>
                <w:lang w:val="en-GB"/>
              </w:rPr>
            </w:pPr>
            <w:r>
              <w:rPr>
                <w:rFonts w:ascii="Verdana" w:eastAsia="Verdana" w:hAnsi="Verdana" w:cs="Verdana"/>
                <w:color w:val="000000"/>
                <w:sz w:val="16"/>
                <w:szCs w:val="22"/>
                <w:lang w:val="en-GB"/>
              </w:rPr>
              <w:t>Utilised during year</w:t>
            </w:r>
          </w:p>
        </w:tc>
        <w:tc>
          <w:tcPr>
            <w:tcW w:w="2661" w:type="dxa"/>
            <w:shd w:val="clear" w:color="auto" w:fill="auto"/>
            <w:tcMar>
              <w:top w:w="20" w:type="dxa"/>
              <w:left w:w="20" w:type="dxa"/>
              <w:bottom w:w="20" w:type="dxa"/>
              <w:right w:w="20" w:type="dxa"/>
            </w:tcMar>
          </w:tcPr>
          <w:p w:rsidR="0053376B" w:rsidRDefault="00F227D9" w:rsidP="00F227D9">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0</w:t>
            </w:r>
          </w:p>
        </w:tc>
      </w:tr>
      <w:tr w:rsidR="0053376B" w:rsidTr="008810EB">
        <w:trPr>
          <w:trHeight w:val="230"/>
          <w:jc w:val="center"/>
        </w:trPr>
        <w:tc>
          <w:tcPr>
            <w:tcW w:w="3498"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rsidR="0053376B" w:rsidRDefault="00F227D9" w:rsidP="00F227D9">
            <w:pPr>
              <w:pStyle w:val="T1TableStyle"/>
              <w:rPr>
                <w:rFonts w:ascii="Verdana" w:eastAsia="Verdana" w:hAnsi="Verdana" w:cs="Verdana"/>
                <w:b/>
                <w:color w:val="000000"/>
                <w:sz w:val="16"/>
                <w:szCs w:val="22"/>
                <w:lang w:val="en-GB"/>
              </w:rPr>
            </w:pPr>
            <w:r>
              <w:rPr>
                <w:rFonts w:ascii="Verdana" w:eastAsia="Verdana" w:hAnsi="Verdana" w:cs="Verdana"/>
                <w:b/>
                <w:color w:val="000000"/>
                <w:sz w:val="16"/>
                <w:szCs w:val="22"/>
                <w:lang w:val="en-GB"/>
              </w:rPr>
              <w:t>Closing Balance</w:t>
            </w:r>
          </w:p>
        </w:tc>
        <w:tc>
          <w:tcPr>
            <w:tcW w:w="2661"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rsidR="0053376B" w:rsidRDefault="00F227D9" w:rsidP="00F227D9">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(110)</w:t>
            </w:r>
          </w:p>
        </w:tc>
      </w:tr>
      <w:tr w:rsidR="0053376B" w:rsidTr="008810EB">
        <w:trPr>
          <w:trHeight w:hRule="exact" w:val="153"/>
          <w:jc w:val="center"/>
        </w:trPr>
        <w:tc>
          <w:tcPr>
            <w:tcW w:w="3498" w:type="dxa"/>
            <w:shd w:val="clear" w:color="auto" w:fill="auto"/>
            <w:tcMar>
              <w:top w:w="20" w:type="dxa"/>
              <w:left w:w="20" w:type="dxa"/>
              <w:bottom w:w="20" w:type="dxa"/>
              <w:right w:w="20" w:type="dxa"/>
            </w:tcMar>
            <w:vAlign w:val="bottom"/>
          </w:tcPr>
          <w:p w:rsidR="0053376B" w:rsidRDefault="00F227D9" w:rsidP="00F227D9">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2661" w:type="dxa"/>
            <w:shd w:val="clear" w:color="auto" w:fill="auto"/>
            <w:tcMar>
              <w:top w:w="20" w:type="dxa"/>
              <w:left w:w="20" w:type="dxa"/>
              <w:bottom w:w="20" w:type="dxa"/>
              <w:right w:w="20" w:type="dxa"/>
            </w:tcMar>
            <w:vAlign w:val="bottom"/>
          </w:tcPr>
          <w:p w:rsidR="0053376B" w:rsidRDefault="00F227D9" w:rsidP="00F227D9">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r>
      <w:tr w:rsidR="0053376B" w:rsidTr="008810EB">
        <w:trPr>
          <w:trHeight w:hRule="exact" w:val="58"/>
          <w:jc w:val="center"/>
        </w:trPr>
        <w:tc>
          <w:tcPr>
            <w:tcW w:w="3498" w:type="dxa"/>
            <w:shd w:val="clear" w:color="auto" w:fill="auto"/>
            <w:tcMar>
              <w:top w:w="20" w:type="dxa"/>
              <w:left w:w="20" w:type="dxa"/>
              <w:bottom w:w="20" w:type="dxa"/>
              <w:right w:w="20" w:type="dxa"/>
            </w:tcMar>
            <w:vAlign w:val="bottom"/>
          </w:tcPr>
          <w:p w:rsidR="0053376B" w:rsidRDefault="00F227D9" w:rsidP="00F227D9">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2661" w:type="dxa"/>
            <w:shd w:val="clear" w:color="auto" w:fill="auto"/>
            <w:tcMar>
              <w:top w:w="20" w:type="dxa"/>
              <w:left w:w="20" w:type="dxa"/>
              <w:bottom w:w="20" w:type="dxa"/>
              <w:right w:w="20" w:type="dxa"/>
            </w:tcMar>
            <w:vAlign w:val="bottom"/>
          </w:tcPr>
          <w:p w:rsidR="0053376B" w:rsidRDefault="00F227D9" w:rsidP="00F227D9">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r>
      <w:tr w:rsidR="0053376B" w:rsidTr="008810EB">
        <w:trPr>
          <w:trHeight w:hRule="exact" w:val="58"/>
          <w:jc w:val="center"/>
        </w:trPr>
        <w:tc>
          <w:tcPr>
            <w:tcW w:w="3498" w:type="dxa"/>
            <w:shd w:val="clear" w:color="auto" w:fill="auto"/>
            <w:tcMar>
              <w:top w:w="20" w:type="dxa"/>
              <w:left w:w="20" w:type="dxa"/>
              <w:bottom w:w="20" w:type="dxa"/>
              <w:right w:w="20" w:type="dxa"/>
            </w:tcMar>
            <w:vAlign w:val="bottom"/>
          </w:tcPr>
          <w:p w:rsidR="0053376B" w:rsidRDefault="00F227D9" w:rsidP="00F227D9">
            <w:pPr>
              <w:pStyle w:val="T1TableStyle"/>
              <w:jc w:val="center"/>
              <w:rPr>
                <w:rFonts w:ascii="Verdana" w:eastAsia="Verdana" w:hAnsi="Verdana" w:cs="Verdana"/>
                <w:b/>
                <w:color w:val="000000"/>
                <w:sz w:val="2"/>
                <w:szCs w:val="22"/>
                <w:lang w:val="en-GB"/>
              </w:rPr>
            </w:pPr>
            <w:r>
              <w:rPr>
                <w:rFonts w:ascii="Verdana" w:eastAsia="Verdana" w:hAnsi="Verdana" w:cs="Verdana"/>
                <w:b/>
                <w:color w:val="000000"/>
                <w:sz w:val="2"/>
                <w:szCs w:val="22"/>
                <w:lang w:val="en-GB"/>
              </w:rPr>
              <w:t xml:space="preserve"> </w:t>
            </w:r>
          </w:p>
        </w:tc>
        <w:tc>
          <w:tcPr>
            <w:tcW w:w="2661" w:type="dxa"/>
            <w:shd w:val="clear" w:color="auto" w:fill="auto"/>
            <w:tcMar>
              <w:top w:w="20" w:type="dxa"/>
              <w:left w:w="20" w:type="dxa"/>
              <w:bottom w:w="20" w:type="dxa"/>
              <w:right w:w="20" w:type="dxa"/>
            </w:tcMar>
            <w:vAlign w:val="bottom"/>
          </w:tcPr>
          <w:p w:rsidR="0053376B" w:rsidRDefault="00F227D9" w:rsidP="00F227D9">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r>
      <w:tr w:rsidR="0053376B" w:rsidTr="008810EB">
        <w:trPr>
          <w:trHeight w:hRule="exact" w:val="164"/>
          <w:jc w:val="center"/>
        </w:trPr>
        <w:tc>
          <w:tcPr>
            <w:tcW w:w="3498" w:type="dxa"/>
            <w:shd w:val="clear" w:color="auto" w:fill="auto"/>
            <w:tcMar>
              <w:top w:w="20" w:type="dxa"/>
              <w:left w:w="20" w:type="dxa"/>
              <w:bottom w:w="20" w:type="dxa"/>
              <w:right w:w="20" w:type="dxa"/>
            </w:tcMar>
            <w:vAlign w:val="bottom"/>
          </w:tcPr>
          <w:p w:rsidR="0053376B" w:rsidRDefault="00F227D9" w:rsidP="00F227D9">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2661" w:type="dxa"/>
            <w:shd w:val="clear" w:color="auto" w:fill="auto"/>
            <w:tcMar>
              <w:top w:w="20" w:type="dxa"/>
              <w:left w:w="20" w:type="dxa"/>
              <w:bottom w:w="20" w:type="dxa"/>
              <w:right w:w="20" w:type="dxa"/>
            </w:tcMar>
            <w:vAlign w:val="bottom"/>
          </w:tcPr>
          <w:p w:rsidR="0053376B" w:rsidRDefault="00F227D9" w:rsidP="00F227D9">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r>
      <w:tr w:rsidR="0053376B" w:rsidTr="008810EB">
        <w:trPr>
          <w:trHeight w:val="372"/>
          <w:jc w:val="center"/>
        </w:trPr>
        <w:tc>
          <w:tcPr>
            <w:tcW w:w="3498" w:type="dxa"/>
            <w:shd w:val="clear" w:color="auto" w:fill="auto"/>
            <w:tcMar>
              <w:top w:w="20" w:type="dxa"/>
              <w:left w:w="20" w:type="dxa"/>
              <w:bottom w:w="20" w:type="dxa"/>
              <w:right w:w="20" w:type="dxa"/>
            </w:tcMar>
            <w:vAlign w:val="bottom"/>
          </w:tcPr>
          <w:p w:rsidR="0053376B" w:rsidRDefault="00F227D9" w:rsidP="00F227D9">
            <w:pPr>
              <w:pStyle w:val="T1TableStyle"/>
              <w:rPr>
                <w:rFonts w:ascii="Verdana" w:eastAsia="Verdana" w:hAnsi="Verdana" w:cs="Verdana"/>
                <w:b/>
                <w:color w:val="000000"/>
                <w:szCs w:val="22"/>
                <w:lang w:val="en-GB"/>
              </w:rPr>
            </w:pPr>
            <w:r>
              <w:rPr>
                <w:rFonts w:ascii="Verdana" w:eastAsia="Verdana" w:hAnsi="Verdana" w:cs="Verdana"/>
                <w:b/>
                <w:color w:val="000000"/>
                <w:szCs w:val="22"/>
                <w:lang w:val="en-GB"/>
              </w:rPr>
              <w:t>2018/19</w:t>
            </w:r>
          </w:p>
        </w:tc>
        <w:tc>
          <w:tcPr>
            <w:tcW w:w="2661" w:type="dxa"/>
            <w:shd w:val="clear" w:color="auto" w:fill="auto"/>
            <w:tcMar>
              <w:top w:w="20" w:type="dxa"/>
              <w:left w:w="20" w:type="dxa"/>
              <w:bottom w:w="20" w:type="dxa"/>
              <w:right w:w="20" w:type="dxa"/>
            </w:tcMar>
            <w:vAlign w:val="bottom"/>
          </w:tcPr>
          <w:p w:rsidR="0053376B" w:rsidRDefault="00F227D9" w:rsidP="00F227D9">
            <w:pPr>
              <w:pStyle w:val="T1TableStyle"/>
              <w:jc w:val="center"/>
              <w:rPr>
                <w:rFonts w:ascii="Verdana" w:eastAsia="Verdana" w:hAnsi="Verdana" w:cs="Verdana"/>
                <w:b/>
                <w:color w:val="000000"/>
                <w:sz w:val="16"/>
                <w:szCs w:val="22"/>
                <w:lang w:val="en-GB"/>
              </w:rPr>
            </w:pPr>
            <w:r>
              <w:rPr>
                <w:rFonts w:ascii="Verdana" w:eastAsia="Verdana" w:hAnsi="Verdana" w:cs="Verdana"/>
                <w:b/>
                <w:color w:val="000000"/>
                <w:sz w:val="16"/>
                <w:szCs w:val="22"/>
                <w:lang w:val="en-GB"/>
              </w:rPr>
              <w:t>Restructuring Provision</w:t>
            </w:r>
          </w:p>
        </w:tc>
      </w:tr>
      <w:tr w:rsidR="0053376B" w:rsidTr="008810EB">
        <w:trPr>
          <w:trHeight w:val="219"/>
          <w:jc w:val="center"/>
        </w:trPr>
        <w:tc>
          <w:tcPr>
            <w:tcW w:w="3498" w:type="dxa"/>
            <w:tcBorders>
              <w:bottom w:val="single" w:sz="2" w:space="0" w:color="000000"/>
            </w:tcBorders>
            <w:shd w:val="clear" w:color="auto" w:fill="auto"/>
            <w:tcMar>
              <w:top w:w="20" w:type="dxa"/>
              <w:left w:w="20" w:type="dxa"/>
              <w:bottom w:w="20" w:type="dxa"/>
              <w:right w:w="20" w:type="dxa"/>
            </w:tcMar>
          </w:tcPr>
          <w:p w:rsidR="0053376B" w:rsidRDefault="00F227D9" w:rsidP="00F227D9">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2661" w:type="dxa"/>
            <w:tcBorders>
              <w:bottom w:val="single" w:sz="2" w:space="0" w:color="000000"/>
            </w:tcBorders>
            <w:shd w:val="clear" w:color="auto" w:fill="auto"/>
            <w:tcMar>
              <w:top w:w="20" w:type="dxa"/>
              <w:left w:w="20" w:type="dxa"/>
              <w:bottom w:w="20" w:type="dxa"/>
              <w:right w:w="20" w:type="dxa"/>
            </w:tcMar>
            <w:vAlign w:val="bottom"/>
          </w:tcPr>
          <w:p w:rsidR="0053376B" w:rsidRDefault="00F227D9" w:rsidP="00F227D9">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£000</w:t>
            </w:r>
          </w:p>
        </w:tc>
      </w:tr>
      <w:tr w:rsidR="0053376B" w:rsidTr="008810EB">
        <w:trPr>
          <w:trHeight w:val="164"/>
          <w:jc w:val="center"/>
        </w:trPr>
        <w:tc>
          <w:tcPr>
            <w:tcW w:w="3498" w:type="dxa"/>
            <w:shd w:val="clear" w:color="auto" w:fill="auto"/>
            <w:tcMar>
              <w:top w:w="20" w:type="dxa"/>
              <w:left w:w="20" w:type="dxa"/>
              <w:bottom w:w="20" w:type="dxa"/>
              <w:right w:w="20" w:type="dxa"/>
            </w:tcMar>
          </w:tcPr>
          <w:p w:rsidR="0053376B" w:rsidRDefault="00F227D9" w:rsidP="00F227D9">
            <w:pPr>
              <w:pStyle w:val="T1TableStyle"/>
              <w:rPr>
                <w:rFonts w:ascii="Verdana" w:eastAsia="Verdana" w:hAnsi="Verdana" w:cs="Verdana"/>
                <w:color w:val="000000"/>
                <w:sz w:val="16"/>
                <w:szCs w:val="22"/>
                <w:lang w:val="en-GB"/>
              </w:rPr>
            </w:pPr>
            <w:r>
              <w:rPr>
                <w:rFonts w:ascii="Verdana" w:eastAsia="Verdana" w:hAnsi="Verdana" w:cs="Verdana"/>
                <w:color w:val="000000"/>
                <w:sz w:val="16"/>
                <w:szCs w:val="22"/>
                <w:lang w:val="en-GB"/>
              </w:rPr>
              <w:t>Opening Balance</w:t>
            </w:r>
          </w:p>
        </w:tc>
        <w:tc>
          <w:tcPr>
            <w:tcW w:w="2661" w:type="dxa"/>
            <w:shd w:val="clear" w:color="auto" w:fill="auto"/>
            <w:tcMar>
              <w:top w:w="20" w:type="dxa"/>
              <w:left w:w="20" w:type="dxa"/>
              <w:bottom w:w="20" w:type="dxa"/>
              <w:right w:w="20" w:type="dxa"/>
            </w:tcMar>
          </w:tcPr>
          <w:p w:rsidR="0053376B" w:rsidRDefault="00F227D9" w:rsidP="00F227D9">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(606)</w:t>
            </w:r>
          </w:p>
        </w:tc>
      </w:tr>
      <w:tr w:rsidR="0053376B" w:rsidTr="008810EB">
        <w:trPr>
          <w:trHeight w:val="460"/>
          <w:jc w:val="center"/>
        </w:trPr>
        <w:tc>
          <w:tcPr>
            <w:tcW w:w="3498" w:type="dxa"/>
            <w:shd w:val="clear" w:color="auto" w:fill="auto"/>
            <w:tcMar>
              <w:top w:w="20" w:type="dxa"/>
              <w:left w:w="20" w:type="dxa"/>
              <w:bottom w:w="20" w:type="dxa"/>
              <w:right w:w="20" w:type="dxa"/>
            </w:tcMar>
          </w:tcPr>
          <w:p w:rsidR="0053376B" w:rsidRDefault="00F227D9" w:rsidP="00F227D9">
            <w:pPr>
              <w:pStyle w:val="T1TableStyle"/>
              <w:rPr>
                <w:rFonts w:ascii="Verdana" w:eastAsia="Verdana" w:hAnsi="Verdana" w:cs="Verdana"/>
                <w:color w:val="000000"/>
                <w:sz w:val="16"/>
                <w:szCs w:val="22"/>
                <w:lang w:val="en-GB"/>
              </w:rPr>
            </w:pPr>
            <w:r>
              <w:rPr>
                <w:rFonts w:ascii="Verdana" w:eastAsia="Verdana" w:hAnsi="Verdana" w:cs="Verdana"/>
                <w:color w:val="000000"/>
                <w:sz w:val="16"/>
                <w:szCs w:val="22"/>
                <w:lang w:val="en-GB"/>
              </w:rPr>
              <w:t>Increase in provision during year</w:t>
            </w:r>
          </w:p>
        </w:tc>
        <w:tc>
          <w:tcPr>
            <w:tcW w:w="2661" w:type="dxa"/>
            <w:shd w:val="clear" w:color="auto" w:fill="auto"/>
            <w:tcMar>
              <w:top w:w="20" w:type="dxa"/>
              <w:left w:w="20" w:type="dxa"/>
              <w:bottom w:w="20" w:type="dxa"/>
              <w:right w:w="20" w:type="dxa"/>
            </w:tcMar>
          </w:tcPr>
          <w:p w:rsidR="0053376B" w:rsidRDefault="00F227D9" w:rsidP="00F227D9">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0</w:t>
            </w:r>
          </w:p>
        </w:tc>
      </w:tr>
      <w:tr w:rsidR="0053376B" w:rsidTr="008810EB">
        <w:trPr>
          <w:trHeight w:val="306"/>
          <w:jc w:val="center"/>
        </w:trPr>
        <w:tc>
          <w:tcPr>
            <w:tcW w:w="3498" w:type="dxa"/>
            <w:shd w:val="clear" w:color="auto" w:fill="auto"/>
            <w:tcMar>
              <w:top w:w="20" w:type="dxa"/>
              <w:left w:w="20" w:type="dxa"/>
              <w:bottom w:w="20" w:type="dxa"/>
              <w:right w:w="20" w:type="dxa"/>
            </w:tcMar>
          </w:tcPr>
          <w:p w:rsidR="0053376B" w:rsidRDefault="00F227D9" w:rsidP="00F227D9">
            <w:pPr>
              <w:pStyle w:val="T1TableStyle"/>
              <w:rPr>
                <w:rFonts w:ascii="Verdana" w:eastAsia="Verdana" w:hAnsi="Verdana" w:cs="Verdana"/>
                <w:color w:val="000000"/>
                <w:sz w:val="16"/>
                <w:szCs w:val="22"/>
                <w:lang w:val="en-GB"/>
              </w:rPr>
            </w:pPr>
            <w:r>
              <w:rPr>
                <w:rFonts w:ascii="Verdana" w:eastAsia="Verdana" w:hAnsi="Verdana" w:cs="Verdana"/>
                <w:color w:val="000000"/>
                <w:sz w:val="16"/>
                <w:szCs w:val="22"/>
                <w:lang w:val="en-GB"/>
              </w:rPr>
              <w:t>Utilised during year</w:t>
            </w:r>
          </w:p>
        </w:tc>
        <w:tc>
          <w:tcPr>
            <w:tcW w:w="2661" w:type="dxa"/>
            <w:shd w:val="clear" w:color="auto" w:fill="auto"/>
            <w:tcMar>
              <w:top w:w="20" w:type="dxa"/>
              <w:left w:w="20" w:type="dxa"/>
              <w:bottom w:w="20" w:type="dxa"/>
              <w:right w:w="20" w:type="dxa"/>
            </w:tcMar>
          </w:tcPr>
          <w:p w:rsidR="0053376B" w:rsidRDefault="00F227D9" w:rsidP="00F227D9">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496</w:t>
            </w:r>
          </w:p>
        </w:tc>
      </w:tr>
      <w:tr w:rsidR="0053376B" w:rsidTr="008810EB">
        <w:trPr>
          <w:trHeight w:val="230"/>
          <w:jc w:val="center"/>
        </w:trPr>
        <w:tc>
          <w:tcPr>
            <w:tcW w:w="3498"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rsidR="0053376B" w:rsidRDefault="00F227D9" w:rsidP="00F227D9">
            <w:pPr>
              <w:pStyle w:val="T1TableStyle"/>
              <w:rPr>
                <w:rFonts w:ascii="Verdana" w:eastAsia="Verdana" w:hAnsi="Verdana" w:cs="Verdana"/>
                <w:b/>
                <w:color w:val="000000"/>
                <w:sz w:val="16"/>
                <w:szCs w:val="22"/>
                <w:lang w:val="en-GB"/>
              </w:rPr>
            </w:pPr>
            <w:r>
              <w:rPr>
                <w:rFonts w:ascii="Verdana" w:eastAsia="Verdana" w:hAnsi="Verdana" w:cs="Verdana"/>
                <w:b/>
                <w:color w:val="000000"/>
                <w:sz w:val="16"/>
                <w:szCs w:val="22"/>
                <w:lang w:val="en-GB"/>
              </w:rPr>
              <w:t>Closing Balance</w:t>
            </w:r>
          </w:p>
        </w:tc>
        <w:tc>
          <w:tcPr>
            <w:tcW w:w="2661"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rsidR="0053376B" w:rsidRDefault="00F227D9" w:rsidP="00F227D9">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(110)</w:t>
            </w:r>
          </w:p>
        </w:tc>
      </w:tr>
    </w:tbl>
    <w:p w:rsidR="00F227D9" w:rsidRDefault="00F227D9" w:rsidP="00F227D9">
      <w:pPr>
        <w:pStyle w:val="T1TableStyle"/>
        <w:rPr>
          <w:rFonts w:ascii="Verdana" w:hAnsi="Verdana"/>
          <w:sz w:val="22"/>
          <w:szCs w:val="22"/>
          <w:lang w:val="en-GB"/>
        </w:rPr>
      </w:pPr>
      <w:r w:rsidRPr="00BC469E">
        <w:rPr>
          <w:rFonts w:ascii="Verdana" w:eastAsia="Calibri" w:hAnsi="Verdana" w:cs="Arial"/>
          <w:sz w:val="22"/>
          <w:szCs w:val="22"/>
          <w:lang w:val="en-GB"/>
        </w:rPr>
        <w:t xml:space="preserve"> </w:t>
      </w:r>
    </w:p>
    <w:p w:rsidR="00F227D9" w:rsidRDefault="00F227D9" w:rsidP="008810EB">
      <w:pPr>
        <w:pStyle w:val="Normal0"/>
        <w:spacing w:line="240" w:lineRule="auto"/>
        <w:jc w:val="both"/>
        <w:rPr>
          <w:rFonts w:ascii="Verdana" w:hAnsi="Verdana"/>
          <w:sz w:val="22"/>
          <w:szCs w:val="22"/>
          <w:lang w:val="en-GB"/>
        </w:rPr>
      </w:pPr>
      <w:r w:rsidRPr="00BC469E">
        <w:rPr>
          <w:rFonts w:ascii="Verdana" w:eastAsia="Calibri" w:hAnsi="Verdana" w:cs="Arial"/>
          <w:sz w:val="22"/>
          <w:szCs w:val="22"/>
          <w:lang w:val="en-GB"/>
        </w:rPr>
        <w:t>Restructuring Provision</w:t>
      </w:r>
    </w:p>
    <w:p w:rsidR="00F227D9" w:rsidRDefault="00F227D9" w:rsidP="008810EB">
      <w:pPr>
        <w:pStyle w:val="Normal0"/>
        <w:spacing w:line="240" w:lineRule="auto"/>
        <w:jc w:val="both"/>
        <w:rPr>
          <w:rFonts w:ascii="Verdana" w:hAnsi="Verdana"/>
          <w:sz w:val="22"/>
          <w:szCs w:val="22"/>
          <w:lang w:val="en-GB"/>
        </w:rPr>
      </w:pPr>
    </w:p>
    <w:p w:rsidR="00F227D9" w:rsidRDefault="00F227D9" w:rsidP="008810EB">
      <w:pPr>
        <w:pStyle w:val="Normal0"/>
        <w:spacing w:line="240" w:lineRule="auto"/>
        <w:jc w:val="both"/>
        <w:rPr>
          <w:rFonts w:ascii="Verdana" w:hAnsi="Verdana"/>
          <w:sz w:val="22"/>
          <w:szCs w:val="22"/>
          <w:lang w:val="en-GB"/>
        </w:rPr>
      </w:pPr>
      <w:r w:rsidRPr="00BC469E">
        <w:rPr>
          <w:rFonts w:ascii="Verdana" w:eastAsia="Calibri" w:hAnsi="Verdana" w:cs="Arial"/>
          <w:sz w:val="22"/>
          <w:szCs w:val="22"/>
          <w:lang w:val="en-GB"/>
        </w:rPr>
        <w:t>The restructuring provision has been created for restructuring costs in accordance with strategic change programmes that have formal plans or supporting business cases as at 31 March 20</w:t>
      </w:r>
      <w:r w:rsidR="00443FC8">
        <w:rPr>
          <w:rFonts w:ascii="Verdana" w:eastAsia="Calibri" w:hAnsi="Verdana" w:cs="Arial"/>
          <w:sz w:val="22"/>
          <w:szCs w:val="22"/>
          <w:lang w:val="en-GB"/>
        </w:rPr>
        <w:t>20</w:t>
      </w:r>
      <w:r w:rsidRPr="00BC469E">
        <w:rPr>
          <w:rFonts w:ascii="Verdana" w:eastAsia="Calibri" w:hAnsi="Verdana" w:cs="Arial"/>
          <w:sz w:val="22"/>
          <w:szCs w:val="22"/>
          <w:lang w:val="en-GB"/>
        </w:rPr>
        <w:t xml:space="preserve">. These change programmes are either in the process of being implemented or </w:t>
      </w:r>
      <w:r w:rsidR="008810EB">
        <w:rPr>
          <w:rFonts w:ascii="Verdana" w:eastAsia="Calibri" w:hAnsi="Verdana" w:cs="Arial"/>
          <w:sz w:val="22"/>
          <w:szCs w:val="22"/>
          <w:lang w:val="en-GB"/>
        </w:rPr>
        <w:t>are planned to</w:t>
      </w:r>
      <w:r w:rsidRPr="00BC469E">
        <w:rPr>
          <w:rFonts w:ascii="Verdana" w:eastAsia="Calibri" w:hAnsi="Verdana" w:cs="Arial"/>
          <w:sz w:val="22"/>
          <w:szCs w:val="22"/>
          <w:lang w:val="en-GB"/>
        </w:rPr>
        <w:t xml:space="preserve"> be implemented during 20</w:t>
      </w:r>
      <w:r w:rsidR="008810EB">
        <w:rPr>
          <w:rFonts w:ascii="Verdana" w:eastAsia="Calibri" w:hAnsi="Verdana" w:cs="Arial"/>
          <w:sz w:val="22"/>
          <w:szCs w:val="22"/>
          <w:lang w:val="en-GB"/>
        </w:rPr>
        <w:t>20</w:t>
      </w:r>
      <w:r w:rsidRPr="00BC469E">
        <w:rPr>
          <w:rFonts w:ascii="Verdana" w:eastAsia="Calibri" w:hAnsi="Verdana" w:cs="Arial"/>
          <w:sz w:val="22"/>
          <w:szCs w:val="22"/>
          <w:lang w:val="en-GB"/>
        </w:rPr>
        <w:t>/2</w:t>
      </w:r>
      <w:r w:rsidR="008810EB">
        <w:rPr>
          <w:rFonts w:ascii="Verdana" w:eastAsia="Calibri" w:hAnsi="Verdana" w:cs="Arial"/>
          <w:sz w:val="22"/>
          <w:szCs w:val="22"/>
          <w:lang w:val="en-GB"/>
        </w:rPr>
        <w:t>1</w:t>
      </w:r>
      <w:r w:rsidRPr="00BC469E">
        <w:rPr>
          <w:rFonts w:ascii="Verdana" w:eastAsia="Calibri" w:hAnsi="Verdana" w:cs="Arial"/>
          <w:sz w:val="22"/>
          <w:szCs w:val="22"/>
          <w:lang w:val="en-GB"/>
        </w:rPr>
        <w:t>.</w:t>
      </w:r>
    </w:p>
    <w:p w:rsidR="00F227D9" w:rsidRDefault="00F227D9" w:rsidP="00F227D9">
      <w:pPr>
        <w:pStyle w:val="Normal0"/>
        <w:spacing w:line="240" w:lineRule="auto"/>
        <w:rPr>
          <w:rFonts w:ascii="Verdana" w:hAnsi="Verdana"/>
          <w:sz w:val="22"/>
          <w:szCs w:val="22"/>
          <w:lang w:val="en-GB"/>
        </w:rPr>
      </w:pPr>
      <w:r>
        <w:rPr>
          <w:rFonts w:ascii="Verdana" w:eastAsia="Calibri" w:hAnsi="Verdana" w:cs="Arial"/>
          <w:sz w:val="22"/>
          <w:szCs w:val="22"/>
          <w:lang w:val="en-GB"/>
        </w:rPr>
        <w:t xml:space="preserve">     </w:t>
      </w:r>
    </w:p>
    <w:p w:rsidR="00F227D9" w:rsidRPr="009A470B" w:rsidRDefault="00F227D9" w:rsidP="00F227D9">
      <w:pPr>
        <w:pStyle w:val="Heading1"/>
      </w:pPr>
      <w:bookmarkStart w:id="20" w:name="_Toc55900990"/>
      <w:r w:rsidRPr="009A470B">
        <w:t>Note 12 - Joint Audit Committee</w:t>
      </w:r>
      <w:bookmarkEnd w:id="20"/>
    </w:p>
    <w:p w:rsidR="00F227D9" w:rsidRPr="001634A7" w:rsidRDefault="00F227D9" w:rsidP="00F227D9">
      <w:pPr>
        <w:pStyle w:val="Normal0"/>
        <w:jc w:val="both"/>
        <w:rPr>
          <w:rFonts w:ascii="Verdana" w:hAnsi="Verdana" w:cs="Arial"/>
        </w:rPr>
      </w:pPr>
    </w:p>
    <w:p w:rsidR="00F227D9" w:rsidRPr="008810EB" w:rsidRDefault="00F227D9" w:rsidP="00F227D9">
      <w:pPr>
        <w:pStyle w:val="Normal0"/>
        <w:jc w:val="both"/>
        <w:rPr>
          <w:rFonts w:ascii="Verdana" w:hAnsi="Verdana" w:cs="Arial"/>
          <w:sz w:val="22"/>
          <w:szCs w:val="22"/>
        </w:rPr>
      </w:pPr>
      <w:r w:rsidRPr="008810EB">
        <w:rPr>
          <w:rFonts w:ascii="Verdana" w:eastAsia="Calibri" w:hAnsi="Verdana" w:cs="Arial"/>
          <w:sz w:val="22"/>
          <w:szCs w:val="22"/>
        </w:rPr>
        <w:t>Under the governance arrangements for policing, the Chief Constable and the PCC have a Joint Audit Committee to provide independent and effective assurance about the adequacy of financial management and reporting. The Committee help to raise the profile of internal control, risk management and financial reporting issues within Surrey Police and provide a forum for discussion with internal and external auditors.</w:t>
      </w:r>
    </w:p>
    <w:p w:rsidR="00F227D9" w:rsidRPr="008810EB" w:rsidRDefault="00F227D9" w:rsidP="00F227D9">
      <w:pPr>
        <w:pStyle w:val="Normal0"/>
        <w:jc w:val="both"/>
        <w:rPr>
          <w:rFonts w:ascii="Verdana" w:hAnsi="Verdana" w:cs="Arial"/>
          <w:sz w:val="22"/>
          <w:szCs w:val="22"/>
        </w:rPr>
      </w:pPr>
    </w:p>
    <w:p w:rsidR="00F227D9" w:rsidRPr="008810EB" w:rsidRDefault="00F227D9" w:rsidP="00F227D9">
      <w:pPr>
        <w:pStyle w:val="Normal0"/>
        <w:jc w:val="both"/>
        <w:rPr>
          <w:rFonts w:ascii="Verdana" w:hAnsi="Verdana" w:cs="Arial"/>
          <w:sz w:val="22"/>
          <w:szCs w:val="22"/>
        </w:rPr>
      </w:pPr>
      <w:r w:rsidRPr="008810EB">
        <w:rPr>
          <w:rFonts w:ascii="Verdana" w:eastAsia="Calibri" w:hAnsi="Verdana" w:cs="Arial"/>
          <w:sz w:val="22"/>
          <w:szCs w:val="22"/>
        </w:rPr>
        <w:t>Members’ Allowances for the Joint Audit Committee are:</w:t>
      </w:r>
    </w:p>
    <w:p w:rsidR="00F227D9" w:rsidRPr="008810EB" w:rsidRDefault="00F227D9" w:rsidP="00F227D9">
      <w:pPr>
        <w:pStyle w:val="Normal0"/>
        <w:jc w:val="both"/>
        <w:rPr>
          <w:rFonts w:ascii="Verdana" w:hAnsi="Verdana" w:cs="Arial"/>
          <w:sz w:val="22"/>
          <w:szCs w:val="22"/>
        </w:rPr>
      </w:pPr>
    </w:p>
    <w:p w:rsidR="00F227D9" w:rsidRPr="008810EB" w:rsidRDefault="00F227D9" w:rsidP="00F227D9">
      <w:pPr>
        <w:pStyle w:val="Normal0"/>
        <w:jc w:val="both"/>
        <w:rPr>
          <w:rFonts w:ascii="Verdana" w:hAnsi="Verdana" w:cs="Arial"/>
          <w:sz w:val="22"/>
          <w:szCs w:val="22"/>
        </w:rPr>
      </w:pPr>
      <w:r w:rsidRPr="008810EB">
        <w:rPr>
          <w:rFonts w:ascii="Verdana" w:eastAsia="Calibri" w:hAnsi="Verdana" w:cs="Arial"/>
          <w:sz w:val="22"/>
          <w:szCs w:val="22"/>
        </w:rPr>
        <w:t>Members’ Allowances</w:t>
      </w:r>
      <w:r w:rsidRPr="008810EB">
        <w:rPr>
          <w:rFonts w:ascii="Verdana" w:eastAsia="Calibri" w:hAnsi="Verdana" w:cs="Arial"/>
          <w:sz w:val="22"/>
          <w:szCs w:val="22"/>
        </w:rPr>
        <w:tab/>
      </w:r>
      <w:r w:rsidRPr="008810EB">
        <w:rPr>
          <w:rFonts w:ascii="Verdana" w:eastAsia="Calibri" w:hAnsi="Verdana" w:cs="Arial"/>
          <w:sz w:val="22"/>
          <w:szCs w:val="22"/>
        </w:rPr>
        <w:tab/>
        <w:t>£1,7</w:t>
      </w:r>
      <w:r w:rsidR="00443FC8" w:rsidRPr="008810EB">
        <w:rPr>
          <w:rFonts w:ascii="Verdana" w:eastAsia="Calibri" w:hAnsi="Verdana" w:cs="Arial"/>
          <w:sz w:val="22"/>
          <w:szCs w:val="22"/>
        </w:rPr>
        <w:t>68</w:t>
      </w:r>
      <w:r w:rsidRPr="008810EB">
        <w:rPr>
          <w:rFonts w:ascii="Verdana" w:eastAsia="Calibri" w:hAnsi="Verdana" w:cs="Arial"/>
          <w:sz w:val="22"/>
          <w:szCs w:val="22"/>
        </w:rPr>
        <w:t>.4</w:t>
      </w:r>
      <w:r w:rsidR="00443FC8" w:rsidRPr="008810EB">
        <w:rPr>
          <w:rFonts w:ascii="Verdana" w:eastAsia="Calibri" w:hAnsi="Verdana" w:cs="Arial"/>
          <w:sz w:val="22"/>
          <w:szCs w:val="22"/>
        </w:rPr>
        <w:t>7</w:t>
      </w:r>
      <w:r w:rsidRPr="008810EB">
        <w:rPr>
          <w:rFonts w:ascii="Verdana" w:eastAsia="Calibri" w:hAnsi="Verdana" w:cs="Arial"/>
          <w:sz w:val="22"/>
          <w:szCs w:val="22"/>
        </w:rPr>
        <w:t xml:space="preserve"> per annum</w:t>
      </w:r>
    </w:p>
    <w:p w:rsidR="00F227D9" w:rsidRPr="008810EB" w:rsidRDefault="00F227D9" w:rsidP="00F227D9">
      <w:pPr>
        <w:pStyle w:val="Normal0"/>
        <w:jc w:val="both"/>
        <w:rPr>
          <w:rFonts w:ascii="Verdana" w:hAnsi="Verdana" w:cs="Arial"/>
          <w:sz w:val="22"/>
          <w:szCs w:val="22"/>
        </w:rPr>
      </w:pPr>
    </w:p>
    <w:p w:rsidR="00F227D9" w:rsidRPr="008810EB" w:rsidRDefault="00F227D9" w:rsidP="00F227D9">
      <w:pPr>
        <w:pStyle w:val="Normal0"/>
        <w:jc w:val="both"/>
        <w:rPr>
          <w:rFonts w:ascii="Verdana" w:hAnsi="Verdana" w:cs="Arial"/>
          <w:sz w:val="22"/>
          <w:szCs w:val="22"/>
        </w:rPr>
      </w:pPr>
      <w:r w:rsidRPr="008810EB">
        <w:rPr>
          <w:rFonts w:ascii="Verdana" w:eastAsia="Calibri" w:hAnsi="Verdana" w:cs="Arial"/>
          <w:sz w:val="22"/>
          <w:szCs w:val="22"/>
        </w:rPr>
        <w:t xml:space="preserve">Chair Allowance </w:t>
      </w:r>
      <w:r w:rsidRPr="008810EB">
        <w:rPr>
          <w:rFonts w:ascii="Verdana" w:eastAsia="Calibri" w:hAnsi="Verdana" w:cs="Arial"/>
          <w:sz w:val="22"/>
          <w:szCs w:val="22"/>
        </w:rPr>
        <w:tab/>
      </w:r>
      <w:r w:rsidRPr="008810EB">
        <w:rPr>
          <w:rFonts w:ascii="Verdana" w:eastAsia="Calibri" w:hAnsi="Verdana" w:cs="Arial"/>
          <w:sz w:val="22"/>
          <w:szCs w:val="22"/>
        </w:rPr>
        <w:tab/>
      </w:r>
      <w:r w:rsidRPr="008810EB">
        <w:rPr>
          <w:rFonts w:ascii="Verdana" w:eastAsia="Calibri" w:hAnsi="Verdana" w:cs="Arial"/>
          <w:sz w:val="22"/>
          <w:szCs w:val="22"/>
        </w:rPr>
        <w:tab/>
        <w:t>£2,500.00 per annum</w:t>
      </w:r>
    </w:p>
    <w:p w:rsidR="00F227D9" w:rsidRPr="001634A7" w:rsidRDefault="00F227D9">
      <w:pPr>
        <w:pStyle w:val="Normal0"/>
        <w:rPr>
          <w:rFonts w:ascii="Verdana" w:hAnsi="Verdana" w:cs="Times New Roman"/>
        </w:rPr>
      </w:pPr>
    </w:p>
    <w:p w:rsidR="00F227D9" w:rsidRPr="00480C30" w:rsidRDefault="00F227D9" w:rsidP="00F227D9">
      <w:pPr>
        <w:pStyle w:val="Heading1"/>
      </w:pPr>
      <w:bookmarkStart w:id="21" w:name="_Toc55900991"/>
      <w:r w:rsidRPr="00480C30">
        <w:t>Note 13 - Collaborations</w:t>
      </w:r>
      <w:bookmarkEnd w:id="21"/>
    </w:p>
    <w:p w:rsidR="00F227D9" w:rsidRPr="008849CF" w:rsidRDefault="00F227D9" w:rsidP="00F227D9">
      <w:pPr>
        <w:pStyle w:val="Normal0"/>
        <w:jc w:val="both"/>
        <w:rPr>
          <w:rFonts w:ascii="Verdana" w:hAnsi="Verdana" w:cs="Times New Roman"/>
        </w:rPr>
      </w:pPr>
    </w:p>
    <w:p w:rsidR="00F227D9" w:rsidRPr="008810EB" w:rsidRDefault="00F227D9" w:rsidP="00F227D9">
      <w:pPr>
        <w:pStyle w:val="Normal0"/>
        <w:jc w:val="both"/>
        <w:rPr>
          <w:rFonts w:ascii="Verdana" w:hAnsi="Verdana" w:cs="Times New Roman"/>
          <w:sz w:val="22"/>
          <w:szCs w:val="22"/>
        </w:rPr>
      </w:pPr>
      <w:r w:rsidRPr="008810EB">
        <w:rPr>
          <w:rFonts w:ascii="Verdana" w:eastAsia="Calibri" w:hAnsi="Verdana" w:cs="Times New Roman"/>
          <w:sz w:val="22"/>
          <w:szCs w:val="22"/>
        </w:rPr>
        <w:t>The Police and Crime Commissioner and the Chief Constable for Surrey continues to develop joint working arrangements with other agencies principally with other south east region Police and Crime Commissioners and in particular the Sussex Police and Crime Commissioner and Chief Constable.</w:t>
      </w:r>
    </w:p>
    <w:p w:rsidR="00F227D9" w:rsidRPr="008810EB" w:rsidRDefault="00F227D9" w:rsidP="00F227D9">
      <w:pPr>
        <w:pStyle w:val="Normal0"/>
        <w:jc w:val="both"/>
        <w:rPr>
          <w:rFonts w:ascii="Verdana" w:hAnsi="Verdana" w:cs="Times New Roman"/>
          <w:sz w:val="22"/>
          <w:szCs w:val="22"/>
        </w:rPr>
      </w:pPr>
    </w:p>
    <w:p w:rsidR="00F227D9" w:rsidRPr="008810EB" w:rsidRDefault="00F227D9" w:rsidP="00F227D9">
      <w:pPr>
        <w:pStyle w:val="Normal0"/>
        <w:jc w:val="both"/>
        <w:rPr>
          <w:rFonts w:ascii="Verdana" w:hAnsi="Verdana" w:cs="Times New Roman"/>
          <w:sz w:val="22"/>
          <w:szCs w:val="22"/>
        </w:rPr>
      </w:pPr>
      <w:r w:rsidRPr="008810EB">
        <w:rPr>
          <w:rFonts w:ascii="Verdana" w:eastAsia="Calibri" w:hAnsi="Verdana" w:cs="Times New Roman"/>
          <w:sz w:val="22"/>
          <w:szCs w:val="22"/>
        </w:rPr>
        <w:t>The Police and Crime Commissioners and Chief Constables of Surrey and Sussex Police have entered into a legal arrangement (section 22A agreement) to provide a number of services jointly with other police forces.  Each of these services is managed by one of the forces and includes a mix of staff from both forces.  The net cost of each service agreed to be provided jointly under the Section 22A agreement, which cannot be directly attributable to each force, are shared on a formula basis of Surrey 45%; Sussex 55%.</w:t>
      </w:r>
    </w:p>
    <w:p w:rsidR="00F227D9" w:rsidRPr="008810EB" w:rsidRDefault="00F227D9" w:rsidP="00F227D9">
      <w:pPr>
        <w:pStyle w:val="Normal0"/>
        <w:jc w:val="both"/>
        <w:rPr>
          <w:rFonts w:ascii="Verdana" w:hAnsi="Verdana" w:cs="Times New Roman"/>
          <w:sz w:val="22"/>
          <w:szCs w:val="22"/>
        </w:rPr>
      </w:pPr>
    </w:p>
    <w:p w:rsidR="00F227D9" w:rsidRPr="008810EB" w:rsidRDefault="00443FC8" w:rsidP="00F227D9">
      <w:pPr>
        <w:pStyle w:val="Normal0"/>
        <w:jc w:val="both"/>
        <w:rPr>
          <w:rFonts w:ascii="Verdana" w:hAnsi="Verdana" w:cs="Times New Roman"/>
          <w:sz w:val="22"/>
          <w:szCs w:val="22"/>
        </w:rPr>
      </w:pPr>
      <w:r w:rsidRPr="008810EB">
        <w:rPr>
          <w:rFonts w:ascii="Verdana" w:eastAsia="Calibri" w:hAnsi="Verdana" w:cs="Times New Roman"/>
          <w:sz w:val="22"/>
          <w:szCs w:val="22"/>
        </w:rPr>
        <w:t>In 2019</w:t>
      </w:r>
      <w:r w:rsidR="00F227D9" w:rsidRPr="008810EB">
        <w:rPr>
          <w:rFonts w:ascii="Verdana" w:eastAsia="Calibri" w:hAnsi="Verdana" w:cs="Times New Roman"/>
          <w:sz w:val="22"/>
          <w:szCs w:val="22"/>
        </w:rPr>
        <w:t>/</w:t>
      </w:r>
      <w:r w:rsidRPr="008810EB">
        <w:rPr>
          <w:rFonts w:ascii="Verdana" w:eastAsia="Calibri" w:hAnsi="Verdana" w:cs="Times New Roman"/>
          <w:sz w:val="22"/>
          <w:szCs w:val="22"/>
        </w:rPr>
        <w:t>20</w:t>
      </w:r>
      <w:r w:rsidR="00F227D9" w:rsidRPr="008810EB">
        <w:rPr>
          <w:rFonts w:ascii="Verdana" w:eastAsia="Calibri" w:hAnsi="Verdana" w:cs="Times New Roman"/>
          <w:sz w:val="22"/>
          <w:szCs w:val="22"/>
        </w:rPr>
        <w:t xml:space="preserve"> the services provided jointly, included the Operations and Specialist Crime departments along with a number of support functions and projects.  The Police and Crime Commissioners and Chief Constables for Sussex, Surrey and Thames Valley Police continue to deliver a joint project to procure and implement a new Enterprise Resource Planning system (ERP).</w:t>
      </w:r>
    </w:p>
    <w:p w:rsidR="00F227D9" w:rsidRPr="008810EB" w:rsidRDefault="00F227D9" w:rsidP="00F227D9">
      <w:pPr>
        <w:pStyle w:val="Normal0"/>
        <w:jc w:val="both"/>
        <w:rPr>
          <w:rFonts w:ascii="Verdana" w:hAnsi="Verdana" w:cs="Times New Roman"/>
          <w:sz w:val="22"/>
          <w:szCs w:val="22"/>
        </w:rPr>
      </w:pPr>
    </w:p>
    <w:p w:rsidR="00F227D9" w:rsidRPr="008810EB" w:rsidRDefault="00F227D9" w:rsidP="00F227D9">
      <w:pPr>
        <w:pStyle w:val="Normal0"/>
        <w:jc w:val="both"/>
        <w:rPr>
          <w:rFonts w:ascii="Verdana" w:hAnsi="Verdana" w:cs="Times New Roman"/>
          <w:sz w:val="22"/>
          <w:szCs w:val="22"/>
        </w:rPr>
      </w:pPr>
      <w:r w:rsidRPr="008810EB">
        <w:rPr>
          <w:rFonts w:ascii="Verdana" w:eastAsia="Calibri" w:hAnsi="Verdana" w:cs="Times New Roman"/>
          <w:sz w:val="22"/>
          <w:szCs w:val="22"/>
        </w:rPr>
        <w:t>Each Force accounts for their share of total income and expenditure and assets in the Comprehensive Income and Expenditure Statement and Balance Sheet respectively.  The table below illustrates the Surrey share of the collaborated service costs.</w:t>
      </w:r>
    </w:p>
    <w:p w:rsidR="00F227D9" w:rsidRPr="008810EB" w:rsidRDefault="00F227D9" w:rsidP="00F227D9">
      <w:pPr>
        <w:pStyle w:val="Normal0"/>
        <w:jc w:val="both"/>
        <w:rPr>
          <w:rFonts w:ascii="Verdana" w:hAnsi="Verdana" w:cs="Times New Roman"/>
          <w:sz w:val="22"/>
          <w:szCs w:val="22"/>
        </w:rPr>
      </w:pPr>
    </w:p>
    <w:p w:rsidR="00F227D9" w:rsidRDefault="00F227D9" w:rsidP="00F227D9">
      <w:pPr>
        <w:pStyle w:val="Normal0"/>
        <w:jc w:val="center"/>
        <w:rPr>
          <w:rFonts w:ascii="Verdana" w:hAnsi="Verdana" w:cs="Times New Roman"/>
        </w:rPr>
      </w:pPr>
    </w:p>
    <w:tbl>
      <w:tblPr>
        <w:tblW w:w="7655" w:type="dxa"/>
        <w:tblInd w:w="1696" w:type="dxa"/>
        <w:tblLook w:val="04A0" w:firstRow="1" w:lastRow="0" w:firstColumn="1" w:lastColumn="0" w:noHBand="0" w:noVBand="1"/>
      </w:tblPr>
      <w:tblGrid>
        <w:gridCol w:w="1276"/>
        <w:gridCol w:w="5031"/>
        <w:gridCol w:w="1348"/>
      </w:tblGrid>
      <w:tr w:rsidR="008810EB" w:rsidRPr="002C1306" w:rsidTr="008810EB">
        <w:trPr>
          <w:trHeight w:val="735"/>
        </w:trPr>
        <w:tc>
          <w:tcPr>
            <w:tcW w:w="1276" w:type="dxa"/>
            <w:tcBorders>
              <w:top w:val="single" w:sz="4" w:space="0" w:color="auto"/>
              <w:left w:val="single" w:sz="4" w:space="0" w:color="auto"/>
              <w:right w:val="single" w:sz="4" w:space="0" w:color="auto"/>
            </w:tcBorders>
            <w:shd w:val="clear" w:color="000000" w:fill="FFFFFF"/>
            <w:vAlign w:val="center"/>
          </w:tcPr>
          <w:p w:rsidR="008810EB" w:rsidRPr="008810EB" w:rsidRDefault="008810EB" w:rsidP="008810EB">
            <w:pPr>
              <w:jc w:val="center"/>
              <w:rPr>
                <w:rFonts w:ascii="Verdana" w:eastAsia="Times New Roman" w:hAnsi="Verdana" w:cs="Arial"/>
                <w:b/>
                <w:bCs/>
                <w:color w:val="000000"/>
                <w:sz w:val="22"/>
                <w:szCs w:val="22"/>
                <w:lang w:val="en-GB" w:eastAsia="en-GB"/>
              </w:rPr>
            </w:pPr>
            <w:r w:rsidRPr="008810EB">
              <w:rPr>
                <w:rFonts w:ascii="Verdana" w:eastAsia="Times New Roman" w:hAnsi="Verdana" w:cs="Arial"/>
                <w:b/>
                <w:bCs/>
                <w:color w:val="000000"/>
                <w:sz w:val="22"/>
                <w:szCs w:val="22"/>
                <w:lang w:val="en-GB" w:eastAsia="en-GB"/>
              </w:rPr>
              <w:t>Surrey Share</w:t>
            </w:r>
            <w:r w:rsidRPr="008810EB">
              <w:rPr>
                <w:rFonts w:ascii="Verdana" w:eastAsia="Times New Roman" w:hAnsi="Verdana" w:cs="Arial"/>
                <w:b/>
                <w:bCs/>
                <w:color w:val="000000"/>
                <w:sz w:val="22"/>
                <w:szCs w:val="22"/>
                <w:lang w:val="en-GB" w:eastAsia="en-GB"/>
              </w:rPr>
              <w:br/>
              <w:t>2018-19</w:t>
            </w:r>
          </w:p>
        </w:tc>
        <w:tc>
          <w:tcPr>
            <w:tcW w:w="503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810EB" w:rsidRPr="008810EB" w:rsidRDefault="008810EB" w:rsidP="008810EB">
            <w:pPr>
              <w:jc w:val="center"/>
              <w:rPr>
                <w:rFonts w:ascii="Verdana" w:eastAsia="Times New Roman" w:hAnsi="Verdana" w:cs="Arial"/>
                <w:b/>
                <w:bCs/>
                <w:color w:val="000000"/>
                <w:sz w:val="22"/>
                <w:szCs w:val="22"/>
                <w:lang w:val="en-GB" w:eastAsia="en-GB"/>
              </w:rPr>
            </w:pPr>
            <w:r>
              <w:rPr>
                <w:rFonts w:ascii="Verdana" w:eastAsia="Times New Roman" w:hAnsi="Verdana" w:cs="Arial"/>
                <w:b/>
                <w:bCs/>
                <w:color w:val="000000"/>
                <w:sz w:val="22"/>
                <w:szCs w:val="22"/>
                <w:lang w:val="en-GB" w:eastAsia="en-GB"/>
              </w:rPr>
              <w:t>Collaboration Area</w:t>
            </w:r>
            <w:r w:rsidRPr="008810EB">
              <w:rPr>
                <w:rFonts w:ascii="Verdana" w:eastAsia="Times New Roman" w:hAnsi="Verdana" w:cs="Arial"/>
                <w:b/>
                <w:bCs/>
                <w:color w:val="000000"/>
                <w:sz w:val="22"/>
                <w:szCs w:val="22"/>
                <w:lang w:val="en-GB" w:eastAsia="en-GB"/>
              </w:rPr>
              <w:t> </w:t>
            </w:r>
          </w:p>
        </w:tc>
        <w:tc>
          <w:tcPr>
            <w:tcW w:w="1348" w:type="dxa"/>
            <w:tcBorders>
              <w:top w:val="single" w:sz="4" w:space="0" w:color="auto"/>
              <w:left w:val="nil"/>
              <w:bottom w:val="nil"/>
              <w:right w:val="single" w:sz="4" w:space="0" w:color="auto"/>
            </w:tcBorders>
            <w:shd w:val="clear" w:color="000000" w:fill="FFFFFF"/>
            <w:vAlign w:val="center"/>
            <w:hideMark/>
          </w:tcPr>
          <w:p w:rsidR="008810EB" w:rsidRPr="008810EB" w:rsidRDefault="008810EB" w:rsidP="008810EB">
            <w:pPr>
              <w:jc w:val="center"/>
              <w:rPr>
                <w:rFonts w:ascii="Verdana" w:eastAsia="Times New Roman" w:hAnsi="Verdana" w:cs="Arial"/>
                <w:b/>
                <w:bCs/>
                <w:color w:val="000000"/>
                <w:sz w:val="22"/>
                <w:szCs w:val="22"/>
                <w:lang w:val="en-GB" w:eastAsia="en-GB"/>
              </w:rPr>
            </w:pPr>
            <w:r w:rsidRPr="008810EB">
              <w:rPr>
                <w:rFonts w:ascii="Verdana" w:eastAsia="Times New Roman" w:hAnsi="Verdana" w:cs="Arial"/>
                <w:b/>
                <w:bCs/>
                <w:color w:val="000000"/>
                <w:sz w:val="22"/>
                <w:szCs w:val="22"/>
                <w:lang w:val="en-GB" w:eastAsia="en-GB"/>
              </w:rPr>
              <w:t>Surrey Share</w:t>
            </w:r>
            <w:r w:rsidRPr="008810EB">
              <w:rPr>
                <w:rFonts w:ascii="Verdana" w:eastAsia="Times New Roman" w:hAnsi="Verdana" w:cs="Arial"/>
                <w:b/>
                <w:bCs/>
                <w:color w:val="000000"/>
                <w:sz w:val="22"/>
                <w:szCs w:val="22"/>
                <w:lang w:val="en-GB" w:eastAsia="en-GB"/>
              </w:rPr>
              <w:br/>
              <w:t>2019-20</w:t>
            </w:r>
          </w:p>
        </w:tc>
      </w:tr>
      <w:tr w:rsidR="008810EB" w:rsidRPr="002C1306" w:rsidTr="008810EB">
        <w:trPr>
          <w:trHeight w:val="282"/>
        </w:trPr>
        <w:tc>
          <w:tcPr>
            <w:tcW w:w="1276" w:type="dxa"/>
            <w:tcBorders>
              <w:left w:val="single" w:sz="4" w:space="0" w:color="auto"/>
              <w:bottom w:val="single" w:sz="4" w:space="0" w:color="auto"/>
              <w:right w:val="single" w:sz="4" w:space="0" w:color="auto"/>
            </w:tcBorders>
            <w:vAlign w:val="center"/>
          </w:tcPr>
          <w:p w:rsidR="008810EB" w:rsidRPr="008810EB" w:rsidRDefault="008810EB" w:rsidP="008810EB">
            <w:pPr>
              <w:jc w:val="center"/>
              <w:rPr>
                <w:rFonts w:ascii="Verdana" w:eastAsia="Times New Roman" w:hAnsi="Verdana" w:cs="Arial"/>
                <w:b/>
                <w:bCs/>
                <w:color w:val="000000"/>
                <w:sz w:val="22"/>
                <w:szCs w:val="22"/>
                <w:lang w:val="en-GB" w:eastAsia="en-GB"/>
              </w:rPr>
            </w:pPr>
            <w:r w:rsidRPr="008810EB">
              <w:rPr>
                <w:rFonts w:ascii="Verdana" w:eastAsia="Times New Roman" w:hAnsi="Verdana" w:cs="Arial"/>
                <w:b/>
                <w:bCs/>
                <w:color w:val="000000"/>
                <w:sz w:val="22"/>
                <w:szCs w:val="22"/>
                <w:lang w:val="en-GB" w:eastAsia="en-GB"/>
              </w:rPr>
              <w:t>£m</w:t>
            </w:r>
          </w:p>
        </w:tc>
        <w:tc>
          <w:tcPr>
            <w:tcW w:w="5031" w:type="dxa"/>
            <w:vMerge/>
            <w:tcBorders>
              <w:top w:val="single" w:sz="4" w:space="0" w:color="auto"/>
              <w:left w:val="single" w:sz="4" w:space="0" w:color="auto"/>
              <w:bottom w:val="single" w:sz="4" w:space="0" w:color="000000"/>
              <w:right w:val="single" w:sz="4" w:space="0" w:color="auto"/>
            </w:tcBorders>
            <w:vAlign w:val="center"/>
            <w:hideMark/>
          </w:tcPr>
          <w:p w:rsidR="008810EB" w:rsidRPr="008810EB" w:rsidRDefault="008810EB" w:rsidP="008810EB">
            <w:pPr>
              <w:rPr>
                <w:rFonts w:ascii="Verdana" w:eastAsia="Times New Roman" w:hAnsi="Verdana" w:cs="Arial"/>
                <w:b/>
                <w:bCs/>
                <w:color w:val="000000"/>
                <w:sz w:val="22"/>
                <w:szCs w:val="22"/>
                <w:lang w:val="en-GB" w:eastAsia="en-GB"/>
              </w:rPr>
            </w:pPr>
          </w:p>
        </w:tc>
        <w:tc>
          <w:tcPr>
            <w:tcW w:w="1348" w:type="dxa"/>
            <w:tcBorders>
              <w:top w:val="nil"/>
              <w:left w:val="nil"/>
              <w:bottom w:val="single" w:sz="4" w:space="0" w:color="auto"/>
              <w:right w:val="single" w:sz="4" w:space="0" w:color="auto"/>
            </w:tcBorders>
            <w:shd w:val="clear" w:color="000000" w:fill="FFFFFF"/>
            <w:noWrap/>
            <w:vAlign w:val="center"/>
            <w:hideMark/>
          </w:tcPr>
          <w:p w:rsidR="008810EB" w:rsidRPr="008810EB" w:rsidRDefault="008810EB" w:rsidP="008810EB">
            <w:pPr>
              <w:jc w:val="center"/>
              <w:rPr>
                <w:rFonts w:ascii="Verdana" w:eastAsia="Times New Roman" w:hAnsi="Verdana" w:cs="Arial"/>
                <w:b/>
                <w:bCs/>
                <w:color w:val="000000"/>
                <w:sz w:val="22"/>
                <w:szCs w:val="22"/>
                <w:lang w:val="en-GB" w:eastAsia="en-GB"/>
              </w:rPr>
            </w:pPr>
            <w:r w:rsidRPr="008810EB">
              <w:rPr>
                <w:rFonts w:ascii="Verdana" w:eastAsia="Times New Roman" w:hAnsi="Verdana" w:cs="Arial"/>
                <w:b/>
                <w:bCs/>
                <w:color w:val="000000"/>
                <w:sz w:val="22"/>
                <w:szCs w:val="22"/>
                <w:lang w:val="en-GB" w:eastAsia="en-GB"/>
              </w:rPr>
              <w:t>£m</w:t>
            </w:r>
          </w:p>
        </w:tc>
      </w:tr>
      <w:tr w:rsidR="008810EB" w:rsidRPr="002C1306" w:rsidTr="008810EB">
        <w:trPr>
          <w:trHeight w:val="282"/>
        </w:trPr>
        <w:tc>
          <w:tcPr>
            <w:tcW w:w="1276" w:type="dxa"/>
            <w:tcBorders>
              <w:top w:val="single" w:sz="4" w:space="0" w:color="auto"/>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1.0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Change Delivery</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0.6  </w:t>
            </w:r>
          </w:p>
        </w:tc>
      </w:tr>
      <w:tr w:rsidR="008810EB" w:rsidRPr="002C1306"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0.4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Chief Officers </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0.4  </w:t>
            </w:r>
          </w:p>
        </w:tc>
      </w:tr>
      <w:tr w:rsidR="008810EB" w:rsidRPr="002C1306"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0.7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Enterprise Resource Planning (ERP) Project</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1.0  </w:t>
            </w:r>
          </w:p>
        </w:tc>
      </w:tr>
      <w:tr w:rsidR="008810EB" w:rsidRPr="002C1306"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0.6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Finance  </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1.2  </w:t>
            </w:r>
          </w:p>
        </w:tc>
      </w:tr>
      <w:tr w:rsidR="008810EB" w:rsidRPr="002C1306"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0.0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Estates Projects</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0.2  </w:t>
            </w:r>
          </w:p>
        </w:tc>
      </w:tr>
      <w:tr w:rsidR="008810EB" w:rsidRPr="002C1306"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0.1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Insurance</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0.1  </w:t>
            </w:r>
          </w:p>
        </w:tc>
      </w:tr>
      <w:tr w:rsidR="008810EB" w:rsidRPr="002C1306"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4.1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IT  </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4.9  </w:t>
            </w:r>
          </w:p>
        </w:tc>
      </w:tr>
      <w:tr w:rsidR="008810EB" w:rsidRPr="00717940"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0.6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IT Projects</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1.2  </w:t>
            </w:r>
          </w:p>
        </w:tc>
      </w:tr>
      <w:tr w:rsidR="008810EB" w:rsidRPr="00717940"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0.2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Procurement</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0.2  </w:t>
            </w:r>
          </w:p>
        </w:tc>
      </w:tr>
      <w:tr w:rsidR="008810EB" w:rsidRPr="00717940"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0.7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Transport</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0.9  </w:t>
            </w:r>
          </w:p>
        </w:tc>
      </w:tr>
      <w:tr w:rsidR="008810EB" w:rsidRPr="00717940"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15.1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Operations Department</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16.1  </w:t>
            </w:r>
          </w:p>
        </w:tc>
      </w:tr>
      <w:tr w:rsidR="008810EB" w:rsidRPr="00717940"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0.0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Operations Projects</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0.2  </w:t>
            </w:r>
          </w:p>
        </w:tc>
      </w:tr>
      <w:tr w:rsidR="008810EB" w:rsidRPr="00717940"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0.1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Health &amp; Safety</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0.1  </w:t>
            </w:r>
          </w:p>
        </w:tc>
      </w:tr>
      <w:tr w:rsidR="008810EB" w:rsidRPr="00717940"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14.5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Specialist Crime Department</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17.6  </w:t>
            </w:r>
          </w:p>
        </w:tc>
      </w:tr>
      <w:tr w:rsidR="008810EB" w:rsidRPr="00717940"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3.0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People Services</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3.3  </w:t>
            </w:r>
          </w:p>
        </w:tc>
      </w:tr>
      <w:tr w:rsidR="008810EB" w:rsidRPr="00717940"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0.5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Digital Enablement</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0.7  </w:t>
            </w:r>
          </w:p>
        </w:tc>
      </w:tr>
      <w:tr w:rsidR="008810EB" w:rsidRPr="00717940" w:rsidTr="008810EB">
        <w:trPr>
          <w:trHeight w:val="282"/>
        </w:trPr>
        <w:tc>
          <w:tcPr>
            <w:tcW w:w="1276" w:type="dxa"/>
            <w:tcBorders>
              <w:top w:val="nil"/>
              <w:left w:val="single" w:sz="4" w:space="0" w:color="auto"/>
              <w:bottom w:val="nil"/>
              <w:right w:val="single" w:sz="4" w:space="0" w:color="auto"/>
            </w:tcBorders>
            <w:shd w:val="clear" w:color="000000" w:fill="FFFFFF"/>
            <w:vAlign w:val="bottom"/>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0.3  </w:t>
            </w:r>
          </w:p>
        </w:tc>
        <w:tc>
          <w:tcPr>
            <w:tcW w:w="5031" w:type="dxa"/>
            <w:tcBorders>
              <w:top w:val="nil"/>
              <w:left w:val="single" w:sz="4" w:space="0" w:color="auto"/>
              <w:bottom w:val="nil"/>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Vetting</w:t>
            </w:r>
          </w:p>
        </w:tc>
        <w:tc>
          <w:tcPr>
            <w:tcW w:w="1348" w:type="dxa"/>
            <w:tcBorders>
              <w:top w:val="nil"/>
              <w:left w:val="nil"/>
              <w:bottom w:val="nil"/>
              <w:right w:val="single" w:sz="4" w:space="0" w:color="auto"/>
            </w:tcBorders>
            <w:shd w:val="clear" w:color="000000" w:fill="FFFFFF"/>
            <w:noWrap/>
            <w:vAlign w:val="bottom"/>
            <w:hideMark/>
          </w:tcPr>
          <w:p w:rsidR="008810EB" w:rsidRPr="008810EB" w:rsidRDefault="008810EB" w:rsidP="008810EB">
            <w:pPr>
              <w:jc w:val="right"/>
              <w:rPr>
                <w:rFonts w:ascii="Verdana" w:eastAsia="Times New Roman" w:hAnsi="Verdana" w:cs="Arial"/>
                <w:sz w:val="22"/>
                <w:szCs w:val="22"/>
                <w:lang w:val="en-GB" w:eastAsia="en-GB"/>
              </w:rPr>
            </w:pPr>
            <w:r w:rsidRPr="008810EB">
              <w:rPr>
                <w:rFonts w:ascii="Verdana" w:eastAsia="Times New Roman" w:hAnsi="Verdana" w:cs="Arial"/>
                <w:sz w:val="22"/>
                <w:szCs w:val="22"/>
                <w:lang w:val="en-GB" w:eastAsia="en-GB"/>
              </w:rPr>
              <w:t xml:space="preserve">0.4  </w:t>
            </w:r>
          </w:p>
        </w:tc>
      </w:tr>
      <w:tr w:rsidR="008810EB" w:rsidRPr="00717940" w:rsidTr="008810EB">
        <w:trPr>
          <w:trHeight w:val="120"/>
        </w:trPr>
        <w:tc>
          <w:tcPr>
            <w:tcW w:w="1276" w:type="dxa"/>
            <w:tcBorders>
              <w:top w:val="nil"/>
              <w:left w:val="single" w:sz="4" w:space="0" w:color="auto"/>
              <w:bottom w:val="single" w:sz="4" w:space="0" w:color="auto"/>
              <w:right w:val="single" w:sz="4" w:space="0" w:color="auto"/>
            </w:tcBorders>
            <w:shd w:val="clear" w:color="000000" w:fill="FFFFFF"/>
            <w:vAlign w:val="bottom"/>
          </w:tcPr>
          <w:p w:rsidR="008810EB" w:rsidRPr="008810EB" w:rsidRDefault="008810EB" w:rsidP="008810EB">
            <w:pPr>
              <w:rPr>
                <w:rFonts w:ascii="Verdana" w:eastAsia="Times New Roman" w:hAnsi="Verdana" w:cs="Arial"/>
                <w:color w:val="000000"/>
                <w:sz w:val="22"/>
                <w:szCs w:val="22"/>
                <w:lang w:val="en-GB" w:eastAsia="en-GB"/>
              </w:rPr>
            </w:pPr>
            <w:r w:rsidRPr="008810EB">
              <w:rPr>
                <w:rFonts w:ascii="Verdana" w:eastAsia="Times New Roman" w:hAnsi="Verdana" w:cs="Arial"/>
                <w:color w:val="000000"/>
                <w:sz w:val="22"/>
                <w:szCs w:val="22"/>
                <w:lang w:val="en-GB" w:eastAsia="en-GB"/>
              </w:rPr>
              <w:t> </w:t>
            </w:r>
          </w:p>
        </w:tc>
        <w:tc>
          <w:tcPr>
            <w:tcW w:w="5031" w:type="dxa"/>
            <w:tcBorders>
              <w:top w:val="nil"/>
              <w:left w:val="single" w:sz="4" w:space="0" w:color="auto"/>
              <w:bottom w:val="single" w:sz="4" w:space="0" w:color="auto"/>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color w:val="000000"/>
                <w:sz w:val="22"/>
                <w:szCs w:val="22"/>
                <w:lang w:val="en-GB" w:eastAsia="en-GB"/>
              </w:rPr>
            </w:pPr>
            <w:r w:rsidRPr="008810EB">
              <w:rPr>
                <w:rFonts w:ascii="Verdana" w:eastAsia="Times New Roman" w:hAnsi="Verdana" w:cs="Arial"/>
                <w:color w:val="000000"/>
                <w:sz w:val="22"/>
                <w:szCs w:val="22"/>
                <w:lang w:val="en-GB" w:eastAsia="en-GB"/>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8810EB" w:rsidRPr="008810EB" w:rsidRDefault="008810EB" w:rsidP="008810EB">
            <w:pPr>
              <w:rPr>
                <w:rFonts w:ascii="Verdana" w:eastAsia="Times New Roman" w:hAnsi="Verdana" w:cs="Arial"/>
                <w:color w:val="000000"/>
                <w:sz w:val="22"/>
                <w:szCs w:val="22"/>
                <w:lang w:val="en-GB" w:eastAsia="en-GB"/>
              </w:rPr>
            </w:pPr>
            <w:r w:rsidRPr="008810EB">
              <w:rPr>
                <w:rFonts w:ascii="Verdana" w:eastAsia="Times New Roman" w:hAnsi="Verdana" w:cs="Arial"/>
                <w:color w:val="000000"/>
                <w:sz w:val="22"/>
                <w:szCs w:val="22"/>
                <w:lang w:val="en-GB" w:eastAsia="en-GB"/>
              </w:rPr>
              <w:t> </w:t>
            </w:r>
          </w:p>
        </w:tc>
      </w:tr>
      <w:tr w:rsidR="008810EB" w:rsidRPr="00717940" w:rsidTr="008810EB">
        <w:trPr>
          <w:trHeight w:val="300"/>
        </w:trPr>
        <w:tc>
          <w:tcPr>
            <w:tcW w:w="1276" w:type="dxa"/>
            <w:tcBorders>
              <w:top w:val="nil"/>
              <w:left w:val="single" w:sz="4" w:space="0" w:color="auto"/>
              <w:bottom w:val="single" w:sz="4" w:space="0" w:color="auto"/>
              <w:right w:val="single" w:sz="4" w:space="0" w:color="auto"/>
            </w:tcBorders>
            <w:shd w:val="clear" w:color="000000" w:fill="FFFFFF"/>
            <w:vAlign w:val="center"/>
          </w:tcPr>
          <w:p w:rsidR="008810EB" w:rsidRPr="008810EB" w:rsidRDefault="008810EB" w:rsidP="008810EB">
            <w:pPr>
              <w:jc w:val="right"/>
              <w:rPr>
                <w:rFonts w:ascii="Verdana" w:eastAsia="Times New Roman" w:hAnsi="Verdana" w:cs="Arial"/>
                <w:b/>
                <w:bCs/>
                <w:sz w:val="20"/>
                <w:szCs w:val="20"/>
                <w:lang w:val="en-GB" w:eastAsia="en-GB"/>
              </w:rPr>
            </w:pPr>
            <w:r w:rsidRPr="008810EB">
              <w:rPr>
                <w:rFonts w:ascii="Verdana" w:eastAsia="Times New Roman" w:hAnsi="Verdana" w:cs="Arial"/>
                <w:b/>
                <w:bCs/>
                <w:sz w:val="20"/>
                <w:szCs w:val="20"/>
                <w:lang w:val="en-GB" w:eastAsia="en-GB"/>
              </w:rPr>
              <w:t xml:space="preserve">41.9  </w:t>
            </w:r>
          </w:p>
        </w:tc>
        <w:tc>
          <w:tcPr>
            <w:tcW w:w="5031" w:type="dxa"/>
            <w:tcBorders>
              <w:top w:val="nil"/>
              <w:left w:val="single" w:sz="4" w:space="0" w:color="auto"/>
              <w:bottom w:val="single" w:sz="4" w:space="0" w:color="auto"/>
              <w:right w:val="single" w:sz="4" w:space="0" w:color="auto"/>
            </w:tcBorders>
            <w:shd w:val="clear" w:color="000000" w:fill="FFFFFF"/>
            <w:noWrap/>
            <w:vAlign w:val="center"/>
            <w:hideMark/>
          </w:tcPr>
          <w:p w:rsidR="008810EB" w:rsidRPr="008810EB" w:rsidRDefault="008810EB" w:rsidP="008810EB">
            <w:pPr>
              <w:rPr>
                <w:rFonts w:ascii="Verdana" w:eastAsia="Times New Roman" w:hAnsi="Verdana" w:cs="Arial"/>
                <w:b/>
                <w:bCs/>
                <w:sz w:val="20"/>
                <w:szCs w:val="20"/>
                <w:lang w:val="en-GB" w:eastAsia="en-GB"/>
              </w:rPr>
            </w:pPr>
            <w:r w:rsidRPr="008810EB">
              <w:rPr>
                <w:rFonts w:ascii="Verdana" w:eastAsia="Times New Roman" w:hAnsi="Verdana" w:cs="Arial"/>
                <w:b/>
                <w:bCs/>
                <w:sz w:val="20"/>
                <w:szCs w:val="20"/>
                <w:lang w:val="en-GB" w:eastAsia="en-GB"/>
              </w:rPr>
              <w:t> </w:t>
            </w:r>
          </w:p>
        </w:tc>
        <w:tc>
          <w:tcPr>
            <w:tcW w:w="1348" w:type="dxa"/>
            <w:tcBorders>
              <w:top w:val="nil"/>
              <w:left w:val="single" w:sz="4" w:space="0" w:color="auto"/>
              <w:bottom w:val="single" w:sz="4" w:space="0" w:color="auto"/>
              <w:right w:val="single" w:sz="4" w:space="0" w:color="auto"/>
            </w:tcBorders>
            <w:shd w:val="clear" w:color="000000" w:fill="FFFFFF"/>
            <w:noWrap/>
            <w:vAlign w:val="center"/>
            <w:hideMark/>
          </w:tcPr>
          <w:p w:rsidR="008810EB" w:rsidRPr="008810EB" w:rsidRDefault="008810EB" w:rsidP="008810EB">
            <w:pPr>
              <w:jc w:val="right"/>
              <w:rPr>
                <w:rFonts w:ascii="Verdana" w:eastAsia="Times New Roman" w:hAnsi="Verdana" w:cs="Arial"/>
                <w:b/>
                <w:bCs/>
                <w:sz w:val="20"/>
                <w:szCs w:val="20"/>
                <w:lang w:val="en-GB" w:eastAsia="en-GB"/>
              </w:rPr>
            </w:pPr>
            <w:r w:rsidRPr="008810EB">
              <w:rPr>
                <w:rFonts w:ascii="Verdana" w:eastAsia="Times New Roman" w:hAnsi="Verdana" w:cs="Arial"/>
                <w:b/>
                <w:bCs/>
                <w:sz w:val="20"/>
                <w:szCs w:val="20"/>
                <w:lang w:val="en-GB" w:eastAsia="en-GB"/>
              </w:rPr>
              <w:t xml:space="preserve">49.1  </w:t>
            </w:r>
          </w:p>
        </w:tc>
      </w:tr>
    </w:tbl>
    <w:p w:rsidR="00F227D9" w:rsidRPr="00717940" w:rsidRDefault="00F227D9">
      <w:pPr>
        <w:pStyle w:val="Normal0"/>
        <w:rPr>
          <w:rFonts w:cs="Times New Roman"/>
        </w:rPr>
        <w:sectPr w:rsidR="00F227D9" w:rsidRPr="00717940" w:rsidSect="00F227D9">
          <w:pgSz w:w="11900" w:h="16840"/>
          <w:pgMar w:top="720" w:right="720" w:bottom="720" w:left="720" w:header="708" w:footer="708" w:gutter="0"/>
          <w:cols w:space="708"/>
          <w:docGrid w:linePitch="360"/>
        </w:sectPr>
      </w:pPr>
    </w:p>
    <w:p w:rsidR="00F227D9" w:rsidRPr="00717940" w:rsidRDefault="00F227D9" w:rsidP="00F227D9">
      <w:pPr>
        <w:pStyle w:val="Heading1"/>
        <w:spacing w:after="240" w:line="259" w:lineRule="auto"/>
        <w:rPr>
          <w:lang w:val="pt-BR"/>
        </w:rPr>
      </w:pPr>
      <w:bookmarkStart w:id="22" w:name="_Toc55900992"/>
      <w:r w:rsidRPr="00717940">
        <w:rPr>
          <w:lang w:val="pt-BR"/>
        </w:rPr>
        <w:t>Note 14 - Officers’ Remuneration</w:t>
      </w:r>
      <w:bookmarkEnd w:id="22"/>
      <w:r w:rsidRPr="00717940">
        <w:rPr>
          <w:lang w:val="pt-BR"/>
        </w:rPr>
        <w:t xml:space="preserve"> </w:t>
      </w:r>
    </w:p>
    <w:p w:rsidR="00F227D9" w:rsidRPr="00717940" w:rsidRDefault="00F227D9">
      <w:pPr>
        <w:pStyle w:val="Normal0"/>
        <w:spacing w:after="160" w:line="259" w:lineRule="auto"/>
        <w:rPr>
          <w:rFonts w:ascii="Verdana" w:eastAsia="Verdana" w:hAnsi="Verdana" w:cs="Verdana"/>
          <w:sz w:val="22"/>
          <w:szCs w:val="22"/>
          <w:lang w:val="en-GB"/>
        </w:rPr>
      </w:pPr>
      <w:r w:rsidRPr="00717940">
        <w:rPr>
          <w:rFonts w:ascii="Verdana" w:eastAsia="Verdana" w:hAnsi="Verdana" w:cs="Verdana"/>
          <w:sz w:val="22"/>
          <w:szCs w:val="22"/>
          <w:lang w:val="en-GB"/>
        </w:rPr>
        <w:t>This note shows remuneration for senior employees responsible for the management of Surrey Police along with the number of employees (including Police Officers) whose remuneration was £50,000 or more.</w:t>
      </w:r>
    </w:p>
    <w:p w:rsidR="00776DBF" w:rsidRDefault="00F227D9">
      <w:pPr>
        <w:pStyle w:val="Normal0"/>
        <w:spacing w:after="160" w:line="259" w:lineRule="auto"/>
        <w:rPr>
          <w:rFonts w:ascii="Verdana" w:eastAsia="Verdana" w:hAnsi="Verdana" w:cs="Verdana"/>
          <w:sz w:val="22"/>
          <w:szCs w:val="22"/>
          <w:lang w:val="en-GB"/>
        </w:rPr>
      </w:pPr>
      <w:r w:rsidRPr="00717940">
        <w:rPr>
          <w:rFonts w:ascii="Verdana" w:eastAsia="Verdana" w:hAnsi="Verdana" w:cs="Verdana"/>
          <w:sz w:val="22"/>
          <w:szCs w:val="22"/>
          <w:lang w:val="en-GB"/>
        </w:rPr>
        <w:t>There are a small number of employees included that are seconded to other agencies. These costs are fully recovered.</w:t>
      </w:r>
    </w:p>
    <w:p w:rsidR="00776DBF" w:rsidRPr="00717940" w:rsidRDefault="00C77E48">
      <w:pPr>
        <w:pStyle w:val="Normal0"/>
        <w:spacing w:after="160" w:line="259" w:lineRule="auto"/>
        <w:rPr>
          <w:rFonts w:ascii="Verdana" w:eastAsia="Verdana" w:hAnsi="Verdana" w:cs="Verdana"/>
          <w:sz w:val="22"/>
          <w:szCs w:val="22"/>
          <w:lang w:val="en-GB"/>
        </w:rPr>
      </w:pPr>
      <w:r w:rsidRPr="00C77E48">
        <w:rPr>
          <w:noProof/>
          <w:lang w:val="en-GB" w:eastAsia="en-GB"/>
        </w:rPr>
        <w:drawing>
          <wp:inline distT="0" distB="0" distL="0" distR="0">
            <wp:extent cx="6642100" cy="5178935"/>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0" cy="5178935"/>
                    </a:xfrm>
                    <a:prstGeom prst="rect">
                      <a:avLst/>
                    </a:prstGeom>
                    <a:noFill/>
                    <a:ln>
                      <a:noFill/>
                    </a:ln>
                  </pic:spPr>
                </pic:pic>
              </a:graphicData>
            </a:graphic>
          </wp:inline>
        </w:drawing>
      </w:r>
    </w:p>
    <w:tbl>
      <w:tblPr>
        <w:tblW w:w="0" w:type="auto"/>
        <w:jc w:val="center"/>
        <w:tblLayout w:type="fixed"/>
        <w:tblLook w:val="04A0" w:firstRow="1" w:lastRow="0" w:firstColumn="1" w:lastColumn="0" w:noHBand="0" w:noVBand="1"/>
      </w:tblPr>
      <w:tblGrid>
        <w:gridCol w:w="2060"/>
        <w:gridCol w:w="1417"/>
        <w:gridCol w:w="1418"/>
      </w:tblGrid>
      <w:tr w:rsidR="0053376B" w:rsidRPr="00717940" w:rsidTr="00884CD8">
        <w:trPr>
          <w:trHeight w:val="344"/>
          <w:jc w:val="center"/>
        </w:trPr>
        <w:tc>
          <w:tcPr>
            <w:tcW w:w="4895" w:type="dxa"/>
            <w:gridSpan w:val="3"/>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b/>
                <w:color w:val="000000"/>
                <w:sz w:val="16"/>
                <w:szCs w:val="16"/>
                <w:lang w:val="en-GB"/>
              </w:rPr>
            </w:pPr>
            <w:r w:rsidRPr="00717940">
              <w:rPr>
                <w:rFonts w:ascii="Verdana" w:eastAsia="Verdana" w:hAnsi="Verdana" w:cs="Verdana"/>
                <w:b/>
                <w:color w:val="000000"/>
                <w:sz w:val="16"/>
                <w:szCs w:val="16"/>
                <w:lang w:val="en-GB"/>
              </w:rPr>
              <w:t>Officer Remuneration</w:t>
            </w:r>
          </w:p>
        </w:tc>
      </w:tr>
      <w:tr w:rsidR="0053376B" w:rsidRPr="00717940" w:rsidTr="00884CD8">
        <w:trPr>
          <w:trHeight w:val="244"/>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jc w:val="center"/>
              <w:rPr>
                <w:rFonts w:ascii="Verdana" w:eastAsia="Verdana" w:hAnsi="Verdana" w:cs="Verdana"/>
                <w:b/>
                <w:color w:val="000000"/>
                <w:sz w:val="16"/>
                <w:szCs w:val="16"/>
                <w:lang w:val="en-GB"/>
              </w:rPr>
            </w:pPr>
            <w:r w:rsidRPr="00717940">
              <w:rPr>
                <w:rFonts w:ascii="Verdana" w:eastAsia="Verdana" w:hAnsi="Verdana" w:cs="Verdana"/>
                <w:b/>
                <w:color w:val="000000"/>
                <w:sz w:val="16"/>
                <w:szCs w:val="16"/>
                <w:lang w:val="en-GB"/>
              </w:rPr>
              <w:t xml:space="preserve"> </w:t>
            </w:r>
          </w:p>
        </w:tc>
        <w:tc>
          <w:tcPr>
            <w:tcW w:w="2835" w:type="dxa"/>
            <w:gridSpan w:val="2"/>
            <w:shd w:val="clear" w:color="auto" w:fill="auto"/>
            <w:tcMar>
              <w:top w:w="20" w:type="dxa"/>
              <w:left w:w="20" w:type="dxa"/>
              <w:bottom w:w="20" w:type="dxa"/>
              <w:right w:w="20" w:type="dxa"/>
            </w:tcMar>
          </w:tcPr>
          <w:p w:rsidR="00F227D9" w:rsidRPr="00717940" w:rsidRDefault="00F227D9">
            <w:pPr>
              <w:pStyle w:val="T1TableStyle"/>
              <w:jc w:val="center"/>
              <w:rPr>
                <w:rFonts w:ascii="Verdana" w:eastAsia="Verdana" w:hAnsi="Verdana" w:cs="Verdana"/>
                <w:b/>
                <w:color w:val="000000"/>
                <w:sz w:val="16"/>
                <w:szCs w:val="16"/>
                <w:lang w:val="en-GB"/>
              </w:rPr>
            </w:pPr>
            <w:r w:rsidRPr="00717940">
              <w:rPr>
                <w:rFonts w:ascii="Verdana" w:eastAsia="Verdana" w:hAnsi="Verdana" w:cs="Verdana"/>
                <w:b/>
                <w:color w:val="000000"/>
                <w:sz w:val="16"/>
                <w:szCs w:val="16"/>
                <w:lang w:val="en-GB"/>
              </w:rPr>
              <w:t>Number of Employees</w:t>
            </w:r>
          </w:p>
        </w:tc>
      </w:tr>
      <w:tr w:rsidR="0053376B" w:rsidRPr="00717940" w:rsidTr="00CB3842">
        <w:trPr>
          <w:trHeight w:val="287"/>
          <w:jc w:val="center"/>
        </w:trPr>
        <w:tc>
          <w:tcPr>
            <w:tcW w:w="2060" w:type="dxa"/>
            <w:tcBorders>
              <w:bottom w:val="single" w:sz="2" w:space="0" w:color="000000"/>
            </w:tcBorders>
            <w:shd w:val="clear" w:color="auto" w:fill="auto"/>
            <w:tcMar>
              <w:top w:w="20" w:type="dxa"/>
              <w:left w:w="20" w:type="dxa"/>
              <w:bottom w:w="20" w:type="dxa"/>
              <w:right w:w="20" w:type="dxa"/>
            </w:tcMar>
          </w:tcPr>
          <w:p w:rsidR="00F227D9" w:rsidRPr="00717940" w:rsidRDefault="00F227D9">
            <w:pPr>
              <w:pStyle w:val="T1TableStyle"/>
              <w:jc w:val="center"/>
              <w:rPr>
                <w:rFonts w:ascii="Verdana" w:eastAsia="Verdana" w:hAnsi="Verdana" w:cs="Verdana"/>
                <w:b/>
                <w:color w:val="000000"/>
                <w:sz w:val="16"/>
                <w:szCs w:val="16"/>
                <w:lang w:val="en-GB"/>
              </w:rPr>
            </w:pPr>
            <w:r w:rsidRPr="00717940">
              <w:rPr>
                <w:rFonts w:ascii="Verdana" w:eastAsia="Verdana" w:hAnsi="Verdana" w:cs="Verdana"/>
                <w:b/>
                <w:color w:val="000000"/>
                <w:sz w:val="16"/>
                <w:szCs w:val="16"/>
                <w:lang w:val="en-GB"/>
              </w:rPr>
              <w:t xml:space="preserve"> </w:t>
            </w:r>
          </w:p>
        </w:tc>
        <w:tc>
          <w:tcPr>
            <w:tcW w:w="1417" w:type="dxa"/>
            <w:tcBorders>
              <w:bottom w:val="single" w:sz="2" w:space="0" w:color="000000"/>
            </w:tcBorders>
            <w:shd w:val="clear" w:color="auto" w:fill="auto"/>
            <w:tcMar>
              <w:top w:w="20" w:type="dxa"/>
              <w:left w:w="20" w:type="dxa"/>
              <w:bottom w:w="20" w:type="dxa"/>
              <w:right w:w="20" w:type="dxa"/>
            </w:tcMar>
            <w:vAlign w:val="bottom"/>
          </w:tcPr>
          <w:p w:rsidR="00F227D9" w:rsidRPr="00717940" w:rsidRDefault="00F227D9">
            <w:pPr>
              <w:pStyle w:val="T1TableStyle"/>
              <w:jc w:val="right"/>
              <w:rPr>
                <w:rFonts w:ascii="Verdana" w:eastAsia="Verdana" w:hAnsi="Verdana" w:cs="Verdana"/>
                <w:b/>
                <w:color w:val="000000"/>
                <w:sz w:val="16"/>
                <w:szCs w:val="16"/>
                <w:lang w:val="en-GB"/>
              </w:rPr>
            </w:pPr>
            <w:r w:rsidRPr="00717940">
              <w:rPr>
                <w:rFonts w:ascii="Verdana" w:eastAsia="Verdana" w:hAnsi="Verdana" w:cs="Verdana"/>
                <w:b/>
                <w:color w:val="000000"/>
                <w:sz w:val="16"/>
                <w:szCs w:val="16"/>
                <w:lang w:val="en-GB"/>
              </w:rPr>
              <w:t>2018/19</w:t>
            </w:r>
          </w:p>
        </w:tc>
        <w:tc>
          <w:tcPr>
            <w:tcW w:w="1418" w:type="dxa"/>
            <w:tcBorders>
              <w:bottom w:val="single" w:sz="2" w:space="0" w:color="000000"/>
            </w:tcBorders>
            <w:shd w:val="clear" w:color="auto" w:fill="auto"/>
            <w:tcMar>
              <w:top w:w="20" w:type="dxa"/>
              <w:left w:w="20" w:type="dxa"/>
              <w:bottom w:w="20" w:type="dxa"/>
              <w:right w:w="20" w:type="dxa"/>
            </w:tcMar>
            <w:vAlign w:val="bottom"/>
          </w:tcPr>
          <w:p w:rsidR="00F227D9" w:rsidRPr="00717940" w:rsidRDefault="00F227D9">
            <w:pPr>
              <w:pStyle w:val="T1TableStyle"/>
              <w:jc w:val="right"/>
              <w:rPr>
                <w:rFonts w:ascii="Verdana" w:eastAsia="Verdana" w:hAnsi="Verdana" w:cs="Verdana"/>
                <w:b/>
                <w:color w:val="000000"/>
                <w:sz w:val="16"/>
                <w:szCs w:val="16"/>
                <w:lang w:val="en-GB"/>
              </w:rPr>
            </w:pPr>
            <w:r w:rsidRPr="00717940">
              <w:rPr>
                <w:rFonts w:ascii="Verdana" w:eastAsia="Verdana" w:hAnsi="Verdana" w:cs="Verdana"/>
                <w:b/>
                <w:color w:val="000000"/>
                <w:sz w:val="16"/>
                <w:szCs w:val="16"/>
                <w:lang w:val="en-GB"/>
              </w:rPr>
              <w:t>2019/20</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£50,001 to £55,000</w:t>
            </w:r>
          </w:p>
        </w:tc>
        <w:tc>
          <w:tcPr>
            <w:tcW w:w="1417" w:type="dxa"/>
            <w:shd w:val="clear" w:color="auto" w:fill="auto"/>
            <w:tcMar>
              <w:top w:w="20" w:type="dxa"/>
              <w:left w:w="20" w:type="dxa"/>
              <w:bottom w:w="20" w:type="dxa"/>
              <w:right w:w="20" w:type="dxa"/>
            </w:tcMar>
          </w:tcPr>
          <w:p w:rsidR="00F227D9" w:rsidRPr="00717940" w:rsidRDefault="00F227D9" w:rsidP="00DA1CBF">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25</w:t>
            </w:r>
            <w:r w:rsidR="00DA1CBF" w:rsidRPr="00717940">
              <w:rPr>
                <w:rFonts w:ascii="Verdana" w:eastAsia="Verdana" w:hAnsi="Verdana" w:cs="Verdana"/>
                <w:color w:val="000000"/>
                <w:sz w:val="16"/>
                <w:szCs w:val="16"/>
                <w:lang w:val="en-GB"/>
              </w:rPr>
              <w:t>4</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267</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£55,001 to £60,000</w:t>
            </w:r>
          </w:p>
        </w:tc>
        <w:tc>
          <w:tcPr>
            <w:tcW w:w="1417" w:type="dxa"/>
            <w:shd w:val="clear" w:color="auto" w:fill="auto"/>
            <w:tcMar>
              <w:top w:w="20" w:type="dxa"/>
              <w:left w:w="20" w:type="dxa"/>
              <w:bottom w:w="20" w:type="dxa"/>
              <w:right w:w="20" w:type="dxa"/>
            </w:tcMar>
          </w:tcPr>
          <w:p w:rsidR="00F227D9" w:rsidRPr="00717940" w:rsidRDefault="00F227D9" w:rsidP="00DA1CBF">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12</w:t>
            </w:r>
            <w:r w:rsidR="00DA1CBF" w:rsidRPr="00717940">
              <w:rPr>
                <w:rFonts w:ascii="Verdana" w:eastAsia="Verdana" w:hAnsi="Verdana" w:cs="Verdana"/>
                <w:color w:val="000000"/>
                <w:sz w:val="16"/>
                <w:szCs w:val="16"/>
                <w:lang w:val="en-GB"/>
              </w:rPr>
              <w:t>5</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130</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£60,001 to £65,000</w:t>
            </w:r>
          </w:p>
        </w:tc>
        <w:tc>
          <w:tcPr>
            <w:tcW w:w="1417" w:type="dxa"/>
            <w:shd w:val="clear" w:color="auto" w:fill="auto"/>
            <w:tcMar>
              <w:top w:w="20" w:type="dxa"/>
              <w:left w:w="20" w:type="dxa"/>
              <w:bottom w:w="20" w:type="dxa"/>
              <w:right w:w="20" w:type="dxa"/>
            </w:tcMar>
          </w:tcPr>
          <w:p w:rsidR="00F227D9" w:rsidRPr="00717940" w:rsidRDefault="008B3697">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54</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78</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£65,001 to £70,000</w:t>
            </w:r>
          </w:p>
        </w:tc>
        <w:tc>
          <w:tcPr>
            <w:tcW w:w="1417"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10</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21</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£70,001 to £75,000</w:t>
            </w:r>
          </w:p>
        </w:tc>
        <w:tc>
          <w:tcPr>
            <w:tcW w:w="1417" w:type="dxa"/>
            <w:shd w:val="clear" w:color="auto" w:fill="auto"/>
            <w:tcMar>
              <w:top w:w="20" w:type="dxa"/>
              <w:left w:w="20" w:type="dxa"/>
              <w:bottom w:w="20" w:type="dxa"/>
              <w:right w:w="20" w:type="dxa"/>
            </w:tcMar>
          </w:tcPr>
          <w:p w:rsidR="00F227D9" w:rsidRPr="00717940" w:rsidRDefault="00F227D9" w:rsidP="008B3697">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w:t>
            </w:r>
            <w:r w:rsidR="008B3697" w:rsidRPr="00717940">
              <w:rPr>
                <w:rFonts w:ascii="Verdana" w:eastAsia="Verdana" w:hAnsi="Verdana" w:cs="Verdana"/>
                <w:color w:val="000000"/>
                <w:sz w:val="16"/>
                <w:szCs w:val="16"/>
                <w:lang w:val="en-GB"/>
              </w:rPr>
              <w:t>1</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15</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£75,001 to £80,000</w:t>
            </w:r>
          </w:p>
        </w:tc>
        <w:tc>
          <w:tcPr>
            <w:tcW w:w="1417" w:type="dxa"/>
            <w:shd w:val="clear" w:color="auto" w:fill="auto"/>
            <w:tcMar>
              <w:top w:w="20" w:type="dxa"/>
              <w:left w:w="20" w:type="dxa"/>
              <w:bottom w:w="20" w:type="dxa"/>
              <w:right w:w="20" w:type="dxa"/>
            </w:tcMar>
          </w:tcPr>
          <w:p w:rsidR="00F227D9" w:rsidRPr="00717940" w:rsidRDefault="008B3697">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8</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6</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£80,001 to £85,000</w:t>
            </w:r>
          </w:p>
        </w:tc>
        <w:tc>
          <w:tcPr>
            <w:tcW w:w="1417" w:type="dxa"/>
            <w:shd w:val="clear" w:color="auto" w:fill="auto"/>
            <w:tcMar>
              <w:top w:w="20" w:type="dxa"/>
              <w:left w:w="20" w:type="dxa"/>
              <w:bottom w:w="20" w:type="dxa"/>
              <w:right w:w="20" w:type="dxa"/>
            </w:tcMar>
          </w:tcPr>
          <w:p w:rsidR="00F227D9" w:rsidRPr="00717940" w:rsidRDefault="008B3697">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5</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7</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£85,001 to £90,000</w:t>
            </w:r>
          </w:p>
        </w:tc>
        <w:tc>
          <w:tcPr>
            <w:tcW w:w="1417" w:type="dxa"/>
            <w:shd w:val="clear" w:color="auto" w:fill="auto"/>
            <w:tcMar>
              <w:top w:w="20" w:type="dxa"/>
              <w:left w:w="20" w:type="dxa"/>
              <w:bottom w:w="20" w:type="dxa"/>
              <w:right w:w="20" w:type="dxa"/>
            </w:tcMar>
          </w:tcPr>
          <w:p w:rsidR="00F227D9" w:rsidRPr="00717940" w:rsidRDefault="008B3697">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9</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4</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£90,001 to £95,000</w:t>
            </w:r>
          </w:p>
        </w:tc>
        <w:tc>
          <w:tcPr>
            <w:tcW w:w="1417" w:type="dxa"/>
            <w:shd w:val="clear" w:color="auto" w:fill="auto"/>
            <w:tcMar>
              <w:top w:w="20" w:type="dxa"/>
              <w:left w:w="20" w:type="dxa"/>
              <w:bottom w:w="20" w:type="dxa"/>
              <w:right w:w="20" w:type="dxa"/>
            </w:tcMar>
          </w:tcPr>
          <w:p w:rsidR="00F227D9" w:rsidRPr="00717940" w:rsidRDefault="008B3697">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5</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4</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£95,001 to £100,000</w:t>
            </w:r>
          </w:p>
        </w:tc>
        <w:tc>
          <w:tcPr>
            <w:tcW w:w="1417" w:type="dxa"/>
            <w:shd w:val="clear" w:color="auto" w:fill="auto"/>
            <w:tcMar>
              <w:top w:w="20" w:type="dxa"/>
              <w:left w:w="20" w:type="dxa"/>
              <w:bottom w:w="20" w:type="dxa"/>
              <w:right w:w="20" w:type="dxa"/>
            </w:tcMar>
          </w:tcPr>
          <w:p w:rsidR="00F227D9" w:rsidRPr="00717940" w:rsidRDefault="008B3697">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4</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£100,001 to £105,000</w:t>
            </w:r>
          </w:p>
        </w:tc>
        <w:tc>
          <w:tcPr>
            <w:tcW w:w="1417"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0</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£105,001 to £110,000</w:t>
            </w:r>
          </w:p>
        </w:tc>
        <w:tc>
          <w:tcPr>
            <w:tcW w:w="1417" w:type="dxa"/>
            <w:shd w:val="clear" w:color="auto" w:fill="auto"/>
            <w:tcMar>
              <w:top w:w="20" w:type="dxa"/>
              <w:left w:w="20" w:type="dxa"/>
              <w:bottom w:w="20" w:type="dxa"/>
              <w:right w:w="20" w:type="dxa"/>
            </w:tcMar>
          </w:tcPr>
          <w:p w:rsidR="00F227D9" w:rsidRPr="00717940" w:rsidRDefault="008B3697">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£115,001 to £120,000</w:t>
            </w:r>
          </w:p>
        </w:tc>
        <w:tc>
          <w:tcPr>
            <w:tcW w:w="1417"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0</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£120,001 to £125,000</w:t>
            </w:r>
          </w:p>
        </w:tc>
        <w:tc>
          <w:tcPr>
            <w:tcW w:w="1417" w:type="dxa"/>
            <w:shd w:val="clear" w:color="auto" w:fill="auto"/>
            <w:tcMar>
              <w:top w:w="20" w:type="dxa"/>
              <w:left w:w="20" w:type="dxa"/>
              <w:bottom w:w="20" w:type="dxa"/>
              <w:right w:w="20" w:type="dxa"/>
            </w:tcMar>
          </w:tcPr>
          <w:p w:rsidR="00F227D9" w:rsidRPr="00717940" w:rsidRDefault="008B3697">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0</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2</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£125,001 to £130,000</w:t>
            </w:r>
          </w:p>
        </w:tc>
        <w:tc>
          <w:tcPr>
            <w:tcW w:w="1417"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2</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0</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£130,001 to £135,000</w:t>
            </w:r>
          </w:p>
        </w:tc>
        <w:tc>
          <w:tcPr>
            <w:tcW w:w="1417" w:type="dxa"/>
            <w:shd w:val="clear" w:color="auto" w:fill="auto"/>
            <w:tcMar>
              <w:top w:w="20" w:type="dxa"/>
              <w:left w:w="20" w:type="dxa"/>
              <w:bottom w:w="20" w:type="dxa"/>
              <w:right w:w="20" w:type="dxa"/>
            </w:tcMar>
          </w:tcPr>
          <w:p w:rsidR="00F227D9" w:rsidRPr="00717940" w:rsidRDefault="008B3697">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w:t>
            </w:r>
          </w:p>
        </w:tc>
      </w:tr>
      <w:tr w:rsidR="00E972C9" w:rsidRPr="00717940" w:rsidTr="00CB3842">
        <w:trPr>
          <w:trHeight w:val="201"/>
          <w:jc w:val="center"/>
        </w:trPr>
        <w:tc>
          <w:tcPr>
            <w:tcW w:w="2060" w:type="dxa"/>
            <w:shd w:val="clear" w:color="auto" w:fill="auto"/>
            <w:tcMar>
              <w:top w:w="20" w:type="dxa"/>
              <w:left w:w="20" w:type="dxa"/>
              <w:bottom w:w="20" w:type="dxa"/>
              <w:right w:w="20" w:type="dxa"/>
            </w:tcMar>
            <w:vAlign w:val="bottom"/>
          </w:tcPr>
          <w:p w:rsidR="00E972C9" w:rsidRPr="00717940" w:rsidRDefault="00E972C9">
            <w:pPr>
              <w:pStyle w:val="T1TableStyle"/>
              <w:rPr>
                <w:rFonts w:ascii="Verdana" w:eastAsia="Verdana" w:hAnsi="Verdana" w:cs="Verdana"/>
                <w:color w:val="000000"/>
                <w:sz w:val="16"/>
                <w:szCs w:val="16"/>
                <w:lang w:val="en-GB"/>
              </w:rPr>
            </w:pPr>
            <w:r>
              <w:rPr>
                <w:rFonts w:ascii="Verdana" w:eastAsia="Verdana" w:hAnsi="Verdana" w:cs="Verdana"/>
                <w:color w:val="000000"/>
                <w:sz w:val="16"/>
                <w:szCs w:val="16"/>
                <w:lang w:val="en-GB"/>
              </w:rPr>
              <w:t xml:space="preserve">£140,001 to £145,000             </w:t>
            </w:r>
          </w:p>
        </w:tc>
        <w:tc>
          <w:tcPr>
            <w:tcW w:w="1417" w:type="dxa"/>
            <w:shd w:val="clear" w:color="auto" w:fill="auto"/>
            <w:tcMar>
              <w:top w:w="20" w:type="dxa"/>
              <w:left w:w="20" w:type="dxa"/>
              <w:bottom w:w="20" w:type="dxa"/>
              <w:right w:w="20" w:type="dxa"/>
            </w:tcMar>
          </w:tcPr>
          <w:p w:rsidR="00E972C9" w:rsidRPr="00717940" w:rsidRDefault="00E972C9">
            <w:pPr>
              <w:pStyle w:val="T1TableStyle"/>
              <w:jc w:val="right"/>
              <w:rPr>
                <w:rFonts w:ascii="Verdana" w:eastAsia="Verdana" w:hAnsi="Verdana" w:cs="Verdana"/>
                <w:color w:val="000000"/>
                <w:sz w:val="16"/>
                <w:szCs w:val="16"/>
                <w:lang w:val="en-GB"/>
              </w:rPr>
            </w:pPr>
            <w:r>
              <w:rPr>
                <w:rFonts w:ascii="Verdana" w:eastAsia="Verdana" w:hAnsi="Verdana" w:cs="Verdana"/>
                <w:color w:val="000000"/>
                <w:sz w:val="16"/>
                <w:szCs w:val="16"/>
                <w:lang w:val="en-GB"/>
              </w:rPr>
              <w:t xml:space="preserve">1  </w:t>
            </w:r>
          </w:p>
        </w:tc>
        <w:tc>
          <w:tcPr>
            <w:tcW w:w="1418" w:type="dxa"/>
            <w:shd w:val="clear" w:color="auto" w:fill="auto"/>
            <w:tcMar>
              <w:top w:w="20" w:type="dxa"/>
              <w:left w:w="20" w:type="dxa"/>
              <w:bottom w:w="20" w:type="dxa"/>
              <w:right w:w="20" w:type="dxa"/>
            </w:tcMar>
          </w:tcPr>
          <w:p w:rsidR="00E972C9" w:rsidRPr="00717940" w:rsidRDefault="00E972C9">
            <w:pPr>
              <w:pStyle w:val="T1TableStyle"/>
              <w:jc w:val="right"/>
              <w:rPr>
                <w:rFonts w:ascii="Verdana" w:eastAsia="Verdana" w:hAnsi="Verdana" w:cs="Verdana"/>
                <w:color w:val="000000"/>
                <w:sz w:val="16"/>
                <w:szCs w:val="16"/>
                <w:lang w:val="en-GB"/>
              </w:rPr>
            </w:pPr>
            <w:r>
              <w:rPr>
                <w:rFonts w:ascii="Verdana" w:eastAsia="Verdana" w:hAnsi="Verdana" w:cs="Verdana"/>
                <w:color w:val="000000"/>
                <w:sz w:val="16"/>
                <w:szCs w:val="16"/>
                <w:lang w:val="en-GB"/>
              </w:rPr>
              <w:t>0</w:t>
            </w:r>
          </w:p>
        </w:tc>
      </w:tr>
      <w:tr w:rsidR="0053376B" w:rsidRPr="00717940" w:rsidTr="00CB3842">
        <w:trPr>
          <w:trHeight w:val="201"/>
          <w:jc w:val="center"/>
        </w:trPr>
        <w:tc>
          <w:tcPr>
            <w:tcW w:w="2060" w:type="dxa"/>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£150,001 to £155,000</w:t>
            </w:r>
          </w:p>
        </w:tc>
        <w:tc>
          <w:tcPr>
            <w:tcW w:w="1417" w:type="dxa"/>
            <w:shd w:val="clear" w:color="auto" w:fill="auto"/>
            <w:tcMar>
              <w:top w:w="20" w:type="dxa"/>
              <w:left w:w="20" w:type="dxa"/>
              <w:bottom w:w="20" w:type="dxa"/>
              <w:right w:w="20" w:type="dxa"/>
            </w:tcMar>
          </w:tcPr>
          <w:p w:rsidR="00F227D9" w:rsidRPr="00717940" w:rsidRDefault="00E972C9">
            <w:pPr>
              <w:pStyle w:val="T1TableStyle"/>
              <w:jc w:val="right"/>
              <w:rPr>
                <w:rFonts w:ascii="Verdana" w:eastAsia="Verdana" w:hAnsi="Verdana" w:cs="Verdana"/>
                <w:color w:val="000000"/>
                <w:sz w:val="16"/>
                <w:szCs w:val="16"/>
                <w:lang w:val="en-GB"/>
              </w:rPr>
            </w:pPr>
            <w:r>
              <w:rPr>
                <w:rFonts w:ascii="Verdana" w:eastAsia="Verdana" w:hAnsi="Verdana" w:cs="Verdana"/>
                <w:color w:val="000000"/>
                <w:sz w:val="16"/>
                <w:szCs w:val="16"/>
                <w:lang w:val="en-GB"/>
              </w:rPr>
              <w:t>0</w:t>
            </w:r>
          </w:p>
        </w:tc>
        <w:tc>
          <w:tcPr>
            <w:tcW w:w="1418"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szCs w:val="16"/>
                <w:lang w:val="en-GB"/>
              </w:rPr>
            </w:pPr>
            <w:r w:rsidRPr="00717940">
              <w:rPr>
                <w:rFonts w:ascii="Verdana" w:eastAsia="Verdana" w:hAnsi="Verdana" w:cs="Verdana"/>
                <w:color w:val="000000"/>
                <w:sz w:val="16"/>
                <w:szCs w:val="16"/>
                <w:lang w:val="en-GB"/>
              </w:rPr>
              <w:t>1</w:t>
            </w:r>
          </w:p>
        </w:tc>
      </w:tr>
      <w:tr w:rsidR="0053376B" w:rsidRPr="00717940" w:rsidTr="00CB3842">
        <w:trPr>
          <w:trHeight w:val="35"/>
          <w:jc w:val="center"/>
        </w:trPr>
        <w:tc>
          <w:tcPr>
            <w:tcW w:w="206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717940" w:rsidRDefault="00F227D9">
            <w:pPr>
              <w:pStyle w:val="T1TableStyle"/>
              <w:rPr>
                <w:rFonts w:ascii="Verdana" w:eastAsia="Verdana" w:hAnsi="Verdana" w:cs="Verdana"/>
                <w:b/>
                <w:color w:val="000000"/>
                <w:sz w:val="16"/>
                <w:szCs w:val="16"/>
                <w:lang w:val="en-GB"/>
              </w:rPr>
            </w:pPr>
            <w:r w:rsidRPr="00717940">
              <w:rPr>
                <w:rFonts w:ascii="Verdana" w:eastAsia="Verdana" w:hAnsi="Verdana" w:cs="Verdana"/>
                <w:b/>
                <w:color w:val="000000"/>
                <w:sz w:val="16"/>
                <w:szCs w:val="16"/>
                <w:lang w:val="en-GB"/>
              </w:rPr>
              <w:t>Total</w:t>
            </w:r>
          </w:p>
        </w:tc>
        <w:tc>
          <w:tcPr>
            <w:tcW w:w="1417"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717940" w:rsidRDefault="00F227D9" w:rsidP="00F07523">
            <w:pPr>
              <w:pStyle w:val="T1TableStyle"/>
              <w:jc w:val="right"/>
              <w:rPr>
                <w:rFonts w:ascii="Verdana" w:eastAsia="Verdana" w:hAnsi="Verdana" w:cs="Verdana"/>
                <w:b/>
                <w:color w:val="000000"/>
                <w:sz w:val="16"/>
                <w:szCs w:val="16"/>
                <w:lang w:val="en-GB"/>
              </w:rPr>
            </w:pPr>
            <w:r w:rsidRPr="00717940">
              <w:rPr>
                <w:rFonts w:ascii="Verdana" w:eastAsia="Verdana" w:hAnsi="Verdana" w:cs="Verdana"/>
                <w:b/>
                <w:color w:val="000000"/>
                <w:sz w:val="16"/>
                <w:szCs w:val="16"/>
                <w:lang w:val="en-GB"/>
              </w:rPr>
              <w:t>4</w:t>
            </w:r>
            <w:r w:rsidR="00F07523">
              <w:rPr>
                <w:rFonts w:ascii="Verdana" w:eastAsia="Verdana" w:hAnsi="Verdana" w:cs="Verdana"/>
                <w:b/>
                <w:color w:val="000000"/>
                <w:sz w:val="16"/>
                <w:szCs w:val="16"/>
                <w:lang w:val="en-GB"/>
              </w:rPr>
              <w:t>87</w:t>
            </w:r>
          </w:p>
        </w:tc>
        <w:tc>
          <w:tcPr>
            <w:tcW w:w="1418"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b/>
                <w:color w:val="000000"/>
                <w:sz w:val="16"/>
                <w:szCs w:val="16"/>
                <w:lang w:val="en-GB"/>
              </w:rPr>
            </w:pPr>
            <w:r w:rsidRPr="00717940">
              <w:rPr>
                <w:rFonts w:ascii="Verdana" w:eastAsia="Verdana" w:hAnsi="Verdana" w:cs="Verdana"/>
                <w:b/>
                <w:color w:val="000000"/>
                <w:sz w:val="16"/>
                <w:szCs w:val="16"/>
                <w:lang w:val="en-GB"/>
              </w:rPr>
              <w:t>543</w:t>
            </w:r>
          </w:p>
        </w:tc>
      </w:tr>
    </w:tbl>
    <w:p w:rsidR="00F227D9" w:rsidRDefault="00F227D9">
      <w:pPr>
        <w:pStyle w:val="T1TableStyle"/>
        <w:rPr>
          <w:rFonts w:ascii="Verdana" w:eastAsia="Verdana" w:hAnsi="Verdana" w:cs="Verdana"/>
          <w:sz w:val="22"/>
          <w:lang w:val="en-GB"/>
        </w:rPr>
      </w:pPr>
    </w:p>
    <w:p w:rsidR="00F96F86" w:rsidRPr="00717940" w:rsidRDefault="00F96F86">
      <w:pPr>
        <w:pStyle w:val="T1TableStyle"/>
        <w:rPr>
          <w:rFonts w:ascii="Verdana" w:eastAsia="Verdana" w:hAnsi="Verdana" w:cs="Verdana"/>
          <w:sz w:val="22"/>
          <w:lang w:val="en-GB"/>
        </w:rPr>
      </w:pPr>
    </w:p>
    <w:tbl>
      <w:tblPr>
        <w:tblW w:w="0" w:type="auto"/>
        <w:jc w:val="center"/>
        <w:tblLayout w:type="fixed"/>
        <w:tblLook w:val="04A0" w:firstRow="1" w:lastRow="0" w:firstColumn="1" w:lastColumn="0" w:noHBand="0" w:noVBand="1"/>
      </w:tblPr>
      <w:tblGrid>
        <w:gridCol w:w="1980"/>
        <w:gridCol w:w="945"/>
        <w:gridCol w:w="945"/>
        <w:gridCol w:w="1305"/>
        <w:gridCol w:w="1305"/>
      </w:tblGrid>
      <w:tr w:rsidR="0053376B" w:rsidRPr="00717940" w:rsidTr="00884CD8">
        <w:trPr>
          <w:trHeight w:val="255"/>
          <w:jc w:val="center"/>
        </w:trPr>
        <w:tc>
          <w:tcPr>
            <w:tcW w:w="6480" w:type="dxa"/>
            <w:gridSpan w:val="5"/>
            <w:shd w:val="clear" w:color="auto" w:fill="auto"/>
            <w:tcMar>
              <w:top w:w="20" w:type="dxa"/>
              <w:left w:w="20" w:type="dxa"/>
              <w:bottom w:w="20" w:type="dxa"/>
              <w:right w:w="20" w:type="dxa"/>
            </w:tcMar>
            <w:vAlign w:val="bottom"/>
          </w:tcPr>
          <w:p w:rsidR="00F227D9" w:rsidRPr="00717940" w:rsidRDefault="00F227D9">
            <w:pPr>
              <w:pStyle w:val="T1TableStyle"/>
              <w:rPr>
                <w:rFonts w:ascii="Verdana" w:eastAsia="Verdana" w:hAnsi="Verdana" w:cs="Verdana"/>
                <w:b/>
                <w:color w:val="000000"/>
                <w:lang w:val="en-GB"/>
              </w:rPr>
            </w:pPr>
            <w:r w:rsidRPr="00717940">
              <w:rPr>
                <w:rFonts w:ascii="Verdana" w:eastAsia="Verdana" w:hAnsi="Verdana" w:cs="Verdana"/>
                <w:b/>
                <w:color w:val="000000"/>
                <w:lang w:val="en-GB"/>
              </w:rPr>
              <w:t>Exit Packages</w:t>
            </w:r>
          </w:p>
        </w:tc>
      </w:tr>
      <w:tr w:rsidR="0053376B" w:rsidRPr="00717940" w:rsidTr="00884CD8">
        <w:trPr>
          <w:trHeight w:hRule="exact" w:val="210"/>
          <w:jc w:val="center"/>
        </w:trPr>
        <w:tc>
          <w:tcPr>
            <w:tcW w:w="1980" w:type="dxa"/>
            <w:shd w:val="clear" w:color="auto" w:fill="auto"/>
            <w:tcMar>
              <w:top w:w="20" w:type="dxa"/>
              <w:left w:w="20" w:type="dxa"/>
              <w:bottom w:w="20" w:type="dxa"/>
              <w:right w:w="20" w:type="dxa"/>
            </w:tcMar>
            <w:vAlign w:val="bottom"/>
          </w:tcPr>
          <w:p w:rsidR="00F227D9" w:rsidRPr="00717940" w:rsidRDefault="00F227D9">
            <w:pPr>
              <w:pStyle w:val="T1TableStyle"/>
              <w:jc w:val="center"/>
              <w:rPr>
                <w:rFonts w:ascii="Verdana" w:eastAsia="Verdana" w:hAnsi="Verdana" w:cs="Verdana"/>
                <w:color w:val="000000"/>
                <w:sz w:val="2"/>
                <w:lang w:val="en-GB"/>
              </w:rPr>
            </w:pPr>
            <w:r w:rsidRPr="00717940">
              <w:rPr>
                <w:rFonts w:ascii="Verdana" w:eastAsia="Verdana" w:hAnsi="Verdana" w:cs="Verdana"/>
                <w:color w:val="000000"/>
                <w:sz w:val="2"/>
                <w:lang w:val="en-GB"/>
              </w:rPr>
              <w:t xml:space="preserve"> </w:t>
            </w:r>
          </w:p>
        </w:tc>
        <w:tc>
          <w:tcPr>
            <w:tcW w:w="945" w:type="dxa"/>
            <w:shd w:val="clear" w:color="auto" w:fill="auto"/>
            <w:tcMar>
              <w:top w:w="20" w:type="dxa"/>
              <w:left w:w="20" w:type="dxa"/>
              <w:bottom w:w="20" w:type="dxa"/>
              <w:right w:w="20" w:type="dxa"/>
            </w:tcMar>
            <w:vAlign w:val="bottom"/>
          </w:tcPr>
          <w:p w:rsidR="00F227D9" w:rsidRPr="00717940" w:rsidRDefault="00F227D9">
            <w:pPr>
              <w:pStyle w:val="T1TableStyle"/>
              <w:jc w:val="center"/>
              <w:rPr>
                <w:rFonts w:ascii="Verdana" w:eastAsia="Verdana" w:hAnsi="Verdana" w:cs="Verdana"/>
                <w:color w:val="000000"/>
                <w:sz w:val="2"/>
                <w:lang w:val="en-GB"/>
              </w:rPr>
            </w:pPr>
            <w:r w:rsidRPr="00717940">
              <w:rPr>
                <w:rFonts w:ascii="Verdana" w:eastAsia="Verdana" w:hAnsi="Verdana" w:cs="Verdana"/>
                <w:color w:val="000000"/>
                <w:sz w:val="2"/>
                <w:lang w:val="en-GB"/>
              </w:rPr>
              <w:t xml:space="preserve"> </w:t>
            </w:r>
          </w:p>
        </w:tc>
        <w:tc>
          <w:tcPr>
            <w:tcW w:w="945" w:type="dxa"/>
            <w:shd w:val="clear" w:color="auto" w:fill="auto"/>
            <w:tcMar>
              <w:top w:w="20" w:type="dxa"/>
              <w:left w:w="20" w:type="dxa"/>
              <w:bottom w:w="20" w:type="dxa"/>
              <w:right w:w="20" w:type="dxa"/>
            </w:tcMar>
            <w:vAlign w:val="bottom"/>
          </w:tcPr>
          <w:p w:rsidR="00F227D9" w:rsidRPr="00717940" w:rsidRDefault="00F227D9">
            <w:pPr>
              <w:pStyle w:val="T1TableStyle"/>
              <w:jc w:val="center"/>
              <w:rPr>
                <w:rFonts w:ascii="Verdana" w:eastAsia="Verdana" w:hAnsi="Verdana" w:cs="Verdana"/>
                <w:color w:val="000000"/>
                <w:sz w:val="2"/>
                <w:lang w:val="en-GB"/>
              </w:rPr>
            </w:pPr>
            <w:r w:rsidRPr="00717940">
              <w:rPr>
                <w:rFonts w:ascii="Verdana" w:eastAsia="Verdana" w:hAnsi="Verdana" w:cs="Verdana"/>
                <w:color w:val="000000"/>
                <w:sz w:val="2"/>
                <w:lang w:val="en-GB"/>
              </w:rPr>
              <w:t xml:space="preserve"> </w:t>
            </w:r>
          </w:p>
        </w:tc>
        <w:tc>
          <w:tcPr>
            <w:tcW w:w="1305" w:type="dxa"/>
            <w:shd w:val="clear" w:color="auto" w:fill="auto"/>
            <w:tcMar>
              <w:top w:w="20" w:type="dxa"/>
              <w:left w:w="20" w:type="dxa"/>
              <w:bottom w:w="20" w:type="dxa"/>
              <w:right w:w="20" w:type="dxa"/>
            </w:tcMar>
            <w:vAlign w:val="bottom"/>
          </w:tcPr>
          <w:p w:rsidR="00F227D9" w:rsidRPr="00717940" w:rsidRDefault="00F227D9">
            <w:pPr>
              <w:pStyle w:val="T1TableStyle"/>
              <w:jc w:val="center"/>
              <w:rPr>
                <w:rFonts w:ascii="Verdana" w:eastAsia="Verdana" w:hAnsi="Verdana" w:cs="Verdana"/>
                <w:color w:val="000000"/>
                <w:sz w:val="2"/>
                <w:lang w:val="en-GB"/>
              </w:rPr>
            </w:pPr>
            <w:r w:rsidRPr="00717940">
              <w:rPr>
                <w:rFonts w:ascii="Verdana" w:eastAsia="Verdana" w:hAnsi="Verdana" w:cs="Verdana"/>
                <w:color w:val="000000"/>
                <w:sz w:val="2"/>
                <w:lang w:val="en-GB"/>
              </w:rPr>
              <w:t xml:space="preserve"> </w:t>
            </w:r>
          </w:p>
        </w:tc>
        <w:tc>
          <w:tcPr>
            <w:tcW w:w="1305" w:type="dxa"/>
            <w:shd w:val="clear" w:color="auto" w:fill="auto"/>
            <w:tcMar>
              <w:top w:w="20" w:type="dxa"/>
              <w:left w:w="20" w:type="dxa"/>
              <w:bottom w:w="20" w:type="dxa"/>
              <w:right w:w="20" w:type="dxa"/>
            </w:tcMar>
            <w:vAlign w:val="bottom"/>
          </w:tcPr>
          <w:p w:rsidR="00F227D9" w:rsidRPr="00717940" w:rsidRDefault="00F227D9">
            <w:pPr>
              <w:pStyle w:val="T1TableStyle"/>
              <w:jc w:val="center"/>
              <w:rPr>
                <w:rFonts w:ascii="Verdana" w:eastAsia="Verdana" w:hAnsi="Verdana" w:cs="Verdana"/>
                <w:color w:val="000000"/>
                <w:sz w:val="2"/>
                <w:lang w:val="en-GB"/>
              </w:rPr>
            </w:pPr>
            <w:r w:rsidRPr="00717940">
              <w:rPr>
                <w:rFonts w:ascii="Verdana" w:eastAsia="Verdana" w:hAnsi="Verdana" w:cs="Verdana"/>
                <w:color w:val="000000"/>
                <w:sz w:val="2"/>
                <w:lang w:val="en-GB"/>
              </w:rPr>
              <w:t xml:space="preserve"> </w:t>
            </w:r>
          </w:p>
        </w:tc>
      </w:tr>
      <w:tr w:rsidR="0053376B" w:rsidRPr="00717940" w:rsidTr="00884CD8">
        <w:trPr>
          <w:trHeight w:val="795"/>
          <w:jc w:val="center"/>
        </w:trPr>
        <w:tc>
          <w:tcPr>
            <w:tcW w:w="1980" w:type="dxa"/>
            <w:shd w:val="clear" w:color="auto" w:fill="auto"/>
            <w:tcMar>
              <w:top w:w="20" w:type="dxa"/>
              <w:left w:w="20" w:type="dxa"/>
              <w:bottom w:w="20" w:type="dxa"/>
              <w:right w:w="20" w:type="dxa"/>
            </w:tcMar>
            <w:vAlign w:val="center"/>
          </w:tcPr>
          <w:p w:rsidR="00F227D9" w:rsidRPr="00717940" w:rsidRDefault="00F227D9">
            <w:pPr>
              <w:pStyle w:val="T1TableStyle"/>
              <w:rPr>
                <w:rFonts w:ascii="Verdana" w:eastAsia="Verdana" w:hAnsi="Verdana" w:cs="Verdana"/>
                <w:b/>
                <w:color w:val="000000"/>
                <w:sz w:val="16"/>
                <w:lang w:val="en-GB"/>
              </w:rPr>
            </w:pPr>
            <w:r w:rsidRPr="00717940">
              <w:rPr>
                <w:rFonts w:ascii="Verdana" w:eastAsia="Verdana" w:hAnsi="Verdana" w:cs="Verdana"/>
                <w:b/>
                <w:color w:val="000000"/>
                <w:sz w:val="16"/>
                <w:lang w:val="en-GB"/>
              </w:rPr>
              <w:t>Exit package cost band (including special payments)</w:t>
            </w:r>
          </w:p>
        </w:tc>
        <w:tc>
          <w:tcPr>
            <w:tcW w:w="1890" w:type="dxa"/>
            <w:gridSpan w:val="2"/>
            <w:shd w:val="clear" w:color="auto" w:fill="auto"/>
            <w:tcMar>
              <w:top w:w="20" w:type="dxa"/>
              <w:left w:w="20" w:type="dxa"/>
              <w:bottom w:w="20" w:type="dxa"/>
              <w:right w:w="20" w:type="dxa"/>
            </w:tcMar>
            <w:vAlign w:val="center"/>
          </w:tcPr>
          <w:p w:rsidR="00F227D9" w:rsidRPr="00717940" w:rsidRDefault="00F227D9">
            <w:pPr>
              <w:pStyle w:val="T1TableStyle"/>
              <w:jc w:val="center"/>
              <w:rPr>
                <w:rFonts w:ascii="Verdana" w:eastAsia="Verdana" w:hAnsi="Verdana" w:cs="Verdana"/>
                <w:b/>
                <w:color w:val="000000"/>
                <w:sz w:val="16"/>
                <w:lang w:val="en-GB"/>
              </w:rPr>
            </w:pPr>
            <w:r w:rsidRPr="00717940">
              <w:rPr>
                <w:rFonts w:ascii="Verdana" w:eastAsia="Verdana" w:hAnsi="Verdana" w:cs="Verdana"/>
                <w:b/>
                <w:color w:val="000000"/>
                <w:sz w:val="16"/>
                <w:lang w:val="en-GB"/>
              </w:rPr>
              <w:t>Total number of exit packages by cost band</w:t>
            </w:r>
          </w:p>
        </w:tc>
        <w:tc>
          <w:tcPr>
            <w:tcW w:w="2610" w:type="dxa"/>
            <w:gridSpan w:val="2"/>
            <w:shd w:val="clear" w:color="auto" w:fill="auto"/>
            <w:tcMar>
              <w:top w:w="20" w:type="dxa"/>
              <w:left w:w="20" w:type="dxa"/>
              <w:bottom w:w="20" w:type="dxa"/>
              <w:right w:w="20" w:type="dxa"/>
            </w:tcMar>
            <w:vAlign w:val="center"/>
          </w:tcPr>
          <w:p w:rsidR="00F227D9" w:rsidRPr="00717940" w:rsidRDefault="00F227D9">
            <w:pPr>
              <w:pStyle w:val="T1TableStyle"/>
              <w:jc w:val="center"/>
              <w:rPr>
                <w:rFonts w:ascii="Verdana" w:eastAsia="Verdana" w:hAnsi="Verdana" w:cs="Verdana"/>
                <w:b/>
                <w:color w:val="000000"/>
                <w:sz w:val="16"/>
                <w:lang w:val="en-GB"/>
              </w:rPr>
            </w:pPr>
            <w:r w:rsidRPr="00717940">
              <w:rPr>
                <w:rFonts w:ascii="Verdana" w:eastAsia="Verdana" w:hAnsi="Verdana" w:cs="Verdana"/>
                <w:b/>
                <w:color w:val="000000"/>
                <w:sz w:val="16"/>
                <w:lang w:val="en-GB"/>
              </w:rPr>
              <w:t>Total cost of exit packages in each band (£)</w:t>
            </w:r>
          </w:p>
        </w:tc>
      </w:tr>
      <w:tr w:rsidR="0053376B" w:rsidRPr="00717940" w:rsidTr="00884CD8">
        <w:trPr>
          <w:trHeight w:val="210"/>
          <w:jc w:val="center"/>
        </w:trPr>
        <w:tc>
          <w:tcPr>
            <w:tcW w:w="1980" w:type="dxa"/>
            <w:tcBorders>
              <w:bottom w:val="single" w:sz="2" w:space="0" w:color="000000"/>
            </w:tcBorders>
            <w:shd w:val="clear" w:color="auto" w:fill="auto"/>
            <w:tcMar>
              <w:top w:w="20" w:type="dxa"/>
              <w:left w:w="20" w:type="dxa"/>
              <w:bottom w:w="20" w:type="dxa"/>
              <w:right w:w="20" w:type="dxa"/>
            </w:tcMar>
          </w:tcPr>
          <w:p w:rsidR="00F227D9" w:rsidRPr="00717940" w:rsidRDefault="00F227D9">
            <w:pPr>
              <w:pStyle w:val="T1TableStyle"/>
              <w:jc w:val="center"/>
              <w:rPr>
                <w:rFonts w:ascii="Verdana" w:eastAsia="Verdana" w:hAnsi="Verdana" w:cs="Verdana"/>
                <w:b/>
                <w:color w:val="000000"/>
                <w:sz w:val="2"/>
                <w:lang w:val="en-GB"/>
              </w:rPr>
            </w:pPr>
            <w:r w:rsidRPr="00717940">
              <w:rPr>
                <w:rFonts w:ascii="Verdana" w:eastAsia="Verdana" w:hAnsi="Verdana" w:cs="Verdana"/>
                <w:b/>
                <w:color w:val="000000"/>
                <w:sz w:val="2"/>
                <w:lang w:val="en-GB"/>
              </w:rPr>
              <w:t xml:space="preserve"> </w:t>
            </w:r>
          </w:p>
        </w:tc>
        <w:tc>
          <w:tcPr>
            <w:tcW w:w="945" w:type="dxa"/>
            <w:tcBorders>
              <w:bottom w:val="single" w:sz="2" w:space="0" w:color="000000"/>
            </w:tcBorders>
            <w:shd w:val="clear" w:color="auto" w:fill="auto"/>
            <w:tcMar>
              <w:top w:w="20" w:type="dxa"/>
              <w:left w:w="20" w:type="dxa"/>
              <w:bottom w:w="20" w:type="dxa"/>
              <w:right w:w="20" w:type="dxa"/>
            </w:tcMar>
            <w:vAlign w:val="bottom"/>
          </w:tcPr>
          <w:p w:rsidR="00F227D9" w:rsidRPr="00717940" w:rsidRDefault="00F227D9">
            <w:pPr>
              <w:pStyle w:val="T1TableStyle"/>
              <w:jc w:val="right"/>
              <w:rPr>
                <w:rFonts w:ascii="Verdana" w:eastAsia="Verdana" w:hAnsi="Verdana" w:cs="Verdana"/>
                <w:b/>
                <w:color w:val="000000"/>
                <w:sz w:val="16"/>
                <w:lang w:val="en-GB"/>
              </w:rPr>
            </w:pPr>
            <w:r w:rsidRPr="00717940">
              <w:rPr>
                <w:rFonts w:ascii="Verdana" w:eastAsia="Verdana" w:hAnsi="Verdana" w:cs="Verdana"/>
                <w:b/>
                <w:color w:val="000000"/>
                <w:sz w:val="16"/>
                <w:lang w:val="en-GB"/>
              </w:rPr>
              <w:t>2018/19</w:t>
            </w:r>
          </w:p>
        </w:tc>
        <w:tc>
          <w:tcPr>
            <w:tcW w:w="945" w:type="dxa"/>
            <w:tcBorders>
              <w:bottom w:val="single" w:sz="2" w:space="0" w:color="000000"/>
            </w:tcBorders>
            <w:shd w:val="clear" w:color="auto" w:fill="auto"/>
            <w:tcMar>
              <w:top w:w="20" w:type="dxa"/>
              <w:left w:w="20" w:type="dxa"/>
              <w:bottom w:w="20" w:type="dxa"/>
              <w:right w:w="20" w:type="dxa"/>
            </w:tcMar>
            <w:vAlign w:val="bottom"/>
          </w:tcPr>
          <w:p w:rsidR="00F227D9" w:rsidRPr="00717940" w:rsidRDefault="00F227D9">
            <w:pPr>
              <w:pStyle w:val="T1TableStyle"/>
              <w:jc w:val="right"/>
              <w:rPr>
                <w:rFonts w:ascii="Verdana" w:eastAsia="Verdana" w:hAnsi="Verdana" w:cs="Verdana"/>
                <w:b/>
                <w:color w:val="000000"/>
                <w:sz w:val="16"/>
                <w:lang w:val="en-GB"/>
              </w:rPr>
            </w:pPr>
            <w:r w:rsidRPr="00717940">
              <w:rPr>
                <w:rFonts w:ascii="Verdana" w:eastAsia="Verdana" w:hAnsi="Verdana" w:cs="Verdana"/>
                <w:b/>
                <w:color w:val="000000"/>
                <w:sz w:val="16"/>
                <w:lang w:val="en-GB"/>
              </w:rPr>
              <w:t>2019/20</w:t>
            </w:r>
          </w:p>
        </w:tc>
        <w:tc>
          <w:tcPr>
            <w:tcW w:w="1305" w:type="dxa"/>
            <w:tcBorders>
              <w:bottom w:val="single" w:sz="2" w:space="0" w:color="000000"/>
            </w:tcBorders>
            <w:shd w:val="clear" w:color="auto" w:fill="auto"/>
            <w:tcMar>
              <w:top w:w="20" w:type="dxa"/>
              <w:left w:w="20" w:type="dxa"/>
              <w:bottom w:w="20" w:type="dxa"/>
              <w:right w:w="20" w:type="dxa"/>
            </w:tcMar>
            <w:vAlign w:val="bottom"/>
          </w:tcPr>
          <w:p w:rsidR="00F227D9" w:rsidRPr="00717940" w:rsidRDefault="00F227D9">
            <w:pPr>
              <w:pStyle w:val="T1TableStyle"/>
              <w:jc w:val="right"/>
              <w:rPr>
                <w:rFonts w:ascii="Verdana" w:eastAsia="Verdana" w:hAnsi="Verdana" w:cs="Verdana"/>
                <w:b/>
                <w:color w:val="000000"/>
                <w:sz w:val="16"/>
                <w:lang w:val="en-GB"/>
              </w:rPr>
            </w:pPr>
            <w:r w:rsidRPr="00717940">
              <w:rPr>
                <w:rFonts w:ascii="Verdana" w:eastAsia="Verdana" w:hAnsi="Verdana" w:cs="Verdana"/>
                <w:b/>
                <w:color w:val="000000"/>
                <w:sz w:val="16"/>
                <w:lang w:val="en-GB"/>
              </w:rPr>
              <w:t>2018/19</w:t>
            </w:r>
          </w:p>
        </w:tc>
        <w:tc>
          <w:tcPr>
            <w:tcW w:w="1305" w:type="dxa"/>
            <w:tcBorders>
              <w:bottom w:val="single" w:sz="2" w:space="0" w:color="000000"/>
            </w:tcBorders>
            <w:shd w:val="clear" w:color="auto" w:fill="auto"/>
            <w:tcMar>
              <w:top w:w="20" w:type="dxa"/>
              <w:left w:w="20" w:type="dxa"/>
              <w:bottom w:w="20" w:type="dxa"/>
              <w:right w:w="20" w:type="dxa"/>
            </w:tcMar>
            <w:vAlign w:val="bottom"/>
          </w:tcPr>
          <w:p w:rsidR="00F227D9" w:rsidRPr="00717940" w:rsidRDefault="00F227D9">
            <w:pPr>
              <w:pStyle w:val="T1TableStyle"/>
              <w:jc w:val="right"/>
              <w:rPr>
                <w:rFonts w:ascii="Verdana" w:eastAsia="Verdana" w:hAnsi="Verdana" w:cs="Verdana"/>
                <w:b/>
                <w:color w:val="000000"/>
                <w:sz w:val="16"/>
                <w:lang w:val="en-GB"/>
              </w:rPr>
            </w:pPr>
            <w:r w:rsidRPr="00717940">
              <w:rPr>
                <w:rFonts w:ascii="Verdana" w:eastAsia="Verdana" w:hAnsi="Verdana" w:cs="Verdana"/>
                <w:b/>
                <w:color w:val="000000"/>
                <w:sz w:val="16"/>
                <w:lang w:val="en-GB"/>
              </w:rPr>
              <w:t>2019/20</w:t>
            </w:r>
          </w:p>
        </w:tc>
      </w:tr>
      <w:tr w:rsidR="0053376B" w:rsidRPr="00717940" w:rsidTr="00884CD8">
        <w:trPr>
          <w:trHeight w:val="210"/>
          <w:jc w:val="center"/>
        </w:trPr>
        <w:tc>
          <w:tcPr>
            <w:tcW w:w="1980" w:type="dxa"/>
            <w:shd w:val="clear" w:color="auto" w:fill="auto"/>
            <w:tcMar>
              <w:top w:w="20" w:type="dxa"/>
              <w:left w:w="20" w:type="dxa"/>
              <w:bottom w:w="20" w:type="dxa"/>
              <w:right w:w="20" w:type="dxa"/>
            </w:tcMar>
            <w:vAlign w:val="center"/>
          </w:tcPr>
          <w:p w:rsidR="00F227D9" w:rsidRPr="00717940" w:rsidRDefault="00F227D9">
            <w:pPr>
              <w:pStyle w:val="T1TableStyle"/>
              <w:rPr>
                <w:rFonts w:ascii="Verdana" w:eastAsia="Verdana" w:hAnsi="Verdana" w:cs="Verdana"/>
                <w:color w:val="000000"/>
                <w:sz w:val="16"/>
                <w:lang w:val="en-GB"/>
              </w:rPr>
            </w:pPr>
            <w:r w:rsidRPr="00717940">
              <w:rPr>
                <w:rFonts w:ascii="Verdana" w:eastAsia="Verdana" w:hAnsi="Verdana" w:cs="Verdana"/>
                <w:color w:val="000000"/>
                <w:sz w:val="16"/>
                <w:lang w:val="en-GB"/>
              </w:rPr>
              <w:t>£0-£20,000</w:t>
            </w:r>
          </w:p>
        </w:tc>
        <w:tc>
          <w:tcPr>
            <w:tcW w:w="94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11</w:t>
            </w:r>
          </w:p>
        </w:tc>
        <w:tc>
          <w:tcPr>
            <w:tcW w:w="94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7</w:t>
            </w:r>
          </w:p>
        </w:tc>
        <w:tc>
          <w:tcPr>
            <w:tcW w:w="130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144,395</w:t>
            </w:r>
          </w:p>
        </w:tc>
        <w:tc>
          <w:tcPr>
            <w:tcW w:w="130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75,741</w:t>
            </w:r>
          </w:p>
        </w:tc>
      </w:tr>
      <w:tr w:rsidR="0053376B" w:rsidRPr="00717940" w:rsidTr="00884CD8">
        <w:trPr>
          <w:trHeight w:val="210"/>
          <w:jc w:val="center"/>
        </w:trPr>
        <w:tc>
          <w:tcPr>
            <w:tcW w:w="1980" w:type="dxa"/>
            <w:shd w:val="clear" w:color="auto" w:fill="auto"/>
            <w:tcMar>
              <w:top w:w="20" w:type="dxa"/>
              <w:left w:w="20" w:type="dxa"/>
              <w:bottom w:w="20" w:type="dxa"/>
              <w:right w:w="20" w:type="dxa"/>
            </w:tcMar>
            <w:vAlign w:val="center"/>
          </w:tcPr>
          <w:p w:rsidR="00F227D9" w:rsidRPr="00717940" w:rsidRDefault="00F227D9">
            <w:pPr>
              <w:pStyle w:val="T1TableStyle"/>
              <w:rPr>
                <w:rFonts w:ascii="Verdana" w:eastAsia="Verdana" w:hAnsi="Verdana" w:cs="Verdana"/>
                <w:color w:val="000000"/>
                <w:sz w:val="16"/>
                <w:lang w:val="en-GB"/>
              </w:rPr>
            </w:pPr>
            <w:r w:rsidRPr="00717940">
              <w:rPr>
                <w:rFonts w:ascii="Verdana" w:eastAsia="Verdana" w:hAnsi="Verdana" w:cs="Verdana"/>
                <w:color w:val="000000"/>
                <w:sz w:val="16"/>
                <w:lang w:val="en-GB"/>
              </w:rPr>
              <w:t>£20,001 - £40,000</w:t>
            </w:r>
          </w:p>
        </w:tc>
        <w:tc>
          <w:tcPr>
            <w:tcW w:w="94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13</w:t>
            </w:r>
          </w:p>
        </w:tc>
        <w:tc>
          <w:tcPr>
            <w:tcW w:w="94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1</w:t>
            </w:r>
          </w:p>
        </w:tc>
        <w:tc>
          <w:tcPr>
            <w:tcW w:w="130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364,184</w:t>
            </w:r>
          </w:p>
        </w:tc>
        <w:tc>
          <w:tcPr>
            <w:tcW w:w="130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30,770</w:t>
            </w:r>
          </w:p>
        </w:tc>
      </w:tr>
      <w:tr w:rsidR="0053376B" w:rsidRPr="00717940" w:rsidTr="00884CD8">
        <w:trPr>
          <w:trHeight w:val="210"/>
          <w:jc w:val="center"/>
        </w:trPr>
        <w:tc>
          <w:tcPr>
            <w:tcW w:w="1980" w:type="dxa"/>
            <w:shd w:val="clear" w:color="auto" w:fill="auto"/>
            <w:tcMar>
              <w:top w:w="20" w:type="dxa"/>
              <w:left w:w="20" w:type="dxa"/>
              <w:bottom w:w="20" w:type="dxa"/>
              <w:right w:w="20" w:type="dxa"/>
            </w:tcMar>
            <w:vAlign w:val="center"/>
          </w:tcPr>
          <w:p w:rsidR="00F227D9" w:rsidRPr="00717940" w:rsidRDefault="00F227D9">
            <w:pPr>
              <w:pStyle w:val="T1TableStyle"/>
              <w:rPr>
                <w:rFonts w:ascii="Verdana" w:eastAsia="Verdana" w:hAnsi="Verdana" w:cs="Verdana"/>
                <w:color w:val="000000"/>
                <w:sz w:val="16"/>
                <w:lang w:val="en-GB"/>
              </w:rPr>
            </w:pPr>
            <w:r w:rsidRPr="00717940">
              <w:rPr>
                <w:rFonts w:ascii="Verdana" w:eastAsia="Verdana" w:hAnsi="Verdana" w:cs="Verdana"/>
                <w:color w:val="000000"/>
                <w:sz w:val="16"/>
                <w:lang w:val="en-GB"/>
              </w:rPr>
              <w:t>£40,001 - £60,000</w:t>
            </w:r>
          </w:p>
        </w:tc>
        <w:tc>
          <w:tcPr>
            <w:tcW w:w="94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3</w:t>
            </w:r>
          </w:p>
        </w:tc>
        <w:tc>
          <w:tcPr>
            <w:tcW w:w="94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1</w:t>
            </w:r>
          </w:p>
        </w:tc>
        <w:tc>
          <w:tcPr>
            <w:tcW w:w="130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134,219</w:t>
            </w:r>
          </w:p>
        </w:tc>
        <w:tc>
          <w:tcPr>
            <w:tcW w:w="130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50,000</w:t>
            </w:r>
          </w:p>
        </w:tc>
      </w:tr>
      <w:tr w:rsidR="0053376B" w:rsidRPr="00717940" w:rsidTr="00884CD8">
        <w:trPr>
          <w:trHeight w:val="210"/>
          <w:jc w:val="center"/>
        </w:trPr>
        <w:tc>
          <w:tcPr>
            <w:tcW w:w="1980" w:type="dxa"/>
            <w:shd w:val="clear" w:color="auto" w:fill="auto"/>
            <w:tcMar>
              <w:top w:w="20" w:type="dxa"/>
              <w:left w:w="20" w:type="dxa"/>
              <w:bottom w:w="20" w:type="dxa"/>
              <w:right w:w="20" w:type="dxa"/>
            </w:tcMar>
            <w:vAlign w:val="center"/>
          </w:tcPr>
          <w:p w:rsidR="00F227D9" w:rsidRPr="00717940" w:rsidRDefault="00F227D9">
            <w:pPr>
              <w:pStyle w:val="T1TableStyle"/>
              <w:rPr>
                <w:rFonts w:ascii="Verdana" w:eastAsia="Verdana" w:hAnsi="Verdana" w:cs="Verdana"/>
                <w:color w:val="000000"/>
                <w:sz w:val="16"/>
                <w:lang w:val="en-GB"/>
              </w:rPr>
            </w:pPr>
            <w:r w:rsidRPr="00717940">
              <w:rPr>
                <w:rFonts w:ascii="Verdana" w:eastAsia="Verdana" w:hAnsi="Verdana" w:cs="Verdana"/>
                <w:color w:val="000000"/>
                <w:sz w:val="16"/>
                <w:lang w:val="en-GB"/>
              </w:rPr>
              <w:t>£60,001 - £80,000</w:t>
            </w:r>
          </w:p>
        </w:tc>
        <w:tc>
          <w:tcPr>
            <w:tcW w:w="94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3</w:t>
            </w:r>
          </w:p>
        </w:tc>
        <w:tc>
          <w:tcPr>
            <w:tcW w:w="94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0</w:t>
            </w:r>
          </w:p>
        </w:tc>
        <w:tc>
          <w:tcPr>
            <w:tcW w:w="130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196,129</w:t>
            </w:r>
          </w:p>
        </w:tc>
        <w:tc>
          <w:tcPr>
            <w:tcW w:w="1305" w:type="dxa"/>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color w:val="000000"/>
                <w:sz w:val="16"/>
                <w:lang w:val="en-GB"/>
              </w:rPr>
            </w:pPr>
            <w:r w:rsidRPr="00717940">
              <w:rPr>
                <w:rFonts w:ascii="Verdana" w:eastAsia="Verdana" w:hAnsi="Verdana" w:cs="Verdana"/>
                <w:color w:val="000000"/>
                <w:sz w:val="16"/>
                <w:lang w:val="en-GB"/>
              </w:rPr>
              <w:t>0</w:t>
            </w:r>
          </w:p>
        </w:tc>
      </w:tr>
      <w:tr w:rsidR="00236CEC" w:rsidRPr="00717940" w:rsidTr="00884CD8">
        <w:trPr>
          <w:trHeight w:val="210"/>
          <w:jc w:val="center"/>
        </w:trPr>
        <w:tc>
          <w:tcPr>
            <w:tcW w:w="1980" w:type="dxa"/>
            <w:shd w:val="clear" w:color="auto" w:fill="auto"/>
            <w:tcMar>
              <w:top w:w="20" w:type="dxa"/>
              <w:left w:w="20" w:type="dxa"/>
              <w:bottom w:w="20" w:type="dxa"/>
              <w:right w:w="20" w:type="dxa"/>
            </w:tcMar>
            <w:vAlign w:val="center"/>
          </w:tcPr>
          <w:p w:rsidR="00236CEC" w:rsidRPr="00717940" w:rsidRDefault="00236CEC" w:rsidP="00236CEC">
            <w:pPr>
              <w:pStyle w:val="T1TableStyle"/>
              <w:rPr>
                <w:rFonts w:ascii="Verdana" w:eastAsia="Verdana" w:hAnsi="Verdana" w:cs="Verdana"/>
                <w:color w:val="000000"/>
                <w:sz w:val="16"/>
                <w:lang w:val="en-GB"/>
              </w:rPr>
            </w:pPr>
            <w:r w:rsidRPr="00717940">
              <w:rPr>
                <w:rFonts w:ascii="Verdana" w:eastAsia="Verdana" w:hAnsi="Verdana" w:cs="Verdana"/>
                <w:color w:val="000000"/>
                <w:sz w:val="16"/>
                <w:lang w:val="en-GB"/>
              </w:rPr>
              <w:t>£</w:t>
            </w:r>
            <w:r>
              <w:rPr>
                <w:rFonts w:ascii="Verdana" w:eastAsia="Verdana" w:hAnsi="Verdana" w:cs="Verdana"/>
                <w:color w:val="000000"/>
                <w:sz w:val="16"/>
                <w:lang w:val="en-GB"/>
              </w:rPr>
              <w:t>150</w:t>
            </w:r>
            <w:r w:rsidRPr="00717940">
              <w:rPr>
                <w:rFonts w:ascii="Verdana" w:eastAsia="Verdana" w:hAnsi="Verdana" w:cs="Verdana"/>
                <w:color w:val="000000"/>
                <w:sz w:val="16"/>
                <w:lang w:val="en-GB"/>
              </w:rPr>
              <w:t>,001 - £</w:t>
            </w:r>
            <w:r>
              <w:rPr>
                <w:rFonts w:ascii="Verdana" w:eastAsia="Verdana" w:hAnsi="Verdana" w:cs="Verdana"/>
                <w:color w:val="000000"/>
                <w:sz w:val="16"/>
                <w:lang w:val="en-GB"/>
              </w:rPr>
              <w:t>200</w:t>
            </w:r>
            <w:r w:rsidRPr="00717940">
              <w:rPr>
                <w:rFonts w:ascii="Verdana" w:eastAsia="Verdana" w:hAnsi="Verdana" w:cs="Verdana"/>
                <w:color w:val="000000"/>
                <w:sz w:val="16"/>
                <w:lang w:val="en-GB"/>
              </w:rPr>
              <w:t>,000</w:t>
            </w:r>
          </w:p>
        </w:tc>
        <w:tc>
          <w:tcPr>
            <w:tcW w:w="945" w:type="dxa"/>
            <w:shd w:val="clear" w:color="auto" w:fill="auto"/>
            <w:tcMar>
              <w:top w:w="20" w:type="dxa"/>
              <w:left w:w="20" w:type="dxa"/>
              <w:bottom w:w="20" w:type="dxa"/>
              <w:right w:w="20" w:type="dxa"/>
            </w:tcMar>
          </w:tcPr>
          <w:p w:rsidR="00236CEC" w:rsidRPr="00717940" w:rsidRDefault="00236CEC" w:rsidP="00236CE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945" w:type="dxa"/>
            <w:shd w:val="clear" w:color="auto" w:fill="auto"/>
            <w:tcMar>
              <w:top w:w="20" w:type="dxa"/>
              <w:left w:w="20" w:type="dxa"/>
              <w:bottom w:w="20" w:type="dxa"/>
              <w:right w:w="20" w:type="dxa"/>
            </w:tcMar>
          </w:tcPr>
          <w:p w:rsidR="00236CEC" w:rsidRPr="00717940" w:rsidRDefault="00236CEC" w:rsidP="00236CE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p>
        </w:tc>
        <w:tc>
          <w:tcPr>
            <w:tcW w:w="1305" w:type="dxa"/>
            <w:shd w:val="clear" w:color="auto" w:fill="auto"/>
            <w:tcMar>
              <w:top w:w="20" w:type="dxa"/>
              <w:left w:w="20" w:type="dxa"/>
              <w:bottom w:w="20" w:type="dxa"/>
              <w:right w:w="20" w:type="dxa"/>
            </w:tcMar>
          </w:tcPr>
          <w:p w:rsidR="00236CEC" w:rsidRPr="00717940" w:rsidRDefault="00236CEC" w:rsidP="00236CE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05" w:type="dxa"/>
            <w:shd w:val="clear" w:color="auto" w:fill="auto"/>
            <w:tcMar>
              <w:top w:w="20" w:type="dxa"/>
              <w:left w:w="20" w:type="dxa"/>
              <w:bottom w:w="20" w:type="dxa"/>
              <w:right w:w="20" w:type="dxa"/>
            </w:tcMar>
          </w:tcPr>
          <w:p w:rsidR="00236CEC" w:rsidRPr="00717940" w:rsidRDefault="00236CEC" w:rsidP="00236CE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345,656</w:t>
            </w:r>
          </w:p>
        </w:tc>
      </w:tr>
      <w:tr w:rsidR="0053376B" w:rsidRPr="00717940" w:rsidTr="00884CD8">
        <w:trPr>
          <w:trHeight w:val="225"/>
          <w:jc w:val="center"/>
        </w:trPr>
        <w:tc>
          <w:tcPr>
            <w:tcW w:w="198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F227D9" w:rsidRPr="00717940" w:rsidRDefault="00F227D9">
            <w:pPr>
              <w:pStyle w:val="T1TableStyle"/>
              <w:rPr>
                <w:rFonts w:ascii="Verdana" w:eastAsia="Verdana" w:hAnsi="Verdana" w:cs="Verdana"/>
                <w:b/>
                <w:color w:val="000000"/>
                <w:sz w:val="16"/>
                <w:lang w:val="en-GB"/>
              </w:rPr>
            </w:pPr>
            <w:r w:rsidRPr="00717940">
              <w:rPr>
                <w:rFonts w:ascii="Verdana" w:eastAsia="Verdana" w:hAnsi="Verdana" w:cs="Verdana"/>
                <w:b/>
                <w:color w:val="000000"/>
                <w:sz w:val="16"/>
                <w:lang w:val="en-GB"/>
              </w:rPr>
              <w:t>Total</w:t>
            </w:r>
          </w:p>
        </w:tc>
        <w:tc>
          <w:tcPr>
            <w:tcW w:w="94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b/>
                <w:color w:val="000000"/>
                <w:sz w:val="16"/>
                <w:lang w:val="en-GB"/>
              </w:rPr>
            </w:pPr>
            <w:r w:rsidRPr="00717940">
              <w:rPr>
                <w:rFonts w:ascii="Verdana" w:eastAsia="Verdana" w:hAnsi="Verdana" w:cs="Verdana"/>
                <w:b/>
                <w:color w:val="000000"/>
                <w:sz w:val="16"/>
                <w:lang w:val="en-GB"/>
              </w:rPr>
              <w:t>30</w:t>
            </w:r>
          </w:p>
        </w:tc>
        <w:tc>
          <w:tcPr>
            <w:tcW w:w="94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b/>
                <w:color w:val="000000"/>
                <w:sz w:val="16"/>
                <w:lang w:val="en-GB"/>
              </w:rPr>
            </w:pPr>
            <w:r w:rsidRPr="00717940">
              <w:rPr>
                <w:rFonts w:ascii="Verdana" w:eastAsia="Verdana" w:hAnsi="Verdana" w:cs="Verdana"/>
                <w:b/>
                <w:color w:val="000000"/>
                <w:sz w:val="16"/>
                <w:lang w:val="en-GB"/>
              </w:rPr>
              <w:t>11</w:t>
            </w:r>
          </w:p>
        </w:tc>
        <w:tc>
          <w:tcPr>
            <w:tcW w:w="130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b/>
                <w:color w:val="000000"/>
                <w:sz w:val="16"/>
                <w:lang w:val="en-GB"/>
              </w:rPr>
            </w:pPr>
            <w:r w:rsidRPr="00717940">
              <w:rPr>
                <w:rFonts w:ascii="Verdana" w:eastAsia="Verdana" w:hAnsi="Verdana" w:cs="Verdana"/>
                <w:b/>
                <w:color w:val="000000"/>
                <w:sz w:val="16"/>
                <w:lang w:val="en-GB"/>
              </w:rPr>
              <w:t>838,927</w:t>
            </w:r>
          </w:p>
        </w:tc>
        <w:tc>
          <w:tcPr>
            <w:tcW w:w="130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Pr="00717940" w:rsidRDefault="00F227D9">
            <w:pPr>
              <w:pStyle w:val="T1TableStyle"/>
              <w:jc w:val="right"/>
              <w:rPr>
                <w:rFonts w:ascii="Verdana" w:eastAsia="Verdana" w:hAnsi="Verdana" w:cs="Verdana"/>
                <w:b/>
                <w:color w:val="000000"/>
                <w:sz w:val="16"/>
                <w:lang w:val="en-GB"/>
              </w:rPr>
            </w:pPr>
            <w:r w:rsidRPr="00236CEC">
              <w:rPr>
                <w:rFonts w:ascii="Verdana" w:eastAsia="Verdana" w:hAnsi="Verdana" w:cs="Verdana"/>
                <w:b/>
                <w:color w:val="000000"/>
                <w:sz w:val="16"/>
                <w:lang w:val="en-GB"/>
              </w:rPr>
              <w:t>502,167</w:t>
            </w:r>
          </w:p>
        </w:tc>
      </w:tr>
    </w:tbl>
    <w:p w:rsidR="00F227D9" w:rsidRPr="00717940" w:rsidRDefault="00F227D9">
      <w:pPr>
        <w:pStyle w:val="T1TableStyle"/>
        <w:rPr>
          <w:rFonts w:ascii="Verdana" w:eastAsia="Verdana" w:hAnsi="Verdana" w:cs="Verdana"/>
          <w:sz w:val="22"/>
          <w:lang w:val="en-GB"/>
        </w:rPr>
      </w:pPr>
    </w:p>
    <w:p w:rsidR="00F227D9" w:rsidRPr="00F7117B" w:rsidRDefault="00F227D9">
      <w:pPr>
        <w:pStyle w:val="Normal0"/>
        <w:spacing w:after="160" w:line="259" w:lineRule="auto"/>
        <w:rPr>
          <w:rFonts w:ascii="Verdana" w:eastAsia="Verdana" w:hAnsi="Verdana" w:cs="Verdana"/>
          <w:sz w:val="22"/>
          <w:szCs w:val="22"/>
          <w:lang w:val="en-GB"/>
        </w:rPr>
      </w:pPr>
      <w:r w:rsidRPr="00717940">
        <w:rPr>
          <w:rFonts w:ascii="Verdana" w:eastAsia="Verdana" w:hAnsi="Verdana" w:cs="Verdana"/>
          <w:sz w:val="22"/>
          <w:szCs w:val="22"/>
          <w:lang w:val="en-GB"/>
        </w:rPr>
        <w:t xml:space="preserve">The numbers and total amounts of exit packages paid to employees were as shown in the </w:t>
      </w:r>
      <w:r w:rsidRPr="00F7117B">
        <w:rPr>
          <w:rFonts w:ascii="Verdana" w:eastAsia="Verdana" w:hAnsi="Verdana" w:cs="Verdana"/>
          <w:sz w:val="22"/>
          <w:szCs w:val="22"/>
          <w:lang w:val="en-GB"/>
        </w:rPr>
        <w:t>table above. All payments were voluntary redundancies.</w:t>
      </w:r>
    </w:p>
    <w:p w:rsidR="001B66A5" w:rsidRPr="00934F62" w:rsidRDefault="001B66A5" w:rsidP="001B66A5">
      <w:pPr>
        <w:pStyle w:val="Normal0"/>
        <w:jc w:val="both"/>
        <w:rPr>
          <w:rFonts w:ascii="Verdana" w:eastAsia="Times New Roman" w:hAnsi="Verdana" w:cs="Arial"/>
          <w:sz w:val="22"/>
          <w:szCs w:val="22"/>
          <w:lang w:val="en-GB" w:eastAsia="en-GB"/>
        </w:rPr>
      </w:pPr>
      <w:r w:rsidRPr="00F7117B">
        <w:rPr>
          <w:rFonts w:ascii="Verdana" w:eastAsia="Times New Roman" w:hAnsi="Verdana" w:cs="Arial"/>
          <w:sz w:val="22"/>
          <w:szCs w:val="22"/>
          <w:lang w:val="en-GB" w:eastAsia="en-GB"/>
        </w:rPr>
        <w:t xml:space="preserve">In line with Trade Union (Facility Time Publication Requirements) Regulations 2017 (SI 2017/328) the Chief Constable has an obligation to report annually on paid time off provided to trade union representatives for </w:t>
      </w:r>
      <w:r w:rsidRPr="00934F62">
        <w:rPr>
          <w:rFonts w:ascii="Verdana" w:eastAsia="Times New Roman" w:hAnsi="Verdana" w:cs="Arial"/>
          <w:sz w:val="22"/>
          <w:szCs w:val="22"/>
          <w:lang w:val="en-GB" w:eastAsia="en-GB"/>
        </w:rPr>
        <w:t>trade union duties and activities. The following details relate to 2019/20.</w:t>
      </w:r>
      <w:r w:rsidR="00F7117B" w:rsidRPr="00934F62">
        <w:rPr>
          <w:rFonts w:ascii="Verdana" w:eastAsia="Times New Roman" w:hAnsi="Verdana" w:cs="Arial"/>
          <w:sz w:val="22"/>
          <w:szCs w:val="22"/>
          <w:lang w:val="en-GB" w:eastAsia="en-GB"/>
        </w:rPr>
        <w:t xml:space="preserve"> There were 11 employees who were union officials during the period (</w:t>
      </w:r>
      <w:r w:rsidR="00934F62" w:rsidRPr="00934F62">
        <w:rPr>
          <w:rFonts w:ascii="Verdana" w:eastAsia="Times New Roman" w:hAnsi="Verdana" w:cs="Arial"/>
          <w:sz w:val="22"/>
          <w:szCs w:val="22"/>
          <w:lang w:val="en-GB" w:eastAsia="en-GB"/>
        </w:rPr>
        <w:t>6.5</w:t>
      </w:r>
      <w:r w:rsidR="00F7117B" w:rsidRPr="00934F62">
        <w:rPr>
          <w:rFonts w:ascii="Verdana" w:eastAsia="Times New Roman" w:hAnsi="Verdana" w:cs="Arial"/>
          <w:sz w:val="22"/>
          <w:szCs w:val="22"/>
          <w:lang w:val="en-GB" w:eastAsia="en-GB"/>
        </w:rPr>
        <w:t xml:space="preserve"> full time equivalents)</w:t>
      </w:r>
      <w:r w:rsidRPr="00934F62">
        <w:rPr>
          <w:rFonts w:ascii="Verdana" w:eastAsia="Times New Roman" w:hAnsi="Verdana" w:cs="Arial"/>
          <w:sz w:val="22"/>
          <w:szCs w:val="22"/>
          <w:lang w:val="en-GB" w:eastAsia="en-GB"/>
        </w:rPr>
        <w:t xml:space="preserve">  The total cost of this facility time was £9</w:t>
      </w:r>
      <w:r w:rsidR="00934F62" w:rsidRPr="00934F62">
        <w:rPr>
          <w:rFonts w:ascii="Verdana" w:eastAsia="Times New Roman" w:hAnsi="Verdana" w:cs="Arial"/>
          <w:sz w:val="22"/>
          <w:szCs w:val="22"/>
          <w:lang w:val="en-GB" w:eastAsia="en-GB"/>
        </w:rPr>
        <w:t>2</w:t>
      </w:r>
      <w:r w:rsidRPr="00934F62">
        <w:rPr>
          <w:rFonts w:ascii="Verdana" w:eastAsia="Times New Roman" w:hAnsi="Verdana" w:cs="Arial"/>
          <w:sz w:val="22"/>
          <w:szCs w:val="22"/>
          <w:lang w:val="en-GB" w:eastAsia="en-GB"/>
        </w:rPr>
        <w:t>,</w:t>
      </w:r>
      <w:r w:rsidR="00934F62" w:rsidRPr="00934F62">
        <w:rPr>
          <w:rFonts w:ascii="Verdana" w:eastAsia="Times New Roman" w:hAnsi="Verdana" w:cs="Arial"/>
          <w:sz w:val="22"/>
          <w:szCs w:val="22"/>
          <w:lang w:val="en-GB" w:eastAsia="en-GB"/>
        </w:rPr>
        <w:t>047.5</w:t>
      </w:r>
      <w:r w:rsidRPr="00934F62">
        <w:rPr>
          <w:rFonts w:ascii="Verdana" w:eastAsia="Times New Roman" w:hAnsi="Verdana" w:cs="Arial"/>
          <w:sz w:val="22"/>
          <w:szCs w:val="22"/>
          <w:lang w:val="en-GB" w:eastAsia="en-GB"/>
        </w:rPr>
        <w:t xml:space="preserve"> which represents 0.12% of the total pay bill.</w:t>
      </w:r>
    </w:p>
    <w:p w:rsidR="00F96F86" w:rsidRDefault="00F96F86">
      <w:pPr>
        <w:pStyle w:val="Normal0"/>
        <w:spacing w:after="160" w:line="259" w:lineRule="auto"/>
        <w:rPr>
          <w:rFonts w:ascii="Verdana" w:eastAsia="Verdana" w:hAnsi="Verdana" w:cs="Verdana"/>
          <w:sz w:val="22"/>
          <w:szCs w:val="22"/>
          <w:lang w:val="en-GB"/>
        </w:rPr>
      </w:pPr>
    </w:p>
    <w:p w:rsidR="002A45A6" w:rsidRDefault="00F227D9" w:rsidP="00F227D9">
      <w:pPr>
        <w:pStyle w:val="Heading1"/>
        <w:spacing w:after="240"/>
        <w:rPr>
          <w:lang w:val="pt-BR"/>
        </w:rPr>
      </w:pPr>
      <w:bookmarkStart w:id="23" w:name="_Toc55900993"/>
      <w:r w:rsidRPr="00717940">
        <w:rPr>
          <w:lang w:val="pt-BR"/>
        </w:rPr>
        <w:t>Note 15 - External Audit Costs</w:t>
      </w:r>
      <w:bookmarkEnd w:id="23"/>
      <w:r w:rsidRPr="00717940">
        <w:rPr>
          <w:lang w:val="pt-BR"/>
        </w:rPr>
        <w:t xml:space="preserve"> </w:t>
      </w:r>
    </w:p>
    <w:tbl>
      <w:tblPr>
        <w:tblW w:w="6338" w:type="dxa"/>
        <w:tblInd w:w="2068" w:type="dxa"/>
        <w:tblLook w:val="04A0" w:firstRow="1" w:lastRow="0" w:firstColumn="1" w:lastColumn="0" w:noHBand="0" w:noVBand="1"/>
      </w:tblPr>
      <w:tblGrid>
        <w:gridCol w:w="1009"/>
        <w:gridCol w:w="4320"/>
        <w:gridCol w:w="1009"/>
      </w:tblGrid>
      <w:tr w:rsidR="00355738" w:rsidRPr="00355738" w:rsidTr="00355738">
        <w:trPr>
          <w:trHeight w:val="210"/>
        </w:trPr>
        <w:tc>
          <w:tcPr>
            <w:tcW w:w="1009" w:type="dxa"/>
            <w:tcBorders>
              <w:top w:val="nil"/>
              <w:left w:val="nil"/>
              <w:bottom w:val="nil"/>
              <w:right w:val="nil"/>
            </w:tcBorders>
            <w:shd w:val="clear" w:color="000000" w:fill="FFFFFF"/>
            <w:noWrap/>
            <w:vAlign w:val="center"/>
            <w:hideMark/>
          </w:tcPr>
          <w:p w:rsidR="00355738" w:rsidRPr="00355738" w:rsidRDefault="00355738" w:rsidP="00355738">
            <w:pPr>
              <w:jc w:val="center"/>
              <w:rPr>
                <w:rFonts w:ascii="Verdana" w:eastAsia="Times New Roman" w:hAnsi="Verdana" w:cs="Times New Roman"/>
                <w:b/>
                <w:bCs/>
                <w:color w:val="000000"/>
                <w:sz w:val="16"/>
                <w:szCs w:val="16"/>
                <w:lang w:val="en-GB" w:eastAsia="en-GB"/>
              </w:rPr>
            </w:pPr>
            <w:r w:rsidRPr="00355738">
              <w:rPr>
                <w:rFonts w:ascii="Verdana" w:eastAsia="Times New Roman" w:hAnsi="Verdana" w:cs="Times New Roman"/>
                <w:b/>
                <w:bCs/>
                <w:color w:val="000000"/>
                <w:sz w:val="16"/>
                <w:szCs w:val="16"/>
                <w:lang w:val="en-GB" w:eastAsia="en-GB"/>
              </w:rPr>
              <w:t>2018/19</w:t>
            </w:r>
          </w:p>
        </w:tc>
        <w:tc>
          <w:tcPr>
            <w:tcW w:w="4320" w:type="dxa"/>
            <w:tcBorders>
              <w:top w:val="nil"/>
              <w:left w:val="nil"/>
              <w:bottom w:val="nil"/>
              <w:right w:val="nil"/>
            </w:tcBorders>
            <w:shd w:val="clear" w:color="000000" w:fill="FFFFFF"/>
            <w:noWrap/>
            <w:vAlign w:val="center"/>
            <w:hideMark/>
          </w:tcPr>
          <w:p w:rsidR="00355738" w:rsidRPr="00355738" w:rsidRDefault="00355738" w:rsidP="00355738">
            <w:pPr>
              <w:ind w:firstLineChars="100" w:firstLine="161"/>
              <w:rPr>
                <w:rFonts w:ascii="Verdana" w:eastAsia="Times New Roman" w:hAnsi="Verdana" w:cs="Times New Roman"/>
                <w:b/>
                <w:bCs/>
                <w:color w:val="000000"/>
                <w:sz w:val="16"/>
                <w:szCs w:val="16"/>
                <w:lang w:val="en-GB" w:eastAsia="en-GB"/>
              </w:rPr>
            </w:pPr>
            <w:r w:rsidRPr="00355738">
              <w:rPr>
                <w:rFonts w:ascii="Verdana" w:eastAsia="Times New Roman" w:hAnsi="Verdana" w:cs="Times New Roman"/>
                <w:b/>
                <w:bCs/>
                <w:color w:val="000000"/>
                <w:sz w:val="16"/>
                <w:szCs w:val="16"/>
                <w:lang w:val="en-GB" w:eastAsia="en-GB"/>
              </w:rPr>
              <w:t> </w:t>
            </w:r>
          </w:p>
        </w:tc>
        <w:tc>
          <w:tcPr>
            <w:tcW w:w="1009" w:type="dxa"/>
            <w:tcBorders>
              <w:top w:val="nil"/>
              <w:left w:val="nil"/>
              <w:bottom w:val="nil"/>
              <w:right w:val="nil"/>
            </w:tcBorders>
            <w:shd w:val="clear" w:color="000000" w:fill="FFFFFF"/>
            <w:noWrap/>
            <w:vAlign w:val="center"/>
            <w:hideMark/>
          </w:tcPr>
          <w:p w:rsidR="00355738" w:rsidRPr="00355738" w:rsidRDefault="00355738" w:rsidP="00355738">
            <w:pPr>
              <w:jc w:val="center"/>
              <w:rPr>
                <w:rFonts w:ascii="Verdana" w:eastAsia="Times New Roman" w:hAnsi="Verdana" w:cs="Times New Roman"/>
                <w:b/>
                <w:bCs/>
                <w:color w:val="000000"/>
                <w:sz w:val="16"/>
                <w:szCs w:val="16"/>
                <w:lang w:val="en-GB" w:eastAsia="en-GB"/>
              </w:rPr>
            </w:pPr>
            <w:r w:rsidRPr="00355738">
              <w:rPr>
                <w:rFonts w:ascii="Verdana" w:eastAsia="Times New Roman" w:hAnsi="Verdana" w:cs="Times New Roman"/>
                <w:b/>
                <w:bCs/>
                <w:color w:val="000000"/>
                <w:sz w:val="16"/>
                <w:szCs w:val="16"/>
                <w:lang w:val="en-GB" w:eastAsia="en-GB"/>
              </w:rPr>
              <w:t>2019/20</w:t>
            </w:r>
          </w:p>
        </w:tc>
      </w:tr>
      <w:tr w:rsidR="00355738" w:rsidRPr="00355738" w:rsidTr="00355738">
        <w:trPr>
          <w:trHeight w:val="210"/>
        </w:trPr>
        <w:tc>
          <w:tcPr>
            <w:tcW w:w="1009" w:type="dxa"/>
            <w:tcBorders>
              <w:top w:val="nil"/>
              <w:left w:val="nil"/>
              <w:bottom w:val="nil"/>
              <w:right w:val="nil"/>
            </w:tcBorders>
            <w:shd w:val="clear" w:color="000000" w:fill="FFFFFF"/>
            <w:noWrap/>
            <w:vAlign w:val="bottom"/>
            <w:hideMark/>
          </w:tcPr>
          <w:p w:rsidR="00355738" w:rsidRPr="00355738" w:rsidRDefault="00355738" w:rsidP="00355738">
            <w:pPr>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 </w:t>
            </w:r>
          </w:p>
        </w:tc>
        <w:tc>
          <w:tcPr>
            <w:tcW w:w="4320" w:type="dxa"/>
            <w:tcBorders>
              <w:top w:val="nil"/>
              <w:left w:val="nil"/>
              <w:bottom w:val="nil"/>
              <w:right w:val="nil"/>
            </w:tcBorders>
            <w:shd w:val="clear" w:color="000000" w:fill="FFFFFF"/>
            <w:noWrap/>
            <w:vAlign w:val="bottom"/>
            <w:hideMark/>
          </w:tcPr>
          <w:p w:rsidR="00355738" w:rsidRPr="00355738" w:rsidRDefault="00355738" w:rsidP="00355738">
            <w:pPr>
              <w:ind w:firstLineChars="100" w:firstLine="160"/>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 </w:t>
            </w:r>
          </w:p>
        </w:tc>
        <w:tc>
          <w:tcPr>
            <w:tcW w:w="1009" w:type="dxa"/>
            <w:tcBorders>
              <w:top w:val="nil"/>
              <w:left w:val="nil"/>
              <w:bottom w:val="nil"/>
              <w:right w:val="nil"/>
            </w:tcBorders>
            <w:shd w:val="clear" w:color="000000" w:fill="FFFFFF"/>
            <w:noWrap/>
            <w:vAlign w:val="bottom"/>
            <w:hideMark/>
          </w:tcPr>
          <w:p w:rsidR="00355738" w:rsidRPr="00355738" w:rsidRDefault="00355738" w:rsidP="00355738">
            <w:pPr>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 </w:t>
            </w:r>
          </w:p>
        </w:tc>
      </w:tr>
      <w:tr w:rsidR="00355738" w:rsidRPr="00355738" w:rsidTr="00355738">
        <w:trPr>
          <w:trHeight w:val="210"/>
        </w:trPr>
        <w:tc>
          <w:tcPr>
            <w:tcW w:w="1009" w:type="dxa"/>
            <w:tcBorders>
              <w:top w:val="nil"/>
              <w:left w:val="nil"/>
              <w:bottom w:val="single" w:sz="4" w:space="0" w:color="auto"/>
              <w:right w:val="nil"/>
            </w:tcBorders>
            <w:shd w:val="clear" w:color="000000" w:fill="FFFFFF"/>
            <w:noWrap/>
            <w:vAlign w:val="center"/>
            <w:hideMark/>
          </w:tcPr>
          <w:p w:rsidR="00355738" w:rsidRPr="00355738" w:rsidRDefault="00355738" w:rsidP="00355738">
            <w:pPr>
              <w:jc w:val="center"/>
              <w:rPr>
                <w:rFonts w:ascii="Verdana" w:eastAsia="Times New Roman" w:hAnsi="Verdana" w:cs="Times New Roman"/>
                <w:b/>
                <w:bCs/>
                <w:color w:val="000000"/>
                <w:sz w:val="16"/>
                <w:szCs w:val="16"/>
                <w:lang w:val="en-GB" w:eastAsia="en-GB"/>
              </w:rPr>
            </w:pPr>
            <w:r w:rsidRPr="00355738">
              <w:rPr>
                <w:rFonts w:ascii="Verdana" w:eastAsia="Times New Roman" w:hAnsi="Verdana" w:cs="Times New Roman"/>
                <w:b/>
                <w:bCs/>
                <w:color w:val="000000"/>
                <w:sz w:val="16"/>
                <w:szCs w:val="16"/>
                <w:lang w:val="en-GB" w:eastAsia="en-GB"/>
              </w:rPr>
              <w:t>£000</w:t>
            </w:r>
          </w:p>
        </w:tc>
        <w:tc>
          <w:tcPr>
            <w:tcW w:w="4320" w:type="dxa"/>
            <w:tcBorders>
              <w:top w:val="nil"/>
              <w:left w:val="nil"/>
              <w:bottom w:val="single" w:sz="4" w:space="0" w:color="auto"/>
              <w:right w:val="nil"/>
            </w:tcBorders>
            <w:shd w:val="clear" w:color="000000" w:fill="FFFFFF"/>
            <w:noWrap/>
            <w:vAlign w:val="bottom"/>
            <w:hideMark/>
          </w:tcPr>
          <w:p w:rsidR="00355738" w:rsidRPr="00355738" w:rsidRDefault="00355738" w:rsidP="00355738">
            <w:pPr>
              <w:ind w:firstLineChars="100" w:firstLine="160"/>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 </w:t>
            </w:r>
          </w:p>
        </w:tc>
        <w:tc>
          <w:tcPr>
            <w:tcW w:w="1009" w:type="dxa"/>
            <w:tcBorders>
              <w:top w:val="nil"/>
              <w:left w:val="nil"/>
              <w:bottom w:val="single" w:sz="4" w:space="0" w:color="auto"/>
              <w:right w:val="nil"/>
            </w:tcBorders>
            <w:shd w:val="clear" w:color="000000" w:fill="FFFFFF"/>
            <w:noWrap/>
            <w:vAlign w:val="center"/>
            <w:hideMark/>
          </w:tcPr>
          <w:p w:rsidR="00355738" w:rsidRPr="00355738" w:rsidRDefault="00355738" w:rsidP="00355738">
            <w:pPr>
              <w:jc w:val="center"/>
              <w:rPr>
                <w:rFonts w:ascii="Verdana" w:eastAsia="Times New Roman" w:hAnsi="Verdana" w:cs="Times New Roman"/>
                <w:b/>
                <w:bCs/>
                <w:color w:val="000000"/>
                <w:sz w:val="16"/>
                <w:szCs w:val="16"/>
                <w:lang w:val="en-GB" w:eastAsia="en-GB"/>
              </w:rPr>
            </w:pPr>
            <w:r w:rsidRPr="00355738">
              <w:rPr>
                <w:rFonts w:ascii="Verdana" w:eastAsia="Times New Roman" w:hAnsi="Verdana" w:cs="Times New Roman"/>
                <w:b/>
                <w:bCs/>
                <w:color w:val="000000"/>
                <w:sz w:val="16"/>
                <w:szCs w:val="16"/>
                <w:lang w:val="en-GB" w:eastAsia="en-GB"/>
              </w:rPr>
              <w:t>£000</w:t>
            </w:r>
          </w:p>
        </w:tc>
      </w:tr>
      <w:tr w:rsidR="00355738" w:rsidRPr="00355738" w:rsidTr="00355738">
        <w:trPr>
          <w:trHeight w:val="105"/>
        </w:trPr>
        <w:tc>
          <w:tcPr>
            <w:tcW w:w="1009" w:type="dxa"/>
            <w:tcBorders>
              <w:top w:val="nil"/>
              <w:left w:val="nil"/>
              <w:bottom w:val="nil"/>
              <w:right w:val="nil"/>
            </w:tcBorders>
            <w:shd w:val="clear" w:color="000000" w:fill="FFFFFF"/>
            <w:noWrap/>
            <w:vAlign w:val="center"/>
            <w:hideMark/>
          </w:tcPr>
          <w:p w:rsidR="00355738" w:rsidRPr="00355738" w:rsidRDefault="00355738" w:rsidP="00355738">
            <w:pPr>
              <w:jc w:val="center"/>
              <w:rPr>
                <w:rFonts w:ascii="Verdana" w:eastAsia="Times New Roman" w:hAnsi="Verdana" w:cs="Times New Roman"/>
                <w:b/>
                <w:bCs/>
                <w:color w:val="000000"/>
                <w:sz w:val="16"/>
                <w:szCs w:val="16"/>
                <w:lang w:val="en-GB" w:eastAsia="en-GB"/>
              </w:rPr>
            </w:pPr>
            <w:r w:rsidRPr="00355738">
              <w:rPr>
                <w:rFonts w:ascii="Verdana" w:eastAsia="Times New Roman" w:hAnsi="Verdana" w:cs="Times New Roman"/>
                <w:b/>
                <w:bCs/>
                <w:color w:val="000000"/>
                <w:sz w:val="16"/>
                <w:szCs w:val="16"/>
                <w:lang w:val="en-GB" w:eastAsia="en-GB"/>
              </w:rPr>
              <w:t> </w:t>
            </w:r>
          </w:p>
        </w:tc>
        <w:tc>
          <w:tcPr>
            <w:tcW w:w="4320" w:type="dxa"/>
            <w:tcBorders>
              <w:top w:val="nil"/>
              <w:left w:val="nil"/>
              <w:bottom w:val="nil"/>
              <w:right w:val="nil"/>
            </w:tcBorders>
            <w:shd w:val="clear" w:color="000000" w:fill="FFFFFF"/>
            <w:noWrap/>
            <w:vAlign w:val="bottom"/>
            <w:hideMark/>
          </w:tcPr>
          <w:p w:rsidR="00355738" w:rsidRPr="00355738" w:rsidRDefault="00355738" w:rsidP="00355738">
            <w:pPr>
              <w:ind w:firstLineChars="100" w:firstLine="160"/>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 </w:t>
            </w:r>
          </w:p>
        </w:tc>
        <w:tc>
          <w:tcPr>
            <w:tcW w:w="1009" w:type="dxa"/>
            <w:tcBorders>
              <w:top w:val="nil"/>
              <w:left w:val="nil"/>
              <w:bottom w:val="nil"/>
              <w:right w:val="nil"/>
            </w:tcBorders>
            <w:shd w:val="clear" w:color="000000" w:fill="FFFFFF"/>
            <w:noWrap/>
            <w:vAlign w:val="center"/>
            <w:hideMark/>
          </w:tcPr>
          <w:p w:rsidR="00355738" w:rsidRPr="00355738" w:rsidRDefault="00355738" w:rsidP="00355738">
            <w:pPr>
              <w:jc w:val="center"/>
              <w:rPr>
                <w:rFonts w:ascii="Verdana" w:eastAsia="Times New Roman" w:hAnsi="Verdana" w:cs="Times New Roman"/>
                <w:b/>
                <w:bCs/>
                <w:color w:val="000000"/>
                <w:sz w:val="16"/>
                <w:szCs w:val="16"/>
                <w:lang w:val="en-GB" w:eastAsia="en-GB"/>
              </w:rPr>
            </w:pPr>
            <w:r w:rsidRPr="00355738">
              <w:rPr>
                <w:rFonts w:ascii="Verdana" w:eastAsia="Times New Roman" w:hAnsi="Verdana" w:cs="Times New Roman"/>
                <w:b/>
                <w:bCs/>
                <w:color w:val="000000"/>
                <w:sz w:val="16"/>
                <w:szCs w:val="16"/>
                <w:lang w:val="en-GB" w:eastAsia="en-GB"/>
              </w:rPr>
              <w:t> </w:t>
            </w:r>
          </w:p>
        </w:tc>
      </w:tr>
      <w:tr w:rsidR="00355738" w:rsidRPr="00355738" w:rsidTr="00355738">
        <w:trPr>
          <w:trHeight w:val="210"/>
        </w:trPr>
        <w:tc>
          <w:tcPr>
            <w:tcW w:w="1009" w:type="dxa"/>
            <w:tcBorders>
              <w:top w:val="nil"/>
              <w:left w:val="nil"/>
              <w:bottom w:val="nil"/>
              <w:right w:val="nil"/>
            </w:tcBorders>
            <w:shd w:val="clear" w:color="000000" w:fill="FFFFFF"/>
            <w:noWrap/>
            <w:vAlign w:val="center"/>
            <w:hideMark/>
          </w:tcPr>
          <w:p w:rsidR="00355738" w:rsidRPr="00355738" w:rsidRDefault="00355738" w:rsidP="00355738">
            <w:pPr>
              <w:jc w:val="center"/>
              <w:rPr>
                <w:rFonts w:ascii="Verdana" w:eastAsia="Times New Roman" w:hAnsi="Verdana" w:cs="Times New Roman"/>
                <w:b/>
                <w:bCs/>
                <w:color w:val="000000"/>
                <w:sz w:val="16"/>
                <w:szCs w:val="16"/>
                <w:lang w:val="en-GB" w:eastAsia="en-GB"/>
              </w:rPr>
            </w:pPr>
            <w:r w:rsidRPr="00355738">
              <w:rPr>
                <w:rFonts w:ascii="Verdana" w:eastAsia="Times New Roman" w:hAnsi="Verdana" w:cs="Times New Roman"/>
                <w:b/>
                <w:bCs/>
                <w:color w:val="000000"/>
                <w:sz w:val="16"/>
                <w:szCs w:val="16"/>
                <w:lang w:val="en-GB" w:eastAsia="en-GB"/>
              </w:rPr>
              <w:t> </w:t>
            </w:r>
          </w:p>
        </w:tc>
        <w:tc>
          <w:tcPr>
            <w:tcW w:w="4320" w:type="dxa"/>
            <w:tcBorders>
              <w:top w:val="nil"/>
              <w:left w:val="nil"/>
              <w:bottom w:val="nil"/>
              <w:right w:val="nil"/>
            </w:tcBorders>
            <w:shd w:val="clear" w:color="000000" w:fill="FFFFFF"/>
            <w:noWrap/>
            <w:vAlign w:val="bottom"/>
            <w:hideMark/>
          </w:tcPr>
          <w:p w:rsidR="00355738" w:rsidRPr="00355738" w:rsidRDefault="00355738" w:rsidP="00355738">
            <w:pPr>
              <w:ind w:firstLineChars="100" w:firstLine="160"/>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 </w:t>
            </w:r>
          </w:p>
        </w:tc>
        <w:tc>
          <w:tcPr>
            <w:tcW w:w="1009" w:type="dxa"/>
            <w:tcBorders>
              <w:top w:val="nil"/>
              <w:left w:val="nil"/>
              <w:bottom w:val="nil"/>
              <w:right w:val="nil"/>
            </w:tcBorders>
            <w:shd w:val="clear" w:color="000000" w:fill="FFFFFF"/>
            <w:noWrap/>
            <w:vAlign w:val="center"/>
            <w:hideMark/>
          </w:tcPr>
          <w:p w:rsidR="00355738" w:rsidRPr="00355738" w:rsidRDefault="00355738" w:rsidP="00355738">
            <w:pPr>
              <w:jc w:val="center"/>
              <w:rPr>
                <w:rFonts w:ascii="Verdana" w:eastAsia="Times New Roman" w:hAnsi="Verdana" w:cs="Times New Roman"/>
                <w:b/>
                <w:bCs/>
                <w:color w:val="000000"/>
                <w:sz w:val="16"/>
                <w:szCs w:val="16"/>
                <w:lang w:val="en-GB" w:eastAsia="en-GB"/>
              </w:rPr>
            </w:pPr>
            <w:r w:rsidRPr="00355738">
              <w:rPr>
                <w:rFonts w:ascii="Verdana" w:eastAsia="Times New Roman" w:hAnsi="Verdana" w:cs="Times New Roman"/>
                <w:b/>
                <w:bCs/>
                <w:color w:val="000000"/>
                <w:sz w:val="16"/>
                <w:szCs w:val="16"/>
                <w:lang w:val="en-GB" w:eastAsia="en-GB"/>
              </w:rPr>
              <w:t> </w:t>
            </w:r>
          </w:p>
        </w:tc>
      </w:tr>
      <w:tr w:rsidR="00355738" w:rsidRPr="00355738" w:rsidTr="00355738">
        <w:trPr>
          <w:trHeight w:val="630"/>
        </w:trPr>
        <w:tc>
          <w:tcPr>
            <w:tcW w:w="1009" w:type="dxa"/>
            <w:tcBorders>
              <w:top w:val="nil"/>
              <w:left w:val="nil"/>
              <w:bottom w:val="nil"/>
              <w:right w:val="nil"/>
            </w:tcBorders>
            <w:shd w:val="clear" w:color="000000" w:fill="FFFFFF"/>
            <w:noWrap/>
            <w:vAlign w:val="center"/>
            <w:hideMark/>
          </w:tcPr>
          <w:p w:rsidR="00355738" w:rsidRPr="00355738" w:rsidRDefault="00355738" w:rsidP="00355738">
            <w:pPr>
              <w:ind w:firstLineChars="100" w:firstLine="160"/>
              <w:jc w:val="right"/>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11.5</w:t>
            </w:r>
          </w:p>
        </w:tc>
        <w:tc>
          <w:tcPr>
            <w:tcW w:w="4320" w:type="dxa"/>
            <w:tcBorders>
              <w:top w:val="nil"/>
              <w:left w:val="nil"/>
              <w:bottom w:val="nil"/>
              <w:right w:val="nil"/>
            </w:tcBorders>
            <w:shd w:val="clear" w:color="000000" w:fill="FFFFFF"/>
            <w:vAlign w:val="center"/>
            <w:hideMark/>
          </w:tcPr>
          <w:p w:rsidR="00355738" w:rsidRPr="00355738" w:rsidRDefault="00355738" w:rsidP="00C835F5">
            <w:pPr>
              <w:ind w:left="76"/>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 xml:space="preserve">Fees payable to Ernst &amp; Young with regard to </w:t>
            </w:r>
            <w:r w:rsidR="00C835F5">
              <w:rPr>
                <w:rFonts w:ascii="Verdana" w:eastAsia="Times New Roman" w:hAnsi="Verdana" w:cs="Times New Roman"/>
                <w:color w:val="000000"/>
                <w:sz w:val="16"/>
                <w:szCs w:val="16"/>
                <w:lang w:val="en-GB" w:eastAsia="en-GB"/>
              </w:rPr>
              <w:t xml:space="preserve"> </w:t>
            </w:r>
            <w:r w:rsidRPr="00355738">
              <w:rPr>
                <w:rFonts w:ascii="Verdana" w:eastAsia="Times New Roman" w:hAnsi="Verdana" w:cs="Times New Roman"/>
                <w:color w:val="000000"/>
                <w:sz w:val="16"/>
                <w:szCs w:val="16"/>
                <w:lang w:val="en-GB" w:eastAsia="en-GB"/>
              </w:rPr>
              <w:t>external audit services carried out by the appointed auditor for the year</w:t>
            </w:r>
          </w:p>
        </w:tc>
        <w:tc>
          <w:tcPr>
            <w:tcW w:w="1009" w:type="dxa"/>
            <w:tcBorders>
              <w:top w:val="nil"/>
              <w:left w:val="nil"/>
              <w:bottom w:val="nil"/>
              <w:right w:val="nil"/>
            </w:tcBorders>
            <w:shd w:val="clear" w:color="000000" w:fill="FFFFFF"/>
            <w:noWrap/>
            <w:vAlign w:val="center"/>
            <w:hideMark/>
          </w:tcPr>
          <w:p w:rsidR="00355738" w:rsidRPr="00355738" w:rsidRDefault="00355738" w:rsidP="00355738">
            <w:pPr>
              <w:ind w:firstLineChars="100" w:firstLine="160"/>
              <w:jc w:val="right"/>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11.5</w:t>
            </w:r>
          </w:p>
        </w:tc>
      </w:tr>
      <w:tr w:rsidR="00355738" w:rsidRPr="00355738" w:rsidTr="00355738">
        <w:trPr>
          <w:trHeight w:val="210"/>
        </w:trPr>
        <w:tc>
          <w:tcPr>
            <w:tcW w:w="1009" w:type="dxa"/>
            <w:tcBorders>
              <w:top w:val="nil"/>
              <w:left w:val="nil"/>
              <w:bottom w:val="nil"/>
              <w:right w:val="nil"/>
            </w:tcBorders>
            <w:shd w:val="clear" w:color="000000" w:fill="FFFFFF"/>
            <w:noWrap/>
            <w:vAlign w:val="bottom"/>
            <w:hideMark/>
          </w:tcPr>
          <w:p w:rsidR="00355738" w:rsidRPr="00355738" w:rsidRDefault="00355738" w:rsidP="00355738">
            <w:pPr>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 </w:t>
            </w:r>
          </w:p>
        </w:tc>
        <w:tc>
          <w:tcPr>
            <w:tcW w:w="4320" w:type="dxa"/>
            <w:tcBorders>
              <w:top w:val="nil"/>
              <w:left w:val="nil"/>
              <w:bottom w:val="nil"/>
              <w:right w:val="nil"/>
            </w:tcBorders>
            <w:shd w:val="clear" w:color="000000" w:fill="FFFFFF"/>
            <w:noWrap/>
            <w:vAlign w:val="bottom"/>
            <w:hideMark/>
          </w:tcPr>
          <w:p w:rsidR="00355738" w:rsidRPr="00355738" w:rsidRDefault="00355738" w:rsidP="00355738">
            <w:pPr>
              <w:ind w:firstLineChars="100" w:firstLine="160"/>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 </w:t>
            </w:r>
          </w:p>
        </w:tc>
        <w:tc>
          <w:tcPr>
            <w:tcW w:w="1009" w:type="dxa"/>
            <w:tcBorders>
              <w:top w:val="nil"/>
              <w:left w:val="nil"/>
              <w:bottom w:val="nil"/>
              <w:right w:val="nil"/>
            </w:tcBorders>
            <w:shd w:val="clear" w:color="000000" w:fill="FFFFFF"/>
            <w:noWrap/>
            <w:vAlign w:val="bottom"/>
            <w:hideMark/>
          </w:tcPr>
          <w:p w:rsidR="00355738" w:rsidRPr="00355738" w:rsidRDefault="00355738" w:rsidP="00355738">
            <w:pPr>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 </w:t>
            </w:r>
          </w:p>
        </w:tc>
      </w:tr>
      <w:tr w:rsidR="00355738" w:rsidRPr="00355738" w:rsidTr="00355738">
        <w:trPr>
          <w:trHeight w:val="210"/>
        </w:trPr>
        <w:tc>
          <w:tcPr>
            <w:tcW w:w="1009" w:type="dxa"/>
            <w:tcBorders>
              <w:top w:val="nil"/>
              <w:left w:val="nil"/>
              <w:bottom w:val="nil"/>
              <w:right w:val="nil"/>
            </w:tcBorders>
            <w:shd w:val="clear" w:color="000000" w:fill="FFFFFF"/>
            <w:noWrap/>
            <w:vAlign w:val="center"/>
            <w:hideMark/>
          </w:tcPr>
          <w:p w:rsidR="00355738" w:rsidRPr="00355738" w:rsidRDefault="00355738" w:rsidP="00355738">
            <w:pPr>
              <w:ind w:firstLineChars="100" w:firstLine="160"/>
              <w:jc w:val="right"/>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0</w:t>
            </w:r>
          </w:p>
        </w:tc>
        <w:tc>
          <w:tcPr>
            <w:tcW w:w="4320" w:type="dxa"/>
            <w:tcBorders>
              <w:top w:val="nil"/>
              <w:left w:val="nil"/>
              <w:bottom w:val="nil"/>
              <w:right w:val="nil"/>
            </w:tcBorders>
            <w:shd w:val="clear" w:color="000000" w:fill="FFFFFF"/>
            <w:vAlign w:val="center"/>
            <w:hideMark/>
          </w:tcPr>
          <w:p w:rsidR="00355738" w:rsidRPr="00355738" w:rsidRDefault="00355738" w:rsidP="00C835F5">
            <w:pPr>
              <w:ind w:firstLineChars="47" w:firstLine="75"/>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VFM Significant risks</w:t>
            </w:r>
          </w:p>
        </w:tc>
        <w:tc>
          <w:tcPr>
            <w:tcW w:w="1009" w:type="dxa"/>
            <w:tcBorders>
              <w:top w:val="nil"/>
              <w:left w:val="nil"/>
              <w:bottom w:val="nil"/>
              <w:right w:val="nil"/>
            </w:tcBorders>
            <w:shd w:val="clear" w:color="000000" w:fill="FFFFFF"/>
            <w:noWrap/>
            <w:vAlign w:val="center"/>
            <w:hideMark/>
          </w:tcPr>
          <w:p w:rsidR="00355738" w:rsidRPr="00355738" w:rsidRDefault="00355738" w:rsidP="00355738">
            <w:pPr>
              <w:ind w:firstLineChars="100" w:firstLine="160"/>
              <w:jc w:val="right"/>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10.7*</w:t>
            </w:r>
          </w:p>
        </w:tc>
      </w:tr>
      <w:tr w:rsidR="00355738" w:rsidRPr="00355738" w:rsidTr="00355738">
        <w:trPr>
          <w:trHeight w:val="210"/>
        </w:trPr>
        <w:tc>
          <w:tcPr>
            <w:tcW w:w="1009" w:type="dxa"/>
            <w:tcBorders>
              <w:top w:val="nil"/>
              <w:left w:val="nil"/>
              <w:bottom w:val="nil"/>
              <w:right w:val="nil"/>
            </w:tcBorders>
            <w:shd w:val="clear" w:color="000000" w:fill="FFFFFF"/>
            <w:noWrap/>
            <w:vAlign w:val="center"/>
            <w:hideMark/>
          </w:tcPr>
          <w:p w:rsidR="00355738" w:rsidRPr="00355738" w:rsidRDefault="00355738" w:rsidP="00355738">
            <w:pPr>
              <w:ind w:firstLineChars="100" w:firstLine="160"/>
              <w:jc w:val="right"/>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 </w:t>
            </w:r>
          </w:p>
        </w:tc>
        <w:tc>
          <w:tcPr>
            <w:tcW w:w="4320" w:type="dxa"/>
            <w:tcBorders>
              <w:top w:val="nil"/>
              <w:left w:val="nil"/>
              <w:bottom w:val="nil"/>
              <w:right w:val="nil"/>
            </w:tcBorders>
            <w:shd w:val="clear" w:color="000000" w:fill="FFFFFF"/>
            <w:noWrap/>
            <w:vAlign w:val="bottom"/>
            <w:hideMark/>
          </w:tcPr>
          <w:p w:rsidR="00355738" w:rsidRPr="00355738" w:rsidRDefault="00355738" w:rsidP="00355738">
            <w:pPr>
              <w:ind w:firstLineChars="100" w:firstLine="160"/>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 </w:t>
            </w:r>
          </w:p>
        </w:tc>
        <w:tc>
          <w:tcPr>
            <w:tcW w:w="1009" w:type="dxa"/>
            <w:tcBorders>
              <w:top w:val="nil"/>
              <w:left w:val="nil"/>
              <w:bottom w:val="nil"/>
              <w:right w:val="nil"/>
            </w:tcBorders>
            <w:shd w:val="clear" w:color="000000" w:fill="FFFFFF"/>
            <w:noWrap/>
            <w:vAlign w:val="bottom"/>
            <w:hideMark/>
          </w:tcPr>
          <w:p w:rsidR="00355738" w:rsidRPr="00355738" w:rsidRDefault="00355738" w:rsidP="00355738">
            <w:pPr>
              <w:rPr>
                <w:rFonts w:ascii="Verdana" w:eastAsia="Times New Roman" w:hAnsi="Verdana" w:cs="Times New Roman"/>
                <w:color w:val="000000"/>
                <w:sz w:val="16"/>
                <w:szCs w:val="16"/>
                <w:lang w:val="en-GB" w:eastAsia="en-GB"/>
              </w:rPr>
            </w:pPr>
            <w:r w:rsidRPr="00355738">
              <w:rPr>
                <w:rFonts w:ascii="Verdana" w:eastAsia="Times New Roman" w:hAnsi="Verdana" w:cs="Times New Roman"/>
                <w:color w:val="000000"/>
                <w:sz w:val="16"/>
                <w:szCs w:val="16"/>
                <w:lang w:val="en-GB" w:eastAsia="en-GB"/>
              </w:rPr>
              <w:t> </w:t>
            </w:r>
          </w:p>
        </w:tc>
      </w:tr>
      <w:tr w:rsidR="00355738" w:rsidRPr="00355738" w:rsidTr="00355738">
        <w:trPr>
          <w:trHeight w:val="405"/>
        </w:trPr>
        <w:tc>
          <w:tcPr>
            <w:tcW w:w="1009" w:type="dxa"/>
            <w:tcBorders>
              <w:top w:val="single" w:sz="4" w:space="0" w:color="auto"/>
              <w:left w:val="nil"/>
              <w:bottom w:val="single" w:sz="8" w:space="0" w:color="auto"/>
              <w:right w:val="nil"/>
            </w:tcBorders>
            <w:shd w:val="clear" w:color="000000" w:fill="FFFFFF"/>
            <w:noWrap/>
            <w:vAlign w:val="center"/>
            <w:hideMark/>
          </w:tcPr>
          <w:p w:rsidR="00355738" w:rsidRPr="00355738" w:rsidRDefault="00355738" w:rsidP="00355738">
            <w:pPr>
              <w:ind w:firstLineChars="100" w:firstLine="161"/>
              <w:jc w:val="right"/>
              <w:rPr>
                <w:rFonts w:ascii="Verdana" w:eastAsia="Times New Roman" w:hAnsi="Verdana" w:cs="Times New Roman"/>
                <w:b/>
                <w:bCs/>
                <w:color w:val="000000"/>
                <w:sz w:val="16"/>
                <w:szCs w:val="16"/>
                <w:lang w:val="en-GB" w:eastAsia="en-GB"/>
              </w:rPr>
            </w:pPr>
            <w:r w:rsidRPr="00355738">
              <w:rPr>
                <w:rFonts w:ascii="Verdana" w:eastAsia="Times New Roman" w:hAnsi="Verdana" w:cs="Times New Roman"/>
                <w:b/>
                <w:bCs/>
                <w:color w:val="000000"/>
                <w:sz w:val="16"/>
                <w:szCs w:val="16"/>
                <w:lang w:val="en-GB" w:eastAsia="en-GB"/>
              </w:rPr>
              <w:t>11.5</w:t>
            </w:r>
          </w:p>
        </w:tc>
        <w:tc>
          <w:tcPr>
            <w:tcW w:w="4320" w:type="dxa"/>
            <w:tcBorders>
              <w:top w:val="single" w:sz="4" w:space="0" w:color="auto"/>
              <w:left w:val="nil"/>
              <w:bottom w:val="single" w:sz="8" w:space="0" w:color="auto"/>
              <w:right w:val="nil"/>
            </w:tcBorders>
            <w:shd w:val="clear" w:color="000000" w:fill="FFFFFF"/>
            <w:noWrap/>
            <w:vAlign w:val="center"/>
            <w:hideMark/>
          </w:tcPr>
          <w:p w:rsidR="00355738" w:rsidRPr="00355738" w:rsidRDefault="00355738" w:rsidP="00355738">
            <w:pPr>
              <w:ind w:firstLineChars="100" w:firstLine="161"/>
              <w:rPr>
                <w:rFonts w:ascii="Verdana" w:eastAsia="Times New Roman" w:hAnsi="Verdana" w:cs="Times New Roman"/>
                <w:b/>
                <w:bCs/>
                <w:color w:val="000000"/>
                <w:sz w:val="16"/>
                <w:szCs w:val="16"/>
                <w:lang w:val="en-GB" w:eastAsia="en-GB"/>
              </w:rPr>
            </w:pPr>
            <w:r w:rsidRPr="00355738">
              <w:rPr>
                <w:rFonts w:ascii="Verdana" w:eastAsia="Times New Roman" w:hAnsi="Verdana" w:cs="Times New Roman"/>
                <w:b/>
                <w:bCs/>
                <w:color w:val="000000"/>
                <w:sz w:val="16"/>
                <w:szCs w:val="16"/>
                <w:lang w:val="en-GB" w:eastAsia="en-GB"/>
              </w:rPr>
              <w:t>Total</w:t>
            </w:r>
          </w:p>
        </w:tc>
        <w:tc>
          <w:tcPr>
            <w:tcW w:w="1009" w:type="dxa"/>
            <w:tcBorders>
              <w:top w:val="single" w:sz="4" w:space="0" w:color="auto"/>
              <w:left w:val="nil"/>
              <w:bottom w:val="single" w:sz="8" w:space="0" w:color="auto"/>
              <w:right w:val="nil"/>
            </w:tcBorders>
            <w:shd w:val="clear" w:color="000000" w:fill="FFFFFF"/>
            <w:noWrap/>
            <w:vAlign w:val="center"/>
            <w:hideMark/>
          </w:tcPr>
          <w:p w:rsidR="00355738" w:rsidRPr="00355738" w:rsidRDefault="00681A8F" w:rsidP="00355738">
            <w:pPr>
              <w:ind w:firstLineChars="100" w:firstLine="161"/>
              <w:jc w:val="right"/>
              <w:rPr>
                <w:rFonts w:ascii="Verdana" w:eastAsia="Times New Roman" w:hAnsi="Verdana" w:cs="Times New Roman"/>
                <w:b/>
                <w:bCs/>
                <w:color w:val="000000"/>
                <w:sz w:val="16"/>
                <w:szCs w:val="16"/>
                <w:lang w:val="en-GB" w:eastAsia="en-GB"/>
              </w:rPr>
            </w:pPr>
            <w:r>
              <w:rPr>
                <w:rFonts w:ascii="Verdana" w:eastAsia="Times New Roman" w:hAnsi="Verdana" w:cs="Times New Roman"/>
                <w:b/>
                <w:bCs/>
                <w:color w:val="000000"/>
                <w:sz w:val="16"/>
                <w:szCs w:val="16"/>
                <w:lang w:val="en-GB" w:eastAsia="en-GB"/>
              </w:rPr>
              <w:t>22.</w:t>
            </w:r>
            <w:r w:rsidR="00FA298C">
              <w:rPr>
                <w:rFonts w:ascii="Verdana" w:eastAsia="Times New Roman" w:hAnsi="Verdana" w:cs="Times New Roman"/>
                <w:b/>
                <w:bCs/>
                <w:color w:val="000000"/>
                <w:sz w:val="16"/>
                <w:szCs w:val="16"/>
                <w:lang w:val="en-GB" w:eastAsia="en-GB"/>
              </w:rPr>
              <w:t>2</w:t>
            </w:r>
          </w:p>
        </w:tc>
      </w:tr>
    </w:tbl>
    <w:p w:rsidR="00355738" w:rsidRDefault="00355738" w:rsidP="00355738">
      <w:pPr>
        <w:rPr>
          <w:lang w:val="pt-BR"/>
        </w:rPr>
      </w:pPr>
    </w:p>
    <w:p w:rsidR="00355738" w:rsidRPr="00355738" w:rsidRDefault="00355738" w:rsidP="00355738">
      <w:pPr>
        <w:spacing w:line="256" w:lineRule="auto"/>
        <w:rPr>
          <w:rFonts w:ascii="Verdana" w:hAnsi="Verdana"/>
          <w:sz w:val="18"/>
          <w:szCs w:val="18"/>
        </w:rPr>
      </w:pPr>
      <w:r w:rsidRPr="00355738">
        <w:rPr>
          <w:rFonts w:ascii="Verdana" w:hAnsi="Verdana"/>
          <w:sz w:val="18"/>
          <w:szCs w:val="18"/>
        </w:rPr>
        <w:t>*The additional fee of £10,735 was incurred in 2018/19 in relation to Value for Money significant risks.  This variation was agreed with Chief Officers but required approval from PSA</w:t>
      </w:r>
      <w:r w:rsidR="00E85CCB">
        <w:rPr>
          <w:rFonts w:ascii="Verdana" w:hAnsi="Verdana"/>
          <w:sz w:val="18"/>
          <w:szCs w:val="18"/>
        </w:rPr>
        <w:t>A</w:t>
      </w:r>
      <w:r w:rsidRPr="00355738">
        <w:rPr>
          <w:rFonts w:ascii="Verdana" w:hAnsi="Verdana"/>
          <w:sz w:val="18"/>
          <w:szCs w:val="18"/>
        </w:rPr>
        <w:t xml:space="preserve"> and was therefore not included within </w:t>
      </w:r>
      <w:r w:rsidR="00D31247">
        <w:rPr>
          <w:rFonts w:ascii="Verdana" w:hAnsi="Verdana"/>
          <w:sz w:val="18"/>
          <w:szCs w:val="18"/>
        </w:rPr>
        <w:t xml:space="preserve">the </w:t>
      </w:r>
      <w:r w:rsidRPr="00355738">
        <w:rPr>
          <w:rFonts w:ascii="Verdana" w:hAnsi="Verdana"/>
          <w:sz w:val="18"/>
          <w:szCs w:val="18"/>
        </w:rPr>
        <w:t>2018/19 statutory accounts.</w:t>
      </w:r>
    </w:p>
    <w:p w:rsidR="00355738" w:rsidRPr="00355738" w:rsidRDefault="00355738" w:rsidP="00355738">
      <w:pPr>
        <w:rPr>
          <w:lang w:val="pt-BR"/>
        </w:rPr>
      </w:pPr>
    </w:p>
    <w:p w:rsidR="00F227D9" w:rsidRPr="0044102F" w:rsidRDefault="00F227D9" w:rsidP="00F227D9">
      <w:pPr>
        <w:pStyle w:val="Heading1"/>
        <w:spacing w:after="240"/>
        <w:rPr>
          <w:lang w:val="pt-BR"/>
        </w:rPr>
      </w:pPr>
      <w:bookmarkStart w:id="24" w:name="_Toc55900994"/>
      <w:r w:rsidRPr="0044102F">
        <w:rPr>
          <w:lang w:val="pt-BR"/>
        </w:rPr>
        <w:t>Note 16 - Related Parties</w:t>
      </w:r>
      <w:bookmarkEnd w:id="24"/>
      <w:r w:rsidRPr="0044102F">
        <w:rPr>
          <w:lang w:val="pt-BR"/>
        </w:rPr>
        <w:t xml:space="preserve"> </w:t>
      </w:r>
    </w:p>
    <w:p w:rsidR="00F227D9" w:rsidRPr="0044102F" w:rsidRDefault="00F227D9" w:rsidP="004856EB">
      <w:pPr>
        <w:pStyle w:val="Normal0"/>
        <w:spacing w:after="160"/>
        <w:jc w:val="both"/>
        <w:rPr>
          <w:rFonts w:ascii="Verdana" w:eastAsia="Verdana" w:hAnsi="Verdana" w:cs="Verdana"/>
          <w:sz w:val="22"/>
          <w:szCs w:val="22"/>
          <w:lang w:val="en-GB"/>
        </w:rPr>
      </w:pPr>
      <w:r w:rsidRPr="0044102F">
        <w:rPr>
          <w:rFonts w:ascii="Verdana" w:eastAsia="Verdana" w:hAnsi="Verdana" w:cs="Verdana"/>
          <w:sz w:val="22"/>
          <w:szCs w:val="22"/>
          <w:lang w:val="en-GB"/>
        </w:rPr>
        <w:t>The Chief Constable is required to disclose material transactions with related parties – bodies or individuals that have the potential to control or influence the Chief Constable or to be controlled or influenced by the Chief Constable. Disclosure of these transactions allows readers to assess the extent to which the Chief Constable might have constrained in its ability to operate independently or might have secured the ability to limit another party’s ability to bargain freely with the Chief Constable.</w:t>
      </w:r>
    </w:p>
    <w:p w:rsidR="00050307" w:rsidRDefault="00F227D9" w:rsidP="004856EB">
      <w:pPr>
        <w:pStyle w:val="Normal0"/>
        <w:spacing w:after="160"/>
        <w:jc w:val="both"/>
        <w:rPr>
          <w:rFonts w:ascii="Verdana" w:eastAsia="Verdana" w:hAnsi="Verdana" w:cs="Verdana"/>
          <w:sz w:val="22"/>
          <w:szCs w:val="22"/>
          <w:lang w:val="en-GB"/>
        </w:rPr>
      </w:pPr>
      <w:r w:rsidRPr="0044102F">
        <w:rPr>
          <w:rFonts w:ascii="Verdana" w:eastAsia="Verdana" w:hAnsi="Verdana" w:cs="Verdana"/>
          <w:sz w:val="22"/>
          <w:szCs w:val="22"/>
          <w:lang w:val="en-GB"/>
        </w:rPr>
        <w:t>The Chief Executive of the Police and Crime Commissioner for Surrey has written to all Chief Officers of the Chief Constable to collect this information on behalf of the Group. Responses were received from all recipients of the letter and</w:t>
      </w:r>
      <w:r w:rsidR="00050307">
        <w:rPr>
          <w:rFonts w:ascii="Verdana" w:eastAsia="Verdana" w:hAnsi="Verdana" w:cs="Verdana"/>
          <w:sz w:val="22"/>
          <w:szCs w:val="22"/>
          <w:lang w:val="en-GB"/>
        </w:rPr>
        <w:t xml:space="preserve"> the following</w:t>
      </w:r>
      <w:r w:rsidRPr="0044102F">
        <w:rPr>
          <w:rFonts w:ascii="Verdana" w:eastAsia="Verdana" w:hAnsi="Verdana" w:cs="Verdana"/>
          <w:sz w:val="22"/>
          <w:szCs w:val="22"/>
          <w:lang w:val="en-GB"/>
        </w:rPr>
        <w:t xml:space="preserve"> related party transac</w:t>
      </w:r>
      <w:r w:rsidR="006803CF" w:rsidRPr="0044102F">
        <w:rPr>
          <w:rFonts w:ascii="Verdana" w:eastAsia="Verdana" w:hAnsi="Verdana" w:cs="Verdana"/>
          <w:sz w:val="22"/>
          <w:szCs w:val="22"/>
          <w:lang w:val="en-GB"/>
        </w:rPr>
        <w:t>tions are disclosed</w:t>
      </w:r>
      <w:r w:rsidR="00050307">
        <w:rPr>
          <w:rFonts w:ascii="Verdana" w:eastAsia="Verdana" w:hAnsi="Verdana" w:cs="Verdana"/>
          <w:sz w:val="22"/>
          <w:szCs w:val="22"/>
          <w:lang w:val="en-GB"/>
        </w:rPr>
        <w:t xml:space="preserve"> </w:t>
      </w:r>
      <w:r w:rsidR="006803CF" w:rsidRPr="0044102F">
        <w:rPr>
          <w:rFonts w:ascii="Verdana" w:eastAsia="Verdana" w:hAnsi="Verdana" w:cs="Verdana"/>
          <w:sz w:val="22"/>
          <w:szCs w:val="22"/>
          <w:lang w:val="en-GB"/>
        </w:rPr>
        <w:t>for the 2019</w:t>
      </w:r>
      <w:r w:rsidRPr="0044102F">
        <w:rPr>
          <w:rFonts w:ascii="Verdana" w:eastAsia="Verdana" w:hAnsi="Verdana" w:cs="Verdana"/>
          <w:sz w:val="22"/>
          <w:szCs w:val="22"/>
          <w:lang w:val="en-GB"/>
        </w:rPr>
        <w:t>/</w:t>
      </w:r>
      <w:r w:rsidR="006803CF" w:rsidRPr="0044102F">
        <w:rPr>
          <w:rFonts w:ascii="Verdana" w:eastAsia="Verdana" w:hAnsi="Verdana" w:cs="Verdana"/>
          <w:sz w:val="22"/>
          <w:szCs w:val="22"/>
          <w:lang w:val="en-GB"/>
        </w:rPr>
        <w:t>20</w:t>
      </w:r>
      <w:r w:rsidRPr="0044102F">
        <w:rPr>
          <w:rFonts w:ascii="Verdana" w:eastAsia="Verdana" w:hAnsi="Verdana" w:cs="Verdana"/>
          <w:sz w:val="22"/>
          <w:szCs w:val="22"/>
          <w:lang w:val="en-GB"/>
        </w:rPr>
        <w:t xml:space="preserve"> year in respect of the </w:t>
      </w:r>
      <w:r w:rsidR="00050307">
        <w:rPr>
          <w:rFonts w:ascii="Verdana" w:eastAsia="Verdana" w:hAnsi="Verdana" w:cs="Verdana"/>
          <w:sz w:val="22"/>
          <w:szCs w:val="22"/>
          <w:lang w:val="en-GB"/>
        </w:rPr>
        <w:t>Chief Constable</w:t>
      </w:r>
      <w:r w:rsidRPr="0044102F">
        <w:rPr>
          <w:rFonts w:ascii="Verdana" w:eastAsia="Verdana" w:hAnsi="Verdana" w:cs="Verdana"/>
          <w:sz w:val="22"/>
          <w:szCs w:val="22"/>
          <w:lang w:val="en-GB"/>
        </w:rPr>
        <w:t xml:space="preserve">. </w:t>
      </w:r>
    </w:p>
    <w:p w:rsidR="00F227D9" w:rsidRPr="0044102F" w:rsidRDefault="00F227D9" w:rsidP="004856EB">
      <w:pPr>
        <w:pStyle w:val="Normal0"/>
        <w:spacing w:after="160"/>
        <w:jc w:val="both"/>
        <w:rPr>
          <w:rFonts w:ascii="Verdana" w:eastAsia="Verdana" w:hAnsi="Verdana" w:cs="Verdana"/>
          <w:sz w:val="22"/>
          <w:szCs w:val="22"/>
          <w:lang w:val="en-GB"/>
        </w:rPr>
      </w:pPr>
      <w:r w:rsidRPr="0044102F">
        <w:rPr>
          <w:rFonts w:ascii="Verdana" w:eastAsia="Verdana" w:hAnsi="Verdana" w:cs="Verdana"/>
          <w:sz w:val="22"/>
          <w:szCs w:val="22"/>
          <w:lang w:val="en-GB"/>
        </w:rPr>
        <w:t xml:space="preserve">Legal services were provided to the Surrey </w:t>
      </w:r>
      <w:r w:rsidRPr="0044102F">
        <w:rPr>
          <w:rFonts w:ascii="Verdana" w:eastAsia="Verdana" w:hAnsi="Verdana" w:cs="Verdana"/>
          <w:sz w:val="22"/>
          <w:szCs w:val="22"/>
          <w:shd w:val="clear" w:color="auto" w:fill="FFFFFF" w:themeFill="background1"/>
          <w:lang w:val="en-GB"/>
        </w:rPr>
        <w:t>Police Group of circa £</w:t>
      </w:r>
      <w:r w:rsidR="000D4B72">
        <w:rPr>
          <w:rFonts w:ascii="Verdana" w:eastAsia="Verdana" w:hAnsi="Verdana" w:cs="Verdana"/>
          <w:sz w:val="22"/>
          <w:szCs w:val="22"/>
          <w:shd w:val="clear" w:color="auto" w:fill="FFFFFF" w:themeFill="background1"/>
          <w:lang w:val="en-GB"/>
        </w:rPr>
        <w:t>1</w:t>
      </w:r>
      <w:r w:rsidRPr="0044102F">
        <w:rPr>
          <w:rFonts w:ascii="Verdana" w:eastAsia="Verdana" w:hAnsi="Verdana" w:cs="Verdana"/>
          <w:sz w:val="22"/>
          <w:szCs w:val="22"/>
          <w:shd w:val="clear" w:color="auto" w:fill="FFFFFF" w:themeFill="background1"/>
          <w:lang w:val="en-GB"/>
        </w:rPr>
        <w:t>.</w:t>
      </w:r>
      <w:r w:rsidR="000D4B72">
        <w:rPr>
          <w:rFonts w:ascii="Verdana" w:eastAsia="Verdana" w:hAnsi="Verdana" w:cs="Verdana"/>
          <w:sz w:val="22"/>
          <w:szCs w:val="22"/>
          <w:shd w:val="clear" w:color="auto" w:fill="FFFFFF" w:themeFill="background1"/>
          <w:lang w:val="en-GB"/>
        </w:rPr>
        <w:t>3</w:t>
      </w:r>
      <w:r w:rsidRPr="0044102F">
        <w:rPr>
          <w:rFonts w:ascii="Verdana" w:eastAsia="Verdana" w:hAnsi="Verdana" w:cs="Verdana"/>
          <w:sz w:val="22"/>
          <w:szCs w:val="22"/>
          <w:shd w:val="clear" w:color="auto" w:fill="FFFFFF" w:themeFill="background1"/>
          <w:lang w:val="en-GB"/>
        </w:rPr>
        <w:t>m (201</w:t>
      </w:r>
      <w:r w:rsidR="006803CF" w:rsidRPr="0044102F">
        <w:rPr>
          <w:rFonts w:ascii="Verdana" w:eastAsia="Verdana" w:hAnsi="Verdana" w:cs="Verdana"/>
          <w:sz w:val="22"/>
          <w:szCs w:val="22"/>
          <w:shd w:val="clear" w:color="auto" w:fill="FFFFFF" w:themeFill="background1"/>
          <w:lang w:val="en-GB"/>
        </w:rPr>
        <w:t>8</w:t>
      </w:r>
      <w:r w:rsidRPr="0044102F">
        <w:rPr>
          <w:rFonts w:ascii="Verdana" w:eastAsia="Verdana" w:hAnsi="Verdana" w:cs="Verdana"/>
          <w:sz w:val="22"/>
          <w:szCs w:val="22"/>
          <w:shd w:val="clear" w:color="auto" w:fill="FFFFFF" w:themeFill="background1"/>
          <w:lang w:val="en-GB"/>
        </w:rPr>
        <w:t>/1</w:t>
      </w:r>
      <w:r w:rsidR="006803CF" w:rsidRPr="0044102F">
        <w:rPr>
          <w:rFonts w:ascii="Verdana" w:eastAsia="Verdana" w:hAnsi="Verdana" w:cs="Verdana"/>
          <w:sz w:val="22"/>
          <w:szCs w:val="22"/>
          <w:shd w:val="clear" w:color="auto" w:fill="FFFFFF" w:themeFill="background1"/>
          <w:lang w:val="en-GB"/>
        </w:rPr>
        <w:t>9</w:t>
      </w:r>
      <w:r w:rsidRPr="0044102F">
        <w:rPr>
          <w:rFonts w:ascii="Verdana" w:eastAsia="Verdana" w:hAnsi="Verdana" w:cs="Verdana"/>
          <w:sz w:val="22"/>
          <w:szCs w:val="22"/>
          <w:shd w:val="clear" w:color="auto" w:fill="FFFFFF" w:themeFill="background1"/>
          <w:lang w:val="en-GB"/>
        </w:rPr>
        <w:t xml:space="preserve"> £1.</w:t>
      </w:r>
      <w:r w:rsidR="006803CF" w:rsidRPr="0044102F">
        <w:rPr>
          <w:rFonts w:ascii="Verdana" w:eastAsia="Verdana" w:hAnsi="Verdana" w:cs="Verdana"/>
          <w:sz w:val="22"/>
          <w:szCs w:val="22"/>
          <w:shd w:val="clear" w:color="auto" w:fill="FFFFFF" w:themeFill="background1"/>
          <w:lang w:val="en-GB"/>
        </w:rPr>
        <w:t>0</w:t>
      </w:r>
      <w:r w:rsidRPr="0044102F">
        <w:rPr>
          <w:rFonts w:ascii="Verdana" w:eastAsia="Verdana" w:hAnsi="Verdana" w:cs="Verdana"/>
          <w:sz w:val="22"/>
          <w:szCs w:val="22"/>
          <w:shd w:val="clear" w:color="auto" w:fill="FFFFFF" w:themeFill="background1"/>
          <w:lang w:val="en-GB"/>
        </w:rPr>
        <w:t>m) by</w:t>
      </w:r>
      <w:r w:rsidRPr="0044102F">
        <w:rPr>
          <w:rFonts w:ascii="Verdana" w:eastAsia="Verdana" w:hAnsi="Verdana" w:cs="Verdana"/>
          <w:sz w:val="22"/>
          <w:szCs w:val="22"/>
          <w:lang w:val="en-GB"/>
        </w:rPr>
        <w:t xml:space="preserve"> Weightmans LLP Solicitor in the normal course of business during the year, Ms Hannah Walsh (Solicitor to the Surrey Police Group from 1 April 2017) is employed by Weightmans LLP.</w:t>
      </w:r>
    </w:p>
    <w:p w:rsidR="00050307" w:rsidRDefault="00050307" w:rsidP="004856EB">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 Joint Audit Committee member, Chris Jackson, has a related party interest to the value of £116k for the Surrey Domestic Abuse Service as a Trustee of Citizens Advice Bureau Elmbridge (West).  Surrey Police have provided grant funding to the Citizens Advice Elmbridge (West) for Domestic Abuse (£41k) and Coronavirus grant funding re mobile devices (£5k) both of which did not have any input or involvement in the decision making in relation to these grants from Chris Jackson.</w:t>
      </w:r>
    </w:p>
    <w:p w:rsidR="00F227D9" w:rsidRDefault="00F227D9" w:rsidP="004856EB">
      <w:pPr>
        <w:pStyle w:val="Normal0"/>
        <w:spacing w:after="160"/>
        <w:jc w:val="both"/>
        <w:rPr>
          <w:rFonts w:ascii="Verdana" w:eastAsia="Verdana" w:hAnsi="Verdana" w:cs="Verdana"/>
          <w:sz w:val="22"/>
          <w:szCs w:val="22"/>
          <w:lang w:val="en-GB"/>
        </w:rPr>
      </w:pPr>
      <w:r w:rsidRPr="0044102F">
        <w:rPr>
          <w:rFonts w:ascii="Verdana" w:eastAsia="Verdana" w:hAnsi="Verdana" w:cs="Verdana"/>
          <w:sz w:val="22"/>
          <w:szCs w:val="22"/>
          <w:lang w:val="en-GB"/>
        </w:rPr>
        <w:t>Central Government has effective control over the general operations of Chief Constable as it is responsible for providing the statutory framework within which the Chief Constable operates and provides the majority of funding to the Group. Grants received from Central Government by the Group are set out in the Police and the Crime Commissioner for Surrey Group accounts 201</w:t>
      </w:r>
      <w:r w:rsidR="006803CF" w:rsidRPr="0044102F">
        <w:rPr>
          <w:rFonts w:ascii="Verdana" w:eastAsia="Verdana" w:hAnsi="Verdana" w:cs="Verdana"/>
          <w:sz w:val="22"/>
          <w:szCs w:val="22"/>
          <w:lang w:val="en-GB"/>
        </w:rPr>
        <w:t>9/20.</w:t>
      </w:r>
    </w:p>
    <w:p w:rsidR="00F227D9" w:rsidRPr="00FC06D6" w:rsidRDefault="00F227D9" w:rsidP="00F227D9">
      <w:pPr>
        <w:pStyle w:val="Normal0"/>
        <w:spacing w:after="160"/>
        <w:rPr>
          <w:rFonts w:ascii="Verdana" w:hAnsi="Verdana"/>
          <w:sz w:val="4"/>
          <w:szCs w:val="4"/>
          <w:lang w:val="pt-BR"/>
        </w:rPr>
      </w:pPr>
    </w:p>
    <w:p w:rsidR="00F227D9" w:rsidRDefault="00F227D9" w:rsidP="00F227D9">
      <w:pPr>
        <w:pStyle w:val="Heading1"/>
        <w:spacing w:line="259" w:lineRule="auto"/>
        <w:rPr>
          <w:lang w:val="en-GB"/>
        </w:rPr>
      </w:pPr>
      <w:bookmarkStart w:id="25" w:name="_Toc55900995"/>
      <w:r w:rsidRPr="006D134B">
        <w:rPr>
          <w:lang w:val="en-GB"/>
        </w:rPr>
        <w:t>Note 17 - Defined Benefit Pension Scheme</w:t>
      </w:r>
      <w:bookmarkEnd w:id="25"/>
      <w:r w:rsidRPr="006D134B">
        <w:rPr>
          <w:lang w:val="en-GB"/>
        </w:rPr>
        <w:t xml:space="preserve"> </w:t>
      </w:r>
    </w:p>
    <w:p w:rsidR="00F227D9" w:rsidRPr="005F3D4F" w:rsidRDefault="00F227D9" w:rsidP="00F227D9">
      <w:pPr>
        <w:pStyle w:val="Normal0"/>
        <w:spacing w:after="160" w:line="259" w:lineRule="auto"/>
        <w:rPr>
          <w:sz w:val="22"/>
          <w:szCs w:val="22"/>
          <w:lang w:val="en-GB"/>
        </w:rPr>
      </w:pPr>
    </w:p>
    <w:p w:rsidR="00F227D9" w:rsidRDefault="00F227D9" w:rsidP="007C11F3">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 xml:space="preserve">As part of the terms and conditions of employment of its officers and other employees, the Group offers retirement benefits. Although these benefits will not actually be payable until employees retire, the </w:t>
      </w:r>
      <w:r w:rsidR="007C11F3">
        <w:rPr>
          <w:rFonts w:ascii="Verdana" w:eastAsia="Calibri" w:hAnsi="Verdana" w:cs="Arial"/>
          <w:sz w:val="22"/>
          <w:szCs w:val="22"/>
          <w:lang w:val="en-GB"/>
        </w:rPr>
        <w:t>Chief Constable</w:t>
      </w:r>
      <w:r>
        <w:rPr>
          <w:rFonts w:ascii="Verdana" w:eastAsia="Calibri" w:hAnsi="Verdana" w:cs="Arial"/>
          <w:sz w:val="22"/>
          <w:szCs w:val="22"/>
          <w:lang w:val="en-GB"/>
        </w:rPr>
        <w:t xml:space="preserve"> has a commitment to make the payments that need to be disclosed at the time that employees earn their future entitlement. These commitments are included in the Chief Constables Accounts and consolidated into the Group Accounts.</w:t>
      </w:r>
      <w:r>
        <w:rPr>
          <w:rFonts w:ascii="Verdana" w:eastAsia="Calibri" w:hAnsi="Verdana" w:cs="Arial"/>
          <w:sz w:val="22"/>
          <w:szCs w:val="22"/>
          <w:lang w:val="en-GB"/>
        </w:rPr>
        <w:tab/>
      </w:r>
    </w:p>
    <w:p w:rsidR="00F227D9" w:rsidRDefault="00F227D9" w:rsidP="007C11F3">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 xml:space="preserve">The </w:t>
      </w:r>
      <w:r w:rsidR="007C11F3">
        <w:rPr>
          <w:rFonts w:ascii="Verdana" w:eastAsia="Calibri" w:hAnsi="Verdana" w:cs="Arial"/>
          <w:sz w:val="22"/>
          <w:szCs w:val="22"/>
          <w:lang w:val="en-GB"/>
        </w:rPr>
        <w:t>Chief Constable</w:t>
      </w:r>
      <w:r>
        <w:rPr>
          <w:rFonts w:ascii="Verdana" w:eastAsia="Calibri" w:hAnsi="Verdana" w:cs="Arial"/>
          <w:sz w:val="22"/>
          <w:szCs w:val="22"/>
          <w:lang w:val="en-GB"/>
        </w:rPr>
        <w:t xml:space="preserve"> participates in separate pension schemes for police staff and police officers:</w:t>
      </w:r>
    </w:p>
    <w:p w:rsidR="00F227D9" w:rsidRDefault="00F227D9" w:rsidP="007C11F3">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w:t>
      </w:r>
      <w:r>
        <w:rPr>
          <w:rFonts w:ascii="Verdana" w:eastAsia="Calibri" w:hAnsi="Verdana" w:cs="Arial"/>
          <w:sz w:val="22"/>
          <w:szCs w:val="22"/>
          <w:lang w:val="en-GB"/>
        </w:rPr>
        <w:tab/>
      </w:r>
      <w:r w:rsidRPr="007C11F3">
        <w:rPr>
          <w:rFonts w:ascii="Verdana" w:eastAsia="Calibri" w:hAnsi="Verdana" w:cs="Arial"/>
          <w:b/>
          <w:sz w:val="22"/>
          <w:szCs w:val="22"/>
          <w:lang w:val="en-GB"/>
        </w:rPr>
        <w:t>The Local Government Pension Scheme (LGPS) for police staff employees</w:t>
      </w:r>
      <w:r>
        <w:rPr>
          <w:rFonts w:ascii="Verdana" w:eastAsia="Calibri" w:hAnsi="Verdana" w:cs="Arial"/>
          <w:sz w:val="22"/>
          <w:szCs w:val="22"/>
          <w:lang w:val="en-GB"/>
        </w:rPr>
        <w:t>, administered locally by Surrey County Council – this is a funded defined benefit scheme, meaning that the Group and employees pay contributions into a fund, calculated at a level intended to balance the pension liabilities with investment assets. Up to 31 March 2014 the scheme was based on final salary but from 1 April 2014 the scheme has been based on career average.</w:t>
      </w:r>
    </w:p>
    <w:p w:rsidR="00F227D9" w:rsidRDefault="00F227D9" w:rsidP="007C11F3">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w:t>
      </w:r>
      <w:r>
        <w:rPr>
          <w:rFonts w:ascii="Verdana" w:eastAsia="Calibri" w:hAnsi="Verdana" w:cs="Arial"/>
          <w:sz w:val="22"/>
          <w:szCs w:val="22"/>
          <w:lang w:val="en-GB"/>
        </w:rPr>
        <w:tab/>
      </w:r>
      <w:r w:rsidRPr="007C11F3">
        <w:rPr>
          <w:rFonts w:ascii="Verdana" w:eastAsia="Calibri" w:hAnsi="Verdana" w:cs="Arial"/>
          <w:b/>
          <w:sz w:val="22"/>
          <w:szCs w:val="22"/>
          <w:lang w:val="en-GB"/>
        </w:rPr>
        <w:t>The Police Pension Schemes for police officers</w:t>
      </w:r>
      <w:r>
        <w:rPr>
          <w:rFonts w:ascii="Verdana" w:eastAsia="Calibri" w:hAnsi="Verdana" w:cs="Arial"/>
          <w:sz w:val="22"/>
          <w:szCs w:val="22"/>
          <w:lang w:val="en-GB"/>
        </w:rPr>
        <w:t xml:space="preserve"> – these are unfunded defined benefit final salary scheme, the funding arrangements of which are contained in the Police Pension Fund Regulations 2007 (SI 2007/1932).  The Group and employees pay contributions into the fund during the year, but there is no investment assets built up to meet the pension liabilities and payments as they fall due. The regulations require that if the pension fund does not have enough funds to meet the cost of pensions in any year, the amount required to meet the deficit must be transferred from the Group to the pension fund. Subject to Parliamentary scrutiny and approval, up to 100% of this amount is then recouped by the Group in the form of a top-up grant paid by Central Government. Conversely, if the police pension fund is in surplus for the year, the surplus is required to be transferred from the pension fund to the Group, which in turn is required to pay the amount to central Government. </w:t>
      </w:r>
    </w:p>
    <w:p w:rsidR="00F227D9" w:rsidRDefault="00F227D9" w:rsidP="007C11F3">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The costs of retirement benefits are recognised in the Net Cost of Services when they are earned by employees, rather than when the benefits are eventually paid as pensions. In accordance with IAS 19 requirements, the amount includes current and past service costs, curtailments and settlements, together with the gains/losses on the police injury pension.  The current service cost and valuation of the Schemes as at 31 March 2020 have been produced by actuaries. The following transactions reflect the total charges in the Chief Constable's Comprehensive Income and Expenditure Statement. Although these benefits will not actually be payable until employees retire, the Group has a commitment to make the payments for those benefits and to disclose them at the time the employee earns them.</w:t>
      </w:r>
    </w:p>
    <w:p w:rsidR="007C11F3" w:rsidRPr="007C11F3" w:rsidRDefault="007C11F3" w:rsidP="007C11F3">
      <w:pPr>
        <w:spacing w:after="160" w:line="259" w:lineRule="auto"/>
        <w:rPr>
          <w:rFonts w:ascii="Verdana" w:hAnsi="Verdana"/>
          <w:b/>
          <w:sz w:val="22"/>
          <w:szCs w:val="22"/>
          <w:lang w:val="en-GB"/>
        </w:rPr>
      </w:pPr>
      <w:r w:rsidRPr="007C11F3">
        <w:rPr>
          <w:rFonts w:ascii="Verdana" w:eastAsia="Calibri" w:hAnsi="Verdana" w:cs="Arial"/>
          <w:b/>
          <w:sz w:val="22"/>
          <w:szCs w:val="22"/>
          <w:lang w:val="en-GB"/>
        </w:rPr>
        <w:t>McCloud / Sargeant judgement</w:t>
      </w:r>
    </w:p>
    <w:p w:rsidR="007C11F3" w:rsidRPr="007C11F3" w:rsidRDefault="007C11F3" w:rsidP="007C11F3">
      <w:pPr>
        <w:spacing w:after="160" w:line="259" w:lineRule="auto"/>
        <w:jc w:val="both"/>
        <w:rPr>
          <w:rFonts w:ascii="Verdana" w:hAnsi="Verdana"/>
          <w:sz w:val="22"/>
          <w:szCs w:val="22"/>
          <w:lang w:val="en-GB"/>
        </w:rPr>
      </w:pPr>
      <w:r w:rsidRPr="007C11F3">
        <w:rPr>
          <w:rFonts w:ascii="Verdana" w:eastAsia="Calibri" w:hAnsi="Verdana" w:cs="Arial"/>
          <w:sz w:val="22"/>
          <w:szCs w:val="22"/>
          <w:lang w:val="en-GB"/>
        </w:rPr>
        <w:t>The Chief Constable of Surrey, along with the other Chief Constables and the Home Office, currently has a number of claims lodged against them with the Central London Employment Tribunal.  The claims are in respect of alleged unlawlful discrimination arising from the Transitional Provisions in the Police Pension Regulations 2015.</w:t>
      </w:r>
    </w:p>
    <w:p w:rsidR="007C11F3" w:rsidRPr="007C11F3" w:rsidRDefault="007C11F3" w:rsidP="007C11F3">
      <w:pPr>
        <w:spacing w:after="160" w:line="259" w:lineRule="auto"/>
        <w:jc w:val="both"/>
        <w:rPr>
          <w:rFonts w:ascii="Verdana" w:hAnsi="Verdana"/>
          <w:sz w:val="22"/>
          <w:szCs w:val="22"/>
        </w:rPr>
      </w:pPr>
      <w:r w:rsidRPr="007C11F3">
        <w:rPr>
          <w:rFonts w:ascii="Verdana" w:hAnsi="Verdana"/>
          <w:sz w:val="22"/>
          <w:szCs w:val="22"/>
        </w:rPr>
        <w:t>The McCloud and Sargeant judgements concerned the introduction of career average revalued earnings (CARE) pension schemes to replace the former final salary based pension schemes as part of the Hutton recommendation to reform public service pension schemes. Under the changes introduced to each scheme, members were required to transfer to the new schemes from the transition date of the new schemes, this was 1 April 2014 for the police staff scheme (LGPS) and 1 April 2015 for the Police pension scheme.</w:t>
      </w:r>
    </w:p>
    <w:p w:rsidR="007C11F3" w:rsidRDefault="007C11F3" w:rsidP="007C11F3">
      <w:pPr>
        <w:jc w:val="both"/>
        <w:rPr>
          <w:rFonts w:ascii="Verdana" w:hAnsi="Verdana"/>
          <w:sz w:val="22"/>
          <w:szCs w:val="22"/>
        </w:rPr>
      </w:pPr>
      <w:r w:rsidRPr="007C11F3">
        <w:rPr>
          <w:rFonts w:ascii="Verdana" w:hAnsi="Verdana"/>
          <w:sz w:val="22"/>
          <w:szCs w:val="22"/>
        </w:rPr>
        <w:t>There was protection provided for older members under each scheme known as ‘transitional protection’. The McCloud and Sargeant judgements have upheld the claimants’ cases that the method of implementation of the new schemes discriminated against younger members. The government was refused leave to appeal the McCloud and Sargeant Judgements on 27 June 2019. This means various parties return to the respective employment tribunals to formulate a remedy which will resolve the age discrimination of the pension changes.</w:t>
      </w:r>
    </w:p>
    <w:p w:rsidR="007C11F3" w:rsidRDefault="007C11F3" w:rsidP="007C11F3">
      <w:pPr>
        <w:jc w:val="both"/>
        <w:rPr>
          <w:rFonts w:ascii="Verdana" w:hAnsi="Verdana"/>
          <w:sz w:val="22"/>
          <w:szCs w:val="22"/>
        </w:rPr>
      </w:pPr>
    </w:p>
    <w:p w:rsidR="007C11F3" w:rsidRDefault="007C11F3" w:rsidP="007C11F3">
      <w:pPr>
        <w:jc w:val="both"/>
        <w:rPr>
          <w:rFonts w:ascii="Verdana" w:hAnsi="Verdana"/>
          <w:iCs/>
          <w:sz w:val="22"/>
          <w:szCs w:val="22"/>
        </w:rPr>
      </w:pPr>
      <w:r>
        <w:rPr>
          <w:rFonts w:ascii="Verdana" w:hAnsi="Verdana"/>
          <w:iCs/>
          <w:sz w:val="22"/>
          <w:szCs w:val="22"/>
        </w:rPr>
        <w:t>A decision was therefore made to commission IAS 19 pension actuarial reports to include the impacts of this court case and fully provide for them within the 2019/20 accounts of the Chief Constable for both police and staff pension schemes</w:t>
      </w:r>
      <w:r w:rsidR="00B1227F">
        <w:rPr>
          <w:rFonts w:ascii="Verdana" w:hAnsi="Verdana"/>
          <w:iCs/>
          <w:sz w:val="22"/>
          <w:szCs w:val="22"/>
        </w:rPr>
        <w:t>.</w:t>
      </w:r>
    </w:p>
    <w:p w:rsidR="00B1227F" w:rsidRDefault="00B1227F" w:rsidP="007C11F3">
      <w:pPr>
        <w:jc w:val="both"/>
        <w:rPr>
          <w:rFonts w:ascii="Verdana" w:hAnsi="Verdana"/>
          <w:iCs/>
          <w:sz w:val="22"/>
          <w:szCs w:val="22"/>
        </w:rPr>
      </w:pPr>
    </w:p>
    <w:p w:rsidR="00B1227F" w:rsidRPr="007C11F3" w:rsidRDefault="00B1227F" w:rsidP="007C11F3">
      <w:pPr>
        <w:jc w:val="both"/>
        <w:rPr>
          <w:rFonts w:ascii="Verdana" w:hAnsi="Verdana"/>
          <w:sz w:val="22"/>
          <w:szCs w:val="22"/>
        </w:rPr>
      </w:pPr>
      <w:r>
        <w:rPr>
          <w:rFonts w:ascii="Verdana" w:hAnsi="Verdana"/>
          <w:sz w:val="22"/>
          <w:szCs w:val="22"/>
        </w:rPr>
        <w:t xml:space="preserve">Since the draft financial statements were published in July 2020 adjustments have been made to these accounts following HM Treasury’s publication of the consultation into changes to the transitional arrangements to the 2015 Scheme. The following figures include updated calculations to only allow for potential McCloud remedy costs for those who were in service on 31 March 2012 and 1 April 2015. This change is based on the eligibility criteria set out by HM Treasury in their consultation and reduces the overall McCloud liability by approximately £29m. </w:t>
      </w:r>
      <w:r w:rsidR="00D82E50">
        <w:rPr>
          <w:rFonts w:ascii="Verdana" w:hAnsi="Verdana"/>
          <w:sz w:val="22"/>
          <w:szCs w:val="22"/>
        </w:rPr>
        <w:t>The</w:t>
      </w:r>
      <w:r>
        <w:rPr>
          <w:rFonts w:ascii="Verdana" w:hAnsi="Verdana"/>
          <w:sz w:val="22"/>
          <w:szCs w:val="22"/>
        </w:rPr>
        <w:t xml:space="preserve"> estimated McCloud allowance </w:t>
      </w:r>
      <w:r w:rsidR="00D82E50">
        <w:rPr>
          <w:rFonts w:ascii="Verdana" w:hAnsi="Verdana"/>
          <w:sz w:val="22"/>
          <w:szCs w:val="22"/>
        </w:rPr>
        <w:t>reduction results in a Past Service Cost Gain in 2019/20.</w:t>
      </w:r>
    </w:p>
    <w:p w:rsidR="007C11F3" w:rsidRDefault="007C11F3">
      <w:pPr>
        <w:pStyle w:val="Normal0"/>
        <w:spacing w:after="160" w:line="259" w:lineRule="auto"/>
        <w:rPr>
          <w:rFonts w:ascii="Verdana" w:eastAsia="Calibri" w:hAnsi="Verdana" w:cs="Arial"/>
          <w:sz w:val="22"/>
          <w:szCs w:val="22"/>
          <w:highlight w:val="yellow"/>
          <w:lang w:val="en-GB"/>
        </w:rPr>
      </w:pPr>
    </w:p>
    <w:p w:rsidR="00C06223" w:rsidRDefault="00DA1BE1">
      <w:pPr>
        <w:pStyle w:val="Normal0"/>
        <w:spacing w:after="160" w:line="259" w:lineRule="auto"/>
        <w:rPr>
          <w:rFonts w:ascii="Verdana" w:eastAsia="Calibri" w:hAnsi="Verdana" w:cs="Arial"/>
          <w:sz w:val="22"/>
          <w:szCs w:val="22"/>
          <w:highlight w:val="yellow"/>
          <w:lang w:val="en-GB"/>
        </w:rPr>
      </w:pPr>
      <w:r w:rsidRPr="00EA146B">
        <w:rPr>
          <w:noProof/>
          <w:lang w:val="en-GB" w:eastAsia="en-GB"/>
        </w:rPr>
        <w:drawing>
          <wp:inline distT="0" distB="0" distL="0" distR="0">
            <wp:extent cx="6642100" cy="28817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2100" cy="2881755"/>
                    </a:xfrm>
                    <a:prstGeom prst="rect">
                      <a:avLst/>
                    </a:prstGeom>
                    <a:noFill/>
                    <a:ln>
                      <a:noFill/>
                    </a:ln>
                  </pic:spPr>
                </pic:pic>
              </a:graphicData>
            </a:graphic>
          </wp:inline>
        </w:drawing>
      </w:r>
    </w:p>
    <w:p w:rsidR="00C06223" w:rsidRDefault="00DA1BE1">
      <w:pPr>
        <w:pStyle w:val="Normal0"/>
        <w:spacing w:after="160" w:line="259" w:lineRule="auto"/>
        <w:rPr>
          <w:rFonts w:ascii="Verdana" w:eastAsia="Calibri" w:hAnsi="Verdana" w:cs="Arial"/>
          <w:sz w:val="22"/>
          <w:szCs w:val="22"/>
          <w:highlight w:val="yellow"/>
          <w:lang w:val="en-GB"/>
        </w:rPr>
      </w:pPr>
      <w:r w:rsidRPr="00EA146B">
        <w:rPr>
          <w:noProof/>
          <w:lang w:val="en-GB" w:eastAsia="en-GB"/>
        </w:rPr>
        <w:drawing>
          <wp:inline distT="0" distB="0" distL="0" distR="0">
            <wp:extent cx="6642100" cy="3815407"/>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42100" cy="3815407"/>
                    </a:xfrm>
                    <a:prstGeom prst="rect">
                      <a:avLst/>
                    </a:prstGeom>
                    <a:noFill/>
                    <a:ln>
                      <a:noFill/>
                    </a:ln>
                  </pic:spPr>
                </pic:pic>
              </a:graphicData>
            </a:graphic>
          </wp:inline>
        </w:drawing>
      </w:r>
    </w:p>
    <w:p w:rsidR="00DA1BE1" w:rsidRDefault="00DA1BE1">
      <w:pPr>
        <w:pStyle w:val="Normal0"/>
        <w:spacing w:after="160" w:line="259" w:lineRule="auto"/>
        <w:rPr>
          <w:rFonts w:ascii="Verdana" w:eastAsia="Calibri" w:hAnsi="Verdana" w:cs="Arial"/>
          <w:sz w:val="22"/>
          <w:szCs w:val="22"/>
          <w:highlight w:val="yellow"/>
          <w:lang w:val="en-GB"/>
        </w:rPr>
      </w:pPr>
    </w:p>
    <w:p w:rsidR="00F227D9" w:rsidRDefault="00DA1BE1">
      <w:pPr>
        <w:pStyle w:val="Normal0"/>
        <w:spacing w:after="160" w:line="259" w:lineRule="auto"/>
        <w:rPr>
          <w:rFonts w:ascii="Verdana" w:hAnsi="Verdana"/>
          <w:sz w:val="22"/>
          <w:szCs w:val="22"/>
          <w:lang w:val="en-GB"/>
        </w:rPr>
      </w:pPr>
      <w:r w:rsidRPr="00DA1BE1">
        <w:rPr>
          <w:noProof/>
          <w:lang w:val="en-GB" w:eastAsia="en-GB"/>
        </w:rPr>
        <w:drawing>
          <wp:inline distT="0" distB="0" distL="0" distR="0">
            <wp:extent cx="6642100" cy="2602257"/>
            <wp:effectExtent l="0" t="0" r="635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2100" cy="2602257"/>
                    </a:xfrm>
                    <a:prstGeom prst="rect">
                      <a:avLst/>
                    </a:prstGeom>
                    <a:noFill/>
                    <a:ln>
                      <a:noFill/>
                    </a:ln>
                  </pic:spPr>
                </pic:pic>
              </a:graphicData>
            </a:graphic>
          </wp:inline>
        </w:drawing>
      </w:r>
    </w:p>
    <w:p w:rsidR="00C06223" w:rsidRDefault="00DA1BE1">
      <w:pPr>
        <w:pStyle w:val="Normal0"/>
        <w:spacing w:after="160" w:line="259" w:lineRule="auto"/>
        <w:rPr>
          <w:rFonts w:ascii="Verdana" w:hAnsi="Verdana"/>
          <w:sz w:val="22"/>
          <w:szCs w:val="22"/>
          <w:lang w:val="en-GB"/>
        </w:rPr>
      </w:pPr>
      <w:r w:rsidRPr="00DA1BE1">
        <w:rPr>
          <w:noProof/>
          <w:lang w:val="en-GB" w:eastAsia="en-GB"/>
        </w:rPr>
        <w:drawing>
          <wp:inline distT="0" distB="0" distL="0" distR="0">
            <wp:extent cx="6642100" cy="6466741"/>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42100" cy="6466741"/>
                    </a:xfrm>
                    <a:prstGeom prst="rect">
                      <a:avLst/>
                    </a:prstGeom>
                    <a:noFill/>
                    <a:ln>
                      <a:noFill/>
                    </a:ln>
                  </pic:spPr>
                </pic:pic>
              </a:graphicData>
            </a:graphic>
          </wp:inline>
        </w:drawing>
      </w:r>
    </w:p>
    <w:p w:rsidR="00C06223" w:rsidRDefault="00C06223">
      <w:pPr>
        <w:pStyle w:val="Normal0"/>
        <w:spacing w:after="160" w:line="259" w:lineRule="auto"/>
        <w:rPr>
          <w:rFonts w:ascii="Verdana" w:hAnsi="Verdana"/>
          <w:sz w:val="22"/>
          <w:szCs w:val="22"/>
          <w:lang w:val="en-GB"/>
        </w:rPr>
      </w:pPr>
    </w:p>
    <w:p w:rsidR="00F227D9" w:rsidRDefault="00DA1BE1">
      <w:pPr>
        <w:pStyle w:val="T1TableStyle"/>
        <w:rPr>
          <w:rFonts w:ascii="Verdana" w:hAnsi="Verdana"/>
          <w:lang w:val="en-GB"/>
        </w:rPr>
      </w:pPr>
      <w:r w:rsidRPr="00DA1BE1">
        <w:rPr>
          <w:noProof/>
          <w:lang w:val="en-GB" w:eastAsia="en-GB"/>
        </w:rPr>
        <w:drawing>
          <wp:inline distT="0" distB="0" distL="0" distR="0">
            <wp:extent cx="6642100" cy="4857986"/>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2100" cy="4857986"/>
                    </a:xfrm>
                    <a:prstGeom prst="rect">
                      <a:avLst/>
                    </a:prstGeom>
                    <a:noFill/>
                    <a:ln>
                      <a:noFill/>
                    </a:ln>
                  </pic:spPr>
                </pic:pic>
              </a:graphicData>
            </a:graphic>
          </wp:inline>
        </w:drawing>
      </w:r>
    </w:p>
    <w:p w:rsidR="00DA1BE1" w:rsidRDefault="00DA1BE1">
      <w:pPr>
        <w:pStyle w:val="T1TableStyle"/>
        <w:rPr>
          <w:rFonts w:ascii="Verdana" w:hAnsi="Verdana"/>
          <w:lang w:val="en-GB"/>
        </w:rPr>
      </w:pPr>
    </w:p>
    <w:p w:rsidR="00F227D9" w:rsidRDefault="00C06223">
      <w:pPr>
        <w:pStyle w:val="T1TableStyle"/>
        <w:rPr>
          <w:rFonts w:ascii="Verdana" w:hAnsi="Verdana"/>
          <w:lang w:val="en-GB"/>
        </w:rPr>
      </w:pPr>
      <w:r w:rsidRPr="00C06223">
        <w:rPr>
          <w:noProof/>
          <w:lang w:val="en-GB" w:eastAsia="en-GB"/>
        </w:rPr>
        <w:drawing>
          <wp:inline distT="0" distB="0" distL="0" distR="0">
            <wp:extent cx="4921885" cy="41503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21885" cy="4150360"/>
                    </a:xfrm>
                    <a:prstGeom prst="rect">
                      <a:avLst/>
                    </a:prstGeom>
                    <a:noFill/>
                    <a:ln>
                      <a:noFill/>
                    </a:ln>
                  </pic:spPr>
                </pic:pic>
              </a:graphicData>
            </a:graphic>
          </wp:inline>
        </w:drawing>
      </w:r>
    </w:p>
    <w:p w:rsidR="00F227D9" w:rsidRDefault="00446E9E" w:rsidP="00F227D9">
      <w:pPr>
        <w:pStyle w:val="T1TableStyle"/>
        <w:rPr>
          <w:rFonts w:ascii="Verdana" w:hAnsi="Verdana"/>
          <w:lang w:val="en-GB"/>
        </w:rPr>
      </w:pPr>
      <w:r w:rsidRPr="00446E9E">
        <w:rPr>
          <w:noProof/>
          <w:lang w:val="en-GB" w:eastAsia="en-GB"/>
        </w:rPr>
        <w:drawing>
          <wp:inline distT="0" distB="0" distL="0" distR="0">
            <wp:extent cx="4921885" cy="3625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21885" cy="3625850"/>
                    </a:xfrm>
                    <a:prstGeom prst="rect">
                      <a:avLst/>
                    </a:prstGeom>
                    <a:noFill/>
                    <a:ln>
                      <a:noFill/>
                    </a:ln>
                  </pic:spPr>
                </pic:pic>
              </a:graphicData>
            </a:graphic>
          </wp:inline>
        </w:drawing>
      </w:r>
    </w:p>
    <w:p w:rsidR="00C06223" w:rsidRDefault="00C06223" w:rsidP="00F227D9">
      <w:pPr>
        <w:pStyle w:val="T1TableStyle"/>
        <w:rPr>
          <w:rFonts w:ascii="Verdana" w:hAnsi="Verdana"/>
          <w:lang w:val="en-GB"/>
        </w:rPr>
      </w:pPr>
    </w:p>
    <w:p w:rsidR="00C06223" w:rsidRDefault="00C06223" w:rsidP="00F227D9">
      <w:pPr>
        <w:pStyle w:val="T1TableStyle"/>
        <w:rPr>
          <w:rFonts w:ascii="Verdana" w:hAnsi="Verdana"/>
          <w:lang w:val="en-GB"/>
        </w:rPr>
      </w:pPr>
    </w:p>
    <w:p w:rsidR="00C06223" w:rsidRDefault="00C06223" w:rsidP="00F227D9">
      <w:pPr>
        <w:pStyle w:val="T1TableStyle"/>
        <w:rPr>
          <w:rFonts w:ascii="Verdana" w:hAnsi="Verdana"/>
          <w:lang w:val="en-GB"/>
        </w:rPr>
      </w:pPr>
      <w:r w:rsidRPr="00C06223">
        <w:rPr>
          <w:noProof/>
          <w:lang w:val="en-GB" w:eastAsia="en-GB"/>
        </w:rPr>
        <w:drawing>
          <wp:inline distT="0" distB="0" distL="0" distR="0">
            <wp:extent cx="4921885" cy="481838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21885" cy="4818380"/>
                    </a:xfrm>
                    <a:prstGeom prst="rect">
                      <a:avLst/>
                    </a:prstGeom>
                    <a:noFill/>
                    <a:ln>
                      <a:noFill/>
                    </a:ln>
                  </pic:spPr>
                </pic:pic>
              </a:graphicData>
            </a:graphic>
          </wp:inline>
        </w:drawing>
      </w:r>
    </w:p>
    <w:p w:rsidR="00C06223" w:rsidRDefault="00DA1BE1" w:rsidP="00F227D9">
      <w:pPr>
        <w:pStyle w:val="T1TableStyle"/>
        <w:rPr>
          <w:rFonts w:ascii="Verdana" w:hAnsi="Verdana"/>
          <w:lang w:val="en-GB"/>
        </w:rPr>
      </w:pPr>
      <w:r w:rsidRPr="00DA1BE1">
        <w:rPr>
          <w:noProof/>
          <w:lang w:val="en-GB" w:eastAsia="en-GB"/>
        </w:rPr>
        <w:drawing>
          <wp:inline distT="0" distB="0" distL="0" distR="0">
            <wp:extent cx="4926965" cy="4531360"/>
            <wp:effectExtent l="0" t="0" r="698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26965" cy="4531360"/>
                    </a:xfrm>
                    <a:prstGeom prst="rect">
                      <a:avLst/>
                    </a:prstGeom>
                    <a:noFill/>
                    <a:ln>
                      <a:noFill/>
                    </a:ln>
                  </pic:spPr>
                </pic:pic>
              </a:graphicData>
            </a:graphic>
          </wp:inline>
        </w:drawing>
      </w:r>
    </w:p>
    <w:p w:rsidR="00C06223" w:rsidRDefault="00C06223" w:rsidP="00F227D9">
      <w:pPr>
        <w:pStyle w:val="T1TableStyle"/>
        <w:rPr>
          <w:rFonts w:ascii="Verdana" w:hAnsi="Verdana"/>
          <w:lang w:val="en-GB"/>
        </w:rPr>
      </w:pPr>
    </w:p>
    <w:p w:rsidR="00C06223" w:rsidRDefault="00C06223" w:rsidP="00F227D9">
      <w:pPr>
        <w:pStyle w:val="T1TableStyle"/>
        <w:rPr>
          <w:rFonts w:ascii="Verdana" w:hAnsi="Verdana"/>
          <w:lang w:val="en-GB"/>
        </w:rPr>
      </w:pPr>
    </w:p>
    <w:p w:rsidR="00C06223" w:rsidRDefault="00DA1BE1" w:rsidP="00F227D9">
      <w:pPr>
        <w:pStyle w:val="T1TableStyle"/>
        <w:rPr>
          <w:rFonts w:ascii="Verdana" w:hAnsi="Verdana"/>
          <w:lang w:val="en-GB"/>
        </w:rPr>
      </w:pPr>
      <w:r w:rsidRPr="00DA1BE1">
        <w:rPr>
          <w:noProof/>
          <w:lang w:val="en-GB" w:eastAsia="en-GB"/>
        </w:rPr>
        <w:drawing>
          <wp:inline distT="0" distB="0" distL="0" distR="0">
            <wp:extent cx="4926965" cy="1421130"/>
            <wp:effectExtent l="0" t="0" r="6985"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26965" cy="1421130"/>
                    </a:xfrm>
                    <a:prstGeom prst="rect">
                      <a:avLst/>
                    </a:prstGeom>
                    <a:noFill/>
                    <a:ln>
                      <a:noFill/>
                    </a:ln>
                  </pic:spPr>
                </pic:pic>
              </a:graphicData>
            </a:graphic>
          </wp:inline>
        </w:drawing>
      </w:r>
    </w:p>
    <w:p w:rsidR="007C11F3" w:rsidRDefault="007C11F3"/>
    <w:tbl>
      <w:tblPr>
        <w:tblW w:w="0" w:type="auto"/>
        <w:tblLayout w:type="fixed"/>
        <w:tblLook w:val="04A0" w:firstRow="1" w:lastRow="0" w:firstColumn="1" w:lastColumn="0" w:noHBand="0" w:noVBand="1"/>
      </w:tblPr>
      <w:tblGrid>
        <w:gridCol w:w="7701"/>
      </w:tblGrid>
      <w:tr w:rsidR="0053376B" w:rsidTr="003E513C">
        <w:trPr>
          <w:wAfter w:w="1745" w:type="dxa"/>
          <w:trHeight w:val="254"/>
        </w:trPr>
        <w:tc>
          <w:tcPr>
            <w:tcW w:w="7701" w:type="dxa"/>
            <w:shd w:val="clear" w:color="auto" w:fill="auto"/>
            <w:tcMar>
              <w:top w:w="20" w:type="dxa"/>
              <w:left w:w="20" w:type="dxa"/>
              <w:bottom w:w="20" w:type="dxa"/>
              <w:right w:w="20" w:type="dxa"/>
            </w:tcMar>
            <w:vAlign w:val="bottom"/>
          </w:tcPr>
          <w:p w:rsidR="00F227D9" w:rsidRDefault="00F227D9">
            <w:pPr>
              <w:pStyle w:val="T1TableStyle"/>
              <w:rPr>
                <w:rFonts w:ascii="Verdana" w:eastAsia="Verdana" w:hAnsi="Verdana" w:cs="Verdana"/>
                <w:b/>
                <w:color w:val="000000"/>
                <w:sz w:val="16"/>
                <w:lang w:val="en-GB"/>
              </w:rPr>
            </w:pPr>
          </w:p>
        </w:tc>
      </w:tr>
    </w:tbl>
    <w:p w:rsidR="00F227D9" w:rsidRDefault="00F227D9" w:rsidP="007C11F3">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The expected return on scheme assets is determined by considering the expected returns available on the assets underlying the current investment policy.  Expected yields on fixed interest investments are based on gross redemption yields as at the Balance Sheet date.  Expected returns on equity investments reflect long-term real rates of return experienced in the respective markets.</w:t>
      </w:r>
    </w:p>
    <w:p w:rsidR="00F227D9" w:rsidRDefault="00F227D9" w:rsidP="007C11F3">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The cost of retirement benefits are recognised in the reported cost of services when they are earned by employees, rather than when the benefits are eventually paid as pensions. However, the charge required against council tax is based on the cash payable in the year, so the real cost of post-employment/retirement benefits is reversed out of the General Fund via the Movement in Reserves Statement.</w:t>
      </w:r>
    </w:p>
    <w:p w:rsidR="00F227D9" w:rsidRDefault="00F227D9" w:rsidP="007C11F3">
      <w:pPr>
        <w:pStyle w:val="Normal0"/>
        <w:spacing w:after="160" w:line="259" w:lineRule="auto"/>
        <w:jc w:val="both"/>
        <w:rPr>
          <w:rFonts w:ascii="Verdana" w:hAnsi="Verdana"/>
          <w:sz w:val="22"/>
          <w:szCs w:val="22"/>
          <w:lang w:val="en-GB"/>
        </w:rPr>
      </w:pPr>
      <w:r w:rsidRPr="0093439D">
        <w:rPr>
          <w:rFonts w:ascii="Verdana" w:eastAsia="Calibri" w:hAnsi="Verdana" w:cs="Arial"/>
          <w:sz w:val="22"/>
          <w:szCs w:val="22"/>
          <w:lang w:val="en-GB"/>
        </w:rPr>
        <w:t xml:space="preserve">The liabilities show the underlying commitments that the </w:t>
      </w:r>
      <w:r w:rsidR="001022EE">
        <w:rPr>
          <w:rFonts w:ascii="Verdana" w:eastAsia="Calibri" w:hAnsi="Verdana" w:cs="Arial"/>
          <w:sz w:val="22"/>
          <w:szCs w:val="22"/>
          <w:lang w:val="en-GB"/>
        </w:rPr>
        <w:t>Chief Constable</w:t>
      </w:r>
      <w:r w:rsidR="001022EE" w:rsidRPr="0093439D">
        <w:rPr>
          <w:rFonts w:ascii="Verdana" w:eastAsia="Calibri" w:hAnsi="Verdana" w:cs="Arial"/>
          <w:sz w:val="22"/>
          <w:szCs w:val="22"/>
          <w:lang w:val="en-GB"/>
        </w:rPr>
        <w:t xml:space="preserve"> </w:t>
      </w:r>
      <w:r w:rsidRPr="0093439D">
        <w:rPr>
          <w:rFonts w:ascii="Verdana" w:eastAsia="Calibri" w:hAnsi="Verdana" w:cs="Arial"/>
          <w:sz w:val="22"/>
          <w:szCs w:val="22"/>
          <w:lang w:val="en-GB"/>
        </w:rPr>
        <w:t>has in the long run to pay retirement benefits.  The total liability of £2</w:t>
      </w:r>
      <w:r w:rsidR="00992C4B">
        <w:rPr>
          <w:rFonts w:ascii="Verdana" w:eastAsia="Calibri" w:hAnsi="Verdana" w:cs="Arial"/>
          <w:sz w:val="22"/>
          <w:szCs w:val="22"/>
          <w:lang w:val="en-GB"/>
        </w:rPr>
        <w:t>,</w:t>
      </w:r>
      <w:r w:rsidR="0093439D" w:rsidRPr="0093439D">
        <w:rPr>
          <w:rFonts w:ascii="Verdana" w:eastAsia="Calibri" w:hAnsi="Verdana" w:cs="Arial"/>
          <w:sz w:val="22"/>
          <w:szCs w:val="22"/>
          <w:lang w:val="en-GB"/>
        </w:rPr>
        <w:t>0</w:t>
      </w:r>
      <w:r w:rsidR="0093439D" w:rsidRPr="00EA146B">
        <w:rPr>
          <w:rFonts w:ascii="Verdana" w:eastAsia="Calibri" w:hAnsi="Verdana" w:cs="Arial"/>
          <w:sz w:val="22"/>
          <w:szCs w:val="22"/>
          <w:lang w:val="en-GB"/>
        </w:rPr>
        <w:t>2</w:t>
      </w:r>
      <w:r w:rsidR="001022EE">
        <w:rPr>
          <w:rFonts w:ascii="Verdana" w:eastAsia="Calibri" w:hAnsi="Verdana" w:cs="Arial"/>
          <w:sz w:val="22"/>
          <w:szCs w:val="22"/>
          <w:lang w:val="en-GB"/>
        </w:rPr>
        <w:t>6</w:t>
      </w:r>
      <w:r w:rsidRPr="0093439D">
        <w:rPr>
          <w:rFonts w:ascii="Verdana" w:eastAsia="Calibri" w:hAnsi="Verdana" w:cs="Arial"/>
          <w:sz w:val="22"/>
          <w:szCs w:val="22"/>
          <w:lang w:val="en-GB"/>
        </w:rPr>
        <w:t>.</w:t>
      </w:r>
      <w:r w:rsidR="001022EE">
        <w:rPr>
          <w:rFonts w:ascii="Verdana" w:eastAsia="Calibri" w:hAnsi="Verdana" w:cs="Arial"/>
          <w:sz w:val="22"/>
          <w:szCs w:val="22"/>
          <w:lang w:val="en-GB"/>
        </w:rPr>
        <w:t>6</w:t>
      </w:r>
      <w:r w:rsidRPr="0093439D">
        <w:rPr>
          <w:rFonts w:ascii="Verdana" w:eastAsia="Calibri" w:hAnsi="Verdana" w:cs="Arial"/>
          <w:sz w:val="22"/>
          <w:szCs w:val="22"/>
          <w:lang w:val="en-GB"/>
        </w:rPr>
        <w:t xml:space="preserve">m has a substantial impact on the net worth of the </w:t>
      </w:r>
      <w:r w:rsidR="001022EE">
        <w:rPr>
          <w:rFonts w:ascii="Verdana" w:eastAsia="Calibri" w:hAnsi="Verdana" w:cs="Arial"/>
          <w:sz w:val="22"/>
          <w:szCs w:val="22"/>
          <w:lang w:val="en-GB"/>
        </w:rPr>
        <w:t>Chief Constable</w:t>
      </w:r>
      <w:r w:rsidR="001022EE" w:rsidRPr="0093439D">
        <w:rPr>
          <w:rFonts w:ascii="Verdana" w:eastAsia="Calibri" w:hAnsi="Verdana" w:cs="Arial"/>
          <w:sz w:val="22"/>
          <w:szCs w:val="22"/>
          <w:lang w:val="en-GB"/>
        </w:rPr>
        <w:t xml:space="preserve"> </w:t>
      </w:r>
      <w:r w:rsidRPr="0093439D">
        <w:rPr>
          <w:rFonts w:ascii="Verdana" w:eastAsia="Calibri" w:hAnsi="Verdana" w:cs="Arial"/>
          <w:sz w:val="22"/>
          <w:szCs w:val="22"/>
          <w:lang w:val="en-GB"/>
        </w:rPr>
        <w:t>as recorded in the Balance Sheet, resulting in a negative overall balance of £</w:t>
      </w:r>
      <w:r w:rsidR="001022EE">
        <w:rPr>
          <w:rFonts w:ascii="Verdana" w:eastAsia="Calibri" w:hAnsi="Verdana" w:cs="Arial"/>
          <w:sz w:val="22"/>
          <w:szCs w:val="22"/>
          <w:lang w:val="en-GB"/>
        </w:rPr>
        <w:t>2</w:t>
      </w:r>
      <w:r w:rsidR="00C76394" w:rsidRPr="0093439D">
        <w:rPr>
          <w:rFonts w:ascii="Verdana" w:eastAsia="Calibri" w:hAnsi="Verdana" w:cs="Arial"/>
          <w:sz w:val="22"/>
          <w:szCs w:val="22"/>
          <w:lang w:val="en-GB"/>
        </w:rPr>
        <w:t>,</w:t>
      </w:r>
      <w:r w:rsidR="001022EE">
        <w:rPr>
          <w:rFonts w:ascii="Verdana" w:eastAsia="Calibri" w:hAnsi="Verdana" w:cs="Arial"/>
          <w:sz w:val="22"/>
          <w:szCs w:val="22"/>
          <w:lang w:val="en-GB"/>
        </w:rPr>
        <w:t>027</w:t>
      </w:r>
      <w:r w:rsidRPr="0093439D">
        <w:rPr>
          <w:rFonts w:ascii="Verdana" w:eastAsia="Calibri" w:hAnsi="Verdana" w:cs="Arial"/>
          <w:sz w:val="22"/>
          <w:szCs w:val="22"/>
          <w:lang w:val="en-GB"/>
        </w:rPr>
        <w:t>.</w:t>
      </w:r>
      <w:r w:rsidR="001022EE">
        <w:rPr>
          <w:rFonts w:ascii="Verdana" w:eastAsia="Calibri" w:hAnsi="Verdana" w:cs="Arial"/>
          <w:sz w:val="22"/>
          <w:szCs w:val="22"/>
          <w:lang w:val="en-GB"/>
        </w:rPr>
        <w:t>6</w:t>
      </w:r>
      <w:r w:rsidRPr="0093439D">
        <w:rPr>
          <w:rFonts w:ascii="Verdana" w:eastAsia="Calibri" w:hAnsi="Verdana" w:cs="Arial"/>
          <w:sz w:val="22"/>
          <w:szCs w:val="22"/>
          <w:lang w:val="en-GB"/>
        </w:rPr>
        <w:t>m. However</w:t>
      </w:r>
      <w:r>
        <w:rPr>
          <w:rFonts w:ascii="Verdana" w:eastAsia="Calibri" w:hAnsi="Verdana" w:cs="Arial"/>
          <w:sz w:val="22"/>
          <w:szCs w:val="22"/>
          <w:lang w:val="en-GB"/>
        </w:rPr>
        <w:t xml:space="preserve"> statutory arrangements for funding the deficit mean that the financial position of the Group remains healthy.</w:t>
      </w:r>
    </w:p>
    <w:p w:rsidR="00F227D9" w:rsidRDefault="00F227D9" w:rsidP="007C11F3">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The deficit on the Local Government Pension Scheme will be made good by increased contributions over the remaining working life of employees, as assessed by the Scheme actuary.</w:t>
      </w:r>
    </w:p>
    <w:p w:rsidR="00F227D9" w:rsidRDefault="00F227D9" w:rsidP="007C11F3">
      <w:pPr>
        <w:pStyle w:val="Normal0"/>
        <w:spacing w:after="160" w:line="259" w:lineRule="auto"/>
        <w:jc w:val="both"/>
        <w:rPr>
          <w:rFonts w:ascii="Verdana" w:eastAsia="Calibri" w:hAnsi="Verdana" w:cs="Arial"/>
          <w:sz w:val="22"/>
          <w:szCs w:val="22"/>
          <w:lang w:val="en-GB"/>
        </w:rPr>
      </w:pPr>
      <w:r>
        <w:rPr>
          <w:rFonts w:ascii="Verdana" w:eastAsia="Calibri" w:hAnsi="Verdana" w:cs="Arial"/>
          <w:sz w:val="22"/>
          <w:szCs w:val="22"/>
          <w:lang w:val="en-GB"/>
        </w:rPr>
        <w:t>Finance is only required to be raised to cover police pensions when the pensions are actually paid and is restricted to the level of employers’ contribution payable by the Chief Constable and funded by the PCC.</w:t>
      </w:r>
    </w:p>
    <w:p w:rsidR="00742A40" w:rsidRPr="004E6D30" w:rsidRDefault="00742A40" w:rsidP="00742A40">
      <w:pPr>
        <w:pStyle w:val="Normal0"/>
        <w:spacing w:after="160"/>
        <w:jc w:val="both"/>
        <w:rPr>
          <w:rFonts w:ascii="Verdana" w:hAnsi="Verdana"/>
          <w:sz w:val="22"/>
          <w:szCs w:val="22"/>
        </w:rPr>
      </w:pPr>
      <w:r w:rsidRPr="004E6D30">
        <w:rPr>
          <w:rFonts w:ascii="Verdana" w:eastAsia="Verdana" w:hAnsi="Verdana" w:cs="Verdana"/>
          <w:sz w:val="22"/>
          <w:szCs w:val="22"/>
          <w:lang w:val="en-GB"/>
        </w:rPr>
        <w:t xml:space="preserve">During the 2019/20 and in line with best practice the </w:t>
      </w:r>
      <w:r w:rsidRPr="004E6D30">
        <w:rPr>
          <w:rFonts w:ascii="Verdana" w:hAnsi="Verdana"/>
          <w:sz w:val="22"/>
          <w:szCs w:val="22"/>
        </w:rPr>
        <w:t xml:space="preserve">civilian LGPS pension costs have been split to show the separate liability for the Chief Constable and the PCC for full transparency.  This amounts to a transfer of liability from the Chief Constable to the PCC of £1,414k which has been re-measured </w:t>
      </w:r>
      <w:r>
        <w:rPr>
          <w:rFonts w:ascii="Verdana" w:hAnsi="Verdana"/>
          <w:sz w:val="22"/>
          <w:szCs w:val="22"/>
        </w:rPr>
        <w:t xml:space="preserve">and included </w:t>
      </w:r>
      <w:r w:rsidRPr="004E6D30">
        <w:rPr>
          <w:rFonts w:ascii="Verdana" w:hAnsi="Verdana"/>
          <w:sz w:val="22"/>
          <w:szCs w:val="22"/>
        </w:rPr>
        <w:t>within other Comprehensive Income and Expenditure as the</w:t>
      </w:r>
      <w:r>
        <w:rPr>
          <w:rFonts w:ascii="Verdana" w:hAnsi="Verdana"/>
          <w:sz w:val="22"/>
          <w:szCs w:val="22"/>
        </w:rPr>
        <w:t xml:space="preserve"> following</w:t>
      </w:r>
      <w:r w:rsidRPr="004E6D30">
        <w:rPr>
          <w:rFonts w:ascii="Verdana" w:hAnsi="Verdana"/>
          <w:sz w:val="22"/>
          <w:szCs w:val="22"/>
        </w:rPr>
        <w:t xml:space="preserve"> table illustrates:</w:t>
      </w:r>
    </w:p>
    <w:tbl>
      <w:tblPr>
        <w:tblW w:w="8364" w:type="dxa"/>
        <w:jc w:val="center"/>
        <w:tblLook w:val="04A0" w:firstRow="1" w:lastRow="0" w:firstColumn="1" w:lastColumn="0" w:noHBand="0" w:noVBand="1"/>
      </w:tblPr>
      <w:tblGrid>
        <w:gridCol w:w="4713"/>
        <w:gridCol w:w="1150"/>
        <w:gridCol w:w="1573"/>
        <w:gridCol w:w="1452"/>
      </w:tblGrid>
      <w:tr w:rsidR="00742A40" w:rsidRPr="00B31164" w:rsidTr="00994FDF">
        <w:trPr>
          <w:trHeight w:val="215"/>
          <w:jc w:val="center"/>
        </w:trPr>
        <w:tc>
          <w:tcPr>
            <w:tcW w:w="4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2A40" w:rsidRPr="004E6D30" w:rsidRDefault="00742A40" w:rsidP="00994FDF">
            <w:pPr>
              <w:rPr>
                <w:rFonts w:ascii="Verdana" w:eastAsia="Times New Roman" w:hAnsi="Verdana"/>
                <w:b/>
                <w:color w:val="000000"/>
                <w:sz w:val="16"/>
                <w:szCs w:val="16"/>
                <w:lang w:eastAsia="en-GB"/>
              </w:rPr>
            </w:pPr>
            <w:r w:rsidRPr="00B31164">
              <w:rPr>
                <w:rFonts w:ascii="Verdana" w:eastAsia="Times New Roman" w:hAnsi="Verdana"/>
                <w:color w:val="000000"/>
                <w:sz w:val="16"/>
                <w:szCs w:val="16"/>
                <w:lang w:eastAsia="en-GB"/>
              </w:rPr>
              <w:t> </w:t>
            </w:r>
            <w:r w:rsidRPr="004E6D30">
              <w:rPr>
                <w:rFonts w:eastAsia="Times New Roman"/>
                <w:b/>
                <w:color w:val="000000"/>
                <w:sz w:val="16"/>
                <w:szCs w:val="16"/>
                <w:lang w:eastAsia="en-GB"/>
              </w:rPr>
              <w:t>LGPS reallocation between Chief Constable and PCC</w:t>
            </w:r>
          </w:p>
        </w:tc>
        <w:tc>
          <w:tcPr>
            <w:tcW w:w="1150" w:type="dxa"/>
            <w:tcBorders>
              <w:top w:val="single" w:sz="4" w:space="0" w:color="auto"/>
              <w:left w:val="nil"/>
              <w:bottom w:val="nil"/>
              <w:right w:val="single" w:sz="4" w:space="0" w:color="auto"/>
            </w:tcBorders>
            <w:shd w:val="clear" w:color="000000" w:fill="FFFFFF"/>
            <w:noWrap/>
            <w:vAlign w:val="center"/>
            <w:hideMark/>
          </w:tcPr>
          <w:p w:rsidR="00742A40" w:rsidRDefault="00742A40" w:rsidP="00994FDF">
            <w:pPr>
              <w:jc w:val="center"/>
              <w:rPr>
                <w:rFonts w:eastAsia="Times New Roman"/>
                <w:b/>
                <w:bCs/>
                <w:color w:val="000000"/>
                <w:sz w:val="16"/>
                <w:szCs w:val="16"/>
                <w:lang w:eastAsia="en-GB"/>
              </w:rPr>
            </w:pPr>
            <w:r w:rsidRPr="00B31164">
              <w:rPr>
                <w:rFonts w:ascii="Verdana" w:eastAsia="Times New Roman" w:hAnsi="Verdana"/>
                <w:b/>
                <w:bCs/>
                <w:color w:val="000000"/>
                <w:sz w:val="16"/>
                <w:szCs w:val="16"/>
                <w:lang w:eastAsia="en-GB"/>
              </w:rPr>
              <w:t>PCC</w:t>
            </w:r>
          </w:p>
          <w:p w:rsidR="00742A40" w:rsidRPr="00B31164" w:rsidRDefault="00742A40" w:rsidP="00994FDF">
            <w:pPr>
              <w:jc w:val="center"/>
              <w:rPr>
                <w:rFonts w:ascii="Verdana" w:eastAsia="Times New Roman" w:hAnsi="Verdana"/>
                <w:b/>
                <w:bCs/>
                <w:color w:val="000000"/>
                <w:sz w:val="16"/>
                <w:szCs w:val="16"/>
                <w:lang w:eastAsia="en-GB"/>
              </w:rPr>
            </w:pPr>
            <w:r>
              <w:rPr>
                <w:rFonts w:eastAsia="Times New Roman"/>
                <w:b/>
                <w:bCs/>
                <w:color w:val="000000"/>
                <w:sz w:val="16"/>
                <w:szCs w:val="16"/>
                <w:lang w:eastAsia="en-GB"/>
              </w:rPr>
              <w:t>£000</w:t>
            </w:r>
          </w:p>
        </w:tc>
        <w:tc>
          <w:tcPr>
            <w:tcW w:w="1327" w:type="dxa"/>
            <w:tcBorders>
              <w:top w:val="single" w:sz="4" w:space="0" w:color="auto"/>
              <w:left w:val="nil"/>
              <w:bottom w:val="nil"/>
              <w:right w:val="single" w:sz="4" w:space="0" w:color="auto"/>
            </w:tcBorders>
            <w:shd w:val="clear" w:color="000000" w:fill="FFFFFF"/>
            <w:noWrap/>
            <w:vAlign w:val="center"/>
            <w:hideMark/>
          </w:tcPr>
          <w:p w:rsidR="00742A40" w:rsidRDefault="00742A40" w:rsidP="00994FDF">
            <w:pPr>
              <w:jc w:val="center"/>
              <w:rPr>
                <w:rFonts w:eastAsia="Times New Roman"/>
                <w:b/>
                <w:bCs/>
                <w:color w:val="000000"/>
                <w:sz w:val="16"/>
                <w:szCs w:val="16"/>
                <w:lang w:eastAsia="en-GB"/>
              </w:rPr>
            </w:pPr>
            <w:r w:rsidRPr="00B31164">
              <w:rPr>
                <w:rFonts w:ascii="Verdana" w:eastAsia="Times New Roman" w:hAnsi="Verdana"/>
                <w:b/>
                <w:bCs/>
                <w:color w:val="000000"/>
                <w:sz w:val="16"/>
                <w:szCs w:val="16"/>
                <w:lang w:eastAsia="en-GB"/>
              </w:rPr>
              <w:t>CC</w:t>
            </w:r>
          </w:p>
          <w:p w:rsidR="00742A40" w:rsidRPr="00B31164" w:rsidRDefault="00742A40" w:rsidP="00994FDF">
            <w:pPr>
              <w:jc w:val="center"/>
              <w:rPr>
                <w:rFonts w:ascii="Verdana" w:eastAsia="Times New Roman" w:hAnsi="Verdana"/>
                <w:b/>
                <w:bCs/>
                <w:color w:val="000000"/>
                <w:sz w:val="16"/>
                <w:szCs w:val="16"/>
                <w:lang w:eastAsia="en-GB"/>
              </w:rPr>
            </w:pPr>
            <w:r>
              <w:rPr>
                <w:rFonts w:eastAsia="Times New Roman"/>
                <w:b/>
                <w:bCs/>
                <w:color w:val="000000"/>
                <w:sz w:val="16"/>
                <w:szCs w:val="16"/>
                <w:lang w:eastAsia="en-GB"/>
              </w:rPr>
              <w:t>£000</w:t>
            </w:r>
          </w:p>
        </w:tc>
        <w:tc>
          <w:tcPr>
            <w:tcW w:w="1174" w:type="dxa"/>
            <w:tcBorders>
              <w:top w:val="single" w:sz="4" w:space="0" w:color="auto"/>
              <w:left w:val="nil"/>
              <w:bottom w:val="nil"/>
              <w:right w:val="single" w:sz="4" w:space="0" w:color="auto"/>
            </w:tcBorders>
            <w:shd w:val="clear" w:color="000000" w:fill="FFFFFF"/>
            <w:noWrap/>
            <w:vAlign w:val="center"/>
            <w:hideMark/>
          </w:tcPr>
          <w:p w:rsidR="00742A40" w:rsidRDefault="00742A40" w:rsidP="00994FDF">
            <w:pPr>
              <w:jc w:val="center"/>
              <w:rPr>
                <w:rFonts w:eastAsia="Times New Roman"/>
                <w:b/>
                <w:bCs/>
                <w:color w:val="000000"/>
                <w:sz w:val="16"/>
                <w:szCs w:val="16"/>
                <w:lang w:eastAsia="en-GB"/>
              </w:rPr>
            </w:pPr>
            <w:r w:rsidRPr="00B31164">
              <w:rPr>
                <w:rFonts w:ascii="Verdana" w:eastAsia="Times New Roman" w:hAnsi="Verdana"/>
                <w:b/>
                <w:bCs/>
                <w:color w:val="000000"/>
                <w:sz w:val="16"/>
                <w:szCs w:val="16"/>
                <w:lang w:eastAsia="en-GB"/>
              </w:rPr>
              <w:t>GROUP</w:t>
            </w:r>
          </w:p>
          <w:p w:rsidR="00742A40" w:rsidRPr="00B31164" w:rsidRDefault="00742A40" w:rsidP="00994FDF">
            <w:pPr>
              <w:jc w:val="center"/>
              <w:rPr>
                <w:rFonts w:ascii="Verdana" w:eastAsia="Times New Roman" w:hAnsi="Verdana"/>
                <w:b/>
                <w:bCs/>
                <w:color w:val="000000"/>
                <w:sz w:val="16"/>
                <w:szCs w:val="16"/>
                <w:lang w:eastAsia="en-GB"/>
              </w:rPr>
            </w:pPr>
            <w:r>
              <w:rPr>
                <w:rFonts w:eastAsia="Times New Roman"/>
                <w:b/>
                <w:bCs/>
                <w:color w:val="000000"/>
                <w:sz w:val="16"/>
                <w:szCs w:val="16"/>
                <w:lang w:eastAsia="en-GB"/>
              </w:rPr>
              <w:t>£000</w:t>
            </w:r>
          </w:p>
        </w:tc>
      </w:tr>
      <w:tr w:rsidR="00742A40" w:rsidRPr="00B31164" w:rsidTr="00994FDF">
        <w:trPr>
          <w:trHeight w:val="284"/>
          <w:jc w:val="center"/>
        </w:trPr>
        <w:tc>
          <w:tcPr>
            <w:tcW w:w="4713" w:type="dxa"/>
            <w:tcBorders>
              <w:top w:val="nil"/>
              <w:left w:val="single" w:sz="4" w:space="0" w:color="auto"/>
              <w:bottom w:val="nil"/>
              <w:right w:val="nil"/>
            </w:tcBorders>
            <w:shd w:val="clear" w:color="000000" w:fill="FFFFFF"/>
            <w:noWrap/>
            <w:vAlign w:val="center"/>
            <w:hideMark/>
          </w:tcPr>
          <w:p w:rsidR="00742A40" w:rsidRPr="00B31164" w:rsidRDefault="00742A40" w:rsidP="00994FDF">
            <w:pPr>
              <w:ind w:firstLineChars="100" w:firstLine="160"/>
              <w:rPr>
                <w:rFonts w:ascii="Verdana" w:eastAsia="Times New Roman" w:hAnsi="Verdana"/>
                <w:color w:val="000000"/>
                <w:sz w:val="16"/>
                <w:szCs w:val="16"/>
                <w:lang w:eastAsia="en-GB"/>
              </w:rPr>
            </w:pPr>
            <w:r w:rsidRPr="00B31164">
              <w:rPr>
                <w:rFonts w:ascii="Verdana" w:eastAsia="Times New Roman" w:hAnsi="Verdana"/>
                <w:color w:val="000000"/>
                <w:sz w:val="16"/>
                <w:szCs w:val="16"/>
                <w:lang w:eastAsia="en-GB"/>
              </w:rPr>
              <w:t>Transfer of liability to PCC re</w:t>
            </w:r>
            <w:r>
              <w:rPr>
                <w:rFonts w:ascii="Verdana" w:eastAsia="Times New Roman" w:hAnsi="Verdana"/>
                <w:color w:val="000000"/>
                <w:sz w:val="16"/>
                <w:szCs w:val="16"/>
                <w:lang w:eastAsia="en-GB"/>
              </w:rPr>
              <w:t>-</w:t>
            </w:r>
            <w:r w:rsidRPr="00B31164">
              <w:rPr>
                <w:rFonts w:ascii="Verdana" w:eastAsia="Times New Roman" w:hAnsi="Verdana"/>
                <w:color w:val="000000"/>
                <w:sz w:val="16"/>
                <w:szCs w:val="16"/>
                <w:lang w:eastAsia="en-GB"/>
              </w:rPr>
              <w:t>measurement</w:t>
            </w:r>
          </w:p>
        </w:tc>
        <w:tc>
          <w:tcPr>
            <w:tcW w:w="1150" w:type="dxa"/>
            <w:tcBorders>
              <w:top w:val="single" w:sz="4" w:space="0" w:color="auto"/>
              <w:left w:val="single" w:sz="4" w:space="0" w:color="auto"/>
              <w:bottom w:val="nil"/>
              <w:right w:val="single" w:sz="4" w:space="0" w:color="auto"/>
            </w:tcBorders>
            <w:shd w:val="clear" w:color="000000" w:fill="FFFFFF"/>
            <w:noWrap/>
            <w:vAlign w:val="center"/>
            <w:hideMark/>
          </w:tcPr>
          <w:p w:rsidR="00742A40" w:rsidRPr="00B31164" w:rsidRDefault="00742A40" w:rsidP="00994FDF">
            <w:pPr>
              <w:ind w:firstLineChars="100" w:firstLine="160"/>
              <w:jc w:val="right"/>
              <w:rPr>
                <w:rFonts w:ascii="Verdana" w:eastAsia="Times New Roman" w:hAnsi="Verdana"/>
                <w:color w:val="000000"/>
                <w:sz w:val="16"/>
                <w:szCs w:val="16"/>
                <w:lang w:eastAsia="en-GB"/>
              </w:rPr>
            </w:pPr>
            <w:r w:rsidRPr="00B31164">
              <w:rPr>
                <w:rFonts w:ascii="Verdana" w:eastAsia="Times New Roman" w:hAnsi="Verdana"/>
                <w:color w:val="000000"/>
                <w:sz w:val="16"/>
                <w:szCs w:val="16"/>
                <w:lang w:eastAsia="en-GB"/>
              </w:rPr>
              <w:t>(1,414)</w:t>
            </w:r>
          </w:p>
        </w:tc>
        <w:tc>
          <w:tcPr>
            <w:tcW w:w="1327" w:type="dxa"/>
            <w:tcBorders>
              <w:top w:val="single" w:sz="4" w:space="0" w:color="auto"/>
              <w:left w:val="nil"/>
              <w:bottom w:val="nil"/>
              <w:right w:val="single" w:sz="4" w:space="0" w:color="auto"/>
            </w:tcBorders>
            <w:shd w:val="clear" w:color="000000" w:fill="FFFFFF"/>
            <w:noWrap/>
            <w:vAlign w:val="center"/>
            <w:hideMark/>
          </w:tcPr>
          <w:p w:rsidR="00742A40" w:rsidRPr="00B31164" w:rsidRDefault="00742A40" w:rsidP="00994FDF">
            <w:pPr>
              <w:ind w:firstLineChars="100" w:firstLine="160"/>
              <w:jc w:val="right"/>
              <w:rPr>
                <w:rFonts w:ascii="Verdana" w:eastAsia="Times New Roman" w:hAnsi="Verdana"/>
                <w:color w:val="000000"/>
                <w:sz w:val="16"/>
                <w:szCs w:val="16"/>
                <w:lang w:eastAsia="en-GB"/>
              </w:rPr>
            </w:pPr>
            <w:r w:rsidRPr="00B31164">
              <w:rPr>
                <w:rFonts w:ascii="Verdana" w:eastAsia="Times New Roman" w:hAnsi="Verdana"/>
                <w:color w:val="000000"/>
                <w:sz w:val="16"/>
                <w:szCs w:val="16"/>
                <w:lang w:eastAsia="en-GB"/>
              </w:rPr>
              <w:t>1,414</w:t>
            </w:r>
          </w:p>
        </w:tc>
        <w:tc>
          <w:tcPr>
            <w:tcW w:w="1174" w:type="dxa"/>
            <w:tcBorders>
              <w:top w:val="single" w:sz="4" w:space="0" w:color="auto"/>
              <w:left w:val="nil"/>
              <w:bottom w:val="nil"/>
              <w:right w:val="single" w:sz="4" w:space="0" w:color="auto"/>
            </w:tcBorders>
            <w:shd w:val="clear" w:color="000000" w:fill="FFFFFF"/>
            <w:noWrap/>
            <w:vAlign w:val="center"/>
            <w:hideMark/>
          </w:tcPr>
          <w:p w:rsidR="00742A40" w:rsidRPr="00B31164" w:rsidRDefault="00742A40" w:rsidP="00994FDF">
            <w:pPr>
              <w:ind w:firstLineChars="100" w:firstLine="160"/>
              <w:jc w:val="right"/>
              <w:rPr>
                <w:rFonts w:ascii="Verdana" w:eastAsia="Times New Roman" w:hAnsi="Verdana"/>
                <w:color w:val="000000"/>
                <w:sz w:val="16"/>
                <w:szCs w:val="16"/>
                <w:lang w:eastAsia="en-GB"/>
              </w:rPr>
            </w:pPr>
            <w:r w:rsidRPr="00B31164">
              <w:rPr>
                <w:rFonts w:ascii="Verdana" w:eastAsia="Times New Roman" w:hAnsi="Verdana"/>
                <w:color w:val="000000"/>
                <w:sz w:val="16"/>
                <w:szCs w:val="16"/>
                <w:lang w:eastAsia="en-GB"/>
              </w:rPr>
              <w:t>0</w:t>
            </w:r>
          </w:p>
        </w:tc>
      </w:tr>
      <w:tr w:rsidR="00742A40" w:rsidRPr="00B31164" w:rsidTr="00994FDF">
        <w:trPr>
          <w:trHeight w:val="284"/>
          <w:jc w:val="center"/>
        </w:trPr>
        <w:tc>
          <w:tcPr>
            <w:tcW w:w="4713" w:type="dxa"/>
            <w:tcBorders>
              <w:top w:val="nil"/>
              <w:left w:val="single" w:sz="4" w:space="0" w:color="auto"/>
              <w:bottom w:val="nil"/>
              <w:right w:val="nil"/>
            </w:tcBorders>
            <w:shd w:val="clear" w:color="000000" w:fill="FFFFFF"/>
            <w:noWrap/>
            <w:vAlign w:val="center"/>
            <w:hideMark/>
          </w:tcPr>
          <w:p w:rsidR="00742A40" w:rsidRPr="00B31164" w:rsidRDefault="00742A40" w:rsidP="00994FDF">
            <w:pPr>
              <w:ind w:firstLineChars="100" w:firstLine="160"/>
              <w:rPr>
                <w:rFonts w:ascii="Verdana" w:eastAsia="Times New Roman" w:hAnsi="Verdana"/>
                <w:color w:val="000000"/>
                <w:sz w:val="16"/>
                <w:szCs w:val="16"/>
                <w:lang w:eastAsia="en-GB"/>
              </w:rPr>
            </w:pPr>
            <w:r w:rsidRPr="00B31164">
              <w:rPr>
                <w:rFonts w:ascii="Verdana" w:eastAsia="Times New Roman" w:hAnsi="Verdana"/>
                <w:color w:val="000000"/>
                <w:sz w:val="16"/>
                <w:szCs w:val="16"/>
                <w:lang w:eastAsia="en-GB"/>
              </w:rPr>
              <w:t>LGPS actuarial re</w:t>
            </w:r>
            <w:r>
              <w:rPr>
                <w:rFonts w:ascii="Verdana" w:eastAsia="Times New Roman" w:hAnsi="Verdana"/>
                <w:color w:val="000000"/>
                <w:sz w:val="16"/>
                <w:szCs w:val="16"/>
                <w:lang w:eastAsia="en-GB"/>
              </w:rPr>
              <w:t>-</w:t>
            </w:r>
            <w:r w:rsidRPr="00B31164">
              <w:rPr>
                <w:rFonts w:ascii="Verdana" w:eastAsia="Times New Roman" w:hAnsi="Verdana"/>
                <w:color w:val="000000"/>
                <w:sz w:val="16"/>
                <w:szCs w:val="16"/>
                <w:lang w:eastAsia="en-GB"/>
              </w:rPr>
              <w:t>measurement</w:t>
            </w:r>
          </w:p>
        </w:tc>
        <w:tc>
          <w:tcPr>
            <w:tcW w:w="1150" w:type="dxa"/>
            <w:tcBorders>
              <w:top w:val="nil"/>
              <w:left w:val="single" w:sz="4" w:space="0" w:color="auto"/>
              <w:bottom w:val="nil"/>
              <w:right w:val="single" w:sz="4" w:space="0" w:color="auto"/>
            </w:tcBorders>
            <w:shd w:val="clear" w:color="000000" w:fill="FFFFFF"/>
            <w:noWrap/>
            <w:vAlign w:val="center"/>
            <w:hideMark/>
          </w:tcPr>
          <w:p w:rsidR="00742A40" w:rsidRPr="00B31164" w:rsidRDefault="00742A40" w:rsidP="00994FDF">
            <w:pPr>
              <w:ind w:firstLineChars="100" w:firstLine="160"/>
              <w:jc w:val="right"/>
              <w:rPr>
                <w:rFonts w:ascii="Verdana" w:eastAsia="Times New Roman" w:hAnsi="Verdana"/>
                <w:color w:val="000000"/>
                <w:sz w:val="16"/>
                <w:szCs w:val="16"/>
                <w:lang w:eastAsia="en-GB"/>
              </w:rPr>
            </w:pPr>
            <w:r w:rsidRPr="00B31164">
              <w:rPr>
                <w:rFonts w:ascii="Verdana" w:eastAsia="Times New Roman" w:hAnsi="Verdana"/>
                <w:color w:val="000000"/>
                <w:sz w:val="16"/>
                <w:szCs w:val="16"/>
                <w:lang w:eastAsia="en-GB"/>
              </w:rPr>
              <w:t>152</w:t>
            </w:r>
          </w:p>
        </w:tc>
        <w:tc>
          <w:tcPr>
            <w:tcW w:w="1327" w:type="dxa"/>
            <w:tcBorders>
              <w:top w:val="nil"/>
              <w:left w:val="nil"/>
              <w:bottom w:val="nil"/>
              <w:right w:val="single" w:sz="4" w:space="0" w:color="auto"/>
            </w:tcBorders>
            <w:shd w:val="clear" w:color="000000" w:fill="FFFFFF"/>
            <w:noWrap/>
            <w:vAlign w:val="center"/>
            <w:hideMark/>
          </w:tcPr>
          <w:p w:rsidR="00742A40" w:rsidRPr="00B31164" w:rsidRDefault="00742A40" w:rsidP="00994FDF">
            <w:pPr>
              <w:ind w:firstLineChars="100" w:firstLine="160"/>
              <w:jc w:val="right"/>
              <w:rPr>
                <w:rFonts w:ascii="Verdana" w:eastAsia="Times New Roman" w:hAnsi="Verdana"/>
                <w:color w:val="000000"/>
                <w:sz w:val="16"/>
                <w:szCs w:val="16"/>
                <w:lang w:eastAsia="en-GB"/>
              </w:rPr>
            </w:pPr>
            <w:r w:rsidRPr="00B31164">
              <w:rPr>
                <w:rFonts w:ascii="Verdana" w:eastAsia="Times New Roman" w:hAnsi="Verdana"/>
                <w:color w:val="000000"/>
                <w:sz w:val="16"/>
                <w:szCs w:val="16"/>
                <w:lang w:eastAsia="en-GB"/>
              </w:rPr>
              <w:t>50,687</w:t>
            </w:r>
          </w:p>
        </w:tc>
        <w:tc>
          <w:tcPr>
            <w:tcW w:w="1174" w:type="dxa"/>
            <w:tcBorders>
              <w:top w:val="nil"/>
              <w:left w:val="nil"/>
              <w:bottom w:val="nil"/>
              <w:right w:val="single" w:sz="4" w:space="0" w:color="auto"/>
            </w:tcBorders>
            <w:shd w:val="clear" w:color="000000" w:fill="FFFFFF"/>
            <w:noWrap/>
            <w:vAlign w:val="center"/>
            <w:hideMark/>
          </w:tcPr>
          <w:p w:rsidR="00742A40" w:rsidRPr="00B31164" w:rsidRDefault="00742A40" w:rsidP="00994FDF">
            <w:pPr>
              <w:ind w:firstLineChars="100" w:firstLine="160"/>
              <w:jc w:val="right"/>
              <w:rPr>
                <w:rFonts w:ascii="Verdana" w:eastAsia="Times New Roman" w:hAnsi="Verdana"/>
                <w:color w:val="000000"/>
                <w:sz w:val="16"/>
                <w:szCs w:val="16"/>
                <w:lang w:eastAsia="en-GB"/>
              </w:rPr>
            </w:pPr>
            <w:r w:rsidRPr="00B31164">
              <w:rPr>
                <w:rFonts w:ascii="Verdana" w:eastAsia="Times New Roman" w:hAnsi="Verdana"/>
                <w:color w:val="000000"/>
                <w:sz w:val="16"/>
                <w:szCs w:val="16"/>
                <w:lang w:eastAsia="en-GB"/>
              </w:rPr>
              <w:t>50,839</w:t>
            </w:r>
          </w:p>
        </w:tc>
      </w:tr>
      <w:tr w:rsidR="00742A40" w:rsidRPr="00B31164" w:rsidTr="00994FDF">
        <w:trPr>
          <w:trHeight w:val="284"/>
          <w:jc w:val="center"/>
        </w:trPr>
        <w:tc>
          <w:tcPr>
            <w:tcW w:w="4713" w:type="dxa"/>
            <w:tcBorders>
              <w:top w:val="nil"/>
              <w:left w:val="single" w:sz="4" w:space="0" w:color="auto"/>
              <w:bottom w:val="nil"/>
              <w:right w:val="nil"/>
            </w:tcBorders>
            <w:shd w:val="clear" w:color="000000" w:fill="FFFFFF"/>
            <w:noWrap/>
            <w:vAlign w:val="center"/>
            <w:hideMark/>
          </w:tcPr>
          <w:p w:rsidR="00742A40" w:rsidRPr="00B31164" w:rsidRDefault="00742A40" w:rsidP="00994FDF">
            <w:pPr>
              <w:ind w:firstLineChars="100" w:firstLine="160"/>
              <w:rPr>
                <w:rFonts w:ascii="Verdana" w:eastAsia="Times New Roman" w:hAnsi="Verdana"/>
                <w:color w:val="000000"/>
                <w:sz w:val="16"/>
                <w:szCs w:val="16"/>
                <w:lang w:eastAsia="en-GB"/>
              </w:rPr>
            </w:pPr>
            <w:r w:rsidRPr="00B31164">
              <w:rPr>
                <w:rFonts w:ascii="Verdana" w:eastAsia="Times New Roman" w:hAnsi="Verdana"/>
                <w:color w:val="000000"/>
                <w:sz w:val="16"/>
                <w:szCs w:val="16"/>
                <w:lang w:eastAsia="en-GB"/>
              </w:rPr>
              <w:t>Police Pensions actuarial re</w:t>
            </w:r>
            <w:r>
              <w:rPr>
                <w:rFonts w:ascii="Verdana" w:eastAsia="Times New Roman" w:hAnsi="Verdana"/>
                <w:color w:val="000000"/>
                <w:sz w:val="16"/>
                <w:szCs w:val="16"/>
                <w:lang w:eastAsia="en-GB"/>
              </w:rPr>
              <w:t>-</w:t>
            </w:r>
            <w:r w:rsidRPr="00B31164">
              <w:rPr>
                <w:rFonts w:ascii="Verdana" w:eastAsia="Times New Roman" w:hAnsi="Verdana"/>
                <w:color w:val="000000"/>
                <w:sz w:val="16"/>
                <w:szCs w:val="16"/>
                <w:lang w:eastAsia="en-GB"/>
              </w:rPr>
              <w:t>mea</w:t>
            </w:r>
            <w:r>
              <w:rPr>
                <w:rFonts w:ascii="Verdana" w:eastAsia="Times New Roman" w:hAnsi="Verdana"/>
                <w:color w:val="000000"/>
                <w:sz w:val="16"/>
                <w:szCs w:val="16"/>
                <w:lang w:eastAsia="en-GB"/>
              </w:rPr>
              <w:t>s</w:t>
            </w:r>
            <w:r w:rsidRPr="00B31164">
              <w:rPr>
                <w:rFonts w:ascii="Verdana" w:eastAsia="Times New Roman" w:hAnsi="Verdana"/>
                <w:color w:val="000000"/>
                <w:sz w:val="16"/>
                <w:szCs w:val="16"/>
                <w:lang w:eastAsia="en-GB"/>
              </w:rPr>
              <w:t>urement</w:t>
            </w:r>
          </w:p>
        </w:tc>
        <w:tc>
          <w:tcPr>
            <w:tcW w:w="1150" w:type="dxa"/>
            <w:tcBorders>
              <w:top w:val="nil"/>
              <w:left w:val="single" w:sz="4" w:space="0" w:color="auto"/>
              <w:bottom w:val="nil"/>
              <w:right w:val="single" w:sz="4" w:space="0" w:color="auto"/>
            </w:tcBorders>
            <w:shd w:val="clear" w:color="000000" w:fill="FFFFFF"/>
            <w:noWrap/>
            <w:vAlign w:val="center"/>
            <w:hideMark/>
          </w:tcPr>
          <w:p w:rsidR="00742A40" w:rsidRPr="00B31164" w:rsidRDefault="00742A40" w:rsidP="00994FDF">
            <w:pPr>
              <w:ind w:firstLineChars="100" w:firstLine="160"/>
              <w:jc w:val="right"/>
              <w:rPr>
                <w:rFonts w:ascii="Verdana" w:eastAsia="Times New Roman" w:hAnsi="Verdana"/>
                <w:color w:val="000000"/>
                <w:sz w:val="16"/>
                <w:szCs w:val="16"/>
                <w:lang w:eastAsia="en-GB"/>
              </w:rPr>
            </w:pPr>
            <w:r w:rsidRPr="00B31164">
              <w:rPr>
                <w:rFonts w:ascii="Verdana" w:eastAsia="Times New Roman" w:hAnsi="Verdana"/>
                <w:color w:val="000000"/>
                <w:sz w:val="16"/>
                <w:szCs w:val="16"/>
                <w:lang w:eastAsia="en-GB"/>
              </w:rPr>
              <w:t>0</w:t>
            </w:r>
          </w:p>
        </w:tc>
        <w:tc>
          <w:tcPr>
            <w:tcW w:w="1327" w:type="dxa"/>
            <w:tcBorders>
              <w:top w:val="nil"/>
              <w:left w:val="nil"/>
              <w:bottom w:val="nil"/>
              <w:right w:val="single" w:sz="4" w:space="0" w:color="auto"/>
            </w:tcBorders>
            <w:shd w:val="clear" w:color="000000" w:fill="FFFFFF"/>
            <w:noWrap/>
            <w:vAlign w:val="center"/>
            <w:hideMark/>
          </w:tcPr>
          <w:p w:rsidR="00742A40" w:rsidRPr="00B31164" w:rsidRDefault="00742A40">
            <w:pPr>
              <w:ind w:firstLineChars="100" w:firstLine="160"/>
              <w:jc w:val="right"/>
              <w:rPr>
                <w:rFonts w:ascii="Verdana" w:eastAsia="Times New Roman" w:hAnsi="Verdana"/>
                <w:color w:val="000000"/>
                <w:sz w:val="16"/>
                <w:szCs w:val="16"/>
                <w:lang w:eastAsia="en-GB"/>
              </w:rPr>
            </w:pPr>
            <w:r w:rsidRPr="00B31164">
              <w:rPr>
                <w:rFonts w:ascii="Verdana" w:eastAsia="Times New Roman" w:hAnsi="Verdana"/>
                <w:color w:val="000000"/>
                <w:sz w:val="16"/>
                <w:szCs w:val="16"/>
                <w:lang w:eastAsia="en-GB"/>
              </w:rPr>
              <w:t>14</w:t>
            </w:r>
            <w:r w:rsidR="001022EE">
              <w:rPr>
                <w:rFonts w:ascii="Verdana" w:eastAsia="Times New Roman" w:hAnsi="Verdana"/>
                <w:color w:val="000000"/>
                <w:sz w:val="16"/>
                <w:szCs w:val="16"/>
                <w:lang w:eastAsia="en-GB"/>
              </w:rPr>
              <w:t>1</w:t>
            </w:r>
            <w:r w:rsidRPr="00B31164">
              <w:rPr>
                <w:rFonts w:ascii="Verdana" w:eastAsia="Times New Roman" w:hAnsi="Verdana"/>
                <w:color w:val="000000"/>
                <w:sz w:val="16"/>
                <w:szCs w:val="16"/>
                <w:lang w:eastAsia="en-GB"/>
              </w:rPr>
              <w:t>,</w:t>
            </w:r>
            <w:r w:rsidR="001022EE">
              <w:rPr>
                <w:rFonts w:ascii="Verdana" w:eastAsia="Times New Roman" w:hAnsi="Verdana"/>
                <w:color w:val="000000"/>
                <w:sz w:val="16"/>
                <w:szCs w:val="16"/>
                <w:lang w:eastAsia="en-GB"/>
              </w:rPr>
              <w:t>160</w:t>
            </w:r>
          </w:p>
        </w:tc>
        <w:tc>
          <w:tcPr>
            <w:tcW w:w="1174" w:type="dxa"/>
            <w:tcBorders>
              <w:top w:val="nil"/>
              <w:left w:val="nil"/>
              <w:bottom w:val="nil"/>
              <w:right w:val="single" w:sz="4" w:space="0" w:color="auto"/>
            </w:tcBorders>
            <w:shd w:val="clear" w:color="000000" w:fill="FFFFFF"/>
            <w:noWrap/>
            <w:vAlign w:val="center"/>
            <w:hideMark/>
          </w:tcPr>
          <w:p w:rsidR="00742A40" w:rsidRPr="00B31164" w:rsidRDefault="00742A40">
            <w:pPr>
              <w:ind w:firstLineChars="100" w:firstLine="160"/>
              <w:jc w:val="right"/>
              <w:rPr>
                <w:rFonts w:ascii="Verdana" w:eastAsia="Times New Roman" w:hAnsi="Verdana"/>
                <w:color w:val="000000"/>
                <w:sz w:val="16"/>
                <w:szCs w:val="16"/>
                <w:lang w:eastAsia="en-GB"/>
              </w:rPr>
            </w:pPr>
            <w:r w:rsidRPr="00B31164">
              <w:rPr>
                <w:rFonts w:ascii="Verdana" w:eastAsia="Times New Roman" w:hAnsi="Verdana"/>
                <w:color w:val="000000"/>
                <w:sz w:val="16"/>
                <w:szCs w:val="16"/>
                <w:lang w:eastAsia="en-GB"/>
              </w:rPr>
              <w:t>14</w:t>
            </w:r>
            <w:r w:rsidR="001022EE">
              <w:rPr>
                <w:rFonts w:ascii="Verdana" w:eastAsia="Times New Roman" w:hAnsi="Verdana"/>
                <w:color w:val="000000"/>
                <w:sz w:val="16"/>
                <w:szCs w:val="16"/>
                <w:lang w:eastAsia="en-GB"/>
              </w:rPr>
              <w:t>1</w:t>
            </w:r>
            <w:r w:rsidRPr="00B31164">
              <w:rPr>
                <w:rFonts w:ascii="Verdana" w:eastAsia="Times New Roman" w:hAnsi="Verdana"/>
                <w:color w:val="000000"/>
                <w:sz w:val="16"/>
                <w:szCs w:val="16"/>
                <w:lang w:eastAsia="en-GB"/>
              </w:rPr>
              <w:t>,</w:t>
            </w:r>
            <w:r w:rsidR="001022EE">
              <w:rPr>
                <w:rFonts w:ascii="Verdana" w:eastAsia="Times New Roman" w:hAnsi="Verdana"/>
                <w:color w:val="000000"/>
                <w:sz w:val="16"/>
                <w:szCs w:val="16"/>
                <w:lang w:eastAsia="en-GB"/>
              </w:rPr>
              <w:t>160</w:t>
            </w:r>
          </w:p>
        </w:tc>
      </w:tr>
      <w:tr w:rsidR="00742A40" w:rsidRPr="00B31164" w:rsidTr="00994FDF">
        <w:trPr>
          <w:trHeight w:val="284"/>
          <w:jc w:val="center"/>
        </w:trPr>
        <w:tc>
          <w:tcPr>
            <w:tcW w:w="4713" w:type="dxa"/>
            <w:tcBorders>
              <w:top w:val="single" w:sz="4" w:space="0" w:color="auto"/>
              <w:left w:val="single" w:sz="4" w:space="0" w:color="auto"/>
              <w:bottom w:val="single" w:sz="4" w:space="0" w:color="auto"/>
              <w:right w:val="nil"/>
            </w:tcBorders>
            <w:shd w:val="clear" w:color="000000" w:fill="FFFFFF"/>
            <w:noWrap/>
            <w:vAlign w:val="center"/>
            <w:hideMark/>
          </w:tcPr>
          <w:p w:rsidR="00742A40" w:rsidRPr="00B31164" w:rsidRDefault="00742A40" w:rsidP="00994FDF">
            <w:pPr>
              <w:ind w:firstLineChars="100" w:firstLine="161"/>
              <w:rPr>
                <w:rFonts w:ascii="Verdana" w:eastAsia="Times New Roman" w:hAnsi="Verdana"/>
                <w:b/>
                <w:bCs/>
                <w:color w:val="000000"/>
                <w:sz w:val="16"/>
                <w:szCs w:val="16"/>
                <w:lang w:eastAsia="en-GB"/>
              </w:rPr>
            </w:pPr>
            <w:r w:rsidRPr="00B31164">
              <w:rPr>
                <w:rFonts w:ascii="Verdana" w:eastAsia="Times New Roman" w:hAnsi="Verdana"/>
                <w:b/>
                <w:bCs/>
                <w:color w:val="000000"/>
                <w:sz w:val="16"/>
                <w:szCs w:val="16"/>
                <w:lang w:eastAsia="en-GB"/>
              </w:rPr>
              <w:t>Total shown in Other CIES</w:t>
            </w:r>
          </w:p>
        </w:tc>
        <w:tc>
          <w:tcPr>
            <w:tcW w:w="11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2A40" w:rsidRPr="00B31164" w:rsidRDefault="00742A40" w:rsidP="00994FDF">
            <w:pPr>
              <w:ind w:firstLineChars="100" w:firstLine="161"/>
              <w:jc w:val="right"/>
              <w:rPr>
                <w:rFonts w:ascii="Verdana" w:eastAsia="Times New Roman" w:hAnsi="Verdana"/>
                <w:b/>
                <w:bCs/>
                <w:color w:val="000000"/>
                <w:sz w:val="16"/>
                <w:szCs w:val="16"/>
                <w:lang w:eastAsia="en-GB"/>
              </w:rPr>
            </w:pPr>
            <w:r w:rsidRPr="00B31164">
              <w:rPr>
                <w:rFonts w:ascii="Verdana" w:eastAsia="Times New Roman" w:hAnsi="Verdana"/>
                <w:b/>
                <w:bCs/>
                <w:color w:val="000000"/>
                <w:sz w:val="16"/>
                <w:szCs w:val="16"/>
                <w:lang w:eastAsia="en-GB"/>
              </w:rPr>
              <w:t>(1,262)</w:t>
            </w:r>
          </w:p>
        </w:tc>
        <w:tc>
          <w:tcPr>
            <w:tcW w:w="1327" w:type="dxa"/>
            <w:tcBorders>
              <w:top w:val="single" w:sz="4" w:space="0" w:color="auto"/>
              <w:left w:val="nil"/>
              <w:bottom w:val="single" w:sz="4" w:space="0" w:color="auto"/>
              <w:right w:val="single" w:sz="4" w:space="0" w:color="auto"/>
            </w:tcBorders>
            <w:shd w:val="clear" w:color="000000" w:fill="FFFFFF"/>
            <w:noWrap/>
            <w:vAlign w:val="center"/>
            <w:hideMark/>
          </w:tcPr>
          <w:p w:rsidR="00742A40" w:rsidRPr="00B31164" w:rsidRDefault="00742A40">
            <w:pPr>
              <w:ind w:firstLineChars="100" w:firstLine="161"/>
              <w:jc w:val="right"/>
              <w:rPr>
                <w:rFonts w:ascii="Verdana" w:eastAsia="Times New Roman" w:hAnsi="Verdana"/>
                <w:b/>
                <w:bCs/>
                <w:color w:val="000000"/>
                <w:sz w:val="16"/>
                <w:szCs w:val="16"/>
                <w:lang w:eastAsia="en-GB"/>
              </w:rPr>
            </w:pPr>
            <w:r w:rsidRPr="00B31164">
              <w:rPr>
                <w:rFonts w:ascii="Verdana" w:eastAsia="Times New Roman" w:hAnsi="Verdana"/>
                <w:b/>
                <w:bCs/>
                <w:color w:val="000000"/>
                <w:sz w:val="16"/>
                <w:szCs w:val="16"/>
                <w:lang w:eastAsia="en-GB"/>
              </w:rPr>
              <w:t>19</w:t>
            </w:r>
            <w:r w:rsidR="001022EE">
              <w:rPr>
                <w:rFonts w:ascii="Verdana" w:eastAsia="Times New Roman" w:hAnsi="Verdana"/>
                <w:b/>
                <w:bCs/>
                <w:color w:val="000000"/>
                <w:sz w:val="16"/>
                <w:szCs w:val="16"/>
                <w:lang w:eastAsia="en-GB"/>
              </w:rPr>
              <w:t>3</w:t>
            </w:r>
            <w:r w:rsidRPr="00B31164">
              <w:rPr>
                <w:rFonts w:ascii="Verdana" w:eastAsia="Times New Roman" w:hAnsi="Verdana"/>
                <w:b/>
                <w:bCs/>
                <w:color w:val="000000"/>
                <w:sz w:val="16"/>
                <w:szCs w:val="16"/>
                <w:lang w:eastAsia="en-GB"/>
              </w:rPr>
              <w:t>,</w:t>
            </w:r>
            <w:r w:rsidR="001022EE">
              <w:rPr>
                <w:rFonts w:ascii="Verdana" w:eastAsia="Times New Roman" w:hAnsi="Verdana"/>
                <w:b/>
                <w:bCs/>
                <w:color w:val="000000"/>
                <w:sz w:val="16"/>
                <w:szCs w:val="16"/>
                <w:lang w:eastAsia="en-GB"/>
              </w:rPr>
              <w:t>261</w:t>
            </w:r>
          </w:p>
        </w:tc>
        <w:tc>
          <w:tcPr>
            <w:tcW w:w="1174" w:type="dxa"/>
            <w:tcBorders>
              <w:top w:val="single" w:sz="4" w:space="0" w:color="auto"/>
              <w:left w:val="nil"/>
              <w:bottom w:val="single" w:sz="4" w:space="0" w:color="auto"/>
              <w:right w:val="single" w:sz="4" w:space="0" w:color="auto"/>
            </w:tcBorders>
            <w:shd w:val="clear" w:color="000000" w:fill="FFFFFF"/>
            <w:noWrap/>
            <w:vAlign w:val="center"/>
            <w:hideMark/>
          </w:tcPr>
          <w:p w:rsidR="00742A40" w:rsidRPr="00B31164" w:rsidRDefault="00742A40">
            <w:pPr>
              <w:ind w:firstLineChars="100" w:firstLine="161"/>
              <w:jc w:val="right"/>
              <w:rPr>
                <w:rFonts w:ascii="Verdana" w:eastAsia="Times New Roman" w:hAnsi="Verdana"/>
                <w:b/>
                <w:bCs/>
                <w:color w:val="000000"/>
                <w:sz w:val="16"/>
                <w:szCs w:val="16"/>
                <w:lang w:eastAsia="en-GB"/>
              </w:rPr>
            </w:pPr>
            <w:r w:rsidRPr="00B31164">
              <w:rPr>
                <w:rFonts w:ascii="Verdana" w:eastAsia="Times New Roman" w:hAnsi="Verdana"/>
                <w:b/>
                <w:bCs/>
                <w:color w:val="000000"/>
                <w:sz w:val="16"/>
                <w:szCs w:val="16"/>
                <w:lang w:eastAsia="en-GB"/>
              </w:rPr>
              <w:t>191,</w:t>
            </w:r>
            <w:r w:rsidR="001022EE">
              <w:rPr>
                <w:rFonts w:ascii="Verdana" w:eastAsia="Times New Roman" w:hAnsi="Verdana"/>
                <w:b/>
                <w:bCs/>
                <w:color w:val="000000"/>
                <w:sz w:val="16"/>
                <w:szCs w:val="16"/>
                <w:lang w:eastAsia="en-GB"/>
              </w:rPr>
              <w:t>99</w:t>
            </w:r>
            <w:r w:rsidRPr="00B31164">
              <w:rPr>
                <w:rFonts w:ascii="Verdana" w:eastAsia="Times New Roman" w:hAnsi="Verdana"/>
                <w:b/>
                <w:bCs/>
                <w:color w:val="000000"/>
                <w:sz w:val="16"/>
                <w:szCs w:val="16"/>
                <w:lang w:eastAsia="en-GB"/>
              </w:rPr>
              <w:t>9</w:t>
            </w:r>
          </w:p>
        </w:tc>
      </w:tr>
    </w:tbl>
    <w:p w:rsidR="00742A40" w:rsidRDefault="00742A40" w:rsidP="00742A40"/>
    <w:p w:rsidR="00F227D9" w:rsidRDefault="008979A0" w:rsidP="00F227D9">
      <w:pPr>
        <w:pStyle w:val="Heading1"/>
        <w:spacing w:after="240"/>
        <w:rPr>
          <w:lang w:val="pt-BR"/>
        </w:rPr>
      </w:pPr>
      <w:bookmarkStart w:id="26" w:name="_Toc55900996"/>
      <w:r>
        <w:rPr>
          <w:lang w:val="pt-BR"/>
        </w:rPr>
        <w:t>Note 1</w:t>
      </w:r>
      <w:r w:rsidR="00D02B10">
        <w:rPr>
          <w:lang w:val="pt-BR"/>
        </w:rPr>
        <w:t>8</w:t>
      </w:r>
      <w:r w:rsidR="00F227D9">
        <w:rPr>
          <w:lang w:val="pt-BR"/>
        </w:rPr>
        <w:t xml:space="preserve"> - Contingent Liabilities</w:t>
      </w:r>
      <w:bookmarkEnd w:id="26"/>
      <w:r w:rsidR="00F227D9">
        <w:rPr>
          <w:lang w:val="pt-BR"/>
        </w:rPr>
        <w:t xml:space="preserve"> </w:t>
      </w:r>
    </w:p>
    <w:p w:rsidR="00F227D9" w:rsidRPr="007C11F3" w:rsidRDefault="00F227D9" w:rsidP="007C11F3">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 xml:space="preserve">Although the accounts include (through the establishment of provisions and creditors) known liabilities faced </w:t>
      </w:r>
      <w:r w:rsidRPr="007C11F3">
        <w:rPr>
          <w:rFonts w:ascii="Verdana" w:eastAsia="Verdana" w:hAnsi="Verdana" w:cs="Verdana"/>
          <w:sz w:val="22"/>
          <w:szCs w:val="22"/>
          <w:lang w:val="en-GB"/>
        </w:rPr>
        <w:t>by the Group at 31 March 20</w:t>
      </w:r>
      <w:r w:rsidR="004D44FF" w:rsidRPr="007C11F3">
        <w:rPr>
          <w:rFonts w:ascii="Verdana" w:eastAsia="Verdana" w:hAnsi="Verdana" w:cs="Verdana"/>
          <w:sz w:val="22"/>
          <w:szCs w:val="22"/>
          <w:lang w:val="en-GB"/>
        </w:rPr>
        <w:t>20</w:t>
      </w:r>
      <w:r w:rsidRPr="007C11F3">
        <w:rPr>
          <w:rFonts w:ascii="Verdana" w:eastAsia="Verdana" w:hAnsi="Verdana" w:cs="Verdana"/>
          <w:sz w:val="22"/>
          <w:szCs w:val="22"/>
          <w:lang w:val="en-GB"/>
        </w:rPr>
        <w:t>, they exclude potential costs where the liability is not yet established and/or the amounts are uncertain.</w:t>
      </w:r>
    </w:p>
    <w:p w:rsidR="00F227D9" w:rsidRPr="007C11F3" w:rsidRDefault="00F227D9">
      <w:pPr>
        <w:pStyle w:val="Normal0"/>
        <w:spacing w:after="160"/>
        <w:rPr>
          <w:rFonts w:ascii="Verdana" w:eastAsia="Verdana" w:hAnsi="Verdana" w:cs="Verdana"/>
          <w:sz w:val="22"/>
          <w:szCs w:val="22"/>
          <w:lang w:val="en-GB"/>
        </w:rPr>
      </w:pPr>
      <w:r w:rsidRPr="007C11F3">
        <w:rPr>
          <w:rFonts w:ascii="Verdana" w:eastAsia="Verdana" w:hAnsi="Verdana" w:cs="Verdana"/>
          <w:sz w:val="22"/>
          <w:szCs w:val="22"/>
          <w:lang w:val="en-GB"/>
        </w:rPr>
        <w:t>At 31 March 20</w:t>
      </w:r>
      <w:r w:rsidR="004D44FF" w:rsidRPr="007C11F3">
        <w:rPr>
          <w:rFonts w:ascii="Verdana" w:eastAsia="Verdana" w:hAnsi="Verdana" w:cs="Verdana"/>
          <w:sz w:val="22"/>
          <w:szCs w:val="22"/>
          <w:lang w:val="en-GB"/>
        </w:rPr>
        <w:t>20</w:t>
      </w:r>
      <w:r w:rsidRPr="007C11F3">
        <w:rPr>
          <w:rFonts w:ascii="Verdana" w:eastAsia="Verdana" w:hAnsi="Verdana" w:cs="Verdana"/>
          <w:sz w:val="22"/>
          <w:szCs w:val="22"/>
          <w:lang w:val="en-GB"/>
        </w:rPr>
        <w:t>, the Chief Constable of Surrey had the following contingent liability issues:</w:t>
      </w:r>
    </w:p>
    <w:p w:rsidR="00F227D9" w:rsidRPr="007C11F3" w:rsidRDefault="00F227D9">
      <w:pPr>
        <w:pStyle w:val="Normal0"/>
        <w:spacing w:after="160"/>
        <w:rPr>
          <w:rFonts w:ascii="Verdana" w:eastAsia="Verdana" w:hAnsi="Verdana" w:cs="Verdana"/>
          <w:sz w:val="22"/>
          <w:szCs w:val="22"/>
          <w:lang w:val="en-GB"/>
        </w:rPr>
      </w:pPr>
      <w:r w:rsidRPr="007C11F3">
        <w:rPr>
          <w:rFonts w:ascii="Verdana" w:eastAsia="Verdana" w:hAnsi="Verdana" w:cs="Verdana"/>
          <w:sz w:val="22"/>
          <w:szCs w:val="22"/>
          <w:lang w:val="en-GB"/>
        </w:rPr>
        <w:t>•</w:t>
      </w:r>
      <w:r w:rsidRPr="007C11F3">
        <w:rPr>
          <w:rFonts w:ascii="Verdana" w:eastAsia="Verdana" w:hAnsi="Verdana" w:cs="Verdana"/>
          <w:sz w:val="22"/>
          <w:szCs w:val="22"/>
          <w:lang w:val="en-GB"/>
        </w:rPr>
        <w:tab/>
      </w:r>
      <w:r w:rsidRPr="007C11F3">
        <w:rPr>
          <w:rFonts w:ascii="Verdana" w:eastAsia="Verdana" w:hAnsi="Verdana" w:cs="Verdana"/>
          <w:b/>
          <w:sz w:val="22"/>
          <w:szCs w:val="22"/>
          <w:lang w:val="en-GB"/>
        </w:rPr>
        <w:t>Police Regulations On-call Payments</w:t>
      </w:r>
    </w:p>
    <w:p w:rsidR="00F227D9" w:rsidRPr="007C11F3" w:rsidRDefault="00F227D9" w:rsidP="007C11F3">
      <w:pPr>
        <w:pStyle w:val="Normal0"/>
        <w:spacing w:after="160"/>
        <w:jc w:val="both"/>
        <w:rPr>
          <w:rFonts w:ascii="Verdana" w:eastAsia="Verdana" w:hAnsi="Verdana" w:cs="Verdana"/>
          <w:sz w:val="22"/>
          <w:szCs w:val="22"/>
          <w:lang w:val="en-GB"/>
        </w:rPr>
      </w:pPr>
      <w:r w:rsidRPr="007C11F3">
        <w:rPr>
          <w:rFonts w:ascii="Verdana" w:eastAsia="Verdana" w:hAnsi="Verdana" w:cs="Verdana"/>
          <w:sz w:val="22"/>
          <w:szCs w:val="22"/>
          <w:lang w:val="en-GB"/>
        </w:rPr>
        <w:t>The Chief Constable for Surrey Police, along with other Chief Constables has a contingent liability following successful claims in the court case Allard v Devon and Cornwall Police for unpaid overtime following recalls to duty.</w:t>
      </w:r>
    </w:p>
    <w:p w:rsidR="00F227D9" w:rsidRPr="007C11F3" w:rsidRDefault="00F227D9" w:rsidP="007C11F3">
      <w:pPr>
        <w:pStyle w:val="Normal0"/>
        <w:spacing w:after="160"/>
        <w:jc w:val="both"/>
        <w:rPr>
          <w:rFonts w:ascii="Verdana" w:eastAsia="Verdana" w:hAnsi="Verdana" w:cs="Verdana"/>
          <w:sz w:val="22"/>
          <w:szCs w:val="22"/>
          <w:lang w:val="en-GB"/>
        </w:rPr>
      </w:pPr>
      <w:r w:rsidRPr="007C11F3">
        <w:rPr>
          <w:rFonts w:ascii="Verdana" w:eastAsia="Verdana" w:hAnsi="Verdana" w:cs="Verdana"/>
          <w:sz w:val="22"/>
          <w:szCs w:val="22"/>
          <w:lang w:val="en-GB"/>
        </w:rPr>
        <w:t>This case arises from under-cover officers in Devon and Cornwall Police claiming under Police Regulations that they were entitled to on-call payments arising from having to take telephone calls throughout the course of their duties and outside of their normal working hours. This case was upheld against Devon and Cornwall at the High Court and the judge has selected a number of test cases to consider all of the issues arising in these claims against forces across the country.</w:t>
      </w:r>
    </w:p>
    <w:p w:rsidR="00F227D9" w:rsidRDefault="00F227D9" w:rsidP="007C11F3">
      <w:pPr>
        <w:pStyle w:val="Normal0"/>
        <w:spacing w:after="160"/>
        <w:jc w:val="both"/>
        <w:rPr>
          <w:rFonts w:ascii="Verdana" w:eastAsia="Verdana" w:hAnsi="Verdana" w:cs="Verdana"/>
          <w:sz w:val="22"/>
          <w:szCs w:val="22"/>
          <w:lang w:val="en-GB"/>
        </w:rPr>
      </w:pPr>
      <w:r w:rsidRPr="007C11F3">
        <w:rPr>
          <w:rFonts w:ascii="Verdana" w:eastAsia="Verdana" w:hAnsi="Verdana" w:cs="Verdana"/>
          <w:sz w:val="22"/>
          <w:szCs w:val="22"/>
          <w:lang w:val="en-GB"/>
        </w:rPr>
        <w:t>Whilst the outcome of the legal case is not in doubt, the timings and amount of any payments due to the claimants are yet to be ascertained. Work remains ongoing by all forces to identify all claims and the quantum of each payment that is due. For these reasons no provision has been made in the 20</w:t>
      </w:r>
      <w:r w:rsidR="004D44FF" w:rsidRPr="007C11F3">
        <w:rPr>
          <w:rFonts w:ascii="Verdana" w:eastAsia="Verdana" w:hAnsi="Verdana" w:cs="Verdana"/>
          <w:sz w:val="22"/>
          <w:szCs w:val="22"/>
          <w:lang w:val="en-GB"/>
        </w:rPr>
        <w:t>19</w:t>
      </w:r>
      <w:r w:rsidRPr="007C11F3">
        <w:rPr>
          <w:rFonts w:ascii="Verdana" w:eastAsia="Verdana" w:hAnsi="Verdana" w:cs="Verdana"/>
          <w:sz w:val="22"/>
          <w:szCs w:val="22"/>
          <w:lang w:val="en-GB"/>
        </w:rPr>
        <w:t>/</w:t>
      </w:r>
      <w:r w:rsidR="004D44FF" w:rsidRPr="007C11F3">
        <w:rPr>
          <w:rFonts w:ascii="Verdana" w:eastAsia="Verdana" w:hAnsi="Verdana" w:cs="Verdana"/>
          <w:sz w:val="22"/>
          <w:szCs w:val="22"/>
          <w:lang w:val="en-GB"/>
        </w:rPr>
        <w:t>20</w:t>
      </w:r>
      <w:r w:rsidRPr="007C11F3">
        <w:rPr>
          <w:rFonts w:ascii="Verdana" w:eastAsia="Verdana" w:hAnsi="Verdana" w:cs="Verdana"/>
          <w:sz w:val="22"/>
          <w:szCs w:val="22"/>
          <w:lang w:val="en-GB"/>
        </w:rPr>
        <w:t xml:space="preserve"> Statement of Accounts.</w:t>
      </w:r>
      <w:r>
        <w:rPr>
          <w:rFonts w:ascii="Verdana" w:eastAsia="Verdana" w:hAnsi="Verdana" w:cs="Verdana"/>
          <w:sz w:val="22"/>
          <w:szCs w:val="22"/>
          <w:lang w:val="en-GB"/>
        </w:rPr>
        <w:t xml:space="preserve"> </w:t>
      </w:r>
    </w:p>
    <w:p w:rsidR="00F227D9" w:rsidRDefault="00F227D9">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w:t>
      </w:r>
      <w:r>
        <w:rPr>
          <w:rFonts w:ascii="Verdana" w:eastAsia="Verdana" w:hAnsi="Verdana" w:cs="Verdana"/>
          <w:sz w:val="22"/>
          <w:szCs w:val="22"/>
          <w:lang w:val="en-GB"/>
        </w:rPr>
        <w:tab/>
      </w:r>
      <w:r w:rsidRPr="00DB7E44">
        <w:rPr>
          <w:rFonts w:ascii="Verdana" w:eastAsia="Verdana" w:hAnsi="Verdana" w:cs="Verdana"/>
          <w:b/>
          <w:sz w:val="22"/>
          <w:szCs w:val="22"/>
          <w:lang w:val="en-GB"/>
        </w:rPr>
        <w:t>Forensic Service Uncertainty</w:t>
      </w:r>
    </w:p>
    <w:p w:rsidR="00F227D9" w:rsidRDefault="00F227D9" w:rsidP="00DB7E44">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 xml:space="preserve">The validity of evidence provided by a forensic testing company to the police service is currently under investigation and is an issue impacting on policing across England &amp; Wales. Re-testing is still underway and it is reasonable to anticipate that some people may have been convicted of offences based on flawed data, and that conviction will have had a significant impact on their personal circumstances. As a result some kind of litigation may be forthcoming. At this point in time it is not possible to assess the number of likely claims or the financial exposure arising from them. </w:t>
      </w:r>
    </w:p>
    <w:p w:rsidR="00F227D9" w:rsidRPr="00FC06D6" w:rsidRDefault="00F227D9" w:rsidP="00F227D9">
      <w:pPr>
        <w:pStyle w:val="Normal0"/>
        <w:spacing w:after="160"/>
        <w:rPr>
          <w:rFonts w:ascii="Verdana" w:hAnsi="Verdana"/>
          <w:sz w:val="4"/>
          <w:szCs w:val="4"/>
          <w:lang w:val="pt-BR"/>
        </w:rPr>
      </w:pPr>
    </w:p>
    <w:p w:rsidR="00F227D9" w:rsidRDefault="008979A0" w:rsidP="00F227D9">
      <w:pPr>
        <w:pStyle w:val="Heading1"/>
        <w:spacing w:after="240"/>
        <w:rPr>
          <w:lang w:val="pt-BR"/>
        </w:rPr>
      </w:pPr>
      <w:bookmarkStart w:id="27" w:name="_Toc55900997"/>
      <w:r>
        <w:rPr>
          <w:lang w:val="pt-BR"/>
        </w:rPr>
        <w:t xml:space="preserve">Note </w:t>
      </w:r>
      <w:r w:rsidR="00D02B10">
        <w:rPr>
          <w:lang w:val="pt-BR"/>
        </w:rPr>
        <w:t>19</w:t>
      </w:r>
      <w:r w:rsidR="00F227D9">
        <w:rPr>
          <w:lang w:val="pt-BR"/>
        </w:rPr>
        <w:t xml:space="preserve"> - Contingent Assets</w:t>
      </w:r>
      <w:bookmarkEnd w:id="27"/>
      <w:r w:rsidR="00F227D9">
        <w:rPr>
          <w:lang w:val="pt-BR"/>
        </w:rPr>
        <w:t xml:space="preserve"> </w:t>
      </w:r>
    </w:p>
    <w:p w:rsidR="00F227D9" w:rsidRDefault="00F227D9">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The Chief Constable has no contingent assets to disclose at 31 March 20</w:t>
      </w:r>
      <w:r w:rsidR="004D44FF">
        <w:rPr>
          <w:rFonts w:ascii="Verdana" w:eastAsia="Verdana" w:hAnsi="Verdana" w:cs="Verdana"/>
          <w:sz w:val="22"/>
          <w:szCs w:val="22"/>
          <w:lang w:val="en-GB"/>
        </w:rPr>
        <w:t>20</w:t>
      </w:r>
      <w:r>
        <w:rPr>
          <w:rFonts w:ascii="Verdana" w:eastAsia="Verdana" w:hAnsi="Verdana" w:cs="Verdana"/>
          <w:sz w:val="22"/>
          <w:szCs w:val="22"/>
          <w:lang w:val="en-GB"/>
        </w:rPr>
        <w:t>.</w:t>
      </w:r>
    </w:p>
    <w:p w:rsidR="00F227D9" w:rsidRPr="00FC06D6" w:rsidRDefault="00F227D9" w:rsidP="00F227D9">
      <w:pPr>
        <w:pStyle w:val="Normal0"/>
        <w:spacing w:after="160"/>
        <w:rPr>
          <w:rFonts w:ascii="Verdana" w:hAnsi="Verdana"/>
          <w:sz w:val="4"/>
          <w:szCs w:val="4"/>
          <w:lang w:val="pt-BR"/>
        </w:rPr>
      </w:pPr>
    </w:p>
    <w:p w:rsidR="00F227D9" w:rsidRDefault="00F227D9" w:rsidP="00F227D9">
      <w:pPr>
        <w:pStyle w:val="Heading1"/>
        <w:spacing w:after="240"/>
        <w:rPr>
          <w:lang w:val="pt-BR"/>
        </w:rPr>
      </w:pPr>
      <w:bookmarkStart w:id="28" w:name="_Toc55900998"/>
      <w:r>
        <w:rPr>
          <w:lang w:val="pt-BR"/>
        </w:rPr>
        <w:t>Note 2</w:t>
      </w:r>
      <w:r w:rsidR="00D02B10">
        <w:rPr>
          <w:lang w:val="pt-BR"/>
        </w:rPr>
        <w:t>0</w:t>
      </w:r>
      <w:r>
        <w:rPr>
          <w:lang w:val="pt-BR"/>
        </w:rPr>
        <w:t xml:space="preserve"> - Financing and Investment Income and Expenditure</w:t>
      </w:r>
      <w:bookmarkEnd w:id="28"/>
      <w:r>
        <w:rPr>
          <w:lang w:val="pt-BR"/>
        </w:rPr>
        <w:t xml:space="preserve"> </w:t>
      </w:r>
    </w:p>
    <w:tbl>
      <w:tblPr>
        <w:tblW w:w="0" w:type="auto"/>
        <w:jc w:val="center"/>
        <w:tblLayout w:type="fixed"/>
        <w:tblLook w:val="04A0" w:firstRow="1" w:lastRow="0" w:firstColumn="1" w:lastColumn="0" w:noHBand="0" w:noVBand="1"/>
      </w:tblPr>
      <w:tblGrid>
        <w:gridCol w:w="1335"/>
        <w:gridCol w:w="180"/>
        <w:gridCol w:w="3750"/>
        <w:gridCol w:w="1335"/>
      </w:tblGrid>
      <w:tr w:rsidR="0053376B" w:rsidTr="00884CD8">
        <w:trPr>
          <w:trHeight w:val="300"/>
          <w:jc w:val="center"/>
        </w:trPr>
        <w:tc>
          <w:tcPr>
            <w:tcW w:w="133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2018/19</w:t>
            </w:r>
          </w:p>
        </w:tc>
        <w:tc>
          <w:tcPr>
            <w:tcW w:w="180" w:type="dxa"/>
            <w:shd w:val="clear" w:color="auto" w:fill="auto"/>
            <w:tcMar>
              <w:top w:w="20" w:type="dxa"/>
              <w:left w:w="20" w:type="dxa"/>
              <w:bottom w:w="20" w:type="dxa"/>
              <w:right w:w="20" w:type="dxa"/>
            </w:tcMar>
            <w:vAlign w:val="bottom"/>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3750" w:type="dxa"/>
            <w:shd w:val="clear" w:color="auto" w:fill="auto"/>
            <w:tcMar>
              <w:top w:w="20" w:type="dxa"/>
              <w:left w:w="20" w:type="dxa"/>
              <w:bottom w:w="20" w:type="dxa"/>
              <w:right w:w="20" w:type="dxa"/>
            </w:tcMar>
            <w:vAlign w:val="bottom"/>
          </w:tcPr>
          <w:p w:rsidR="00F227D9" w:rsidRDefault="00F227D9">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2019/20</w:t>
            </w:r>
          </w:p>
        </w:tc>
      </w:tr>
      <w:tr w:rsidR="0053376B" w:rsidTr="00884CD8">
        <w:trPr>
          <w:trHeight w:val="300"/>
          <w:jc w:val="center"/>
        </w:trPr>
        <w:tc>
          <w:tcPr>
            <w:tcW w:w="133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750"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53376B" w:rsidTr="00884CD8">
        <w:trPr>
          <w:trHeight w:val="300"/>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8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Interest payable and similar charges</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p>
        </w:tc>
      </w:tr>
      <w:tr w:rsidR="0053376B" w:rsidTr="00884CD8">
        <w:trPr>
          <w:trHeight w:val="420"/>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49,457</w:t>
            </w:r>
          </w:p>
        </w:tc>
        <w:tc>
          <w:tcPr>
            <w:tcW w:w="18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Net interest on the net defined benefit liability (asset)</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53,1</w:t>
            </w:r>
            <w:r w:rsidR="001F2A9E">
              <w:rPr>
                <w:rFonts w:ascii="Verdana" w:eastAsia="Verdana" w:hAnsi="Verdana" w:cs="Verdana"/>
                <w:color w:val="000000"/>
                <w:sz w:val="16"/>
                <w:lang w:val="en-GB"/>
              </w:rPr>
              <w:t>0</w:t>
            </w:r>
            <w:r w:rsidR="0097481A">
              <w:rPr>
                <w:rFonts w:ascii="Verdana" w:eastAsia="Verdana" w:hAnsi="Verdana" w:cs="Verdana"/>
                <w:color w:val="000000"/>
                <w:sz w:val="16"/>
                <w:lang w:val="en-GB"/>
              </w:rPr>
              <w:t>9</w:t>
            </w:r>
          </w:p>
        </w:tc>
      </w:tr>
      <w:tr w:rsidR="0053376B" w:rsidTr="00884CD8">
        <w:trPr>
          <w:trHeight w:val="31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49,457</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75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53,1</w:t>
            </w:r>
            <w:r w:rsidR="001F2A9E">
              <w:rPr>
                <w:rFonts w:ascii="Verdana" w:eastAsia="Verdana" w:hAnsi="Verdana" w:cs="Verdana"/>
                <w:b/>
                <w:color w:val="000000"/>
                <w:sz w:val="16"/>
                <w:lang w:val="en-GB"/>
              </w:rPr>
              <w:t>0</w:t>
            </w:r>
            <w:r w:rsidR="0097481A">
              <w:rPr>
                <w:rFonts w:ascii="Verdana" w:eastAsia="Verdana" w:hAnsi="Verdana" w:cs="Verdana"/>
                <w:b/>
                <w:color w:val="000000"/>
                <w:sz w:val="16"/>
                <w:lang w:val="en-GB"/>
              </w:rPr>
              <w:t>9</w:t>
            </w:r>
          </w:p>
        </w:tc>
      </w:tr>
    </w:tbl>
    <w:p w:rsidR="00F227D9" w:rsidRDefault="00F227D9">
      <w:pPr>
        <w:pStyle w:val="T1TableStyle"/>
        <w:rPr>
          <w:rFonts w:ascii="Verdana" w:eastAsia="Verdana" w:hAnsi="Verdana" w:cs="Verdana"/>
          <w:sz w:val="22"/>
          <w:lang w:val="en-GB"/>
        </w:rPr>
      </w:pPr>
    </w:p>
    <w:p w:rsidR="00F227D9" w:rsidRDefault="00F227D9" w:rsidP="00F227D9">
      <w:pPr>
        <w:pStyle w:val="Heading1"/>
        <w:spacing w:after="240"/>
        <w:rPr>
          <w:lang w:val="pt-BR"/>
        </w:rPr>
      </w:pPr>
      <w:bookmarkStart w:id="29" w:name="_Toc55900999"/>
      <w:r>
        <w:rPr>
          <w:lang w:val="pt-BR"/>
        </w:rPr>
        <w:t>Note 2</w:t>
      </w:r>
      <w:r w:rsidR="00D02B10">
        <w:rPr>
          <w:lang w:val="pt-BR"/>
        </w:rPr>
        <w:t>1</w:t>
      </w:r>
      <w:r>
        <w:rPr>
          <w:lang w:val="pt-BR"/>
        </w:rPr>
        <w:t xml:space="preserve"> - Other Operating Expenditure</w:t>
      </w:r>
      <w:bookmarkEnd w:id="29"/>
      <w:r>
        <w:rPr>
          <w:lang w:val="pt-BR"/>
        </w:rPr>
        <w:t xml:space="preserve"> </w:t>
      </w:r>
    </w:p>
    <w:tbl>
      <w:tblPr>
        <w:tblW w:w="0" w:type="auto"/>
        <w:jc w:val="center"/>
        <w:tblLayout w:type="fixed"/>
        <w:tblLook w:val="04A0" w:firstRow="1" w:lastRow="0" w:firstColumn="1" w:lastColumn="0" w:noHBand="0" w:noVBand="1"/>
      </w:tblPr>
      <w:tblGrid>
        <w:gridCol w:w="1335"/>
        <w:gridCol w:w="180"/>
        <w:gridCol w:w="3750"/>
        <w:gridCol w:w="1335"/>
      </w:tblGrid>
      <w:tr w:rsidR="0053376B" w:rsidTr="00884CD8">
        <w:trPr>
          <w:trHeight w:val="300"/>
          <w:jc w:val="center"/>
        </w:trPr>
        <w:tc>
          <w:tcPr>
            <w:tcW w:w="133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2018/19</w:t>
            </w:r>
          </w:p>
        </w:tc>
        <w:tc>
          <w:tcPr>
            <w:tcW w:w="18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75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bottom"/>
          </w:tcPr>
          <w:p w:rsidR="00F227D9" w:rsidRDefault="00F227D9">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2019/20</w:t>
            </w:r>
          </w:p>
        </w:tc>
      </w:tr>
      <w:tr w:rsidR="0053376B" w:rsidTr="00884CD8">
        <w:trPr>
          <w:trHeight w:val="300"/>
          <w:jc w:val="center"/>
        </w:trPr>
        <w:tc>
          <w:tcPr>
            <w:tcW w:w="133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750"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53376B" w:rsidTr="00884CD8">
        <w:trPr>
          <w:trHeight w:val="300"/>
          <w:jc w:val="center"/>
        </w:trPr>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455</w:t>
            </w:r>
          </w:p>
        </w:tc>
        <w:tc>
          <w:tcPr>
            <w:tcW w:w="180" w:type="dxa"/>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rsidR="00F227D9" w:rsidRDefault="00F227D9">
            <w:pPr>
              <w:pStyle w:val="T1TableStyle"/>
              <w:rPr>
                <w:rFonts w:ascii="Verdana" w:eastAsia="Verdana" w:hAnsi="Verdana" w:cs="Verdana"/>
                <w:color w:val="000000"/>
                <w:sz w:val="16"/>
                <w:lang w:val="en-GB"/>
              </w:rPr>
            </w:pPr>
            <w:r>
              <w:rPr>
                <w:rFonts w:ascii="Verdana" w:eastAsia="Verdana" w:hAnsi="Verdana" w:cs="Verdana"/>
                <w:color w:val="000000"/>
                <w:sz w:val="16"/>
                <w:lang w:val="en-GB"/>
              </w:rPr>
              <w:t>Levies</w:t>
            </w:r>
          </w:p>
        </w:tc>
        <w:tc>
          <w:tcPr>
            <w:tcW w:w="1335" w:type="dxa"/>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522</w:t>
            </w:r>
          </w:p>
        </w:tc>
      </w:tr>
      <w:tr w:rsidR="0053376B" w:rsidTr="00884CD8">
        <w:trPr>
          <w:trHeight w:val="300"/>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455</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750"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Other Operating Expenditure</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F227D9" w:rsidRDefault="00F227D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522</w:t>
            </w:r>
          </w:p>
        </w:tc>
      </w:tr>
    </w:tbl>
    <w:p w:rsidR="00F227D9" w:rsidRDefault="00F227D9">
      <w:pPr>
        <w:pStyle w:val="T1TableStyle"/>
        <w:rPr>
          <w:rFonts w:ascii="Verdana" w:eastAsia="Verdana" w:hAnsi="Verdana" w:cs="Verdana"/>
          <w:sz w:val="22"/>
          <w:lang w:val="en-GB"/>
        </w:rPr>
      </w:pPr>
    </w:p>
    <w:p w:rsidR="00F227D9" w:rsidRPr="002B46B4" w:rsidRDefault="00EB0483" w:rsidP="00F227D9">
      <w:pPr>
        <w:pStyle w:val="Heading1"/>
        <w:rPr>
          <w:lang w:val="en-GB" w:eastAsia="en-GB"/>
        </w:rPr>
      </w:pPr>
      <w:bookmarkStart w:id="30" w:name="_Toc55901000"/>
      <w:r>
        <w:rPr>
          <w:lang w:val="en-GB" w:eastAsia="en-GB"/>
        </w:rPr>
        <w:t>Note 2</w:t>
      </w:r>
      <w:r w:rsidR="00D02B10">
        <w:rPr>
          <w:lang w:val="en-GB" w:eastAsia="en-GB"/>
        </w:rPr>
        <w:t>2</w:t>
      </w:r>
      <w:r>
        <w:rPr>
          <w:lang w:val="en-GB" w:eastAsia="en-GB"/>
        </w:rPr>
        <w:t xml:space="preserve"> - </w:t>
      </w:r>
      <w:r w:rsidR="00F227D9" w:rsidRPr="002B46B4">
        <w:rPr>
          <w:lang w:val="en-GB" w:eastAsia="en-GB"/>
        </w:rPr>
        <w:t>Accounting Policies</w:t>
      </w:r>
      <w:bookmarkEnd w:id="30"/>
    </w:p>
    <w:p w:rsidR="00F227D9" w:rsidRPr="00C911F2" w:rsidRDefault="00F227D9" w:rsidP="00F227D9">
      <w:pPr>
        <w:pStyle w:val="Style1"/>
        <w:numPr>
          <w:ilvl w:val="0"/>
          <w:numId w:val="0"/>
        </w:numPr>
        <w:ind w:left="5606" w:hanging="360"/>
        <w:rPr>
          <w:rFonts w:ascii="Verdana" w:hAnsi="Verdana"/>
          <w:sz w:val="22"/>
          <w:szCs w:val="22"/>
          <w:lang w:val="en-GB" w:eastAsia="en-GB"/>
        </w:rPr>
      </w:pPr>
    </w:p>
    <w:p w:rsidR="003E44C5" w:rsidRPr="00DB7E44" w:rsidRDefault="003E44C5" w:rsidP="003E44C5">
      <w:pPr>
        <w:pStyle w:val="Style1"/>
        <w:numPr>
          <w:ilvl w:val="0"/>
          <w:numId w:val="0"/>
        </w:numPr>
        <w:rPr>
          <w:rFonts w:ascii="Verdana" w:hAnsi="Verdana"/>
          <w:sz w:val="22"/>
          <w:szCs w:val="22"/>
        </w:rPr>
      </w:pPr>
      <w:bookmarkStart w:id="31" w:name="_Toc489957273"/>
      <w:r w:rsidRPr="00DB7E44">
        <w:rPr>
          <w:rFonts w:ascii="Verdana" w:hAnsi="Verdana"/>
          <w:sz w:val="22"/>
          <w:szCs w:val="22"/>
        </w:rPr>
        <w:t>General Principles</w:t>
      </w:r>
    </w:p>
    <w:p w:rsidR="003E44C5" w:rsidRPr="00C911F2" w:rsidRDefault="003E44C5" w:rsidP="003E44C5">
      <w:pPr>
        <w:pStyle w:val="Style1"/>
        <w:numPr>
          <w:ilvl w:val="0"/>
          <w:numId w:val="0"/>
        </w:numPr>
        <w:ind w:left="5606"/>
        <w:rPr>
          <w:rFonts w:ascii="Verdana" w:hAnsi="Verdana"/>
          <w:sz w:val="22"/>
          <w:szCs w:val="22"/>
        </w:rPr>
      </w:pPr>
    </w:p>
    <w:p w:rsidR="003E44C5" w:rsidRPr="00C911F2" w:rsidRDefault="003E44C5" w:rsidP="003E44C5">
      <w:pPr>
        <w:jc w:val="both"/>
        <w:rPr>
          <w:rFonts w:ascii="Verdana" w:hAnsi="Verdana" w:cs="Arial"/>
          <w:sz w:val="22"/>
          <w:szCs w:val="22"/>
        </w:rPr>
      </w:pPr>
      <w:r w:rsidRPr="00C911F2">
        <w:rPr>
          <w:rFonts w:ascii="Verdana" w:hAnsi="Verdana" w:cs="Arial"/>
          <w:sz w:val="22"/>
          <w:szCs w:val="22"/>
        </w:rPr>
        <w:t>The Accoun</w:t>
      </w:r>
      <w:r>
        <w:rPr>
          <w:rFonts w:ascii="Verdana" w:hAnsi="Verdana" w:cs="Arial"/>
          <w:sz w:val="22"/>
          <w:szCs w:val="22"/>
        </w:rPr>
        <w:t>ts have been prepared in accordance</w:t>
      </w:r>
      <w:r w:rsidRPr="00C911F2">
        <w:rPr>
          <w:rFonts w:ascii="Verdana" w:hAnsi="Verdana" w:cs="Arial"/>
          <w:sz w:val="22"/>
          <w:szCs w:val="22"/>
        </w:rPr>
        <w:t xml:space="preserve"> with the Code of Practice on Local Authority Accounting in the U</w:t>
      </w:r>
      <w:r>
        <w:rPr>
          <w:rFonts w:ascii="Verdana" w:hAnsi="Verdana" w:cs="Arial"/>
          <w:sz w:val="22"/>
          <w:szCs w:val="22"/>
        </w:rPr>
        <w:t xml:space="preserve">nited </w:t>
      </w:r>
      <w:r w:rsidRPr="00C911F2">
        <w:rPr>
          <w:rFonts w:ascii="Verdana" w:hAnsi="Verdana" w:cs="Arial"/>
          <w:sz w:val="22"/>
          <w:szCs w:val="22"/>
        </w:rPr>
        <w:t>K</w:t>
      </w:r>
      <w:r>
        <w:rPr>
          <w:rFonts w:ascii="Verdana" w:hAnsi="Verdana" w:cs="Arial"/>
          <w:sz w:val="22"/>
          <w:szCs w:val="22"/>
        </w:rPr>
        <w:t>ingdom</w:t>
      </w:r>
      <w:r w:rsidRPr="00C911F2">
        <w:rPr>
          <w:rFonts w:ascii="Verdana" w:hAnsi="Verdana" w:cs="Arial"/>
          <w:sz w:val="22"/>
          <w:szCs w:val="22"/>
        </w:rPr>
        <w:t xml:space="preserve"> 201</w:t>
      </w:r>
      <w:r>
        <w:rPr>
          <w:rFonts w:ascii="Verdana" w:hAnsi="Verdana" w:cs="Arial"/>
          <w:sz w:val="22"/>
          <w:szCs w:val="22"/>
        </w:rPr>
        <w:t>9</w:t>
      </w:r>
      <w:r w:rsidRPr="00C911F2">
        <w:rPr>
          <w:rFonts w:ascii="Verdana" w:hAnsi="Verdana" w:cs="Arial"/>
          <w:sz w:val="22"/>
          <w:szCs w:val="22"/>
        </w:rPr>
        <w:t>/</w:t>
      </w:r>
      <w:r>
        <w:rPr>
          <w:rFonts w:ascii="Verdana" w:hAnsi="Verdana" w:cs="Arial"/>
          <w:sz w:val="22"/>
          <w:szCs w:val="22"/>
        </w:rPr>
        <w:t>20</w:t>
      </w:r>
      <w:r w:rsidRPr="00C911F2">
        <w:rPr>
          <w:rFonts w:ascii="Verdana" w:hAnsi="Verdana" w:cs="Arial"/>
          <w:sz w:val="22"/>
          <w:szCs w:val="22"/>
        </w:rPr>
        <w:t>, issued by the Chartered Institute of Public Finance and Accountancy (CIPFA), approved by the Financial Reporting Advisory Board (FRAB).  The Code is based on approved accounting standards issued by the International Accounting Standards Board</w:t>
      </w:r>
      <w:r>
        <w:rPr>
          <w:rFonts w:ascii="Verdana" w:hAnsi="Verdana" w:cs="Arial"/>
          <w:sz w:val="22"/>
          <w:szCs w:val="22"/>
        </w:rPr>
        <w:t xml:space="preserve"> (IASB)</w:t>
      </w:r>
      <w:r w:rsidRPr="00C911F2">
        <w:rPr>
          <w:rFonts w:ascii="Verdana" w:hAnsi="Verdana" w:cs="Arial"/>
          <w:sz w:val="22"/>
          <w:szCs w:val="22"/>
        </w:rPr>
        <w:t xml:space="preserve"> and interpretations of the International Financial Reporting Interpretations Committee, except where these are inconsistent with specific statutory requirements. The Code also draws on approved accounting standards issued by the International Public Sector Accounting Standards Board</w:t>
      </w:r>
      <w:r>
        <w:rPr>
          <w:rFonts w:ascii="Verdana" w:hAnsi="Verdana" w:cs="Arial"/>
          <w:sz w:val="22"/>
          <w:szCs w:val="22"/>
        </w:rPr>
        <w:t xml:space="preserve"> (IPSAS)</w:t>
      </w:r>
      <w:r w:rsidRPr="00C911F2">
        <w:rPr>
          <w:rFonts w:ascii="Verdana" w:hAnsi="Verdana" w:cs="Arial"/>
          <w:sz w:val="22"/>
          <w:szCs w:val="22"/>
        </w:rPr>
        <w:t xml:space="preserve"> and the UK Accounting Standards Board</w:t>
      </w:r>
      <w:r>
        <w:rPr>
          <w:rFonts w:ascii="Verdana" w:hAnsi="Verdana" w:cs="Arial"/>
          <w:sz w:val="22"/>
          <w:szCs w:val="22"/>
        </w:rPr>
        <w:t xml:space="preserve"> (ASB)</w:t>
      </w:r>
      <w:r w:rsidRPr="00C911F2">
        <w:rPr>
          <w:rFonts w:ascii="Verdana" w:hAnsi="Verdana" w:cs="Arial"/>
          <w:sz w:val="22"/>
          <w:szCs w:val="22"/>
        </w:rPr>
        <w:t xml:space="preserve"> where these provide additional guidance.  </w:t>
      </w:r>
    </w:p>
    <w:p w:rsidR="003E44C5" w:rsidRPr="00C911F2" w:rsidRDefault="003E44C5" w:rsidP="003E44C5">
      <w:pPr>
        <w:jc w:val="both"/>
        <w:rPr>
          <w:rFonts w:ascii="Verdana" w:hAnsi="Verdana" w:cs="Arial"/>
          <w:sz w:val="22"/>
          <w:szCs w:val="22"/>
          <w:highlight w:val="yellow"/>
        </w:rPr>
      </w:pPr>
    </w:p>
    <w:p w:rsidR="003E44C5" w:rsidRPr="00C911F2" w:rsidRDefault="003E44C5" w:rsidP="003E44C5">
      <w:pPr>
        <w:jc w:val="both"/>
        <w:rPr>
          <w:rFonts w:ascii="Verdana" w:hAnsi="Verdana" w:cs="Arial"/>
          <w:sz w:val="22"/>
          <w:szCs w:val="22"/>
        </w:rPr>
      </w:pPr>
      <w:r>
        <w:rPr>
          <w:rFonts w:ascii="Verdana" w:hAnsi="Verdana" w:cs="Arial"/>
          <w:sz w:val="22"/>
          <w:szCs w:val="22"/>
        </w:rPr>
        <w:t>The accounting policies</w:t>
      </w:r>
      <w:r w:rsidRPr="00C911F2">
        <w:rPr>
          <w:rFonts w:ascii="Verdana" w:hAnsi="Verdana" w:cs="Arial"/>
          <w:sz w:val="22"/>
          <w:szCs w:val="22"/>
        </w:rPr>
        <w:t xml:space="preserve"> reflect the powers and responsibilities of the Chief Constable of Surrey as designated by the Police Reform and Social Responsibility Act 2011 and the Home Office Financial Management Code of Practice for the Police Service, England and Wales 2012.  The accounts cover the 12 months to 31 March 20</w:t>
      </w:r>
      <w:r>
        <w:rPr>
          <w:rFonts w:ascii="Verdana" w:hAnsi="Verdana" w:cs="Arial"/>
          <w:sz w:val="22"/>
          <w:szCs w:val="22"/>
        </w:rPr>
        <w:t>20</w:t>
      </w:r>
      <w:r w:rsidRPr="00C911F2">
        <w:rPr>
          <w:rFonts w:ascii="Verdana" w:hAnsi="Verdana" w:cs="Arial"/>
          <w:sz w:val="22"/>
          <w:szCs w:val="22"/>
        </w:rPr>
        <w:t>.</w:t>
      </w:r>
    </w:p>
    <w:p w:rsidR="003E44C5" w:rsidRPr="00C911F2" w:rsidRDefault="003E44C5" w:rsidP="003E44C5">
      <w:pPr>
        <w:jc w:val="both"/>
        <w:rPr>
          <w:rFonts w:ascii="Verdana" w:hAnsi="Verdana" w:cs="Arial"/>
          <w:sz w:val="22"/>
          <w:szCs w:val="22"/>
        </w:rPr>
      </w:pPr>
    </w:p>
    <w:p w:rsidR="003E44C5" w:rsidRPr="00C911F2" w:rsidRDefault="003E44C5" w:rsidP="003E44C5">
      <w:pPr>
        <w:jc w:val="both"/>
        <w:rPr>
          <w:rFonts w:ascii="Verdana" w:hAnsi="Verdana" w:cs="Arial"/>
          <w:sz w:val="22"/>
          <w:szCs w:val="22"/>
        </w:rPr>
      </w:pPr>
      <w:r w:rsidRPr="00C911F2">
        <w:rPr>
          <w:rFonts w:ascii="Verdana" w:hAnsi="Verdana" w:cs="Arial"/>
          <w:sz w:val="22"/>
          <w:szCs w:val="22"/>
        </w:rPr>
        <w:t>The Police Reform and Social Responsibility Act 2011 (Transitional Provision) Order 2013 allows the same provisions of the Local Government Act 2003 for financial arrangements to apply in relation to the Chief Constable as they apply in relation to a local authority.</w:t>
      </w:r>
    </w:p>
    <w:p w:rsidR="003E44C5" w:rsidRPr="00C911F2" w:rsidRDefault="003E44C5" w:rsidP="003E44C5">
      <w:pPr>
        <w:jc w:val="both"/>
        <w:rPr>
          <w:rFonts w:ascii="Verdana" w:hAnsi="Verdana" w:cs="Arial"/>
          <w:sz w:val="22"/>
          <w:szCs w:val="22"/>
        </w:rPr>
      </w:pPr>
    </w:p>
    <w:p w:rsidR="003E44C5" w:rsidRPr="00DB7E44" w:rsidRDefault="003E44C5" w:rsidP="003E44C5">
      <w:pPr>
        <w:pStyle w:val="Style1"/>
        <w:numPr>
          <w:ilvl w:val="0"/>
          <w:numId w:val="0"/>
        </w:numPr>
        <w:rPr>
          <w:rFonts w:ascii="Verdana" w:hAnsi="Verdana"/>
          <w:sz w:val="22"/>
          <w:szCs w:val="22"/>
        </w:rPr>
      </w:pPr>
      <w:r w:rsidRPr="00DB7E44">
        <w:rPr>
          <w:rFonts w:ascii="Verdana" w:hAnsi="Verdana"/>
          <w:sz w:val="22"/>
          <w:szCs w:val="22"/>
        </w:rPr>
        <w:t>Fundamental Accounting Policies</w:t>
      </w:r>
    </w:p>
    <w:p w:rsidR="003E44C5" w:rsidRPr="00C911F2" w:rsidRDefault="003E44C5" w:rsidP="003E44C5">
      <w:pPr>
        <w:jc w:val="both"/>
        <w:rPr>
          <w:rFonts w:ascii="Verdana" w:hAnsi="Verdana" w:cs="Arial"/>
          <w:sz w:val="22"/>
          <w:szCs w:val="22"/>
        </w:rPr>
      </w:pPr>
    </w:p>
    <w:p w:rsidR="003E44C5" w:rsidRPr="00C911F2" w:rsidRDefault="003E44C5" w:rsidP="003E44C5">
      <w:pPr>
        <w:jc w:val="both"/>
        <w:rPr>
          <w:rFonts w:ascii="Verdana" w:hAnsi="Verdana" w:cs="Arial"/>
          <w:sz w:val="22"/>
          <w:szCs w:val="22"/>
        </w:rPr>
      </w:pPr>
      <w:r w:rsidRPr="00C911F2">
        <w:rPr>
          <w:rFonts w:ascii="Verdana" w:hAnsi="Verdana" w:cs="Arial"/>
          <w:sz w:val="22"/>
          <w:szCs w:val="22"/>
        </w:rPr>
        <w:t>The Statement of Accounts has been prepared in accordance with the following accounting concepts and principles:</w:t>
      </w:r>
    </w:p>
    <w:p w:rsidR="003E44C5" w:rsidRPr="00C911F2" w:rsidRDefault="003E44C5" w:rsidP="003E44C5">
      <w:pPr>
        <w:jc w:val="both"/>
        <w:rPr>
          <w:rFonts w:ascii="Verdana" w:hAnsi="Verdana" w:cs="Arial"/>
          <w:sz w:val="22"/>
          <w:szCs w:val="22"/>
        </w:rPr>
      </w:pPr>
    </w:p>
    <w:p w:rsidR="003E44C5" w:rsidRPr="00C911F2" w:rsidRDefault="003E44C5" w:rsidP="003E44C5">
      <w:pPr>
        <w:ind w:left="720" w:hanging="720"/>
        <w:jc w:val="both"/>
        <w:rPr>
          <w:rFonts w:ascii="Verdana" w:hAnsi="Verdana" w:cs="Arial"/>
          <w:sz w:val="22"/>
          <w:szCs w:val="22"/>
        </w:rPr>
      </w:pPr>
      <w:r w:rsidRPr="00C911F2">
        <w:rPr>
          <w:rFonts w:ascii="Verdana" w:hAnsi="Verdana" w:cs="Arial"/>
          <w:sz w:val="22"/>
          <w:szCs w:val="22"/>
        </w:rPr>
        <w:t>•</w:t>
      </w:r>
      <w:r w:rsidRPr="00C911F2">
        <w:rPr>
          <w:rFonts w:ascii="Verdana" w:hAnsi="Verdana" w:cs="Arial"/>
          <w:sz w:val="22"/>
          <w:szCs w:val="22"/>
        </w:rPr>
        <w:tab/>
      </w:r>
      <w:r w:rsidRPr="00751FDA">
        <w:rPr>
          <w:rFonts w:ascii="Verdana" w:hAnsi="Verdana" w:cs="Arial"/>
          <w:b/>
          <w:sz w:val="22"/>
          <w:szCs w:val="22"/>
        </w:rPr>
        <w:t>Accruals</w:t>
      </w:r>
      <w:r w:rsidRPr="00C911F2">
        <w:rPr>
          <w:rFonts w:ascii="Verdana" w:hAnsi="Verdana" w:cs="Arial"/>
          <w:sz w:val="22"/>
          <w:szCs w:val="22"/>
        </w:rPr>
        <w:t xml:space="preserve"> – the accruals basis of accounting establishes that the non-cash effects of transactions are reflected in the accounting period in which those effects are experienced and not in the period in which any cash is received or paid.</w:t>
      </w:r>
    </w:p>
    <w:p w:rsidR="003E44C5" w:rsidRPr="00C911F2" w:rsidRDefault="003E44C5" w:rsidP="003E44C5">
      <w:pPr>
        <w:jc w:val="both"/>
        <w:rPr>
          <w:rFonts w:ascii="Verdana" w:hAnsi="Verdana" w:cs="Arial"/>
          <w:sz w:val="22"/>
          <w:szCs w:val="22"/>
        </w:rPr>
      </w:pPr>
    </w:p>
    <w:p w:rsidR="003E44C5" w:rsidRPr="00C911F2" w:rsidRDefault="003E44C5" w:rsidP="003E44C5">
      <w:pPr>
        <w:ind w:left="720" w:hanging="720"/>
        <w:jc w:val="both"/>
        <w:rPr>
          <w:rFonts w:ascii="Verdana" w:hAnsi="Verdana" w:cs="Arial"/>
          <w:sz w:val="22"/>
          <w:szCs w:val="22"/>
        </w:rPr>
      </w:pPr>
      <w:r w:rsidRPr="00C911F2">
        <w:rPr>
          <w:rFonts w:ascii="Verdana" w:hAnsi="Verdana" w:cs="Arial"/>
          <w:sz w:val="22"/>
          <w:szCs w:val="22"/>
        </w:rPr>
        <w:t>•</w:t>
      </w:r>
      <w:r w:rsidRPr="00C911F2">
        <w:rPr>
          <w:rFonts w:ascii="Verdana" w:hAnsi="Verdana" w:cs="Arial"/>
          <w:sz w:val="22"/>
          <w:szCs w:val="22"/>
        </w:rPr>
        <w:tab/>
      </w:r>
      <w:r w:rsidRPr="00751FDA">
        <w:rPr>
          <w:rFonts w:ascii="Verdana" w:hAnsi="Verdana" w:cs="Arial"/>
          <w:b/>
          <w:sz w:val="22"/>
          <w:szCs w:val="22"/>
        </w:rPr>
        <w:t>Going Concern</w:t>
      </w:r>
      <w:r w:rsidRPr="00C911F2">
        <w:rPr>
          <w:rFonts w:ascii="Verdana" w:hAnsi="Verdana" w:cs="Arial"/>
          <w:sz w:val="22"/>
          <w:szCs w:val="22"/>
        </w:rPr>
        <w:t xml:space="preserve"> – the Accounts have been prepared on the assumption that the Chief Constable will operate for the foreseeable future. This means in particular that the Comprehensive Income &amp; Expenditure Statement and Balance Sheet assume no intention to curtail significantly the scale of operation.</w:t>
      </w:r>
      <w:r>
        <w:rPr>
          <w:rFonts w:ascii="Verdana" w:hAnsi="Verdana" w:cs="Arial"/>
          <w:sz w:val="22"/>
          <w:szCs w:val="22"/>
        </w:rPr>
        <w:t xml:space="preserve"> </w:t>
      </w:r>
    </w:p>
    <w:p w:rsidR="003E44C5" w:rsidRPr="00C911F2" w:rsidRDefault="003E44C5" w:rsidP="003E44C5">
      <w:pPr>
        <w:jc w:val="both"/>
        <w:rPr>
          <w:rFonts w:ascii="Verdana" w:hAnsi="Verdana" w:cs="Arial"/>
          <w:sz w:val="22"/>
          <w:szCs w:val="22"/>
        </w:rPr>
      </w:pPr>
    </w:p>
    <w:p w:rsidR="003E44C5" w:rsidRPr="00C911F2" w:rsidRDefault="003E44C5" w:rsidP="003E44C5">
      <w:pPr>
        <w:ind w:left="720" w:hanging="720"/>
        <w:jc w:val="both"/>
        <w:rPr>
          <w:rFonts w:ascii="Verdana" w:hAnsi="Verdana" w:cs="Arial"/>
          <w:sz w:val="22"/>
          <w:szCs w:val="22"/>
        </w:rPr>
      </w:pPr>
      <w:r w:rsidRPr="00C911F2">
        <w:rPr>
          <w:rFonts w:ascii="Verdana" w:hAnsi="Verdana" w:cs="Arial"/>
          <w:sz w:val="22"/>
          <w:szCs w:val="22"/>
        </w:rPr>
        <w:t>•</w:t>
      </w:r>
      <w:r w:rsidRPr="00C911F2">
        <w:rPr>
          <w:rFonts w:ascii="Verdana" w:hAnsi="Verdana" w:cs="Arial"/>
          <w:sz w:val="22"/>
          <w:szCs w:val="22"/>
        </w:rPr>
        <w:tab/>
      </w:r>
      <w:r w:rsidRPr="00751FDA">
        <w:rPr>
          <w:rFonts w:ascii="Verdana" w:hAnsi="Verdana" w:cs="Arial"/>
          <w:b/>
          <w:sz w:val="22"/>
          <w:szCs w:val="22"/>
        </w:rPr>
        <w:t>Understandable</w:t>
      </w:r>
      <w:r w:rsidRPr="00C911F2">
        <w:rPr>
          <w:rFonts w:ascii="Verdana" w:hAnsi="Verdana" w:cs="Arial"/>
          <w:sz w:val="22"/>
          <w:szCs w:val="22"/>
        </w:rPr>
        <w:t xml:space="preserve"> – to ensure that the Statement of Accounts pr</w:t>
      </w:r>
      <w:r>
        <w:rPr>
          <w:rFonts w:ascii="Verdana" w:hAnsi="Verdana" w:cs="Arial"/>
          <w:sz w:val="22"/>
          <w:szCs w:val="22"/>
        </w:rPr>
        <w:t xml:space="preserve">oduced can be understood by </w:t>
      </w:r>
      <w:r w:rsidRPr="00C911F2">
        <w:rPr>
          <w:rFonts w:ascii="Verdana" w:hAnsi="Verdana" w:cs="Arial"/>
          <w:sz w:val="22"/>
          <w:szCs w:val="22"/>
        </w:rPr>
        <w:t>readers</w:t>
      </w:r>
      <w:r>
        <w:rPr>
          <w:rFonts w:ascii="Verdana" w:hAnsi="Verdana" w:cs="Arial"/>
          <w:sz w:val="22"/>
          <w:szCs w:val="22"/>
        </w:rPr>
        <w:t xml:space="preserve"> who have a reasonable knowledge of business and economic activities</w:t>
      </w:r>
      <w:r w:rsidRPr="00C911F2">
        <w:rPr>
          <w:rFonts w:ascii="Verdana" w:hAnsi="Verdana" w:cs="Arial"/>
          <w:sz w:val="22"/>
          <w:szCs w:val="22"/>
        </w:rPr>
        <w:t>.</w:t>
      </w:r>
    </w:p>
    <w:p w:rsidR="003E44C5" w:rsidRPr="00C911F2" w:rsidRDefault="003E44C5" w:rsidP="003E44C5">
      <w:pPr>
        <w:jc w:val="both"/>
        <w:rPr>
          <w:rFonts w:ascii="Verdana" w:hAnsi="Verdana" w:cs="Arial"/>
          <w:sz w:val="22"/>
          <w:szCs w:val="22"/>
        </w:rPr>
      </w:pPr>
    </w:p>
    <w:p w:rsidR="003E44C5" w:rsidRPr="00C911F2" w:rsidRDefault="003E44C5" w:rsidP="003E44C5">
      <w:pPr>
        <w:ind w:left="720" w:hanging="720"/>
        <w:jc w:val="both"/>
        <w:rPr>
          <w:rFonts w:ascii="Verdana" w:hAnsi="Verdana" w:cs="Arial"/>
          <w:sz w:val="22"/>
          <w:szCs w:val="22"/>
        </w:rPr>
      </w:pPr>
      <w:r w:rsidRPr="00C911F2">
        <w:rPr>
          <w:rFonts w:ascii="Verdana" w:hAnsi="Verdana" w:cs="Arial"/>
          <w:sz w:val="22"/>
          <w:szCs w:val="22"/>
        </w:rPr>
        <w:t>•</w:t>
      </w:r>
      <w:r w:rsidRPr="00C911F2">
        <w:rPr>
          <w:rFonts w:ascii="Verdana" w:hAnsi="Verdana" w:cs="Arial"/>
          <w:sz w:val="22"/>
          <w:szCs w:val="22"/>
        </w:rPr>
        <w:tab/>
      </w:r>
      <w:r w:rsidRPr="00751FDA">
        <w:rPr>
          <w:rFonts w:ascii="Verdana" w:hAnsi="Verdana" w:cs="Arial"/>
          <w:b/>
          <w:sz w:val="22"/>
          <w:szCs w:val="22"/>
        </w:rPr>
        <w:t>Relevance</w:t>
      </w:r>
      <w:r w:rsidRPr="00C911F2">
        <w:rPr>
          <w:rFonts w:ascii="Verdana" w:hAnsi="Verdana" w:cs="Arial"/>
          <w:sz w:val="22"/>
          <w:szCs w:val="22"/>
        </w:rPr>
        <w:t xml:space="preserve"> – to ensure that the information provided about the Force’s financial position, performance and cash flow is useful for assessing stewardship of public funds and for making economic decisions.</w:t>
      </w:r>
    </w:p>
    <w:p w:rsidR="003E44C5" w:rsidRPr="00C911F2" w:rsidRDefault="003E44C5" w:rsidP="003E44C5">
      <w:pPr>
        <w:jc w:val="both"/>
        <w:rPr>
          <w:rFonts w:ascii="Verdana" w:hAnsi="Verdana" w:cs="Arial"/>
          <w:sz w:val="22"/>
          <w:szCs w:val="22"/>
        </w:rPr>
      </w:pPr>
    </w:p>
    <w:p w:rsidR="003E44C5" w:rsidRPr="00C911F2" w:rsidRDefault="003E44C5" w:rsidP="003E44C5">
      <w:pPr>
        <w:ind w:left="720" w:hanging="720"/>
        <w:jc w:val="both"/>
        <w:rPr>
          <w:rFonts w:ascii="Verdana" w:hAnsi="Verdana" w:cs="Arial"/>
          <w:sz w:val="22"/>
          <w:szCs w:val="22"/>
        </w:rPr>
      </w:pPr>
      <w:r w:rsidRPr="00C911F2">
        <w:rPr>
          <w:rFonts w:ascii="Verdana" w:hAnsi="Verdana" w:cs="Arial"/>
          <w:sz w:val="22"/>
          <w:szCs w:val="22"/>
        </w:rPr>
        <w:t>•</w:t>
      </w:r>
      <w:r w:rsidRPr="00C911F2">
        <w:rPr>
          <w:rFonts w:ascii="Verdana" w:hAnsi="Verdana" w:cs="Arial"/>
          <w:sz w:val="22"/>
          <w:szCs w:val="22"/>
        </w:rPr>
        <w:tab/>
      </w:r>
      <w:r w:rsidRPr="00751FDA">
        <w:rPr>
          <w:rFonts w:ascii="Verdana" w:hAnsi="Verdana" w:cs="Arial"/>
          <w:b/>
          <w:sz w:val="22"/>
          <w:szCs w:val="22"/>
        </w:rPr>
        <w:t>Materiality</w:t>
      </w:r>
      <w:r w:rsidRPr="00C911F2">
        <w:rPr>
          <w:rFonts w:ascii="Verdana" w:hAnsi="Verdana" w:cs="Arial"/>
          <w:sz w:val="22"/>
          <w:szCs w:val="22"/>
        </w:rPr>
        <w:t xml:space="preserve"> – provides a threshold or cut-off point to ensure that the information included in the Financial Statements is of such significance as to justify its inclusion. Omissions or misstatements of items are material if they could, individually or collectively, influence users decisions or assessment of the Financial Statements.</w:t>
      </w:r>
    </w:p>
    <w:p w:rsidR="003E44C5" w:rsidRPr="00C911F2" w:rsidRDefault="003E44C5" w:rsidP="003E44C5">
      <w:pPr>
        <w:jc w:val="both"/>
        <w:rPr>
          <w:rFonts w:ascii="Verdana" w:hAnsi="Verdana" w:cs="Arial"/>
          <w:sz w:val="22"/>
          <w:szCs w:val="22"/>
        </w:rPr>
      </w:pPr>
    </w:p>
    <w:p w:rsidR="003E44C5" w:rsidRPr="00C911F2" w:rsidRDefault="003E44C5" w:rsidP="003E44C5">
      <w:pPr>
        <w:ind w:left="720" w:hanging="720"/>
        <w:jc w:val="both"/>
        <w:rPr>
          <w:rFonts w:ascii="Verdana" w:hAnsi="Verdana" w:cs="Arial"/>
          <w:sz w:val="22"/>
          <w:szCs w:val="22"/>
        </w:rPr>
      </w:pPr>
      <w:r w:rsidRPr="00C911F2">
        <w:rPr>
          <w:rFonts w:ascii="Verdana" w:hAnsi="Verdana" w:cs="Arial"/>
          <w:sz w:val="22"/>
          <w:szCs w:val="22"/>
        </w:rPr>
        <w:t>•</w:t>
      </w:r>
      <w:r w:rsidRPr="00C911F2">
        <w:rPr>
          <w:rFonts w:ascii="Verdana" w:hAnsi="Verdana" w:cs="Arial"/>
          <w:sz w:val="22"/>
          <w:szCs w:val="22"/>
        </w:rPr>
        <w:tab/>
      </w:r>
      <w:r w:rsidRPr="00751FDA">
        <w:rPr>
          <w:rFonts w:ascii="Verdana" w:hAnsi="Verdana" w:cs="Arial"/>
          <w:b/>
          <w:sz w:val="22"/>
          <w:szCs w:val="22"/>
        </w:rPr>
        <w:t>Reliability</w:t>
      </w:r>
      <w:r w:rsidRPr="00C911F2">
        <w:rPr>
          <w:rFonts w:ascii="Verdana" w:hAnsi="Verdana" w:cs="Arial"/>
          <w:sz w:val="22"/>
          <w:szCs w:val="22"/>
        </w:rPr>
        <w:t xml:space="preserve"> – to ensure that the financial information provided accurately reflects the substance of the transactions and other events that have taken place.</w:t>
      </w:r>
    </w:p>
    <w:p w:rsidR="003E44C5" w:rsidRPr="00C911F2" w:rsidRDefault="003E44C5" w:rsidP="003E44C5">
      <w:pPr>
        <w:jc w:val="both"/>
        <w:rPr>
          <w:rFonts w:ascii="Verdana" w:hAnsi="Verdana" w:cs="Arial"/>
          <w:sz w:val="22"/>
          <w:szCs w:val="22"/>
        </w:rPr>
      </w:pPr>
    </w:p>
    <w:p w:rsidR="003E44C5" w:rsidRPr="00C911F2" w:rsidRDefault="003E44C5" w:rsidP="003E44C5">
      <w:pPr>
        <w:ind w:left="720" w:hanging="720"/>
        <w:jc w:val="both"/>
        <w:rPr>
          <w:rFonts w:ascii="Verdana" w:hAnsi="Verdana" w:cs="Arial"/>
          <w:sz w:val="22"/>
          <w:szCs w:val="22"/>
        </w:rPr>
      </w:pPr>
      <w:r w:rsidRPr="00C911F2">
        <w:rPr>
          <w:rFonts w:ascii="Verdana" w:hAnsi="Verdana" w:cs="Arial"/>
          <w:sz w:val="22"/>
          <w:szCs w:val="22"/>
        </w:rPr>
        <w:t>•</w:t>
      </w:r>
      <w:r w:rsidRPr="00C911F2">
        <w:rPr>
          <w:rFonts w:ascii="Verdana" w:hAnsi="Verdana" w:cs="Arial"/>
          <w:sz w:val="22"/>
          <w:szCs w:val="22"/>
        </w:rPr>
        <w:tab/>
      </w:r>
      <w:r w:rsidRPr="00751FDA">
        <w:rPr>
          <w:rFonts w:ascii="Verdana" w:hAnsi="Verdana" w:cs="Arial"/>
          <w:b/>
          <w:sz w:val="22"/>
          <w:szCs w:val="22"/>
        </w:rPr>
        <w:t>Comparability</w:t>
      </w:r>
      <w:r w:rsidRPr="00C911F2">
        <w:rPr>
          <w:rFonts w:ascii="Verdana" w:hAnsi="Verdana" w:cs="Arial"/>
          <w:sz w:val="22"/>
          <w:szCs w:val="22"/>
        </w:rPr>
        <w:t xml:space="preserve"> – the information contained in the Financial Statements has been prepared so that it can be readily compared with similar information about the same entity for different accounting periods and with similar information about other entities.</w:t>
      </w:r>
      <w:r w:rsidRPr="00C911F2">
        <w:rPr>
          <w:rFonts w:ascii="Verdana" w:hAnsi="Verdana" w:cs="Arial"/>
          <w:sz w:val="22"/>
          <w:szCs w:val="22"/>
        </w:rPr>
        <w:cr/>
      </w:r>
    </w:p>
    <w:p w:rsidR="003E44C5" w:rsidRPr="00C911F2" w:rsidRDefault="003E44C5" w:rsidP="003E44C5">
      <w:pPr>
        <w:ind w:left="720" w:hanging="720"/>
        <w:jc w:val="both"/>
        <w:rPr>
          <w:rFonts w:ascii="Verdana" w:hAnsi="Verdana" w:cs="Arial"/>
          <w:sz w:val="22"/>
          <w:szCs w:val="22"/>
        </w:rPr>
      </w:pPr>
      <w:r w:rsidRPr="00C911F2">
        <w:rPr>
          <w:rFonts w:ascii="Verdana" w:hAnsi="Verdana" w:cs="Arial"/>
          <w:sz w:val="22"/>
          <w:szCs w:val="22"/>
        </w:rPr>
        <w:t>•</w:t>
      </w:r>
      <w:r w:rsidRPr="00C911F2">
        <w:rPr>
          <w:rFonts w:ascii="Verdana" w:hAnsi="Verdana" w:cs="Arial"/>
          <w:sz w:val="22"/>
          <w:szCs w:val="22"/>
        </w:rPr>
        <w:tab/>
      </w:r>
      <w:r w:rsidRPr="00751FDA">
        <w:rPr>
          <w:rFonts w:ascii="Verdana" w:hAnsi="Verdana" w:cs="Arial"/>
          <w:b/>
          <w:sz w:val="22"/>
          <w:szCs w:val="22"/>
        </w:rPr>
        <w:t>Primacy of Legislative Requirements</w:t>
      </w:r>
      <w:r w:rsidRPr="00C911F2">
        <w:rPr>
          <w:rFonts w:ascii="Verdana" w:hAnsi="Verdana" w:cs="Arial"/>
          <w:sz w:val="22"/>
          <w:szCs w:val="22"/>
        </w:rPr>
        <w:t xml:space="preserve"> – Chief Constables derive their powers from statute and their financial and accounting framework is closely controlled by primary and secondary legislation. Where specific legislative requirements and accounting principles conflict, the legislative requirement is applied. However, the Code deals with such conflicts by showing the position required by the Code’s accounting requirements in the Comprehensive Income and Expenditure Statement, and the effect of the legislative requirements in the Movement in Reserves Statement.  These accounting entries are included in the Group Accounts</w:t>
      </w:r>
    </w:p>
    <w:p w:rsidR="003E44C5" w:rsidRPr="00C911F2" w:rsidRDefault="003E44C5" w:rsidP="003E44C5">
      <w:pPr>
        <w:jc w:val="both"/>
        <w:rPr>
          <w:rFonts w:ascii="Verdana" w:hAnsi="Verdana" w:cs="Arial"/>
          <w:sz w:val="22"/>
          <w:szCs w:val="22"/>
        </w:rPr>
      </w:pPr>
    </w:p>
    <w:p w:rsidR="003E44C5" w:rsidRPr="00C911F2" w:rsidRDefault="003E44C5" w:rsidP="003E44C5">
      <w:pPr>
        <w:jc w:val="both"/>
        <w:rPr>
          <w:rFonts w:ascii="Verdana" w:hAnsi="Verdana" w:cs="Arial"/>
          <w:sz w:val="22"/>
          <w:szCs w:val="22"/>
        </w:rPr>
      </w:pPr>
      <w:r w:rsidRPr="00C911F2">
        <w:rPr>
          <w:rFonts w:ascii="Verdana" w:hAnsi="Verdana" w:cs="Arial"/>
          <w:sz w:val="22"/>
          <w:szCs w:val="22"/>
        </w:rPr>
        <w:t>The following sections set out the Chief Constable’s general accounting policies, which have been followed in 201</w:t>
      </w:r>
      <w:r>
        <w:rPr>
          <w:rFonts w:ascii="Verdana" w:hAnsi="Verdana" w:cs="Arial"/>
          <w:sz w:val="22"/>
          <w:szCs w:val="22"/>
        </w:rPr>
        <w:t>9</w:t>
      </w:r>
      <w:r w:rsidRPr="00C911F2">
        <w:rPr>
          <w:rFonts w:ascii="Verdana" w:hAnsi="Verdana" w:cs="Arial"/>
          <w:sz w:val="22"/>
          <w:szCs w:val="22"/>
        </w:rPr>
        <w:t>/</w:t>
      </w:r>
      <w:r>
        <w:rPr>
          <w:rFonts w:ascii="Verdana" w:hAnsi="Verdana" w:cs="Arial"/>
          <w:sz w:val="22"/>
          <w:szCs w:val="22"/>
        </w:rPr>
        <w:t>20</w:t>
      </w:r>
      <w:r w:rsidRPr="00C911F2">
        <w:rPr>
          <w:rFonts w:ascii="Verdana" w:hAnsi="Verdana" w:cs="Arial"/>
          <w:sz w:val="22"/>
          <w:szCs w:val="22"/>
        </w:rPr>
        <w:t>.</w:t>
      </w:r>
    </w:p>
    <w:p w:rsidR="003E44C5" w:rsidRPr="00C911F2" w:rsidRDefault="003E44C5" w:rsidP="003E44C5">
      <w:pPr>
        <w:jc w:val="both"/>
        <w:rPr>
          <w:rFonts w:ascii="Verdana" w:hAnsi="Verdana" w:cs="Arial"/>
          <w:sz w:val="22"/>
          <w:szCs w:val="22"/>
        </w:rPr>
      </w:pPr>
    </w:p>
    <w:p w:rsidR="003E44C5" w:rsidRPr="00736699" w:rsidRDefault="003E44C5" w:rsidP="003E44C5">
      <w:pPr>
        <w:pStyle w:val="Style1"/>
        <w:numPr>
          <w:ilvl w:val="0"/>
          <w:numId w:val="0"/>
        </w:numPr>
        <w:rPr>
          <w:rFonts w:ascii="Verdana" w:hAnsi="Verdana"/>
          <w:sz w:val="22"/>
          <w:szCs w:val="22"/>
        </w:rPr>
      </w:pPr>
      <w:r w:rsidRPr="00736699">
        <w:rPr>
          <w:rFonts w:ascii="Verdana" w:hAnsi="Verdana"/>
          <w:sz w:val="22"/>
          <w:szCs w:val="22"/>
        </w:rPr>
        <w:t>Income and Expenditure Recognition</w:t>
      </w:r>
    </w:p>
    <w:p w:rsidR="003E44C5" w:rsidRDefault="003E44C5" w:rsidP="003E44C5">
      <w:pPr>
        <w:pStyle w:val="Style1"/>
        <w:numPr>
          <w:ilvl w:val="0"/>
          <w:numId w:val="0"/>
        </w:numPr>
        <w:rPr>
          <w:rFonts w:ascii="Verdana" w:hAnsi="Verdana"/>
          <w:sz w:val="22"/>
          <w:szCs w:val="22"/>
          <w:u w:val="single"/>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 xml:space="preserve">Revenue (Income) is measured at the fair value of the consideration received or receivable and represents the amounts receivable for goods or services provided in the normal course of business less discounts and VAT.  </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Revenue is recognised when goods are delivered and title has passed.  The provision of services contains many accounting aspects and revenue is only recognised when all related work has been completed or when the percentage of completion of the transaction can be reliably measured and it is probable that economic benefits or service potential associated with the transaction will flow to the PCC and group.  Whilst all income is received by the PCC and all expenditure is paid for by the PCC including wages of police staff and officers, the actual recognition in the respective Police and Crime Commissioner and Chief Constable Accounts is based on economic benefit.</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Supplies are recorded as expenditure when they are consumed – where there is a gap between the date on which supplies are received and when they are consumed, they are carried as inventories or stocks on the Balance Sheet.</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Income and Expenditure are credited and debited to the relevant revenue account, unless they properly represent capital receipts or capital expenditure.  Works of a capital nature are charged as capital expenditure when they are completed, before which they are carried as Assets Under Construction on the Balance Sheet.</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Activity is accounted for in the year that it takes place, not simply when cash payments are made or received, thus the accounts reflect the normal accruals concept for both capital and revenue.  Exceptions to this can be made for utilities (gas, electricity, telephones, etc.), where invoices may be accounted for in the year they fall, providing that only four quarterly or twelve monthly invoices are charged in any one year.</w:t>
      </w:r>
    </w:p>
    <w:p w:rsidR="003E44C5" w:rsidRPr="00751FDA" w:rsidRDefault="003E44C5" w:rsidP="003E44C5">
      <w:pPr>
        <w:jc w:val="both"/>
        <w:rPr>
          <w:rFonts w:ascii="Verdana" w:hAnsi="Verdana" w:cs="Arial"/>
          <w:sz w:val="22"/>
          <w:szCs w:val="22"/>
        </w:rPr>
      </w:pPr>
    </w:p>
    <w:p w:rsidR="003E44C5" w:rsidRDefault="003E44C5" w:rsidP="003E44C5">
      <w:pPr>
        <w:jc w:val="both"/>
        <w:rPr>
          <w:rFonts w:ascii="Verdana" w:hAnsi="Verdana" w:cs="Arial"/>
          <w:sz w:val="22"/>
          <w:szCs w:val="22"/>
        </w:rPr>
      </w:pPr>
      <w:r w:rsidRPr="00751FDA">
        <w:rPr>
          <w:rFonts w:ascii="Verdana" w:hAnsi="Verdana" w:cs="Arial"/>
          <w:sz w:val="22"/>
          <w:szCs w:val="22"/>
        </w:rPr>
        <w:t>Where revenue or expenditure have been recognised by cash has not been received or paid, a debtor or creditor for the relevant amount is recorded in the Balance Sheet.  Creditors are included within the Balance Sheet for goods and services received and risks and rewards of ownership transferred, but not paid for at the year end.  Debtors are included within the Balance Sheet where services have been provided but not yet reimbursed at the year end.</w:t>
      </w:r>
    </w:p>
    <w:p w:rsidR="003E44C5" w:rsidRDefault="003E44C5" w:rsidP="003E44C5">
      <w:pPr>
        <w:jc w:val="both"/>
        <w:rPr>
          <w:rFonts w:ascii="Verdana" w:hAnsi="Verdana" w:cs="Arial"/>
          <w:sz w:val="22"/>
          <w:szCs w:val="22"/>
        </w:rPr>
      </w:pPr>
    </w:p>
    <w:p w:rsidR="003E44C5" w:rsidRPr="00C911F2" w:rsidRDefault="003E44C5" w:rsidP="003E44C5">
      <w:pPr>
        <w:jc w:val="both"/>
        <w:rPr>
          <w:rFonts w:ascii="Verdana" w:hAnsi="Verdana" w:cs="Arial"/>
          <w:sz w:val="22"/>
          <w:szCs w:val="22"/>
        </w:rPr>
      </w:pPr>
      <w:r w:rsidRPr="00A674C0">
        <w:rPr>
          <w:rFonts w:ascii="Verdana" w:hAnsi="Verdana" w:cs="Arial"/>
          <w:sz w:val="22"/>
          <w:szCs w:val="22"/>
        </w:rPr>
        <w:t>The above recognition policy complies with IFRS 15 Revenue from Contracts with Customers which was implemented during 2019/20 with no impact to these accounts.</w:t>
      </w:r>
    </w:p>
    <w:p w:rsidR="003E44C5" w:rsidRPr="00C911F2" w:rsidRDefault="003E44C5" w:rsidP="003E44C5">
      <w:pPr>
        <w:jc w:val="both"/>
        <w:rPr>
          <w:rFonts w:ascii="Verdana" w:hAnsi="Verdana" w:cs="Arial"/>
          <w:sz w:val="22"/>
          <w:szCs w:val="22"/>
        </w:rPr>
      </w:pPr>
    </w:p>
    <w:p w:rsidR="00736699" w:rsidRDefault="00736699" w:rsidP="003E44C5">
      <w:pPr>
        <w:pStyle w:val="Style1"/>
        <w:numPr>
          <w:ilvl w:val="0"/>
          <w:numId w:val="0"/>
        </w:numPr>
        <w:jc w:val="left"/>
        <w:rPr>
          <w:rFonts w:ascii="Verdana" w:hAnsi="Verdana"/>
          <w:sz w:val="22"/>
          <w:szCs w:val="22"/>
        </w:rPr>
      </w:pPr>
    </w:p>
    <w:p w:rsidR="00736699" w:rsidRDefault="00736699" w:rsidP="003E44C5">
      <w:pPr>
        <w:pStyle w:val="Style1"/>
        <w:numPr>
          <w:ilvl w:val="0"/>
          <w:numId w:val="0"/>
        </w:numPr>
        <w:jc w:val="left"/>
        <w:rPr>
          <w:rFonts w:ascii="Verdana" w:hAnsi="Verdana"/>
          <w:sz w:val="22"/>
          <w:szCs w:val="22"/>
        </w:rPr>
      </w:pPr>
    </w:p>
    <w:p w:rsidR="003E44C5" w:rsidRPr="00736699" w:rsidRDefault="003E44C5" w:rsidP="003E44C5">
      <w:pPr>
        <w:pStyle w:val="Style1"/>
        <w:numPr>
          <w:ilvl w:val="0"/>
          <w:numId w:val="0"/>
        </w:numPr>
        <w:jc w:val="left"/>
        <w:rPr>
          <w:rFonts w:ascii="Verdana" w:hAnsi="Verdana"/>
          <w:sz w:val="22"/>
          <w:szCs w:val="22"/>
        </w:rPr>
      </w:pPr>
      <w:r w:rsidRPr="00736699">
        <w:rPr>
          <w:rFonts w:ascii="Verdana" w:hAnsi="Verdana"/>
          <w:sz w:val="22"/>
          <w:szCs w:val="22"/>
        </w:rPr>
        <w:t>Employee Benefits Payable During Employment</w:t>
      </w:r>
    </w:p>
    <w:p w:rsidR="003E44C5" w:rsidRPr="00C911F2" w:rsidRDefault="003E44C5" w:rsidP="003E44C5">
      <w:pPr>
        <w:pStyle w:val="ListParagraph"/>
        <w:jc w:val="both"/>
        <w:rPr>
          <w:rFonts w:ascii="Verdana" w:hAnsi="Verdana" w:cs="Arial"/>
          <w:b/>
          <w:sz w:val="22"/>
          <w:szCs w:val="22"/>
        </w:rPr>
      </w:pPr>
    </w:p>
    <w:p w:rsidR="003E44C5" w:rsidRPr="00C911F2" w:rsidRDefault="003E44C5" w:rsidP="003E44C5">
      <w:pPr>
        <w:jc w:val="both"/>
        <w:rPr>
          <w:rFonts w:ascii="Verdana" w:hAnsi="Verdana" w:cs="Arial"/>
          <w:sz w:val="22"/>
          <w:szCs w:val="22"/>
        </w:rPr>
      </w:pPr>
      <w:r w:rsidRPr="00C911F2">
        <w:rPr>
          <w:rFonts w:ascii="Verdana" w:hAnsi="Verdana" w:cs="Arial"/>
          <w:sz w:val="22"/>
          <w:szCs w:val="22"/>
        </w:rPr>
        <w:t>Short-term employee benefits are those due to be settled within 12 months of the year-end.  They include benefits such as salaries, paid annual leave and paid sick leave</w:t>
      </w:r>
      <w:r w:rsidRPr="00751FDA">
        <w:rPr>
          <w:rFonts w:ascii="Verdana" w:hAnsi="Verdana" w:cs="Arial"/>
          <w:sz w:val="22"/>
          <w:szCs w:val="22"/>
        </w:rPr>
        <w:t>, bonuses and non-monetary benefits (e.g. cars) for current employees and are recognised as an expense for services in the year in which employees render</w:t>
      </w:r>
      <w:r>
        <w:rPr>
          <w:rFonts w:ascii="Verdana" w:hAnsi="Verdana" w:cs="Arial"/>
          <w:sz w:val="22"/>
          <w:szCs w:val="22"/>
        </w:rPr>
        <w:t xml:space="preserve"> service to the Chief Constable</w:t>
      </w:r>
      <w:r w:rsidRPr="00C911F2">
        <w:rPr>
          <w:rFonts w:ascii="Verdana" w:hAnsi="Verdana" w:cs="Arial"/>
          <w:sz w:val="22"/>
          <w:szCs w:val="22"/>
        </w:rPr>
        <w:t>. An accrual is made for the cost of holiday entitlements</w:t>
      </w:r>
      <w:r>
        <w:rPr>
          <w:rFonts w:ascii="Verdana" w:hAnsi="Verdana" w:cs="Arial"/>
          <w:sz w:val="22"/>
          <w:szCs w:val="22"/>
        </w:rPr>
        <w:t xml:space="preserve"> (or any form of leave, e.g. time off in lieu)</w:t>
      </w:r>
      <w:r w:rsidRPr="00C911F2">
        <w:rPr>
          <w:rFonts w:ascii="Verdana" w:hAnsi="Verdana" w:cs="Arial"/>
          <w:sz w:val="22"/>
          <w:szCs w:val="22"/>
        </w:rPr>
        <w:t xml:space="preserve"> earned by employees but not taken before the year-end, which employees can carry forward into the next financial year. The accrual is charged to the Comprehensive Income and Expenditure Statement, but then reversed out through the Movement in Reserves Statement, resulting in holiday benefits being charged to revenue in the financial year in which the holiday </w:t>
      </w:r>
      <w:r>
        <w:rPr>
          <w:rFonts w:ascii="Verdana" w:hAnsi="Verdana" w:cs="Arial"/>
          <w:sz w:val="22"/>
          <w:szCs w:val="22"/>
        </w:rPr>
        <w:t>absence occurs.</w:t>
      </w:r>
    </w:p>
    <w:p w:rsidR="003E44C5" w:rsidRPr="00C911F2" w:rsidRDefault="003E44C5" w:rsidP="003E44C5">
      <w:pPr>
        <w:jc w:val="both"/>
        <w:rPr>
          <w:rFonts w:ascii="Verdana" w:hAnsi="Verdana" w:cs="Arial"/>
          <w:sz w:val="22"/>
          <w:szCs w:val="22"/>
        </w:rPr>
      </w:pPr>
    </w:p>
    <w:p w:rsidR="003E44C5" w:rsidRPr="00736699" w:rsidRDefault="003E44C5" w:rsidP="003E44C5">
      <w:pPr>
        <w:pStyle w:val="Style1"/>
        <w:numPr>
          <w:ilvl w:val="0"/>
          <w:numId w:val="0"/>
        </w:numPr>
        <w:rPr>
          <w:rFonts w:ascii="Verdana" w:hAnsi="Verdana"/>
          <w:sz w:val="22"/>
          <w:szCs w:val="22"/>
        </w:rPr>
      </w:pPr>
      <w:r w:rsidRPr="00736699">
        <w:rPr>
          <w:rFonts w:ascii="Verdana" w:hAnsi="Verdana"/>
          <w:sz w:val="22"/>
          <w:szCs w:val="22"/>
        </w:rPr>
        <w:t>Termination Benefits / Exit Packages</w:t>
      </w:r>
    </w:p>
    <w:p w:rsidR="003E44C5" w:rsidRPr="00C911F2" w:rsidRDefault="003E44C5" w:rsidP="003E44C5">
      <w:pPr>
        <w:jc w:val="both"/>
        <w:rPr>
          <w:rFonts w:ascii="Verdana" w:hAnsi="Verdana" w:cs="Arial"/>
          <w:sz w:val="22"/>
          <w:szCs w:val="22"/>
        </w:rPr>
      </w:pPr>
    </w:p>
    <w:p w:rsidR="003E44C5" w:rsidRPr="00C911F2" w:rsidRDefault="003E44C5" w:rsidP="003E44C5">
      <w:pPr>
        <w:jc w:val="both"/>
        <w:rPr>
          <w:rFonts w:ascii="Verdana" w:hAnsi="Verdana" w:cs="Arial"/>
          <w:sz w:val="22"/>
          <w:szCs w:val="22"/>
        </w:rPr>
      </w:pPr>
      <w:r w:rsidRPr="00C911F2">
        <w:rPr>
          <w:rFonts w:ascii="Verdana" w:hAnsi="Verdana" w:cs="Arial"/>
          <w:sz w:val="22"/>
          <w:szCs w:val="22"/>
        </w:rPr>
        <w:t>Termination benefits are amounts payable as a result of a decision by the Chief Constable to terminate an employee’s employment before the normal retirement date or an employee’s decision to accept voluntary redundancy, and are charged on an accruals basis to the appropriate service in the Comprehensive Income &amp; Expenditure Statement when the Chief Constable is demonstrably committed to the termination of the employment of an employee or group of employees or making an offer to encourage voluntary redundancy.</w:t>
      </w:r>
    </w:p>
    <w:p w:rsidR="003E44C5" w:rsidRPr="00C911F2" w:rsidRDefault="003E44C5" w:rsidP="003E44C5">
      <w:pPr>
        <w:jc w:val="both"/>
        <w:rPr>
          <w:rFonts w:ascii="Verdana" w:hAnsi="Verdana" w:cs="Arial"/>
          <w:sz w:val="22"/>
          <w:szCs w:val="22"/>
        </w:rPr>
      </w:pPr>
    </w:p>
    <w:p w:rsidR="003E44C5" w:rsidRPr="00C911F2" w:rsidRDefault="003E44C5" w:rsidP="003E44C5">
      <w:pPr>
        <w:jc w:val="both"/>
        <w:rPr>
          <w:rFonts w:ascii="Verdana" w:hAnsi="Verdana" w:cs="Arial"/>
          <w:sz w:val="22"/>
          <w:szCs w:val="22"/>
        </w:rPr>
      </w:pPr>
      <w:r w:rsidRPr="00C911F2">
        <w:rPr>
          <w:rFonts w:ascii="Verdana" w:hAnsi="Verdana" w:cs="Arial"/>
          <w:sz w:val="22"/>
          <w:szCs w:val="22"/>
        </w:rPr>
        <w:t>Where termination benefits involve the enhancement of pensions, statutory provisions require the General Fund Balance to be charged with the amount payable by the Group to the pension fund or pensioner in the year, not the amount calculated according to the relevant accounting standards. In the Movement in Reserves Statement, appropriations are required to and from the Pensions Reserve to remove notional debits and credits for pension enhancement termination benefits and replace them with debits for the cash paid to the pension fund and pensioners and any such amounts payable but unpaid at the year-end.  The movement in Reserves appropriations are reflected in the Group Accounts.</w:t>
      </w:r>
    </w:p>
    <w:p w:rsidR="003E44C5" w:rsidRPr="00C911F2" w:rsidRDefault="003E44C5" w:rsidP="003E44C5">
      <w:pPr>
        <w:jc w:val="both"/>
        <w:rPr>
          <w:rFonts w:ascii="Verdana" w:hAnsi="Verdana" w:cs="Arial"/>
          <w:sz w:val="22"/>
          <w:szCs w:val="22"/>
          <w:highlight w:val="yellow"/>
        </w:rPr>
      </w:pPr>
    </w:p>
    <w:p w:rsidR="003E44C5" w:rsidRPr="00736699" w:rsidRDefault="003E44C5" w:rsidP="003E44C5">
      <w:pPr>
        <w:pStyle w:val="Style1"/>
        <w:numPr>
          <w:ilvl w:val="0"/>
          <w:numId w:val="0"/>
        </w:numPr>
        <w:ind w:left="5606" w:hanging="5606"/>
        <w:rPr>
          <w:rFonts w:ascii="Verdana" w:hAnsi="Verdana"/>
          <w:sz w:val="22"/>
          <w:szCs w:val="22"/>
        </w:rPr>
      </w:pPr>
      <w:r w:rsidRPr="00736699">
        <w:rPr>
          <w:rFonts w:ascii="Verdana" w:hAnsi="Verdana"/>
          <w:sz w:val="22"/>
          <w:szCs w:val="22"/>
        </w:rPr>
        <w:t>Long-term employee benefits - Pension arrangements</w:t>
      </w:r>
    </w:p>
    <w:p w:rsidR="003E44C5" w:rsidRPr="00C911F2" w:rsidRDefault="003E44C5" w:rsidP="003E44C5">
      <w:pPr>
        <w:pStyle w:val="Style1"/>
        <w:numPr>
          <w:ilvl w:val="0"/>
          <w:numId w:val="0"/>
        </w:numPr>
        <w:ind w:left="1080"/>
        <w:rPr>
          <w:rFonts w:ascii="Verdana" w:hAnsi="Verdana"/>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The Chief Constable operates, on behalf of the Group, three pension schemes for police officers and a single scheme for police staff:</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t>The Police Pension Scheme (PPS), regulated under the Police Pensions Act 1976</w:t>
      </w:r>
    </w:p>
    <w:p w:rsidR="003E44C5" w:rsidRPr="00751FDA" w:rsidRDefault="003E44C5" w:rsidP="003E44C5">
      <w:pPr>
        <w:ind w:left="720" w:hanging="720"/>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t>The New Police Pension Scheme (NPPS), regulated under the Police Pension Regulations 2006</w:t>
      </w: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t>The Police Pension Scheme 2015 (the 2015 scheme)</w:t>
      </w: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t>The Local Government Pensions Scheme (LGPS), administered by Surrey County Council</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All police schemes are contributory occupational pension schemes with officers making contributions.</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A Police Pension Account was set up on 1st April 2006 to administer the police pension schemes.  All police schemes are unfunded schemes which are treated as defined benefit schemes and provide defined benefits to members (retirement lump sums and pensions), earned as employees worked.</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 xml:space="preserve">All police pension schemes are unfunded schemes which are treated as defined benefit schemes paid from revenue (without managed pension assets).  Accrued net pension liabilities have been assessed on an actuarial basis in accordance with IAS19 Employee Benefits, the net liability and a pensions reserve for both Pension Schemes has been recognised on the Balance Sheet, as have entries in the CIES for movements in the asset/liability relating to the defined benefit scheme.  Transfers into and out of the Scheme representing joining and leaving police officers, are recorded on a cash basis in the Pension Fund, because of the length of time taken to finalise the sums involved.  </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 xml:space="preserve">Following the Code’s requirements, IAS19 has been fully recognised in the Chief Constable and Group accounts.  </w:t>
      </w:r>
    </w:p>
    <w:p w:rsidR="003E44C5" w:rsidRPr="00751FDA" w:rsidRDefault="003E44C5" w:rsidP="003E44C5">
      <w:pPr>
        <w:jc w:val="both"/>
        <w:rPr>
          <w:rFonts w:ascii="Verdana" w:hAnsi="Verdana" w:cs="Arial"/>
          <w:sz w:val="22"/>
          <w:szCs w:val="22"/>
        </w:rPr>
      </w:pPr>
    </w:p>
    <w:p w:rsidR="003E44C5" w:rsidRPr="00751FDA" w:rsidRDefault="003E44C5" w:rsidP="003E44C5">
      <w:pPr>
        <w:ind w:left="720" w:hanging="720"/>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t>The liabilities of the police schemes attributable are included in the Balance Sheet on an actuarial basis using the projected unit method - i.e. an assessment of the future payments that will be made in relation to retirement benefits earned to date by employees, based on assumptions about mortality rates, employee turnover rates, etc. and projections of projected earnings for current employees</w:t>
      </w:r>
    </w:p>
    <w:p w:rsidR="003E44C5" w:rsidRPr="00751FDA" w:rsidRDefault="003E44C5" w:rsidP="003E44C5">
      <w:pPr>
        <w:jc w:val="both"/>
        <w:rPr>
          <w:rFonts w:ascii="Verdana" w:hAnsi="Verdana" w:cs="Arial"/>
          <w:sz w:val="22"/>
          <w:szCs w:val="22"/>
        </w:rPr>
      </w:pPr>
    </w:p>
    <w:p w:rsidR="003E44C5" w:rsidRPr="00751FDA" w:rsidRDefault="003E44C5" w:rsidP="003E44C5">
      <w:pPr>
        <w:ind w:left="720" w:hanging="720"/>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t>Liabilities are discounted to their value at current prices, using a discount rate based on the indicative rate of return on high quality corporate bond</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Police Staff are eligible to join the Local Government Pension Scheme (LGPS) administered by Surrey County Council.  This is a funded scheme.  The employer’s contribution rate is determined by the Fund’s actuary based on valuations every three years.</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Additional contributions are payable to cover the cost of any early retirements except those due to ill-health.  In addition the Chief Constable is responsible for all pension payments relating to any added years’ benefits, together with the related increases.</w:t>
      </w:r>
    </w:p>
    <w:p w:rsidR="003E44C5" w:rsidRPr="00751FDA" w:rsidRDefault="003E44C5" w:rsidP="003E44C5">
      <w:pPr>
        <w:jc w:val="both"/>
        <w:rPr>
          <w:rFonts w:ascii="Verdana" w:hAnsi="Verdana" w:cs="Arial"/>
          <w:sz w:val="22"/>
          <w:szCs w:val="22"/>
        </w:rPr>
      </w:pPr>
    </w:p>
    <w:p w:rsidR="003E44C5" w:rsidRPr="00751FDA" w:rsidRDefault="003E44C5" w:rsidP="003E44C5">
      <w:pPr>
        <w:ind w:left="720" w:hanging="720"/>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t xml:space="preserve">The assets of the LGPS attributable to Surrey Police are included in the Balance Sheet at their fair value:  </w:t>
      </w:r>
    </w:p>
    <w:p w:rsidR="003E44C5" w:rsidRPr="00751FDA" w:rsidRDefault="003E44C5" w:rsidP="003E44C5">
      <w:pPr>
        <w:pStyle w:val="ListParagraph"/>
        <w:numPr>
          <w:ilvl w:val="0"/>
          <w:numId w:val="13"/>
        </w:numPr>
        <w:jc w:val="both"/>
        <w:rPr>
          <w:rFonts w:ascii="Verdana" w:hAnsi="Verdana" w:cs="Arial"/>
          <w:sz w:val="22"/>
          <w:szCs w:val="22"/>
        </w:rPr>
      </w:pPr>
      <w:r w:rsidRPr="00751FDA">
        <w:rPr>
          <w:rFonts w:ascii="Verdana" w:hAnsi="Verdana" w:cs="Arial"/>
          <w:sz w:val="22"/>
          <w:szCs w:val="22"/>
        </w:rPr>
        <w:t>quoted securities - current bid price</w:t>
      </w:r>
    </w:p>
    <w:p w:rsidR="003E44C5" w:rsidRPr="00751FDA" w:rsidRDefault="003E44C5" w:rsidP="003E44C5">
      <w:pPr>
        <w:pStyle w:val="ListParagraph"/>
        <w:numPr>
          <w:ilvl w:val="0"/>
          <w:numId w:val="13"/>
        </w:numPr>
        <w:jc w:val="both"/>
        <w:rPr>
          <w:rFonts w:ascii="Verdana" w:hAnsi="Verdana" w:cs="Arial"/>
          <w:sz w:val="22"/>
          <w:szCs w:val="22"/>
        </w:rPr>
      </w:pPr>
      <w:r w:rsidRPr="00751FDA">
        <w:rPr>
          <w:rFonts w:ascii="Verdana" w:hAnsi="Verdana" w:cs="Arial"/>
          <w:sz w:val="22"/>
          <w:szCs w:val="22"/>
        </w:rPr>
        <w:t>unquoted securities - professional estimate</w:t>
      </w:r>
    </w:p>
    <w:p w:rsidR="003E44C5" w:rsidRPr="00751FDA" w:rsidRDefault="003E44C5" w:rsidP="003E44C5">
      <w:pPr>
        <w:pStyle w:val="ListParagraph"/>
        <w:numPr>
          <w:ilvl w:val="0"/>
          <w:numId w:val="13"/>
        </w:numPr>
        <w:jc w:val="both"/>
        <w:rPr>
          <w:rFonts w:ascii="Verdana" w:hAnsi="Verdana" w:cs="Arial"/>
          <w:sz w:val="22"/>
          <w:szCs w:val="22"/>
        </w:rPr>
      </w:pPr>
      <w:r w:rsidRPr="00751FDA">
        <w:rPr>
          <w:rFonts w:ascii="Verdana" w:hAnsi="Verdana" w:cs="Arial"/>
          <w:sz w:val="22"/>
          <w:szCs w:val="22"/>
        </w:rPr>
        <w:t>unitised securities - current bid price</w:t>
      </w:r>
    </w:p>
    <w:p w:rsidR="003E44C5" w:rsidRPr="00751FDA" w:rsidRDefault="003E44C5" w:rsidP="003E44C5">
      <w:pPr>
        <w:pStyle w:val="ListParagraph"/>
        <w:numPr>
          <w:ilvl w:val="0"/>
          <w:numId w:val="13"/>
        </w:numPr>
        <w:jc w:val="both"/>
        <w:rPr>
          <w:rFonts w:ascii="Verdana" w:hAnsi="Verdana" w:cs="Arial"/>
          <w:sz w:val="22"/>
          <w:szCs w:val="22"/>
        </w:rPr>
      </w:pPr>
      <w:r w:rsidRPr="00751FDA">
        <w:rPr>
          <w:rFonts w:ascii="Verdana" w:hAnsi="Verdana" w:cs="Arial"/>
          <w:sz w:val="22"/>
          <w:szCs w:val="22"/>
        </w:rPr>
        <w:t>property - market value</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The change in the net pension liability is analysed into seven components:</w:t>
      </w:r>
    </w:p>
    <w:p w:rsidR="003E44C5" w:rsidRPr="00751FDA" w:rsidRDefault="003E44C5" w:rsidP="003E44C5">
      <w:pPr>
        <w:jc w:val="both"/>
        <w:rPr>
          <w:rFonts w:ascii="Verdana" w:hAnsi="Verdana" w:cs="Arial"/>
          <w:sz w:val="22"/>
          <w:szCs w:val="22"/>
        </w:rPr>
      </w:pPr>
    </w:p>
    <w:p w:rsidR="003E44C5" w:rsidRPr="00751FDA" w:rsidRDefault="003E44C5" w:rsidP="003E44C5">
      <w:pPr>
        <w:ind w:left="720" w:hanging="720"/>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r>
      <w:r w:rsidRPr="00751FDA">
        <w:rPr>
          <w:rFonts w:ascii="Verdana" w:hAnsi="Verdana" w:cs="Arial"/>
          <w:b/>
          <w:sz w:val="22"/>
          <w:szCs w:val="22"/>
        </w:rPr>
        <w:t>current service cost</w:t>
      </w:r>
      <w:r w:rsidRPr="00751FDA">
        <w:rPr>
          <w:rFonts w:ascii="Verdana" w:hAnsi="Verdana" w:cs="Arial"/>
          <w:sz w:val="22"/>
          <w:szCs w:val="22"/>
        </w:rPr>
        <w:t xml:space="preserve"> - the increase in liabilities as a result of years of service earned this year allocated in the CIES to the services for which the employees worked</w:t>
      </w:r>
    </w:p>
    <w:p w:rsidR="003E44C5" w:rsidRPr="00751FDA" w:rsidRDefault="003E44C5" w:rsidP="003E44C5">
      <w:pPr>
        <w:jc w:val="both"/>
        <w:rPr>
          <w:rFonts w:ascii="Verdana" w:hAnsi="Verdana" w:cs="Arial"/>
          <w:sz w:val="22"/>
          <w:szCs w:val="22"/>
        </w:rPr>
      </w:pPr>
    </w:p>
    <w:p w:rsidR="003E44C5" w:rsidRPr="00751FDA" w:rsidRDefault="003E44C5" w:rsidP="003E44C5">
      <w:pPr>
        <w:ind w:left="720" w:hanging="720"/>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r>
      <w:r w:rsidRPr="00751FDA">
        <w:rPr>
          <w:rFonts w:ascii="Verdana" w:hAnsi="Verdana" w:cs="Arial"/>
          <w:b/>
          <w:sz w:val="22"/>
          <w:szCs w:val="22"/>
        </w:rPr>
        <w:t>past service cost</w:t>
      </w:r>
      <w:r w:rsidRPr="00751FDA">
        <w:rPr>
          <w:rFonts w:ascii="Verdana" w:hAnsi="Verdana" w:cs="Arial"/>
          <w:sz w:val="22"/>
          <w:szCs w:val="22"/>
        </w:rPr>
        <w:t xml:space="preserve"> - the increase in liabilities arising from current year decisions whose effect relates to years of service earned in earlier years - debited to the Surplus or Deficit on the Provision of Services in the CIES as part of Non Distributed Costs</w:t>
      </w:r>
    </w:p>
    <w:p w:rsidR="003E44C5" w:rsidRPr="00751FDA" w:rsidRDefault="003E44C5" w:rsidP="003E44C5">
      <w:pPr>
        <w:jc w:val="both"/>
        <w:rPr>
          <w:rFonts w:ascii="Verdana" w:hAnsi="Verdana" w:cs="Arial"/>
          <w:sz w:val="22"/>
          <w:szCs w:val="22"/>
        </w:rPr>
      </w:pPr>
    </w:p>
    <w:p w:rsidR="003E44C5" w:rsidRPr="00751FDA" w:rsidRDefault="003E44C5" w:rsidP="003E44C5">
      <w:pPr>
        <w:ind w:left="720" w:hanging="720"/>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r>
      <w:r w:rsidRPr="00751FDA">
        <w:rPr>
          <w:rFonts w:ascii="Verdana" w:hAnsi="Verdana" w:cs="Arial"/>
          <w:b/>
          <w:sz w:val="22"/>
          <w:szCs w:val="22"/>
        </w:rPr>
        <w:t>interest cost</w:t>
      </w:r>
      <w:r w:rsidRPr="00751FDA">
        <w:rPr>
          <w:rFonts w:ascii="Verdana" w:hAnsi="Verdana" w:cs="Arial"/>
          <w:sz w:val="22"/>
          <w:szCs w:val="22"/>
        </w:rPr>
        <w:t xml:space="preserve"> - the expected increase in the present value of liabilities during the year as they move one year closer to being paid - debited to the Financing and Investment Income and Expenditure line in the CIES</w:t>
      </w:r>
    </w:p>
    <w:p w:rsidR="003E44C5" w:rsidRPr="00751FDA" w:rsidRDefault="003E44C5" w:rsidP="003E44C5">
      <w:pPr>
        <w:jc w:val="both"/>
        <w:rPr>
          <w:rFonts w:ascii="Verdana" w:hAnsi="Verdana" w:cs="Arial"/>
          <w:sz w:val="22"/>
          <w:szCs w:val="22"/>
        </w:rPr>
      </w:pPr>
    </w:p>
    <w:p w:rsidR="003E44C5" w:rsidRPr="00751FDA" w:rsidRDefault="003E44C5" w:rsidP="003E44C5">
      <w:pPr>
        <w:ind w:left="720" w:hanging="720"/>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r>
      <w:r w:rsidRPr="00751FDA">
        <w:rPr>
          <w:rFonts w:ascii="Verdana" w:hAnsi="Verdana" w:cs="Arial"/>
          <w:b/>
          <w:sz w:val="22"/>
          <w:szCs w:val="22"/>
        </w:rPr>
        <w:t>expected return on assets</w:t>
      </w:r>
      <w:r w:rsidRPr="00751FDA">
        <w:rPr>
          <w:rFonts w:ascii="Verdana" w:hAnsi="Verdana" w:cs="Arial"/>
          <w:sz w:val="22"/>
          <w:szCs w:val="22"/>
        </w:rPr>
        <w:t xml:space="preserve"> - the annual investment return on the fund assets attributable to the Group, based on an average of the expected long-term return - credited to the Financing and Investment Income and Expenditure line in the CIES</w:t>
      </w:r>
    </w:p>
    <w:p w:rsidR="003E44C5" w:rsidRPr="00751FDA" w:rsidRDefault="003E44C5" w:rsidP="003E44C5">
      <w:pPr>
        <w:jc w:val="both"/>
        <w:rPr>
          <w:rFonts w:ascii="Verdana" w:hAnsi="Verdana" w:cs="Arial"/>
          <w:sz w:val="22"/>
          <w:szCs w:val="22"/>
        </w:rPr>
      </w:pPr>
    </w:p>
    <w:p w:rsidR="003E44C5" w:rsidRPr="00751FDA" w:rsidRDefault="003E44C5" w:rsidP="003E44C5">
      <w:pPr>
        <w:ind w:left="720" w:hanging="720"/>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r>
      <w:r w:rsidRPr="00751FDA">
        <w:rPr>
          <w:rFonts w:ascii="Verdana" w:hAnsi="Verdana" w:cs="Arial"/>
          <w:b/>
          <w:sz w:val="22"/>
          <w:szCs w:val="22"/>
        </w:rPr>
        <w:t>gains or losses on settlements and curtailments</w:t>
      </w:r>
      <w:r w:rsidRPr="00751FDA">
        <w:rPr>
          <w:rFonts w:ascii="Verdana" w:hAnsi="Verdana" w:cs="Arial"/>
          <w:sz w:val="22"/>
          <w:szCs w:val="22"/>
        </w:rPr>
        <w:t xml:space="preserve"> - the result of actions to relieve the Group of liabilities or events that reduce the expected future service or accrual of benefits of employees - debited or credited to the Surplus or Deficit on the Provision of Services in the CIES as part of Non Distributed Costs</w:t>
      </w:r>
    </w:p>
    <w:p w:rsidR="003E44C5" w:rsidRPr="00751FDA" w:rsidRDefault="003E44C5" w:rsidP="003E44C5">
      <w:pPr>
        <w:jc w:val="both"/>
        <w:rPr>
          <w:rFonts w:ascii="Verdana" w:hAnsi="Verdana" w:cs="Arial"/>
          <w:sz w:val="22"/>
          <w:szCs w:val="22"/>
        </w:rPr>
      </w:pPr>
    </w:p>
    <w:p w:rsidR="003E44C5" w:rsidRPr="00751FDA" w:rsidRDefault="003E44C5" w:rsidP="003E44C5">
      <w:pPr>
        <w:ind w:left="720" w:hanging="720"/>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r>
      <w:r w:rsidRPr="00751FDA">
        <w:rPr>
          <w:rFonts w:ascii="Verdana" w:hAnsi="Verdana" w:cs="Arial"/>
          <w:b/>
          <w:sz w:val="22"/>
          <w:szCs w:val="22"/>
        </w:rPr>
        <w:t>actuarial gains and losses</w:t>
      </w:r>
      <w:r w:rsidRPr="00751FDA">
        <w:rPr>
          <w:rFonts w:ascii="Verdana" w:hAnsi="Verdana" w:cs="Arial"/>
          <w:sz w:val="22"/>
          <w:szCs w:val="22"/>
        </w:rPr>
        <w:t xml:space="preserve"> - changes in the net pensions liability that arise because events have not coincided with assumptions made at the last actuarial valuation or because the actuaries have updated their assumptions - debited to the Pensions Reserve</w:t>
      </w:r>
    </w:p>
    <w:p w:rsidR="003E44C5" w:rsidRPr="00751FDA" w:rsidRDefault="003E44C5" w:rsidP="003E44C5">
      <w:pPr>
        <w:jc w:val="both"/>
        <w:rPr>
          <w:rFonts w:ascii="Verdana" w:hAnsi="Verdana" w:cs="Arial"/>
          <w:sz w:val="22"/>
          <w:szCs w:val="22"/>
        </w:rPr>
      </w:pPr>
    </w:p>
    <w:p w:rsidR="003E44C5" w:rsidRPr="00751FDA" w:rsidRDefault="003E44C5" w:rsidP="003E44C5">
      <w:pPr>
        <w:ind w:left="720" w:hanging="720"/>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r>
      <w:r w:rsidRPr="00751FDA">
        <w:rPr>
          <w:rFonts w:ascii="Verdana" w:hAnsi="Verdana" w:cs="Arial"/>
          <w:b/>
          <w:sz w:val="22"/>
          <w:szCs w:val="22"/>
        </w:rPr>
        <w:t>contributions paid to the pension fund</w:t>
      </w:r>
      <w:r w:rsidRPr="00751FDA">
        <w:rPr>
          <w:rFonts w:ascii="Verdana" w:hAnsi="Verdana" w:cs="Arial"/>
          <w:sz w:val="22"/>
          <w:szCs w:val="22"/>
        </w:rPr>
        <w:t xml:space="preserve"> - cash paid as employer's contributions to the pension fund in settlement of liabilities; not accounted for as an expense</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 xml:space="preserve">In relation to retirement benefits, statutory provisions require the General Fund balance to be charged with the amount payable by the Group to the pension fund or directly to pensioners in the year, not the amount calculated according to the relevant accounting standards. In the Movement in Reserves Statement, this means that there are appropriations to and from the Pensions Reserve to remove the notional debits and credits for retirement benefits and replace them with debits for the cash paid to the pension fund and pensioners and any such amounts payable but unpaid at the year-end. The negative balance that arises on the Pensions Reserve thereby measures the beneficial impact to the General Fund of being required to account for retirement benefits on the basis of cash flows rather than as benefits are earned by employees. </w:t>
      </w:r>
    </w:p>
    <w:p w:rsidR="003E44C5" w:rsidRPr="00751FDA" w:rsidRDefault="003E44C5" w:rsidP="003E44C5">
      <w:pPr>
        <w:jc w:val="both"/>
        <w:rPr>
          <w:rFonts w:ascii="Verdana" w:hAnsi="Verdana" w:cs="Arial"/>
          <w:sz w:val="22"/>
          <w:szCs w:val="22"/>
        </w:rPr>
      </w:pPr>
    </w:p>
    <w:p w:rsidR="003E44C5" w:rsidRPr="00736699" w:rsidRDefault="003E44C5" w:rsidP="003E44C5">
      <w:pPr>
        <w:jc w:val="both"/>
        <w:rPr>
          <w:rFonts w:ascii="Verdana" w:hAnsi="Verdana" w:cs="Arial"/>
          <w:b/>
          <w:sz w:val="22"/>
          <w:szCs w:val="22"/>
        </w:rPr>
      </w:pPr>
      <w:r w:rsidRPr="00736699">
        <w:rPr>
          <w:rFonts w:ascii="Verdana" w:hAnsi="Verdana" w:cs="Arial"/>
          <w:b/>
          <w:sz w:val="22"/>
          <w:szCs w:val="22"/>
        </w:rPr>
        <w:t>Discretionary Benefits</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The Group has restricted powers to make discretionary awards of retirement benefits in the event of early retirements. Any liabilities estimated to arise as a result of an award to any member of staff are accrued in the year of the decision to make the award and accounted for using the same policies as are applied to the relevant Pension Scheme.</w:t>
      </w:r>
    </w:p>
    <w:p w:rsidR="003E44C5" w:rsidRPr="00751FDA" w:rsidRDefault="003E44C5" w:rsidP="003E44C5">
      <w:pPr>
        <w:jc w:val="both"/>
        <w:rPr>
          <w:rFonts w:ascii="Verdana" w:hAnsi="Verdana" w:cs="Arial"/>
          <w:sz w:val="22"/>
          <w:szCs w:val="22"/>
        </w:rPr>
      </w:pPr>
    </w:p>
    <w:p w:rsidR="003E44C5" w:rsidRDefault="003E44C5" w:rsidP="003E44C5">
      <w:pPr>
        <w:jc w:val="both"/>
        <w:rPr>
          <w:rFonts w:ascii="Verdana" w:hAnsi="Verdana" w:cs="Arial"/>
          <w:sz w:val="22"/>
          <w:szCs w:val="22"/>
        </w:rPr>
      </w:pPr>
      <w:r w:rsidRPr="00751FDA">
        <w:rPr>
          <w:rFonts w:ascii="Verdana" w:hAnsi="Verdana" w:cs="Arial"/>
          <w:sz w:val="22"/>
          <w:szCs w:val="22"/>
        </w:rPr>
        <w:t>The Group also has restricted powers to make material payments in relation to injury awards. Any liabilities estimated to arise as a result of an award to any member of staff or police officer are accrued in the year of the decision to make the award and accounted for using the same policies as are applied to the relevant pension scheme.</w:t>
      </w:r>
    </w:p>
    <w:p w:rsidR="003E44C5" w:rsidRPr="00C911F2" w:rsidRDefault="003E44C5" w:rsidP="003E44C5">
      <w:pPr>
        <w:jc w:val="both"/>
        <w:rPr>
          <w:rFonts w:ascii="Verdana" w:hAnsi="Verdana" w:cs="Arial"/>
          <w:sz w:val="22"/>
          <w:szCs w:val="22"/>
        </w:rPr>
      </w:pPr>
    </w:p>
    <w:p w:rsidR="003E44C5" w:rsidRPr="00736699" w:rsidRDefault="003E44C5" w:rsidP="003E44C5">
      <w:pPr>
        <w:pStyle w:val="Style1"/>
        <w:numPr>
          <w:ilvl w:val="0"/>
          <w:numId w:val="0"/>
        </w:numPr>
        <w:rPr>
          <w:rFonts w:ascii="Verdana" w:hAnsi="Verdana"/>
          <w:sz w:val="22"/>
          <w:szCs w:val="22"/>
        </w:rPr>
      </w:pPr>
      <w:r w:rsidRPr="00736699">
        <w:rPr>
          <w:rFonts w:ascii="Verdana" w:hAnsi="Verdana"/>
          <w:sz w:val="22"/>
          <w:szCs w:val="22"/>
        </w:rPr>
        <w:t>VAT</w:t>
      </w:r>
    </w:p>
    <w:p w:rsidR="003E44C5" w:rsidRPr="00C911F2"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 xml:space="preserve">VAT payable is included as an expense only to the extent that it is not recoverable from Her Majesty's Revenue and Customs. VAT receivable is excluded from income. </w:t>
      </w:r>
    </w:p>
    <w:p w:rsidR="003E44C5" w:rsidRPr="00751FDA" w:rsidRDefault="003E44C5" w:rsidP="003E44C5">
      <w:pPr>
        <w:jc w:val="both"/>
        <w:rPr>
          <w:rFonts w:ascii="Verdana" w:hAnsi="Verdana" w:cs="Arial"/>
          <w:sz w:val="22"/>
          <w:szCs w:val="22"/>
        </w:rPr>
      </w:pPr>
    </w:p>
    <w:p w:rsidR="003E44C5" w:rsidRPr="00C911F2" w:rsidRDefault="003E44C5" w:rsidP="003E44C5">
      <w:pPr>
        <w:jc w:val="both"/>
        <w:rPr>
          <w:rFonts w:ascii="Verdana" w:hAnsi="Verdana" w:cs="Arial"/>
          <w:sz w:val="22"/>
          <w:szCs w:val="22"/>
        </w:rPr>
      </w:pPr>
      <w:r w:rsidRPr="00751FDA">
        <w:rPr>
          <w:rFonts w:ascii="Verdana" w:hAnsi="Verdana" w:cs="Arial"/>
          <w:sz w:val="22"/>
          <w:szCs w:val="22"/>
        </w:rPr>
        <w:t xml:space="preserve">A single VAT return is submitted on behalf of the Group.  </w:t>
      </w:r>
    </w:p>
    <w:p w:rsidR="003E44C5" w:rsidRDefault="003E44C5" w:rsidP="003E44C5">
      <w:pPr>
        <w:jc w:val="both"/>
        <w:rPr>
          <w:rFonts w:ascii="Verdana" w:hAnsi="Verdana" w:cs="Arial"/>
          <w:sz w:val="22"/>
          <w:szCs w:val="22"/>
        </w:rPr>
      </w:pPr>
    </w:p>
    <w:p w:rsidR="003E44C5" w:rsidRPr="00736699" w:rsidRDefault="003E44C5" w:rsidP="003E44C5">
      <w:pPr>
        <w:pStyle w:val="Style1"/>
        <w:numPr>
          <w:ilvl w:val="0"/>
          <w:numId w:val="0"/>
        </w:numPr>
        <w:ind w:left="2552" w:hanging="2552"/>
        <w:rPr>
          <w:rFonts w:ascii="Verdana" w:hAnsi="Verdana"/>
          <w:sz w:val="22"/>
          <w:szCs w:val="22"/>
        </w:rPr>
      </w:pPr>
      <w:r w:rsidRPr="00736699">
        <w:rPr>
          <w:rFonts w:ascii="Verdana" w:hAnsi="Verdana"/>
          <w:sz w:val="22"/>
          <w:szCs w:val="22"/>
        </w:rPr>
        <w:t>Prior Period Adjustments, Changes in Accounting Policies and Estimates and Errors</w:t>
      </w:r>
    </w:p>
    <w:p w:rsidR="003E44C5" w:rsidRPr="00C911F2" w:rsidRDefault="003E44C5" w:rsidP="003E44C5">
      <w:pPr>
        <w:jc w:val="both"/>
        <w:rPr>
          <w:rFonts w:ascii="Verdana" w:hAnsi="Verdana" w:cs="Arial"/>
          <w:sz w:val="22"/>
          <w:szCs w:val="22"/>
        </w:rPr>
      </w:pPr>
    </w:p>
    <w:p w:rsidR="003E44C5" w:rsidRPr="00C911F2" w:rsidRDefault="003E44C5" w:rsidP="003E44C5">
      <w:pPr>
        <w:jc w:val="both"/>
        <w:rPr>
          <w:rFonts w:ascii="Verdana" w:hAnsi="Verdana" w:cs="Arial"/>
          <w:sz w:val="22"/>
          <w:szCs w:val="22"/>
        </w:rPr>
      </w:pPr>
      <w:r w:rsidRPr="00C911F2">
        <w:rPr>
          <w:rFonts w:ascii="Verdana" w:hAnsi="Verdana" w:cs="Arial"/>
          <w:sz w:val="22"/>
          <w:szCs w:val="22"/>
        </w:rPr>
        <w:t>Prior period adjustments arise as a result of a change in accounting policies or to correct a material error. Changes in accounting estimates are accounted for prospectively, i.e. in the current and future years affected by the change and do not give rise to a prior period adjustment.</w:t>
      </w:r>
    </w:p>
    <w:p w:rsidR="003E44C5" w:rsidRPr="00C911F2" w:rsidRDefault="003E44C5" w:rsidP="003E44C5">
      <w:pPr>
        <w:jc w:val="both"/>
        <w:rPr>
          <w:rFonts w:ascii="Verdana" w:hAnsi="Verdana" w:cs="Arial"/>
          <w:sz w:val="22"/>
          <w:szCs w:val="22"/>
        </w:rPr>
      </w:pPr>
    </w:p>
    <w:p w:rsidR="003E44C5" w:rsidRPr="00C911F2" w:rsidRDefault="003E44C5" w:rsidP="003E44C5">
      <w:pPr>
        <w:jc w:val="both"/>
        <w:rPr>
          <w:rFonts w:ascii="Verdana" w:hAnsi="Verdana" w:cs="Arial"/>
          <w:sz w:val="22"/>
          <w:szCs w:val="22"/>
        </w:rPr>
      </w:pPr>
      <w:r w:rsidRPr="00C911F2">
        <w:rPr>
          <w:rFonts w:ascii="Verdana" w:hAnsi="Verdana" w:cs="Arial"/>
          <w:sz w:val="22"/>
          <w:szCs w:val="22"/>
        </w:rPr>
        <w:t>Changes in accounting policies are only made when required by proper accounting practices or the change provides more reliable or relevant information about the effect of transactions, other events and conditions on the Chief Constable’s financial position or financial performance. Where a change is made, it is applied retrospectively by adjusting opening balances and comparative amounts for the prior period as if the new policy had always been applied.</w:t>
      </w:r>
    </w:p>
    <w:p w:rsidR="003E44C5" w:rsidRPr="00C911F2" w:rsidRDefault="003E44C5" w:rsidP="003E44C5">
      <w:pPr>
        <w:jc w:val="both"/>
        <w:rPr>
          <w:rFonts w:ascii="Verdana" w:hAnsi="Verdana" w:cs="Arial"/>
          <w:sz w:val="22"/>
          <w:szCs w:val="22"/>
        </w:rPr>
      </w:pPr>
    </w:p>
    <w:p w:rsidR="003E44C5" w:rsidRDefault="003E44C5" w:rsidP="003E44C5">
      <w:pPr>
        <w:jc w:val="both"/>
        <w:rPr>
          <w:rFonts w:ascii="Verdana" w:hAnsi="Verdana" w:cs="Arial"/>
          <w:sz w:val="22"/>
          <w:szCs w:val="22"/>
        </w:rPr>
      </w:pPr>
      <w:r w:rsidRPr="00C911F2">
        <w:rPr>
          <w:rFonts w:ascii="Verdana" w:hAnsi="Verdana" w:cs="Arial"/>
          <w:sz w:val="22"/>
          <w:szCs w:val="22"/>
        </w:rPr>
        <w:t>Material errors discovered in prior period figures are corrected retrospectively by amending opening balances and comparative amounts for the prior period.</w:t>
      </w:r>
    </w:p>
    <w:p w:rsidR="00736699" w:rsidRDefault="00736699" w:rsidP="003E44C5">
      <w:pPr>
        <w:jc w:val="both"/>
        <w:rPr>
          <w:rFonts w:ascii="Verdana" w:hAnsi="Verdana" w:cs="Arial"/>
          <w:b/>
          <w:sz w:val="22"/>
          <w:szCs w:val="22"/>
        </w:rPr>
      </w:pPr>
    </w:p>
    <w:p w:rsidR="003E44C5" w:rsidRPr="00736699" w:rsidRDefault="003E44C5" w:rsidP="003E44C5">
      <w:pPr>
        <w:jc w:val="both"/>
        <w:rPr>
          <w:rFonts w:ascii="Verdana" w:hAnsi="Verdana" w:cs="Arial"/>
          <w:b/>
          <w:sz w:val="22"/>
          <w:szCs w:val="22"/>
        </w:rPr>
      </w:pPr>
      <w:r w:rsidRPr="00736699">
        <w:rPr>
          <w:rFonts w:ascii="Verdana" w:hAnsi="Verdana" w:cs="Arial"/>
          <w:b/>
          <w:sz w:val="22"/>
          <w:szCs w:val="22"/>
        </w:rPr>
        <w:t>Events after the Balance Sheet</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Events after the Balance Sheet date are those events, both favourable and unfavourable, that occur between the end of the reporting period and the date when the Statement of Accounts is authorised for issue. Two types of events can be identified:</w:t>
      </w:r>
    </w:p>
    <w:p w:rsidR="003E44C5" w:rsidRPr="00751FDA" w:rsidRDefault="003E44C5" w:rsidP="003E44C5">
      <w:pPr>
        <w:jc w:val="both"/>
        <w:rPr>
          <w:rFonts w:ascii="Verdana" w:hAnsi="Verdana" w:cs="Arial"/>
          <w:sz w:val="22"/>
          <w:szCs w:val="22"/>
        </w:rPr>
      </w:pPr>
    </w:p>
    <w:p w:rsidR="003E44C5" w:rsidRPr="00751FDA" w:rsidRDefault="003E44C5" w:rsidP="003E44C5">
      <w:pPr>
        <w:ind w:left="720" w:hanging="720"/>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t>those that provide evidence of conditions that existed at the end of the reporting period the Statement of Accounts is adjusted to reflect such events</w:t>
      </w:r>
    </w:p>
    <w:p w:rsidR="003E44C5" w:rsidRPr="00751FDA" w:rsidRDefault="003E44C5" w:rsidP="003E44C5">
      <w:pPr>
        <w:jc w:val="both"/>
        <w:rPr>
          <w:rFonts w:ascii="Verdana" w:hAnsi="Verdana" w:cs="Arial"/>
          <w:sz w:val="22"/>
          <w:szCs w:val="22"/>
        </w:rPr>
      </w:pPr>
    </w:p>
    <w:p w:rsidR="003E44C5" w:rsidRPr="00751FDA" w:rsidRDefault="003E44C5" w:rsidP="003E44C5">
      <w:pPr>
        <w:ind w:left="720" w:hanging="720"/>
        <w:jc w:val="both"/>
        <w:rPr>
          <w:rFonts w:ascii="Verdana" w:hAnsi="Verdana" w:cs="Arial"/>
          <w:sz w:val="22"/>
          <w:szCs w:val="22"/>
        </w:rPr>
      </w:pPr>
      <w:r w:rsidRPr="00751FDA">
        <w:rPr>
          <w:rFonts w:ascii="Verdana" w:hAnsi="Verdana" w:cs="Arial"/>
          <w:sz w:val="22"/>
          <w:szCs w:val="22"/>
        </w:rPr>
        <w:t>•</w:t>
      </w:r>
      <w:r w:rsidRPr="00751FDA">
        <w:rPr>
          <w:rFonts w:ascii="Verdana" w:hAnsi="Verdana" w:cs="Arial"/>
          <w:sz w:val="22"/>
          <w:szCs w:val="22"/>
        </w:rPr>
        <w:tab/>
        <w:t>those that are indicative of conditions that arose after the reporting period – the Statement of Accounts is not adjusted to reflect such events, but where a category of events would have a material effect, disclosure is made in the notes of the nature of the events and their estimated financial effect</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Events taking place after the date of authorisation for issue are not reflected in the Statement of Accounts.</w:t>
      </w:r>
    </w:p>
    <w:p w:rsidR="003E44C5" w:rsidRPr="00751FDA" w:rsidRDefault="003E44C5" w:rsidP="003E44C5">
      <w:pPr>
        <w:jc w:val="both"/>
        <w:rPr>
          <w:rFonts w:ascii="Verdana" w:hAnsi="Verdana" w:cs="Arial"/>
          <w:sz w:val="22"/>
          <w:szCs w:val="22"/>
        </w:rPr>
      </w:pPr>
    </w:p>
    <w:p w:rsidR="003E44C5" w:rsidRPr="00736699" w:rsidRDefault="003E44C5" w:rsidP="003E44C5">
      <w:pPr>
        <w:jc w:val="both"/>
        <w:rPr>
          <w:rFonts w:ascii="Verdana" w:hAnsi="Verdana" w:cs="Arial"/>
          <w:b/>
          <w:sz w:val="22"/>
          <w:szCs w:val="22"/>
        </w:rPr>
      </w:pPr>
      <w:r w:rsidRPr="00736699">
        <w:rPr>
          <w:rFonts w:ascii="Verdana" w:hAnsi="Verdana" w:cs="Arial"/>
          <w:b/>
          <w:sz w:val="22"/>
          <w:szCs w:val="22"/>
        </w:rPr>
        <w:t xml:space="preserve">Reserves </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The Chief Constable maintains certain reserves to manage the accounting processes for non-current assets, retirement benefits and other employee benefits that do not represent usable resources for the Chief Constable or the Group.</w:t>
      </w:r>
    </w:p>
    <w:p w:rsidR="003E44C5" w:rsidRPr="00751FDA" w:rsidRDefault="003E44C5" w:rsidP="003E44C5">
      <w:pPr>
        <w:jc w:val="both"/>
        <w:rPr>
          <w:rFonts w:ascii="Verdana" w:hAnsi="Verdana" w:cs="Arial"/>
          <w:sz w:val="22"/>
          <w:szCs w:val="22"/>
        </w:rPr>
      </w:pPr>
    </w:p>
    <w:p w:rsidR="003E44C5" w:rsidRPr="0021382D" w:rsidRDefault="003E44C5" w:rsidP="003E44C5">
      <w:pPr>
        <w:jc w:val="both"/>
        <w:rPr>
          <w:rFonts w:ascii="Verdana" w:hAnsi="Verdana" w:cs="Arial"/>
          <w:b/>
          <w:sz w:val="22"/>
          <w:szCs w:val="22"/>
        </w:rPr>
      </w:pPr>
      <w:r w:rsidRPr="0021382D">
        <w:rPr>
          <w:rFonts w:ascii="Verdana" w:hAnsi="Verdana" w:cs="Arial"/>
          <w:b/>
          <w:sz w:val="22"/>
          <w:szCs w:val="22"/>
        </w:rPr>
        <w:t xml:space="preserve">Overheads and Support Services </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 xml:space="preserve">The costs of overheads and support services are charged in line with the Code and Police Objective Analysis, the costs of support services are fully allocated to the Group’s services. </w:t>
      </w:r>
    </w:p>
    <w:p w:rsidR="003E44C5" w:rsidRPr="00751FDA" w:rsidRDefault="003E44C5" w:rsidP="003E44C5">
      <w:pPr>
        <w:jc w:val="both"/>
        <w:rPr>
          <w:rFonts w:ascii="Verdana" w:hAnsi="Verdana" w:cs="Arial"/>
          <w:sz w:val="22"/>
          <w:szCs w:val="22"/>
        </w:rPr>
      </w:pPr>
    </w:p>
    <w:p w:rsidR="003E44C5" w:rsidRPr="0021382D" w:rsidRDefault="003E44C5" w:rsidP="003E44C5">
      <w:pPr>
        <w:jc w:val="both"/>
        <w:rPr>
          <w:rFonts w:ascii="Verdana" w:hAnsi="Verdana" w:cs="Arial"/>
          <w:b/>
          <w:sz w:val="22"/>
          <w:szCs w:val="22"/>
        </w:rPr>
      </w:pPr>
      <w:r w:rsidRPr="0021382D">
        <w:rPr>
          <w:rFonts w:ascii="Verdana" w:hAnsi="Verdana" w:cs="Arial"/>
          <w:b/>
          <w:sz w:val="22"/>
          <w:szCs w:val="22"/>
        </w:rPr>
        <w:t xml:space="preserve">Provisions and Contingent Liabilities </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b/>
          <w:sz w:val="22"/>
          <w:szCs w:val="22"/>
        </w:rPr>
      </w:pPr>
      <w:r w:rsidRPr="00751FDA">
        <w:rPr>
          <w:rFonts w:ascii="Verdana" w:hAnsi="Verdana" w:cs="Arial"/>
          <w:b/>
          <w:sz w:val="22"/>
          <w:szCs w:val="22"/>
        </w:rPr>
        <w:t xml:space="preserve">Provisions </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sz w:val="22"/>
          <w:szCs w:val="22"/>
        </w:rPr>
      </w:pPr>
      <w:r w:rsidRPr="00751FDA">
        <w:rPr>
          <w:rFonts w:ascii="Verdana" w:hAnsi="Verdana" w:cs="Arial"/>
          <w:sz w:val="22"/>
          <w:szCs w:val="22"/>
        </w:rPr>
        <w:t>Provisions are made where an event has taken place that gives the Group a legal or constructive obligation that probably requires settlement by a transfer of economic benefits or service potential, and a reliable estimate can be made of the amount of the obligation, but where the timing of transfer is uncertain.  Provisions are recognised on the Balance Sheet.</w:t>
      </w:r>
    </w:p>
    <w:p w:rsidR="003E44C5" w:rsidRPr="00751FDA" w:rsidRDefault="003E44C5" w:rsidP="003E44C5">
      <w:pPr>
        <w:jc w:val="both"/>
        <w:rPr>
          <w:rFonts w:ascii="Verdana" w:hAnsi="Verdana" w:cs="Arial"/>
          <w:sz w:val="22"/>
          <w:szCs w:val="22"/>
        </w:rPr>
      </w:pPr>
    </w:p>
    <w:p w:rsidR="003E44C5" w:rsidRPr="00751FDA" w:rsidRDefault="003E44C5" w:rsidP="003E44C5">
      <w:pPr>
        <w:jc w:val="both"/>
        <w:rPr>
          <w:rFonts w:ascii="Verdana" w:hAnsi="Verdana" w:cs="Arial"/>
          <w:b/>
          <w:sz w:val="22"/>
          <w:szCs w:val="22"/>
        </w:rPr>
      </w:pPr>
      <w:r w:rsidRPr="00751FDA">
        <w:rPr>
          <w:rFonts w:ascii="Verdana" w:hAnsi="Verdana" w:cs="Arial"/>
          <w:b/>
          <w:sz w:val="22"/>
          <w:szCs w:val="22"/>
        </w:rPr>
        <w:t>Contingent Liabilities</w:t>
      </w:r>
    </w:p>
    <w:p w:rsidR="003E44C5" w:rsidRPr="00751FDA" w:rsidRDefault="003E44C5" w:rsidP="003E44C5">
      <w:pPr>
        <w:jc w:val="both"/>
        <w:rPr>
          <w:rFonts w:ascii="Verdana" w:hAnsi="Verdana" w:cs="Arial"/>
          <w:sz w:val="22"/>
          <w:szCs w:val="22"/>
        </w:rPr>
      </w:pPr>
    </w:p>
    <w:p w:rsidR="003E44C5" w:rsidRPr="00C911F2" w:rsidRDefault="003E44C5" w:rsidP="003E44C5">
      <w:pPr>
        <w:jc w:val="both"/>
        <w:rPr>
          <w:rFonts w:ascii="Verdana" w:hAnsi="Verdana" w:cs="Arial"/>
          <w:sz w:val="22"/>
          <w:szCs w:val="22"/>
        </w:rPr>
      </w:pPr>
      <w:r w:rsidRPr="00751FDA">
        <w:rPr>
          <w:rFonts w:ascii="Verdana" w:hAnsi="Verdana" w:cs="Arial"/>
          <w:sz w:val="22"/>
          <w:szCs w:val="22"/>
        </w:rPr>
        <w:t>A contingent liability arises where an event has taken place that gives the Chief Constable a possible obligation whose existence will only be confirmed by the occurrence or otherwise of uncertain future events not wholly within the control of the Chief Constable. Contingent liabilities also arise in circumstances where a provision would otherwise be made but either it is not probable that an outflow of resources will be required or the amount of the obligation cannot be measured reliably.  Contingent liabilities are not recognised in the Balance Sheet but disclosed in a note to the accounts.</w:t>
      </w:r>
    </w:p>
    <w:bookmarkEnd w:id="31"/>
    <w:p w:rsidR="003E44C5" w:rsidRPr="00C911F2" w:rsidRDefault="003E44C5" w:rsidP="004D44FF">
      <w:pPr>
        <w:jc w:val="both"/>
        <w:rPr>
          <w:rFonts w:ascii="Verdana" w:hAnsi="Verdana" w:cs="Arial"/>
          <w:sz w:val="22"/>
          <w:szCs w:val="22"/>
          <w:highlight w:val="yellow"/>
        </w:rPr>
      </w:pPr>
    </w:p>
    <w:p w:rsidR="004D44FF" w:rsidRPr="00D1426A" w:rsidRDefault="00EB0483" w:rsidP="004D44FF">
      <w:pPr>
        <w:pStyle w:val="Heading1"/>
        <w:rPr>
          <w:lang w:val="en-GB" w:eastAsia="en-GB"/>
        </w:rPr>
      </w:pPr>
      <w:bookmarkStart w:id="32" w:name="_Toc422143768"/>
      <w:bookmarkStart w:id="33" w:name="_Toc489957281"/>
      <w:bookmarkStart w:id="34" w:name="_Toc55901001"/>
      <w:r>
        <w:rPr>
          <w:lang w:val="en-GB" w:eastAsia="en-GB"/>
        </w:rPr>
        <w:t>Note 2</w:t>
      </w:r>
      <w:r w:rsidR="00D02B10">
        <w:rPr>
          <w:lang w:val="en-GB" w:eastAsia="en-GB"/>
        </w:rPr>
        <w:t>3</w:t>
      </w:r>
      <w:r>
        <w:rPr>
          <w:lang w:val="en-GB" w:eastAsia="en-GB"/>
        </w:rPr>
        <w:t xml:space="preserve"> - </w:t>
      </w:r>
      <w:r w:rsidR="004D44FF" w:rsidRPr="00D1426A">
        <w:rPr>
          <w:lang w:val="en-GB" w:eastAsia="en-GB"/>
        </w:rPr>
        <w:t>Accounting Standards issued but not yet adopted</w:t>
      </w:r>
      <w:bookmarkEnd w:id="32"/>
      <w:bookmarkEnd w:id="33"/>
      <w:bookmarkEnd w:id="34"/>
    </w:p>
    <w:p w:rsidR="004D44FF" w:rsidRPr="00C911F2" w:rsidRDefault="004D44FF" w:rsidP="004D44FF">
      <w:pPr>
        <w:tabs>
          <w:tab w:val="left" w:pos="8676"/>
        </w:tabs>
        <w:jc w:val="both"/>
        <w:rPr>
          <w:rFonts w:ascii="Verdana" w:hAnsi="Verdana"/>
          <w:sz w:val="22"/>
          <w:szCs w:val="22"/>
        </w:rPr>
      </w:pPr>
      <w:r w:rsidRPr="00C911F2">
        <w:rPr>
          <w:rFonts w:ascii="Verdana" w:hAnsi="Verdana"/>
          <w:sz w:val="22"/>
          <w:szCs w:val="22"/>
        </w:rPr>
        <w:tab/>
      </w:r>
    </w:p>
    <w:p w:rsidR="00865B75" w:rsidRPr="00865B75" w:rsidRDefault="00865B75" w:rsidP="00865B75">
      <w:pPr>
        <w:pStyle w:val="Style2"/>
        <w:jc w:val="both"/>
        <w:rPr>
          <w:rFonts w:ascii="Verdana" w:hAnsi="Verdana" w:cs="Times New Roman"/>
          <w:b w:val="0"/>
          <w:sz w:val="22"/>
          <w:szCs w:val="22"/>
        </w:rPr>
      </w:pPr>
      <w:r w:rsidRPr="00865B75">
        <w:rPr>
          <w:rFonts w:ascii="Verdana" w:hAnsi="Verdana" w:cs="Times New Roman"/>
          <w:b w:val="0"/>
          <w:sz w:val="22"/>
          <w:szCs w:val="22"/>
        </w:rPr>
        <w:t>A number of future accounting policy changes will need to be reported with effect from 1 April 2020.</w:t>
      </w:r>
    </w:p>
    <w:p w:rsidR="00865B75" w:rsidRPr="00865B75" w:rsidRDefault="00865B75" w:rsidP="00865B75">
      <w:pPr>
        <w:pStyle w:val="Style2"/>
        <w:jc w:val="both"/>
        <w:rPr>
          <w:rFonts w:ascii="Verdana" w:hAnsi="Verdana" w:cs="Times New Roman"/>
          <w:b w:val="0"/>
          <w:sz w:val="22"/>
          <w:szCs w:val="22"/>
        </w:rPr>
      </w:pPr>
    </w:p>
    <w:p w:rsidR="00865B75" w:rsidRPr="00865B75" w:rsidRDefault="00865B75" w:rsidP="00865B75">
      <w:pPr>
        <w:pStyle w:val="Style2"/>
        <w:jc w:val="both"/>
        <w:rPr>
          <w:rFonts w:ascii="Verdana" w:hAnsi="Verdana" w:cs="Times New Roman"/>
          <w:b w:val="0"/>
          <w:sz w:val="22"/>
          <w:szCs w:val="22"/>
        </w:rPr>
      </w:pPr>
      <w:r w:rsidRPr="00865B75">
        <w:rPr>
          <w:rFonts w:ascii="Verdana" w:hAnsi="Verdana" w:cs="Times New Roman"/>
          <w:b w:val="0"/>
          <w:sz w:val="22"/>
          <w:szCs w:val="22"/>
        </w:rPr>
        <w:t xml:space="preserve">Paragraph 3.3.2.13 of the 2019/2020 code requires changes in accounting policy to be applied retrospectively unless alternative transitional arrangements are specified in the Code. </w:t>
      </w:r>
    </w:p>
    <w:p w:rsidR="00865B75" w:rsidRPr="00865B75" w:rsidRDefault="00865B75" w:rsidP="00865B75">
      <w:pPr>
        <w:pStyle w:val="Style2"/>
        <w:jc w:val="both"/>
        <w:rPr>
          <w:rFonts w:ascii="Verdana" w:hAnsi="Verdana" w:cs="Times New Roman"/>
          <w:b w:val="0"/>
          <w:sz w:val="22"/>
          <w:szCs w:val="22"/>
        </w:rPr>
      </w:pPr>
    </w:p>
    <w:p w:rsidR="00865B75" w:rsidRPr="00865B75" w:rsidRDefault="00865B75" w:rsidP="00865B75">
      <w:pPr>
        <w:pStyle w:val="Style2"/>
        <w:jc w:val="both"/>
        <w:rPr>
          <w:rFonts w:ascii="Verdana" w:hAnsi="Verdana" w:cs="Times New Roman"/>
          <w:b w:val="0"/>
          <w:sz w:val="22"/>
          <w:szCs w:val="22"/>
        </w:rPr>
      </w:pPr>
      <w:r w:rsidRPr="00865B75">
        <w:rPr>
          <w:rFonts w:ascii="Verdana" w:hAnsi="Verdana" w:cs="Times New Roman"/>
          <w:b w:val="0"/>
          <w:sz w:val="22"/>
          <w:szCs w:val="22"/>
        </w:rPr>
        <w:t xml:space="preserve">Paragraph 3.3.4.3 requires an authority to disclose information relating to the impact of an accounting change that will be required by a new standard that has been issued but not yet adopted by the Code for the relevant financial year. Disclosure requirements are expected to be included in a subsequent edition of the Code. </w:t>
      </w:r>
    </w:p>
    <w:p w:rsidR="00865B75" w:rsidRPr="00865B75" w:rsidRDefault="00865B75" w:rsidP="00865B75">
      <w:pPr>
        <w:pStyle w:val="Style2"/>
        <w:jc w:val="both"/>
        <w:rPr>
          <w:rFonts w:ascii="Verdana" w:hAnsi="Verdana" w:cs="Times New Roman"/>
          <w:b w:val="0"/>
          <w:sz w:val="22"/>
          <w:szCs w:val="22"/>
        </w:rPr>
      </w:pPr>
    </w:p>
    <w:p w:rsidR="00865B75" w:rsidRPr="00865B75" w:rsidRDefault="00865B75" w:rsidP="00865B75">
      <w:pPr>
        <w:pStyle w:val="Style2"/>
        <w:jc w:val="both"/>
        <w:rPr>
          <w:rFonts w:ascii="Verdana" w:hAnsi="Verdana" w:cs="Times New Roman"/>
          <w:b w:val="0"/>
          <w:sz w:val="22"/>
          <w:szCs w:val="22"/>
        </w:rPr>
      </w:pPr>
      <w:r w:rsidRPr="00865B75">
        <w:rPr>
          <w:rFonts w:ascii="Verdana" w:hAnsi="Verdana" w:cs="Times New Roman"/>
          <w:b w:val="0"/>
          <w:sz w:val="22"/>
          <w:szCs w:val="22"/>
        </w:rPr>
        <w:t>The standards that may be relevant for additional disclosures that will be required in the 2019/2020 and 2020/21 financial statements in respect of accounting changes that are to be introduced in the 2020/21 Code are:</w:t>
      </w:r>
    </w:p>
    <w:p w:rsidR="00865B75" w:rsidRPr="00865B75" w:rsidRDefault="00865B75" w:rsidP="00865B75">
      <w:pPr>
        <w:pStyle w:val="Style2"/>
        <w:jc w:val="both"/>
        <w:rPr>
          <w:rFonts w:ascii="Verdana" w:hAnsi="Verdana" w:cs="Times New Roman"/>
          <w:b w:val="0"/>
          <w:sz w:val="22"/>
          <w:szCs w:val="22"/>
        </w:rPr>
      </w:pPr>
    </w:p>
    <w:p w:rsidR="00865B75" w:rsidRPr="00865B75" w:rsidRDefault="00865B75" w:rsidP="00865B75">
      <w:pPr>
        <w:pStyle w:val="Style2"/>
        <w:ind w:left="720" w:hanging="720"/>
        <w:jc w:val="both"/>
        <w:rPr>
          <w:rFonts w:ascii="Verdana" w:hAnsi="Verdana" w:cs="Times New Roman"/>
          <w:b w:val="0"/>
          <w:sz w:val="22"/>
          <w:szCs w:val="22"/>
        </w:rPr>
      </w:pPr>
      <w:r w:rsidRPr="00865B75">
        <w:rPr>
          <w:rFonts w:ascii="Verdana" w:hAnsi="Verdana" w:cs="Times New Roman"/>
          <w:b w:val="0"/>
          <w:sz w:val="22"/>
          <w:szCs w:val="22"/>
        </w:rPr>
        <w:t>•</w:t>
      </w:r>
      <w:r w:rsidRPr="00865B75">
        <w:rPr>
          <w:rFonts w:ascii="Verdana" w:hAnsi="Verdana" w:cs="Times New Roman"/>
          <w:b w:val="0"/>
          <w:sz w:val="22"/>
          <w:szCs w:val="22"/>
        </w:rPr>
        <w:tab/>
        <w:t xml:space="preserve">Amendment to IAS 28 Investments in Associates and Joint Ventures in relation to Long-term Interests in Associates and Joint Ventures provides clarification that IFRS 9 applies to long term interests in an associate or joint venture that form part of the net investment in the associate or joint venture but to which the equity method is not applied.  </w:t>
      </w:r>
    </w:p>
    <w:p w:rsidR="00865B75" w:rsidRPr="00865B75" w:rsidRDefault="00865B75" w:rsidP="00865B75">
      <w:pPr>
        <w:pStyle w:val="Style2"/>
        <w:jc w:val="both"/>
        <w:rPr>
          <w:rFonts w:ascii="Verdana" w:hAnsi="Verdana" w:cs="Times New Roman"/>
          <w:b w:val="0"/>
          <w:sz w:val="22"/>
          <w:szCs w:val="22"/>
        </w:rPr>
      </w:pPr>
    </w:p>
    <w:p w:rsidR="00865B75" w:rsidRPr="00865B75" w:rsidRDefault="00CC6FE1" w:rsidP="00865B75">
      <w:pPr>
        <w:pStyle w:val="Style2"/>
        <w:ind w:left="720" w:hanging="720"/>
        <w:jc w:val="both"/>
        <w:rPr>
          <w:rFonts w:ascii="Verdana" w:hAnsi="Verdana" w:cs="Times New Roman"/>
          <w:b w:val="0"/>
          <w:sz w:val="22"/>
          <w:szCs w:val="22"/>
        </w:rPr>
      </w:pPr>
      <w:r>
        <w:rPr>
          <w:rFonts w:ascii="Verdana" w:hAnsi="Verdana" w:cs="Times New Roman"/>
          <w:b w:val="0"/>
          <w:sz w:val="22"/>
          <w:szCs w:val="22"/>
        </w:rPr>
        <w:t>•</w:t>
      </w:r>
      <w:r>
        <w:rPr>
          <w:rFonts w:ascii="Verdana" w:hAnsi="Verdana" w:cs="Times New Roman"/>
          <w:b w:val="0"/>
          <w:sz w:val="22"/>
          <w:szCs w:val="22"/>
        </w:rPr>
        <w:tab/>
        <w:t>The Surrey</w:t>
      </w:r>
      <w:r w:rsidR="00865B75" w:rsidRPr="00865B75">
        <w:rPr>
          <w:rFonts w:ascii="Verdana" w:hAnsi="Verdana" w:cs="Times New Roman"/>
          <w:b w:val="0"/>
          <w:sz w:val="22"/>
          <w:szCs w:val="22"/>
        </w:rPr>
        <w:t xml:space="preserve"> Police group does not currently have any associates or joint ventures so will be unaffected by this change.</w:t>
      </w:r>
    </w:p>
    <w:p w:rsidR="00865B75" w:rsidRPr="00865B75" w:rsidRDefault="00865B75" w:rsidP="00865B75">
      <w:pPr>
        <w:pStyle w:val="Style2"/>
        <w:jc w:val="both"/>
        <w:rPr>
          <w:rFonts w:ascii="Verdana" w:hAnsi="Verdana" w:cs="Times New Roman"/>
          <w:b w:val="0"/>
          <w:sz w:val="22"/>
          <w:szCs w:val="22"/>
        </w:rPr>
      </w:pPr>
    </w:p>
    <w:p w:rsidR="00865B75" w:rsidRDefault="00865B75" w:rsidP="00865B75">
      <w:pPr>
        <w:pStyle w:val="Style2"/>
        <w:jc w:val="both"/>
        <w:rPr>
          <w:rFonts w:ascii="Verdana" w:hAnsi="Verdana" w:cs="Times New Roman"/>
          <w:b w:val="0"/>
          <w:sz w:val="22"/>
          <w:szCs w:val="22"/>
        </w:rPr>
      </w:pPr>
      <w:r w:rsidRPr="00865B75">
        <w:rPr>
          <w:rFonts w:ascii="Verdana" w:hAnsi="Verdana" w:cs="Times New Roman"/>
          <w:b w:val="0"/>
          <w:sz w:val="22"/>
          <w:szCs w:val="22"/>
        </w:rPr>
        <w:t>•</w:t>
      </w:r>
      <w:r w:rsidRPr="00865B75">
        <w:rPr>
          <w:rFonts w:ascii="Verdana" w:hAnsi="Verdana" w:cs="Times New Roman"/>
          <w:b w:val="0"/>
          <w:sz w:val="22"/>
          <w:szCs w:val="22"/>
        </w:rPr>
        <w:tab/>
        <w:t>Annual Improvements to IFRS Standards 2015-2017 cycle.</w:t>
      </w:r>
    </w:p>
    <w:p w:rsidR="00865B75" w:rsidRPr="00865B75" w:rsidRDefault="00865B75" w:rsidP="00865B75">
      <w:pPr>
        <w:pStyle w:val="Style2"/>
        <w:jc w:val="both"/>
        <w:rPr>
          <w:rFonts w:ascii="Verdana" w:hAnsi="Verdana" w:cs="Times New Roman"/>
          <w:b w:val="0"/>
          <w:sz w:val="22"/>
          <w:szCs w:val="22"/>
        </w:rPr>
      </w:pPr>
    </w:p>
    <w:p w:rsidR="00865B75" w:rsidRPr="00865B75" w:rsidRDefault="00865B75" w:rsidP="00865B75">
      <w:pPr>
        <w:pStyle w:val="Style2"/>
        <w:ind w:left="720" w:hanging="720"/>
        <w:jc w:val="both"/>
        <w:rPr>
          <w:rFonts w:ascii="Verdana" w:hAnsi="Verdana" w:cs="Times New Roman"/>
          <w:b w:val="0"/>
          <w:sz w:val="22"/>
          <w:szCs w:val="22"/>
        </w:rPr>
      </w:pPr>
      <w:r w:rsidRPr="00865B75">
        <w:rPr>
          <w:rFonts w:ascii="Verdana" w:hAnsi="Verdana" w:cs="Times New Roman"/>
          <w:b w:val="0"/>
          <w:sz w:val="22"/>
          <w:szCs w:val="22"/>
        </w:rPr>
        <w:t>•</w:t>
      </w:r>
      <w:r w:rsidRPr="00865B75">
        <w:rPr>
          <w:rFonts w:ascii="Verdana" w:hAnsi="Verdana" w:cs="Times New Roman"/>
          <w:b w:val="0"/>
          <w:sz w:val="22"/>
          <w:szCs w:val="22"/>
        </w:rPr>
        <w:tab/>
        <w:t xml:space="preserve">Amendments to IAS 19 Employee Benefits will require that when a plan amendment, curtailment or settlement occurs during a reporting period, entities should use updated actuarial assumptions to determine current service cost and net interest for the remaining annual reporting period (where the treatment is material for the readers of the accounts). </w:t>
      </w:r>
    </w:p>
    <w:p w:rsidR="00865B75" w:rsidRPr="00865B75" w:rsidRDefault="00865B75" w:rsidP="00865B75">
      <w:pPr>
        <w:pStyle w:val="Style2"/>
        <w:ind w:left="720" w:hanging="720"/>
        <w:jc w:val="both"/>
        <w:rPr>
          <w:rFonts w:ascii="Verdana" w:hAnsi="Verdana" w:cs="Times New Roman"/>
          <w:b w:val="0"/>
          <w:sz w:val="22"/>
          <w:szCs w:val="22"/>
        </w:rPr>
      </w:pPr>
    </w:p>
    <w:p w:rsidR="00865B75" w:rsidRPr="00865B75" w:rsidRDefault="00865B75" w:rsidP="00865B75">
      <w:pPr>
        <w:pStyle w:val="Style2"/>
        <w:ind w:left="720"/>
        <w:jc w:val="both"/>
        <w:rPr>
          <w:rFonts w:ascii="Verdana" w:hAnsi="Verdana" w:cs="Times New Roman"/>
          <w:b w:val="0"/>
          <w:sz w:val="22"/>
          <w:szCs w:val="22"/>
        </w:rPr>
      </w:pPr>
      <w:r w:rsidRPr="00865B75">
        <w:rPr>
          <w:rFonts w:ascii="Verdana" w:hAnsi="Verdana" w:cs="Times New Roman"/>
          <w:b w:val="0"/>
          <w:sz w:val="22"/>
          <w:szCs w:val="22"/>
        </w:rPr>
        <w:t>Previously, actuarial assumptions were generally made as at the start of the year whereas now we will be obliged to adjust those assumptions for significant changes during the year and reasons for those adjustments to assumptions would need to be disclosed.</w:t>
      </w:r>
    </w:p>
    <w:p w:rsidR="00865B75" w:rsidRPr="00865B75" w:rsidRDefault="00865B75" w:rsidP="00865B75">
      <w:pPr>
        <w:pStyle w:val="Style2"/>
        <w:jc w:val="both"/>
        <w:rPr>
          <w:rFonts w:ascii="Verdana" w:hAnsi="Verdana" w:cs="Times New Roman"/>
          <w:b w:val="0"/>
          <w:sz w:val="22"/>
          <w:szCs w:val="22"/>
        </w:rPr>
      </w:pPr>
      <w:r w:rsidRPr="00865B75">
        <w:rPr>
          <w:rFonts w:ascii="Verdana" w:hAnsi="Verdana" w:cs="Times New Roman"/>
          <w:b w:val="0"/>
          <w:sz w:val="22"/>
          <w:szCs w:val="22"/>
        </w:rPr>
        <w:t xml:space="preserve">  </w:t>
      </w:r>
    </w:p>
    <w:p w:rsidR="00865B75" w:rsidRDefault="00865B75" w:rsidP="00865B75">
      <w:pPr>
        <w:pStyle w:val="Style2"/>
        <w:ind w:left="720"/>
        <w:jc w:val="both"/>
        <w:rPr>
          <w:rFonts w:ascii="Verdana" w:hAnsi="Verdana" w:cs="Times New Roman"/>
          <w:b w:val="0"/>
          <w:sz w:val="22"/>
          <w:szCs w:val="22"/>
        </w:rPr>
      </w:pPr>
      <w:r w:rsidRPr="00865B75">
        <w:rPr>
          <w:rFonts w:ascii="Verdana" w:hAnsi="Verdana" w:cs="Times New Roman"/>
          <w:b w:val="0"/>
          <w:sz w:val="22"/>
          <w:szCs w:val="22"/>
        </w:rPr>
        <w:t xml:space="preserve">This amendment to IAS 19 was included in the consultation for the 2019/20 Code. However, formal EU endorsement did not take place until March 2019. This was too late for the amendment to be included in the final 2019/20 Code. This amendment has been adopted in the 2020/21 Code and will therefore be applicable to authorities for the 2020/21 financial year reporting (and not for 2019/20). </w:t>
      </w:r>
    </w:p>
    <w:p w:rsidR="00865B75" w:rsidRPr="00865B75" w:rsidRDefault="00865B75" w:rsidP="00865B75">
      <w:pPr>
        <w:pStyle w:val="Style2"/>
        <w:ind w:left="720"/>
        <w:jc w:val="both"/>
        <w:rPr>
          <w:rFonts w:ascii="Verdana" w:hAnsi="Verdana" w:cs="Times New Roman"/>
          <w:b w:val="0"/>
          <w:sz w:val="22"/>
          <w:szCs w:val="22"/>
        </w:rPr>
      </w:pPr>
    </w:p>
    <w:p w:rsidR="00865B75" w:rsidRDefault="00865B75" w:rsidP="00865B75">
      <w:pPr>
        <w:pStyle w:val="Style2"/>
        <w:ind w:left="720" w:hanging="720"/>
        <w:jc w:val="both"/>
        <w:rPr>
          <w:rFonts w:ascii="Verdana" w:hAnsi="Verdana" w:cs="Times New Roman"/>
          <w:b w:val="0"/>
          <w:sz w:val="22"/>
          <w:szCs w:val="22"/>
        </w:rPr>
      </w:pPr>
      <w:r w:rsidRPr="00865B75">
        <w:rPr>
          <w:rFonts w:ascii="Verdana" w:hAnsi="Verdana" w:cs="Times New Roman"/>
          <w:b w:val="0"/>
          <w:sz w:val="22"/>
          <w:szCs w:val="22"/>
        </w:rPr>
        <w:t>•</w:t>
      </w:r>
      <w:r w:rsidRPr="00865B75">
        <w:rPr>
          <w:rFonts w:ascii="Verdana" w:hAnsi="Verdana" w:cs="Times New Roman"/>
          <w:b w:val="0"/>
          <w:sz w:val="22"/>
          <w:szCs w:val="22"/>
        </w:rPr>
        <w:tab/>
        <w:t>Further proposals from CIPFA/LASAAC for 2020/21 include Amendment to IAS 1 Presentation of Financial Statements and IAS 8 Accounting Policies, Changes in Accounting Estimates and Errors. This amendment introduces a change to the definition of ‘material’ in order to support a reduction in the provision of immaterial information in the financial statements. Revised definition of materiality is ‘Information is material if omitting, misstating or obscuring it could reasonably be expected to influence decisions’.</w:t>
      </w:r>
    </w:p>
    <w:p w:rsidR="00865B75" w:rsidRPr="00865B75" w:rsidRDefault="00865B75" w:rsidP="00865B75">
      <w:pPr>
        <w:pStyle w:val="Style2"/>
        <w:ind w:left="720" w:hanging="720"/>
        <w:jc w:val="both"/>
        <w:rPr>
          <w:rFonts w:ascii="Verdana" w:hAnsi="Verdana" w:cs="Times New Roman"/>
          <w:b w:val="0"/>
          <w:sz w:val="22"/>
          <w:szCs w:val="22"/>
        </w:rPr>
      </w:pPr>
      <w:r w:rsidRPr="00865B75">
        <w:rPr>
          <w:rFonts w:ascii="Verdana" w:hAnsi="Verdana" w:cs="Times New Roman"/>
          <w:b w:val="0"/>
          <w:sz w:val="22"/>
          <w:szCs w:val="22"/>
        </w:rPr>
        <w:t xml:space="preserve"> </w:t>
      </w:r>
    </w:p>
    <w:p w:rsidR="00865B75" w:rsidRPr="00865B75" w:rsidRDefault="00865B75" w:rsidP="00865B75">
      <w:pPr>
        <w:pStyle w:val="Style2"/>
        <w:ind w:left="720" w:hanging="720"/>
        <w:jc w:val="both"/>
        <w:rPr>
          <w:rFonts w:ascii="Verdana" w:hAnsi="Verdana" w:cs="Times New Roman"/>
          <w:b w:val="0"/>
          <w:sz w:val="22"/>
          <w:szCs w:val="22"/>
        </w:rPr>
      </w:pPr>
      <w:r w:rsidRPr="00865B75">
        <w:rPr>
          <w:rFonts w:ascii="Verdana" w:hAnsi="Verdana" w:cs="Times New Roman"/>
          <w:b w:val="0"/>
          <w:sz w:val="22"/>
          <w:szCs w:val="22"/>
        </w:rPr>
        <w:t>•</w:t>
      </w:r>
      <w:r w:rsidRPr="00865B75">
        <w:rPr>
          <w:rFonts w:ascii="Verdana" w:hAnsi="Verdana" w:cs="Times New Roman"/>
          <w:b w:val="0"/>
          <w:sz w:val="22"/>
          <w:szCs w:val="22"/>
        </w:rPr>
        <w:tab/>
        <w:t>Implementation of IFRS 16 Leases has been deferred to the 2021/22 financial year, with an effective date of 1 April 2021.</w:t>
      </w:r>
    </w:p>
    <w:p w:rsidR="00865B75" w:rsidRPr="00865B75" w:rsidRDefault="00865B75" w:rsidP="00865B75">
      <w:pPr>
        <w:pStyle w:val="Style2"/>
        <w:ind w:left="720" w:hanging="720"/>
        <w:jc w:val="both"/>
        <w:rPr>
          <w:rFonts w:ascii="Verdana" w:hAnsi="Verdana" w:cs="Times New Roman"/>
          <w:b w:val="0"/>
          <w:sz w:val="22"/>
          <w:szCs w:val="22"/>
        </w:rPr>
      </w:pPr>
    </w:p>
    <w:p w:rsidR="00865B75" w:rsidRPr="00865B75" w:rsidRDefault="00865B75" w:rsidP="00865B75">
      <w:pPr>
        <w:pStyle w:val="Style2"/>
        <w:ind w:left="720"/>
        <w:jc w:val="both"/>
        <w:rPr>
          <w:rFonts w:ascii="Verdana" w:hAnsi="Verdana" w:cs="Times New Roman"/>
          <w:b w:val="0"/>
          <w:sz w:val="22"/>
          <w:szCs w:val="22"/>
        </w:rPr>
      </w:pPr>
      <w:r w:rsidRPr="00865B75">
        <w:rPr>
          <w:rFonts w:ascii="Verdana" w:hAnsi="Verdana" w:cs="Times New Roman"/>
          <w:b w:val="0"/>
          <w:sz w:val="22"/>
          <w:szCs w:val="22"/>
        </w:rPr>
        <w:t xml:space="preserve">This deferral led to delays in completion of the full due process to the 2021/22 Code. Appendix C of the 2020/21 Code only includes standards adopted in the Code and therefore for 2019/20 local authorities are not required to include IFRS 16 in their consideration of accounting standards that have been issued but not yet adopted, although this is subject to approval of the 2020/21 Code </w:t>
      </w:r>
    </w:p>
    <w:p w:rsidR="00865B75" w:rsidRPr="00865B75" w:rsidRDefault="00865B75" w:rsidP="00865B75">
      <w:pPr>
        <w:pStyle w:val="Style2"/>
        <w:ind w:left="720" w:hanging="720"/>
        <w:jc w:val="both"/>
        <w:rPr>
          <w:rFonts w:ascii="Verdana" w:hAnsi="Verdana" w:cs="Times New Roman"/>
          <w:b w:val="0"/>
          <w:sz w:val="22"/>
          <w:szCs w:val="22"/>
        </w:rPr>
      </w:pPr>
    </w:p>
    <w:p w:rsidR="00865B75" w:rsidRPr="00865B75" w:rsidRDefault="00865B75" w:rsidP="00865B75">
      <w:pPr>
        <w:pStyle w:val="Style2"/>
        <w:ind w:left="720" w:hanging="720"/>
        <w:jc w:val="both"/>
        <w:rPr>
          <w:rFonts w:ascii="Verdana" w:hAnsi="Verdana" w:cs="Times New Roman"/>
          <w:b w:val="0"/>
          <w:sz w:val="22"/>
          <w:szCs w:val="22"/>
        </w:rPr>
      </w:pPr>
      <w:r w:rsidRPr="00865B75">
        <w:rPr>
          <w:rFonts w:ascii="Verdana" w:hAnsi="Verdana" w:cs="Times New Roman"/>
          <w:b w:val="0"/>
          <w:sz w:val="22"/>
          <w:szCs w:val="22"/>
        </w:rPr>
        <w:t>•</w:t>
      </w:r>
      <w:r w:rsidRPr="00865B75">
        <w:rPr>
          <w:rFonts w:ascii="Verdana" w:hAnsi="Verdana" w:cs="Times New Roman"/>
          <w:b w:val="0"/>
          <w:sz w:val="22"/>
          <w:szCs w:val="22"/>
        </w:rPr>
        <w:tab/>
        <w:t>In the event of the UK withdrawing from the remit of the EU-endorsement framework, the Code will apply standards adopted for UK application under the terms of The International Accounting Standards and European Public Limited Liability Company (Amendment EU Exit Regulations 2019.</w:t>
      </w:r>
    </w:p>
    <w:p w:rsidR="00865B75" w:rsidRDefault="00865B75" w:rsidP="00865B75">
      <w:pPr>
        <w:pStyle w:val="Style2"/>
        <w:jc w:val="both"/>
        <w:rPr>
          <w:rFonts w:ascii="Verdana" w:hAnsi="Verdana" w:cs="Times New Roman"/>
          <w:b w:val="0"/>
          <w:sz w:val="22"/>
          <w:szCs w:val="22"/>
        </w:rPr>
      </w:pPr>
    </w:p>
    <w:p w:rsidR="00865B75" w:rsidRPr="00865B75" w:rsidRDefault="00865B75" w:rsidP="00865B75">
      <w:pPr>
        <w:pStyle w:val="Style2"/>
        <w:jc w:val="both"/>
        <w:rPr>
          <w:rFonts w:ascii="Verdana" w:hAnsi="Verdana" w:cs="Times New Roman"/>
          <w:b w:val="0"/>
          <w:sz w:val="22"/>
          <w:szCs w:val="22"/>
        </w:rPr>
      </w:pPr>
      <w:r w:rsidRPr="00865B75">
        <w:rPr>
          <w:rFonts w:ascii="Verdana" w:hAnsi="Verdana" w:cs="Times New Roman"/>
          <w:b w:val="0"/>
          <w:sz w:val="22"/>
          <w:szCs w:val="22"/>
        </w:rPr>
        <w:t>We expect the international accounting standards adopted for use within the United Kingdom on exit day will be the same as those it had in place immediately before exit day.</w:t>
      </w:r>
    </w:p>
    <w:p w:rsidR="00865B75" w:rsidRPr="00865B75" w:rsidRDefault="00865B75" w:rsidP="00865B75">
      <w:pPr>
        <w:pStyle w:val="Style2"/>
        <w:jc w:val="both"/>
        <w:rPr>
          <w:rFonts w:ascii="Verdana" w:hAnsi="Verdana" w:cs="Times New Roman"/>
          <w:b w:val="0"/>
          <w:sz w:val="22"/>
          <w:szCs w:val="22"/>
        </w:rPr>
      </w:pPr>
    </w:p>
    <w:p w:rsidR="00865B75" w:rsidRDefault="00865B75" w:rsidP="00865B75">
      <w:pPr>
        <w:pStyle w:val="Style2"/>
        <w:jc w:val="both"/>
        <w:rPr>
          <w:rFonts w:ascii="Verdana" w:hAnsi="Verdana" w:cs="Times New Roman"/>
          <w:b w:val="0"/>
          <w:sz w:val="22"/>
          <w:szCs w:val="22"/>
        </w:rPr>
      </w:pPr>
      <w:r w:rsidRPr="00865B75">
        <w:rPr>
          <w:rFonts w:ascii="Verdana" w:hAnsi="Verdana" w:cs="Times New Roman"/>
          <w:b w:val="0"/>
          <w:sz w:val="22"/>
          <w:szCs w:val="22"/>
        </w:rPr>
        <w:t xml:space="preserve">It is not expected that any of these amendments other than IFRS 16 will have a material impact on the information provided in the financial </w:t>
      </w:r>
      <w:r>
        <w:rPr>
          <w:rFonts w:ascii="Verdana" w:hAnsi="Verdana" w:cs="Times New Roman"/>
          <w:b w:val="0"/>
          <w:sz w:val="22"/>
          <w:szCs w:val="22"/>
        </w:rPr>
        <w:t>statements for any of the Surrey</w:t>
      </w:r>
      <w:r w:rsidRPr="00865B75">
        <w:rPr>
          <w:rFonts w:ascii="Verdana" w:hAnsi="Verdana" w:cs="Times New Roman"/>
          <w:b w:val="0"/>
          <w:sz w:val="22"/>
          <w:szCs w:val="22"/>
        </w:rPr>
        <w:t xml:space="preserve"> Police group accounts.</w:t>
      </w:r>
    </w:p>
    <w:p w:rsidR="00865B75" w:rsidRDefault="00865B75" w:rsidP="004D44FF">
      <w:pPr>
        <w:pStyle w:val="Style2"/>
        <w:jc w:val="both"/>
        <w:rPr>
          <w:rFonts w:ascii="Verdana" w:hAnsi="Verdana" w:cs="Times New Roman"/>
          <w:b w:val="0"/>
          <w:sz w:val="22"/>
          <w:szCs w:val="22"/>
        </w:rPr>
      </w:pPr>
    </w:p>
    <w:p w:rsidR="00865B75" w:rsidRDefault="00865B75" w:rsidP="004D44FF">
      <w:pPr>
        <w:pStyle w:val="Style2"/>
        <w:jc w:val="both"/>
        <w:rPr>
          <w:rFonts w:ascii="Verdana" w:hAnsi="Verdana" w:cs="Times New Roman"/>
          <w:b w:val="0"/>
          <w:sz w:val="22"/>
          <w:szCs w:val="22"/>
        </w:rPr>
      </w:pPr>
    </w:p>
    <w:p w:rsidR="00865B75" w:rsidRDefault="00865B75" w:rsidP="004D44FF">
      <w:pPr>
        <w:pStyle w:val="Style2"/>
        <w:jc w:val="both"/>
        <w:rPr>
          <w:rFonts w:ascii="Verdana" w:hAnsi="Verdana" w:cs="Times New Roman"/>
          <w:b w:val="0"/>
          <w:sz w:val="22"/>
          <w:szCs w:val="22"/>
        </w:rPr>
      </w:pPr>
    </w:p>
    <w:p w:rsidR="00865B75" w:rsidRDefault="00865B75" w:rsidP="004D44FF">
      <w:pPr>
        <w:pStyle w:val="Style2"/>
        <w:jc w:val="both"/>
        <w:rPr>
          <w:rFonts w:ascii="Verdana" w:hAnsi="Verdana" w:cs="Times New Roman"/>
          <w:b w:val="0"/>
          <w:sz w:val="22"/>
          <w:szCs w:val="22"/>
        </w:rPr>
      </w:pPr>
    </w:p>
    <w:p w:rsidR="00D02B10" w:rsidRDefault="00D02B10">
      <w:pPr>
        <w:rPr>
          <w:rFonts w:asciiTheme="majorHAnsi" w:eastAsiaTheme="majorEastAsia" w:hAnsiTheme="majorHAnsi" w:cstheme="majorBidi"/>
          <w:color w:val="2E74B5" w:themeColor="accent1" w:themeShade="BF"/>
          <w:sz w:val="32"/>
          <w:szCs w:val="32"/>
        </w:rPr>
      </w:pPr>
      <w:bookmarkStart w:id="35" w:name="_Toc43672343"/>
      <w:r>
        <w:br w:type="page"/>
      </w:r>
    </w:p>
    <w:p w:rsidR="006F0914" w:rsidRDefault="006F0914" w:rsidP="006F0914">
      <w:pPr>
        <w:pStyle w:val="Heading1"/>
      </w:pPr>
      <w:bookmarkStart w:id="36" w:name="_Toc55901002"/>
      <w:r w:rsidRPr="00434141">
        <w:t>P</w:t>
      </w:r>
      <w:r>
        <w:t>olice P</w:t>
      </w:r>
      <w:r w:rsidRPr="00434141">
        <w:t>ension</w:t>
      </w:r>
      <w:r>
        <w:t>s Fund Account Statements as at 31 March 2020</w:t>
      </w:r>
      <w:bookmarkEnd w:id="35"/>
      <w:bookmarkEnd w:id="36"/>
    </w:p>
    <w:p w:rsidR="006F0914" w:rsidRPr="000D6EF8" w:rsidRDefault="006F0914" w:rsidP="006F0914"/>
    <w:p w:rsidR="006F0914" w:rsidRPr="006F0914" w:rsidRDefault="006F0914" w:rsidP="006F0914">
      <w:pPr>
        <w:rPr>
          <w:rFonts w:ascii="Verdana" w:hAnsi="Verdana"/>
          <w:lang w:val="en-GB" w:eastAsia="en-GB"/>
        </w:rPr>
      </w:pPr>
      <w:r w:rsidRPr="006F0914">
        <w:rPr>
          <w:rFonts w:ascii="Verdana" w:hAnsi="Verdana"/>
          <w:lang w:val="en-GB" w:eastAsia="en-GB"/>
        </w:rPr>
        <w:t>These statements show the contributions and benefits payable for the year</w:t>
      </w:r>
    </w:p>
    <w:p w:rsidR="006F0914" w:rsidRPr="006F0914" w:rsidRDefault="006F0914" w:rsidP="006F0914">
      <w:pPr>
        <w:rPr>
          <w:rFonts w:ascii="Verdana" w:hAnsi="Verdana"/>
          <w:lang w:val="en-GB" w:eastAsia="en-GB"/>
        </w:rPr>
      </w:pPr>
    </w:p>
    <w:p w:rsidR="006F0914" w:rsidRPr="006F0914" w:rsidRDefault="006F0914" w:rsidP="006F0914">
      <w:pPr>
        <w:pStyle w:val="Normal0"/>
        <w:jc w:val="both"/>
        <w:rPr>
          <w:rFonts w:ascii="Verdana" w:eastAsia="Times New Roman" w:hAnsi="Verdana"/>
          <w:sz w:val="22"/>
          <w:szCs w:val="22"/>
          <w:lang w:val="en-GB" w:eastAsia="en-GB"/>
        </w:rPr>
      </w:pPr>
      <w:r w:rsidRPr="006F0914">
        <w:rPr>
          <w:rFonts w:ascii="Verdana" w:eastAsia="Times New Roman" w:hAnsi="Verdana"/>
          <w:sz w:val="22"/>
          <w:szCs w:val="22"/>
          <w:lang w:val="en-GB" w:eastAsia="en-GB"/>
        </w:rPr>
        <w:t>The Chief Constable is responsible for administering the Police Pension Fund in accordance with the Police Reform and Social responsibility Act 2011.  During the year all payments and receipts are made to and from the PCC Police Fund.  This standalone statement shows income and expenditure for the police pension schemes and does not form part of the Chief Constable or the PCC Group’s statement of accounts.</w:t>
      </w:r>
    </w:p>
    <w:p w:rsidR="006F0914" w:rsidRDefault="006F0914" w:rsidP="006F0914">
      <w:pPr>
        <w:rPr>
          <w:lang w:val="en-GB" w:eastAsia="en-GB"/>
        </w:rPr>
      </w:pPr>
    </w:p>
    <w:p w:rsidR="006F0914" w:rsidRPr="006F0914" w:rsidRDefault="006F0914" w:rsidP="006F0914">
      <w:pPr>
        <w:jc w:val="center"/>
        <w:rPr>
          <w:rFonts w:ascii="Verdana" w:hAnsi="Verdana"/>
          <w:b/>
          <w:lang w:val="en-GB" w:eastAsia="en-GB"/>
        </w:rPr>
      </w:pPr>
      <w:r w:rsidRPr="006F0914">
        <w:rPr>
          <w:rFonts w:ascii="Verdana" w:hAnsi="Verdana"/>
          <w:b/>
          <w:lang w:val="en-GB" w:eastAsia="en-GB"/>
        </w:rPr>
        <w:t>Surrey Police Pension Fund Account Statement</w:t>
      </w:r>
    </w:p>
    <w:p w:rsidR="006F0914" w:rsidRDefault="006F0914" w:rsidP="006F0914">
      <w:pPr>
        <w:rPr>
          <w:lang w:val="en-GB" w:eastAsia="en-GB"/>
        </w:rPr>
      </w:pPr>
    </w:p>
    <w:tbl>
      <w:tblPr>
        <w:tblW w:w="8480" w:type="dxa"/>
        <w:jc w:val="center"/>
        <w:tblLayout w:type="fixed"/>
        <w:tblLook w:val="01E0" w:firstRow="1" w:lastRow="1" w:firstColumn="1" w:lastColumn="1" w:noHBand="0" w:noVBand="0"/>
      </w:tblPr>
      <w:tblGrid>
        <w:gridCol w:w="1139"/>
        <w:gridCol w:w="1129"/>
        <w:gridCol w:w="4177"/>
        <w:gridCol w:w="1017"/>
        <w:gridCol w:w="1018"/>
      </w:tblGrid>
      <w:tr w:rsidR="006F0914" w:rsidTr="007C11F3">
        <w:trPr>
          <w:trHeight w:val="203"/>
          <w:jc w:val="center"/>
        </w:trPr>
        <w:tc>
          <w:tcPr>
            <w:tcW w:w="2268" w:type="dxa"/>
            <w:gridSpan w:val="2"/>
            <w:tcBorders>
              <w:top w:val="single" w:sz="4" w:space="0" w:color="auto"/>
              <w:left w:val="single" w:sz="4" w:space="0" w:color="auto"/>
              <w:bottom w:val="single" w:sz="4" w:space="0" w:color="auto"/>
              <w:right w:val="single" w:sz="4" w:space="0" w:color="auto"/>
            </w:tcBorders>
          </w:tcPr>
          <w:p w:rsidR="006F0914" w:rsidRPr="00FC64AD" w:rsidRDefault="006F0914" w:rsidP="007C11F3">
            <w:pPr>
              <w:pStyle w:val="Normal0"/>
              <w:jc w:val="center"/>
              <w:rPr>
                <w:rFonts w:ascii="Verdana" w:eastAsia="Times New Roman" w:hAnsi="Verdana"/>
                <w:b/>
                <w:sz w:val="16"/>
                <w:szCs w:val="16"/>
                <w:lang w:val="en-GB" w:eastAsia="en-GB"/>
              </w:rPr>
            </w:pPr>
            <w:r w:rsidRPr="00FC64AD">
              <w:rPr>
                <w:rFonts w:ascii="Verdana" w:hAnsi="Verdana"/>
                <w:b/>
                <w:bCs/>
                <w:sz w:val="16"/>
                <w:szCs w:val="16"/>
              </w:rPr>
              <w:t>As at March 2019</w:t>
            </w:r>
          </w:p>
        </w:tc>
        <w:tc>
          <w:tcPr>
            <w:tcW w:w="4177" w:type="dxa"/>
            <w:tcBorders>
              <w:top w:val="single" w:sz="4" w:space="0" w:color="auto"/>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b/>
                <w:sz w:val="16"/>
                <w:szCs w:val="16"/>
                <w:lang w:val="en-GB" w:eastAsia="en-GB"/>
              </w:rPr>
            </w:pPr>
          </w:p>
        </w:tc>
        <w:tc>
          <w:tcPr>
            <w:tcW w:w="2035" w:type="dxa"/>
            <w:gridSpan w:val="2"/>
            <w:tcBorders>
              <w:top w:val="single" w:sz="4" w:space="0" w:color="auto"/>
              <w:left w:val="single" w:sz="4" w:space="0" w:color="auto"/>
              <w:bottom w:val="single" w:sz="4" w:space="0" w:color="auto"/>
              <w:right w:val="single" w:sz="4" w:space="0" w:color="auto"/>
            </w:tcBorders>
          </w:tcPr>
          <w:p w:rsidR="006F0914" w:rsidRPr="00FC64AD" w:rsidRDefault="006F0914" w:rsidP="007C11F3">
            <w:pPr>
              <w:pStyle w:val="Normal0"/>
              <w:jc w:val="center"/>
              <w:rPr>
                <w:rFonts w:ascii="Verdana" w:hAnsi="Verdana"/>
                <w:b/>
                <w:bCs/>
                <w:sz w:val="16"/>
                <w:szCs w:val="16"/>
              </w:rPr>
            </w:pPr>
            <w:r w:rsidRPr="00FC64AD">
              <w:rPr>
                <w:rFonts w:ascii="Verdana" w:hAnsi="Verdana"/>
                <w:b/>
                <w:bCs/>
                <w:sz w:val="16"/>
                <w:szCs w:val="16"/>
              </w:rPr>
              <w:t>As at March 20</w:t>
            </w:r>
            <w:r>
              <w:rPr>
                <w:rFonts w:ascii="Verdana" w:hAnsi="Verdana"/>
                <w:b/>
                <w:bCs/>
                <w:sz w:val="16"/>
                <w:szCs w:val="16"/>
              </w:rPr>
              <w:t>20</w:t>
            </w:r>
          </w:p>
        </w:tc>
      </w:tr>
      <w:tr w:rsidR="006F0914" w:rsidTr="007C11F3">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£000</w:t>
            </w:r>
          </w:p>
        </w:tc>
        <w:tc>
          <w:tcPr>
            <w:tcW w:w="112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£000</w:t>
            </w:r>
          </w:p>
        </w:tc>
        <w:tc>
          <w:tcPr>
            <w:tcW w:w="4177" w:type="dxa"/>
            <w:tcBorders>
              <w:top w:val="nil"/>
              <w:left w:val="single" w:sz="4" w:space="0" w:color="auto"/>
              <w:bottom w:val="single" w:sz="4" w:space="0" w:color="auto"/>
              <w:right w:val="single" w:sz="4" w:space="0" w:color="auto"/>
            </w:tcBorders>
            <w:shd w:val="clear" w:color="auto" w:fill="auto"/>
            <w:vAlign w:val="center"/>
          </w:tcPr>
          <w:p w:rsidR="006F0914" w:rsidRPr="00FC64AD" w:rsidRDefault="006F0914" w:rsidP="007C11F3">
            <w:pPr>
              <w:pStyle w:val="Normal0"/>
              <w:rPr>
                <w:rFonts w:ascii="Verdana" w:eastAsia="Times New Roman" w:hAnsi="Verdana"/>
                <w:i/>
                <w:sz w:val="16"/>
                <w:szCs w:val="16"/>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£000</w:t>
            </w:r>
          </w:p>
        </w:tc>
        <w:tc>
          <w:tcPr>
            <w:tcW w:w="1018"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£000</w:t>
            </w:r>
          </w:p>
        </w:tc>
      </w:tr>
      <w:tr w:rsidR="006F0914" w:rsidTr="007C11F3">
        <w:trPr>
          <w:trHeight w:val="203"/>
          <w:jc w:val="center"/>
        </w:trPr>
        <w:tc>
          <w:tcPr>
            <w:tcW w:w="1139" w:type="dxa"/>
            <w:tcBorders>
              <w:left w:val="single" w:sz="4" w:space="0" w:color="auto"/>
              <w:bottom w:val="nil"/>
              <w:right w:val="single" w:sz="4" w:space="0" w:color="auto"/>
            </w:tcBorders>
            <w:vAlign w:val="bottom"/>
          </w:tcPr>
          <w:p w:rsidR="006F0914" w:rsidRPr="00FC64AD" w:rsidRDefault="006F0914" w:rsidP="007C11F3">
            <w:pPr>
              <w:pStyle w:val="Normal0"/>
              <w:jc w:val="right"/>
              <w:rPr>
                <w:rFonts w:ascii="Verdana" w:eastAsia="Times New Roman" w:hAnsi="Verdana"/>
                <w:b/>
                <w:sz w:val="16"/>
                <w:szCs w:val="16"/>
                <w:lang w:val="en-GB" w:eastAsia="en-GB"/>
              </w:rPr>
            </w:pPr>
          </w:p>
        </w:tc>
        <w:tc>
          <w:tcPr>
            <w:tcW w:w="1129" w:type="dxa"/>
            <w:tcBorders>
              <w:top w:val="single" w:sz="4" w:space="0" w:color="auto"/>
              <w:left w:val="single" w:sz="4" w:space="0" w:color="auto"/>
              <w:bottom w:val="nil"/>
              <w:right w:val="single" w:sz="4" w:space="0" w:color="auto"/>
            </w:tcBorders>
            <w:vAlign w:val="bottom"/>
          </w:tcPr>
          <w:p w:rsidR="006F0914" w:rsidRPr="00FC64AD" w:rsidRDefault="006F0914" w:rsidP="007C11F3">
            <w:pPr>
              <w:pStyle w:val="Normal0"/>
              <w:jc w:val="right"/>
              <w:rPr>
                <w:rFonts w:ascii="Verdana" w:eastAsia="Times New Roman" w:hAnsi="Verdana"/>
                <w:b/>
                <w:sz w:val="16"/>
                <w:szCs w:val="16"/>
                <w:lang w:val="en-GB" w:eastAsia="en-GB"/>
              </w:rPr>
            </w:pPr>
          </w:p>
        </w:tc>
        <w:tc>
          <w:tcPr>
            <w:tcW w:w="4177" w:type="dxa"/>
            <w:tcBorders>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Contributions Receivable</w:t>
            </w:r>
          </w:p>
        </w:tc>
        <w:tc>
          <w:tcPr>
            <w:tcW w:w="1017" w:type="dxa"/>
            <w:tcBorders>
              <w:top w:val="single" w:sz="4" w:space="0" w:color="auto"/>
              <w:left w:val="single" w:sz="4" w:space="0" w:color="auto"/>
              <w:right w:val="single" w:sz="4" w:space="0" w:color="auto"/>
            </w:tcBorders>
            <w:vAlign w:val="bottom"/>
          </w:tcPr>
          <w:p w:rsidR="006F0914" w:rsidRPr="00FC64AD" w:rsidRDefault="006F0914" w:rsidP="007C11F3">
            <w:pPr>
              <w:pStyle w:val="Normal0"/>
              <w:jc w:val="right"/>
              <w:rPr>
                <w:rFonts w:ascii="Verdana" w:eastAsia="Times New Roman" w:hAnsi="Verdana"/>
                <w:b/>
                <w:sz w:val="16"/>
                <w:szCs w:val="16"/>
                <w:lang w:val="en-GB" w:eastAsia="en-GB"/>
              </w:rPr>
            </w:pPr>
          </w:p>
        </w:tc>
        <w:tc>
          <w:tcPr>
            <w:tcW w:w="1018" w:type="dxa"/>
            <w:tcBorders>
              <w:top w:val="single" w:sz="4" w:space="0" w:color="auto"/>
              <w:left w:val="single" w:sz="4" w:space="0" w:color="auto"/>
              <w:right w:val="single" w:sz="4" w:space="0" w:color="auto"/>
            </w:tcBorders>
            <w:vAlign w:val="bottom"/>
          </w:tcPr>
          <w:p w:rsidR="006F0914" w:rsidRPr="00FC64AD" w:rsidRDefault="006F0914" w:rsidP="007C11F3">
            <w:pPr>
              <w:pStyle w:val="Normal0"/>
              <w:jc w:val="right"/>
              <w:rPr>
                <w:rFonts w:ascii="Verdana" w:eastAsia="Times New Roman" w:hAnsi="Verdana"/>
                <w:b/>
                <w:sz w:val="16"/>
                <w:szCs w:val="16"/>
                <w:lang w:val="en-GB" w:eastAsia="en-GB"/>
              </w:rPr>
            </w:pPr>
          </w:p>
        </w:tc>
      </w:tr>
      <w:tr w:rsidR="006F0914" w:rsidTr="007C11F3">
        <w:trPr>
          <w:trHeight w:val="203"/>
          <w:jc w:val="center"/>
        </w:trPr>
        <w:tc>
          <w:tcPr>
            <w:tcW w:w="1139" w:type="dxa"/>
            <w:tcBorders>
              <w:top w:val="nil"/>
              <w:left w:val="single" w:sz="4" w:space="0" w:color="auto"/>
              <w:bottom w:val="nil"/>
              <w:right w:val="single" w:sz="4" w:space="0" w:color="auto"/>
            </w:tcBorders>
            <w:vAlign w:val="bottom"/>
          </w:tcPr>
          <w:p w:rsidR="006F0914" w:rsidRPr="00FC64AD" w:rsidRDefault="006F0914" w:rsidP="007C11F3">
            <w:pPr>
              <w:pStyle w:val="Normal0"/>
              <w:jc w:val="right"/>
              <w:rPr>
                <w:rFonts w:ascii="Verdana" w:eastAsia="Times New Roman" w:hAnsi="Verdana"/>
                <w:b/>
                <w:sz w:val="16"/>
                <w:szCs w:val="16"/>
                <w:lang w:val="en-GB" w:eastAsia="en-GB"/>
              </w:rPr>
            </w:pPr>
          </w:p>
        </w:tc>
        <w:tc>
          <w:tcPr>
            <w:tcW w:w="1129" w:type="dxa"/>
            <w:tcBorders>
              <w:top w:val="nil"/>
              <w:left w:val="single" w:sz="4" w:space="0" w:color="auto"/>
              <w:bottom w:val="nil"/>
              <w:right w:val="single" w:sz="4" w:space="0" w:color="auto"/>
            </w:tcBorders>
            <w:vAlign w:val="bottom"/>
          </w:tcPr>
          <w:p w:rsidR="006F0914" w:rsidRPr="00FC64AD" w:rsidRDefault="006F0914" w:rsidP="007C11F3">
            <w:pPr>
              <w:pStyle w:val="Normal0"/>
              <w:jc w:val="right"/>
              <w:rPr>
                <w:rFonts w:ascii="Verdana" w:eastAsia="Times New Roman" w:hAnsi="Verdana"/>
                <w:b/>
                <w:sz w:val="16"/>
                <w:szCs w:val="16"/>
                <w:lang w:val="en-GB" w:eastAsia="en-GB"/>
              </w:rPr>
            </w:pPr>
          </w:p>
        </w:tc>
        <w:tc>
          <w:tcPr>
            <w:tcW w:w="4177" w:type="dxa"/>
            <w:tcBorders>
              <w:top w:val="nil"/>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From Employer:</w:t>
            </w:r>
          </w:p>
        </w:tc>
        <w:tc>
          <w:tcPr>
            <w:tcW w:w="1017" w:type="dxa"/>
            <w:tcBorders>
              <w:left w:val="single" w:sz="4" w:space="0" w:color="auto"/>
              <w:right w:val="single" w:sz="4" w:space="0" w:color="auto"/>
            </w:tcBorders>
            <w:vAlign w:val="bottom"/>
          </w:tcPr>
          <w:p w:rsidR="006F0914" w:rsidRPr="00FC64AD" w:rsidRDefault="006F0914" w:rsidP="007C11F3">
            <w:pPr>
              <w:pStyle w:val="Normal0"/>
              <w:jc w:val="right"/>
              <w:rPr>
                <w:rFonts w:ascii="Verdana" w:eastAsia="Times New Roman" w:hAnsi="Verdana"/>
                <w:b/>
                <w:sz w:val="16"/>
                <w:szCs w:val="16"/>
                <w:lang w:val="en-GB" w:eastAsia="en-GB"/>
              </w:rPr>
            </w:pPr>
          </w:p>
        </w:tc>
        <w:tc>
          <w:tcPr>
            <w:tcW w:w="1018" w:type="dxa"/>
            <w:tcBorders>
              <w:left w:val="single" w:sz="4" w:space="0" w:color="auto"/>
              <w:right w:val="single" w:sz="4" w:space="0" w:color="auto"/>
            </w:tcBorders>
            <w:vAlign w:val="bottom"/>
          </w:tcPr>
          <w:p w:rsidR="006F0914" w:rsidRPr="00FC64AD" w:rsidRDefault="006F0914" w:rsidP="007C11F3">
            <w:pPr>
              <w:pStyle w:val="Normal0"/>
              <w:jc w:val="right"/>
              <w:rPr>
                <w:rFonts w:ascii="Verdana" w:eastAsia="Times New Roman" w:hAnsi="Verdana"/>
                <w:b/>
                <w:sz w:val="16"/>
                <w:szCs w:val="16"/>
                <w:lang w:val="en-GB" w:eastAsia="en-GB"/>
              </w:rPr>
            </w:pPr>
          </w:p>
        </w:tc>
      </w:tr>
      <w:tr w:rsidR="006F0914" w:rsidTr="007C11F3">
        <w:trPr>
          <w:trHeight w:val="203"/>
          <w:jc w:val="center"/>
        </w:trPr>
        <w:tc>
          <w:tcPr>
            <w:tcW w:w="1139" w:type="dxa"/>
            <w:tcBorders>
              <w:top w:val="nil"/>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sz w:val="16"/>
                <w:szCs w:val="16"/>
              </w:rPr>
            </w:pPr>
            <w:r w:rsidRPr="00FC64AD">
              <w:rPr>
                <w:rFonts w:ascii="Verdana" w:hAnsi="Verdana"/>
                <w:sz w:val="16"/>
                <w:szCs w:val="16"/>
              </w:rPr>
              <w:t>(</w:t>
            </w:r>
            <w:r>
              <w:rPr>
                <w:rFonts w:ascii="Verdana" w:hAnsi="Verdana"/>
                <w:sz w:val="16"/>
                <w:szCs w:val="16"/>
              </w:rPr>
              <w:t>14,345</w:t>
            </w:r>
            <w:r w:rsidRPr="00FC64AD">
              <w:rPr>
                <w:rFonts w:ascii="Verdana" w:hAnsi="Verdana"/>
                <w:sz w:val="16"/>
                <w:szCs w:val="16"/>
              </w:rPr>
              <w:t>)</w:t>
            </w:r>
          </w:p>
        </w:tc>
        <w:tc>
          <w:tcPr>
            <w:tcW w:w="1129" w:type="dxa"/>
            <w:tcBorders>
              <w:top w:val="nil"/>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 xml:space="preserve"> - Normal</w:t>
            </w:r>
          </w:p>
        </w:tc>
        <w:tc>
          <w:tcPr>
            <w:tcW w:w="1017" w:type="dxa"/>
            <w:tcBorders>
              <w:left w:val="single" w:sz="4" w:space="0" w:color="auto"/>
              <w:right w:val="single" w:sz="4" w:space="0" w:color="auto"/>
            </w:tcBorders>
            <w:vAlign w:val="center"/>
          </w:tcPr>
          <w:p w:rsidR="006F0914" w:rsidRPr="00FC64AD" w:rsidRDefault="006F0914" w:rsidP="008D12F3">
            <w:pPr>
              <w:pStyle w:val="Normal0"/>
              <w:jc w:val="right"/>
              <w:rPr>
                <w:rFonts w:ascii="Verdana" w:hAnsi="Verdana"/>
                <w:sz w:val="16"/>
                <w:szCs w:val="16"/>
              </w:rPr>
            </w:pPr>
            <w:r>
              <w:rPr>
                <w:rFonts w:ascii="Verdana" w:hAnsi="Verdana"/>
                <w:sz w:val="16"/>
                <w:szCs w:val="16"/>
              </w:rPr>
              <w:t>(21,</w:t>
            </w:r>
            <w:r w:rsidR="008D12F3">
              <w:rPr>
                <w:rFonts w:ascii="Verdana" w:hAnsi="Verdana"/>
                <w:sz w:val="16"/>
                <w:szCs w:val="16"/>
              </w:rPr>
              <w:t>078</w:t>
            </w:r>
            <w:r>
              <w:rPr>
                <w:rFonts w:ascii="Verdana" w:hAnsi="Verdana"/>
                <w:sz w:val="16"/>
                <w:szCs w:val="16"/>
              </w:rPr>
              <w:t>)</w:t>
            </w:r>
          </w:p>
        </w:tc>
        <w:tc>
          <w:tcPr>
            <w:tcW w:w="1018" w:type="dxa"/>
            <w:tcBorders>
              <w:left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p>
        </w:tc>
      </w:tr>
      <w:tr w:rsidR="006F0914" w:rsidTr="007C11F3">
        <w:trPr>
          <w:trHeight w:val="203"/>
          <w:jc w:val="center"/>
        </w:trPr>
        <w:tc>
          <w:tcPr>
            <w:tcW w:w="1139" w:type="dxa"/>
            <w:tcBorders>
              <w:top w:val="nil"/>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sz w:val="16"/>
                <w:szCs w:val="16"/>
              </w:rPr>
            </w:pPr>
            <w:r>
              <w:rPr>
                <w:rFonts w:ascii="Verdana" w:hAnsi="Verdana"/>
                <w:sz w:val="16"/>
                <w:szCs w:val="16"/>
              </w:rPr>
              <w:t>(774</w:t>
            </w:r>
            <w:r w:rsidRPr="00FC64AD">
              <w:rPr>
                <w:rFonts w:ascii="Verdana" w:hAnsi="Verdana"/>
                <w:sz w:val="16"/>
                <w:szCs w:val="16"/>
              </w:rPr>
              <w:t>)</w:t>
            </w:r>
          </w:p>
        </w:tc>
        <w:tc>
          <w:tcPr>
            <w:tcW w:w="1129" w:type="dxa"/>
            <w:tcBorders>
              <w:top w:val="nil"/>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 xml:space="preserve"> - Early Retirements</w:t>
            </w:r>
          </w:p>
        </w:tc>
        <w:tc>
          <w:tcPr>
            <w:tcW w:w="1017" w:type="dxa"/>
            <w:tcBorders>
              <w:left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r>
              <w:rPr>
                <w:rFonts w:ascii="Verdana" w:hAnsi="Verdana"/>
                <w:sz w:val="16"/>
                <w:szCs w:val="16"/>
              </w:rPr>
              <w:t>(80)</w:t>
            </w:r>
          </w:p>
        </w:tc>
        <w:tc>
          <w:tcPr>
            <w:tcW w:w="1018" w:type="dxa"/>
            <w:tcBorders>
              <w:left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p>
        </w:tc>
      </w:tr>
      <w:tr w:rsidR="006F0914" w:rsidTr="007C11F3">
        <w:trPr>
          <w:trHeight w:val="203"/>
          <w:jc w:val="center"/>
        </w:trPr>
        <w:tc>
          <w:tcPr>
            <w:tcW w:w="1139" w:type="dxa"/>
            <w:tcBorders>
              <w:top w:val="nil"/>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r>
              <w:rPr>
                <w:rFonts w:ascii="Verdana" w:hAnsi="Verdana"/>
                <w:sz w:val="16"/>
                <w:szCs w:val="16"/>
              </w:rPr>
              <w:t>(9,003</w:t>
            </w:r>
            <w:r w:rsidRPr="00FC64AD">
              <w:rPr>
                <w:rFonts w:ascii="Verdana" w:hAnsi="Verdana"/>
                <w:sz w:val="16"/>
                <w:szCs w:val="16"/>
              </w:rPr>
              <w:t>)</w:t>
            </w:r>
          </w:p>
        </w:tc>
        <w:tc>
          <w:tcPr>
            <w:tcW w:w="1129" w:type="dxa"/>
            <w:tcBorders>
              <w:top w:val="nil"/>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From Members</w:t>
            </w:r>
          </w:p>
        </w:tc>
        <w:tc>
          <w:tcPr>
            <w:tcW w:w="1017" w:type="dxa"/>
            <w:tcBorders>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r>
              <w:rPr>
                <w:rFonts w:ascii="Verdana" w:hAnsi="Verdana"/>
                <w:sz w:val="16"/>
                <w:szCs w:val="16"/>
              </w:rPr>
              <w:t>(9,048)</w:t>
            </w:r>
          </w:p>
        </w:tc>
        <w:tc>
          <w:tcPr>
            <w:tcW w:w="1018" w:type="dxa"/>
            <w:tcBorders>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p>
        </w:tc>
      </w:tr>
      <w:tr w:rsidR="006F0914" w:rsidTr="007C11F3">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r>
              <w:rPr>
                <w:rFonts w:ascii="Verdana" w:hAnsi="Verdana"/>
                <w:b/>
                <w:bCs/>
                <w:sz w:val="16"/>
                <w:szCs w:val="16"/>
              </w:rPr>
              <w:t>(24,122</w:t>
            </w:r>
            <w:r w:rsidRPr="00FC64AD">
              <w:rPr>
                <w:rFonts w:ascii="Verdana" w:hAnsi="Verdana"/>
                <w:b/>
                <w:bCs/>
                <w:sz w:val="16"/>
                <w:szCs w:val="16"/>
              </w:rPr>
              <w:t>)</w:t>
            </w:r>
          </w:p>
        </w:tc>
        <w:tc>
          <w:tcPr>
            <w:tcW w:w="4177" w:type="dxa"/>
            <w:tcBorders>
              <w:top w:val="nil"/>
              <w:left w:val="single" w:sz="4" w:space="0" w:color="auto"/>
              <w:bottom w:val="single" w:sz="4" w:space="0" w:color="auto"/>
              <w:right w:val="single" w:sz="4" w:space="0" w:color="auto"/>
            </w:tcBorders>
            <w:shd w:val="clear" w:color="auto" w:fill="auto"/>
            <w:vAlign w:val="center"/>
          </w:tcPr>
          <w:p w:rsidR="006F0914" w:rsidRPr="00FC64AD" w:rsidRDefault="006F0914" w:rsidP="007C11F3">
            <w:pPr>
              <w:pStyle w:val="Normal0"/>
              <w:rPr>
                <w:rFonts w:ascii="Verdana" w:eastAsia="Times New Roman" w:hAnsi="Verdana"/>
                <w:b/>
                <w:sz w:val="16"/>
                <w:szCs w:val="16"/>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018"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8D12F3">
            <w:pPr>
              <w:pStyle w:val="Normal0"/>
              <w:jc w:val="right"/>
              <w:rPr>
                <w:rFonts w:ascii="Verdana" w:hAnsi="Verdana"/>
                <w:b/>
                <w:bCs/>
                <w:sz w:val="16"/>
                <w:szCs w:val="16"/>
              </w:rPr>
            </w:pPr>
            <w:r>
              <w:rPr>
                <w:rFonts w:ascii="Verdana" w:hAnsi="Verdana"/>
                <w:b/>
                <w:bCs/>
                <w:sz w:val="16"/>
                <w:szCs w:val="16"/>
              </w:rPr>
              <w:t>(30,2</w:t>
            </w:r>
            <w:r w:rsidR="008D12F3">
              <w:rPr>
                <w:rFonts w:ascii="Verdana" w:hAnsi="Verdana"/>
                <w:b/>
                <w:bCs/>
                <w:sz w:val="16"/>
                <w:szCs w:val="16"/>
              </w:rPr>
              <w:t>06</w:t>
            </w:r>
            <w:r>
              <w:rPr>
                <w:rFonts w:ascii="Verdana" w:hAnsi="Verdana"/>
                <w:b/>
                <w:bCs/>
                <w:sz w:val="16"/>
                <w:szCs w:val="16"/>
              </w:rPr>
              <w:t>)</w:t>
            </w:r>
          </w:p>
        </w:tc>
      </w:tr>
      <w:tr w:rsidR="006F0914" w:rsidTr="007C11F3">
        <w:trPr>
          <w:trHeight w:val="203"/>
          <w:jc w:val="center"/>
        </w:trPr>
        <w:tc>
          <w:tcPr>
            <w:tcW w:w="1139" w:type="dxa"/>
            <w:tcBorders>
              <w:top w:val="single" w:sz="4" w:space="0" w:color="auto"/>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129" w:type="dxa"/>
            <w:tcBorders>
              <w:top w:val="single" w:sz="4" w:space="0" w:color="auto"/>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b/>
                <w:bCs/>
                <w:sz w:val="16"/>
                <w:szCs w:val="16"/>
              </w:rPr>
            </w:pPr>
            <w:r w:rsidRPr="00FC64AD">
              <w:rPr>
                <w:rFonts w:ascii="Verdana" w:hAnsi="Verdana"/>
                <w:b/>
                <w:bCs/>
                <w:sz w:val="16"/>
                <w:szCs w:val="16"/>
              </w:rPr>
              <w:t> </w:t>
            </w:r>
          </w:p>
        </w:tc>
        <w:tc>
          <w:tcPr>
            <w:tcW w:w="4177" w:type="dxa"/>
            <w:tcBorders>
              <w:top w:val="single" w:sz="4" w:space="0" w:color="auto"/>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Transfers In</w:t>
            </w:r>
          </w:p>
        </w:tc>
        <w:tc>
          <w:tcPr>
            <w:tcW w:w="1017" w:type="dxa"/>
            <w:tcBorders>
              <w:top w:val="single" w:sz="4" w:space="0" w:color="auto"/>
              <w:left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018" w:type="dxa"/>
            <w:tcBorders>
              <w:top w:val="single" w:sz="4" w:space="0" w:color="auto"/>
              <w:left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r>
      <w:tr w:rsidR="006F0914" w:rsidTr="007C11F3">
        <w:trPr>
          <w:trHeight w:val="203"/>
          <w:jc w:val="center"/>
        </w:trPr>
        <w:tc>
          <w:tcPr>
            <w:tcW w:w="1139" w:type="dxa"/>
            <w:tcBorders>
              <w:top w:val="nil"/>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129" w:type="dxa"/>
            <w:tcBorders>
              <w:top w:val="nil"/>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r w:rsidRPr="00FC64AD">
              <w:rPr>
                <w:rFonts w:ascii="Verdana" w:hAnsi="Verdana"/>
                <w:b/>
                <w:bCs/>
                <w:sz w:val="16"/>
                <w:szCs w:val="16"/>
              </w:rPr>
              <w:t>(</w:t>
            </w:r>
            <w:r>
              <w:rPr>
                <w:rFonts w:ascii="Verdana" w:hAnsi="Verdana"/>
                <w:b/>
                <w:bCs/>
                <w:sz w:val="16"/>
                <w:szCs w:val="16"/>
              </w:rPr>
              <w:t>366</w:t>
            </w:r>
            <w:r w:rsidRPr="00FC64AD">
              <w:rPr>
                <w:rFonts w:ascii="Verdana" w:hAnsi="Verdana"/>
                <w:b/>
                <w:bCs/>
                <w:sz w:val="16"/>
                <w:szCs w:val="16"/>
              </w:rPr>
              <w:t>)</w:t>
            </w:r>
          </w:p>
        </w:tc>
        <w:tc>
          <w:tcPr>
            <w:tcW w:w="4177" w:type="dxa"/>
            <w:tcBorders>
              <w:top w:val="nil"/>
              <w:left w:val="single" w:sz="4" w:space="0" w:color="auto"/>
              <w:bottom w:val="single" w:sz="4" w:space="0" w:color="auto"/>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Individual Transfers in From Other Schemes</w:t>
            </w:r>
          </w:p>
        </w:tc>
        <w:tc>
          <w:tcPr>
            <w:tcW w:w="1017" w:type="dxa"/>
            <w:tcBorders>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018" w:type="dxa"/>
            <w:tcBorders>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r>
              <w:rPr>
                <w:rFonts w:ascii="Verdana" w:hAnsi="Verdana"/>
                <w:b/>
                <w:bCs/>
                <w:sz w:val="16"/>
                <w:szCs w:val="16"/>
              </w:rPr>
              <w:t>(460)</w:t>
            </w:r>
          </w:p>
        </w:tc>
      </w:tr>
      <w:tr w:rsidR="006F0914" w:rsidTr="007C11F3">
        <w:trPr>
          <w:trHeight w:val="203"/>
          <w:jc w:val="center"/>
        </w:trPr>
        <w:tc>
          <w:tcPr>
            <w:tcW w:w="1139"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7C11F3">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7C11F3">
            <w:pPr>
              <w:pStyle w:val="Normal0"/>
              <w:jc w:val="right"/>
              <w:rPr>
                <w:rFonts w:ascii="Verdana" w:hAnsi="Verdana"/>
                <w:b/>
                <w:bCs/>
                <w:sz w:val="16"/>
                <w:szCs w:val="16"/>
              </w:rPr>
            </w:pPr>
            <w:r>
              <w:rPr>
                <w:rFonts w:ascii="Verdana" w:hAnsi="Verdana"/>
                <w:b/>
                <w:bCs/>
                <w:sz w:val="16"/>
                <w:szCs w:val="16"/>
              </w:rPr>
              <w:t>(24,488</w:t>
            </w:r>
            <w:r w:rsidRPr="00FC64AD">
              <w:rPr>
                <w:rFonts w:ascii="Verdana" w:hAnsi="Verdana"/>
                <w:b/>
                <w:bCs/>
                <w:sz w:val="16"/>
                <w:szCs w:val="16"/>
              </w:rPr>
              <w:t>)</w:t>
            </w:r>
          </w:p>
        </w:tc>
        <w:tc>
          <w:tcPr>
            <w:tcW w:w="4177"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7C11F3">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Total Inflows</w:t>
            </w:r>
          </w:p>
        </w:tc>
        <w:tc>
          <w:tcPr>
            <w:tcW w:w="1017"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7C11F3">
            <w:pPr>
              <w:pStyle w:val="Normal0"/>
              <w:jc w:val="right"/>
              <w:rPr>
                <w:rFonts w:ascii="Verdana" w:hAnsi="Verdana"/>
                <w:b/>
                <w:bCs/>
                <w:sz w:val="16"/>
                <w:szCs w:val="16"/>
              </w:rPr>
            </w:pPr>
          </w:p>
        </w:tc>
        <w:tc>
          <w:tcPr>
            <w:tcW w:w="1018"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8D12F3">
            <w:pPr>
              <w:pStyle w:val="Normal0"/>
              <w:jc w:val="right"/>
              <w:rPr>
                <w:rFonts w:ascii="Verdana" w:hAnsi="Verdana"/>
                <w:b/>
                <w:bCs/>
                <w:sz w:val="16"/>
                <w:szCs w:val="16"/>
              </w:rPr>
            </w:pPr>
            <w:r>
              <w:rPr>
                <w:rFonts w:ascii="Verdana" w:hAnsi="Verdana"/>
                <w:b/>
                <w:bCs/>
                <w:sz w:val="16"/>
                <w:szCs w:val="16"/>
              </w:rPr>
              <w:t>(30,</w:t>
            </w:r>
            <w:r w:rsidR="008D12F3">
              <w:rPr>
                <w:rFonts w:ascii="Verdana" w:hAnsi="Verdana"/>
                <w:b/>
                <w:bCs/>
                <w:sz w:val="16"/>
                <w:szCs w:val="16"/>
              </w:rPr>
              <w:t>666</w:t>
            </w:r>
            <w:r>
              <w:rPr>
                <w:rFonts w:ascii="Verdana" w:hAnsi="Verdana"/>
                <w:b/>
                <w:bCs/>
                <w:sz w:val="16"/>
                <w:szCs w:val="16"/>
              </w:rPr>
              <w:t>)</w:t>
            </w:r>
          </w:p>
        </w:tc>
      </w:tr>
      <w:tr w:rsidR="006F0914" w:rsidTr="007C11F3">
        <w:trPr>
          <w:trHeight w:val="295"/>
          <w:jc w:val="center"/>
        </w:trPr>
        <w:tc>
          <w:tcPr>
            <w:tcW w:w="1139" w:type="dxa"/>
            <w:tcBorders>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129" w:type="dxa"/>
            <w:tcBorders>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4177" w:type="dxa"/>
            <w:tcBorders>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Benefits Payable</w:t>
            </w:r>
          </w:p>
        </w:tc>
        <w:tc>
          <w:tcPr>
            <w:tcW w:w="1017" w:type="dxa"/>
            <w:tcBorders>
              <w:top w:val="single" w:sz="4" w:space="0" w:color="auto"/>
              <w:left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018" w:type="dxa"/>
            <w:tcBorders>
              <w:top w:val="single" w:sz="4" w:space="0" w:color="auto"/>
              <w:left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r>
      <w:tr w:rsidR="006F0914" w:rsidTr="007C11F3">
        <w:trPr>
          <w:trHeight w:val="203"/>
          <w:jc w:val="center"/>
        </w:trPr>
        <w:tc>
          <w:tcPr>
            <w:tcW w:w="1139" w:type="dxa"/>
            <w:tcBorders>
              <w:top w:val="nil"/>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sz w:val="16"/>
                <w:szCs w:val="16"/>
              </w:rPr>
            </w:pPr>
            <w:r>
              <w:rPr>
                <w:rFonts w:ascii="Verdana" w:hAnsi="Verdana"/>
                <w:sz w:val="16"/>
                <w:szCs w:val="16"/>
              </w:rPr>
              <w:t>37,150</w:t>
            </w:r>
          </w:p>
        </w:tc>
        <w:tc>
          <w:tcPr>
            <w:tcW w:w="1129" w:type="dxa"/>
            <w:tcBorders>
              <w:top w:val="nil"/>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sz w:val="16"/>
                <w:szCs w:val="16"/>
              </w:rPr>
            </w:pPr>
            <w:r w:rsidRPr="00FC64AD">
              <w:rPr>
                <w:rFonts w:ascii="Verdana" w:hAnsi="Verdana"/>
                <w:sz w:val="16"/>
                <w:szCs w:val="16"/>
              </w:rPr>
              <w:t> </w:t>
            </w:r>
          </w:p>
        </w:tc>
        <w:tc>
          <w:tcPr>
            <w:tcW w:w="4177" w:type="dxa"/>
            <w:tcBorders>
              <w:top w:val="nil"/>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Pensions</w:t>
            </w:r>
          </w:p>
        </w:tc>
        <w:tc>
          <w:tcPr>
            <w:tcW w:w="1017" w:type="dxa"/>
            <w:tcBorders>
              <w:left w:val="single" w:sz="4" w:space="0" w:color="auto"/>
              <w:right w:val="single" w:sz="4" w:space="0" w:color="auto"/>
            </w:tcBorders>
            <w:vAlign w:val="center"/>
          </w:tcPr>
          <w:p w:rsidR="006F0914" w:rsidRPr="00FC64AD" w:rsidRDefault="006F0914" w:rsidP="008D12F3">
            <w:pPr>
              <w:pStyle w:val="Normal0"/>
              <w:jc w:val="right"/>
              <w:rPr>
                <w:rFonts w:ascii="Verdana" w:hAnsi="Verdana"/>
                <w:sz w:val="16"/>
                <w:szCs w:val="16"/>
              </w:rPr>
            </w:pPr>
            <w:r>
              <w:rPr>
                <w:rFonts w:ascii="Verdana" w:hAnsi="Verdana"/>
                <w:sz w:val="16"/>
                <w:szCs w:val="16"/>
              </w:rPr>
              <w:t>38,8</w:t>
            </w:r>
            <w:r w:rsidR="008D12F3">
              <w:rPr>
                <w:rFonts w:ascii="Verdana" w:hAnsi="Verdana"/>
                <w:sz w:val="16"/>
                <w:szCs w:val="16"/>
              </w:rPr>
              <w:t>89</w:t>
            </w:r>
          </w:p>
        </w:tc>
        <w:tc>
          <w:tcPr>
            <w:tcW w:w="1018" w:type="dxa"/>
            <w:tcBorders>
              <w:left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p>
        </w:tc>
      </w:tr>
      <w:tr w:rsidR="006F0914" w:rsidTr="007C11F3">
        <w:trPr>
          <w:trHeight w:val="203"/>
          <w:jc w:val="center"/>
        </w:trPr>
        <w:tc>
          <w:tcPr>
            <w:tcW w:w="1139" w:type="dxa"/>
            <w:tcBorders>
              <w:top w:val="nil"/>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sz w:val="16"/>
                <w:szCs w:val="16"/>
              </w:rPr>
            </w:pPr>
            <w:r>
              <w:rPr>
                <w:rFonts w:ascii="Verdana" w:hAnsi="Verdana"/>
                <w:sz w:val="16"/>
                <w:szCs w:val="16"/>
              </w:rPr>
              <w:t>6,767</w:t>
            </w:r>
          </w:p>
        </w:tc>
        <w:tc>
          <w:tcPr>
            <w:tcW w:w="1129" w:type="dxa"/>
            <w:tcBorders>
              <w:top w:val="nil"/>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sz w:val="16"/>
                <w:szCs w:val="16"/>
              </w:rPr>
            </w:pPr>
            <w:r w:rsidRPr="00FC64AD">
              <w:rPr>
                <w:rFonts w:ascii="Verdana" w:hAnsi="Verdana"/>
                <w:sz w:val="16"/>
                <w:szCs w:val="16"/>
              </w:rPr>
              <w:t> </w:t>
            </w:r>
          </w:p>
        </w:tc>
        <w:tc>
          <w:tcPr>
            <w:tcW w:w="4177" w:type="dxa"/>
            <w:tcBorders>
              <w:top w:val="nil"/>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Commutations and Lump Sums</w:t>
            </w:r>
          </w:p>
        </w:tc>
        <w:tc>
          <w:tcPr>
            <w:tcW w:w="1017" w:type="dxa"/>
            <w:tcBorders>
              <w:left w:val="single" w:sz="4" w:space="0" w:color="auto"/>
              <w:right w:val="single" w:sz="4" w:space="0" w:color="auto"/>
            </w:tcBorders>
            <w:vAlign w:val="center"/>
          </w:tcPr>
          <w:p w:rsidR="006F0914" w:rsidRPr="00FC64AD" w:rsidRDefault="008D12F3" w:rsidP="007C11F3">
            <w:pPr>
              <w:pStyle w:val="Normal0"/>
              <w:jc w:val="right"/>
              <w:rPr>
                <w:rFonts w:ascii="Verdana" w:hAnsi="Verdana"/>
                <w:sz w:val="16"/>
                <w:szCs w:val="16"/>
              </w:rPr>
            </w:pPr>
            <w:r>
              <w:rPr>
                <w:rFonts w:ascii="Verdana" w:hAnsi="Verdana"/>
                <w:sz w:val="16"/>
                <w:szCs w:val="16"/>
              </w:rPr>
              <w:t>8,846</w:t>
            </w:r>
          </w:p>
        </w:tc>
        <w:tc>
          <w:tcPr>
            <w:tcW w:w="1018" w:type="dxa"/>
            <w:tcBorders>
              <w:left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p>
        </w:tc>
      </w:tr>
      <w:tr w:rsidR="006F0914" w:rsidTr="007C11F3">
        <w:trPr>
          <w:trHeight w:val="203"/>
          <w:jc w:val="center"/>
        </w:trPr>
        <w:tc>
          <w:tcPr>
            <w:tcW w:w="1139" w:type="dxa"/>
            <w:tcBorders>
              <w:top w:val="nil"/>
              <w:left w:val="single" w:sz="4" w:space="0" w:color="auto"/>
              <w:bottom w:val="nil"/>
              <w:right w:val="single" w:sz="4" w:space="0" w:color="auto"/>
            </w:tcBorders>
            <w:vAlign w:val="center"/>
          </w:tcPr>
          <w:p w:rsidR="006F0914" w:rsidRDefault="006F0914" w:rsidP="007C11F3">
            <w:pPr>
              <w:pStyle w:val="Normal0"/>
              <w:jc w:val="right"/>
              <w:rPr>
                <w:rFonts w:ascii="Verdana" w:hAnsi="Verdana"/>
                <w:sz w:val="16"/>
                <w:szCs w:val="16"/>
              </w:rPr>
            </w:pPr>
            <w:r>
              <w:rPr>
                <w:rFonts w:ascii="Verdana" w:hAnsi="Verdana"/>
                <w:sz w:val="16"/>
                <w:szCs w:val="16"/>
              </w:rPr>
              <w:t>76</w:t>
            </w:r>
          </w:p>
        </w:tc>
        <w:tc>
          <w:tcPr>
            <w:tcW w:w="1129" w:type="dxa"/>
            <w:tcBorders>
              <w:top w:val="nil"/>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Lump Sum Death Benefits</w:t>
            </w:r>
          </w:p>
        </w:tc>
        <w:tc>
          <w:tcPr>
            <w:tcW w:w="1017" w:type="dxa"/>
            <w:tcBorders>
              <w:left w:val="single" w:sz="4" w:space="0" w:color="auto"/>
              <w:right w:val="single" w:sz="4" w:space="0" w:color="auto"/>
            </w:tcBorders>
            <w:vAlign w:val="center"/>
          </w:tcPr>
          <w:p w:rsidR="006F0914" w:rsidRDefault="008D12F3" w:rsidP="007C11F3">
            <w:pPr>
              <w:pStyle w:val="Normal0"/>
              <w:jc w:val="right"/>
              <w:rPr>
                <w:rFonts w:ascii="Verdana" w:hAnsi="Verdana"/>
                <w:sz w:val="16"/>
                <w:szCs w:val="16"/>
              </w:rPr>
            </w:pPr>
            <w:r>
              <w:rPr>
                <w:rFonts w:ascii="Verdana" w:hAnsi="Verdana"/>
                <w:sz w:val="16"/>
                <w:szCs w:val="16"/>
              </w:rPr>
              <w:t>113</w:t>
            </w:r>
          </w:p>
        </w:tc>
        <w:tc>
          <w:tcPr>
            <w:tcW w:w="1018" w:type="dxa"/>
            <w:tcBorders>
              <w:left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p>
        </w:tc>
      </w:tr>
      <w:tr w:rsidR="006F0914" w:rsidTr="007C11F3">
        <w:trPr>
          <w:trHeight w:val="203"/>
          <w:jc w:val="center"/>
        </w:trPr>
        <w:tc>
          <w:tcPr>
            <w:tcW w:w="1139" w:type="dxa"/>
            <w:tcBorders>
              <w:top w:val="nil"/>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r>
              <w:rPr>
                <w:rFonts w:ascii="Verdana" w:hAnsi="Verdana"/>
                <w:sz w:val="16"/>
                <w:szCs w:val="16"/>
              </w:rPr>
              <w:t>1,517</w:t>
            </w:r>
          </w:p>
        </w:tc>
        <w:tc>
          <w:tcPr>
            <w:tcW w:w="1129" w:type="dxa"/>
            <w:tcBorders>
              <w:top w:val="nil"/>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r w:rsidRPr="00FC64AD">
              <w:rPr>
                <w:rFonts w:ascii="Verdana" w:hAnsi="Verdana"/>
                <w:sz w:val="16"/>
                <w:szCs w:val="16"/>
              </w:rPr>
              <w:t> </w:t>
            </w:r>
          </w:p>
        </w:tc>
        <w:tc>
          <w:tcPr>
            <w:tcW w:w="4177" w:type="dxa"/>
            <w:tcBorders>
              <w:top w:val="nil"/>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 xml:space="preserve">Lump Sum </w:t>
            </w:r>
            <w:r>
              <w:rPr>
                <w:rFonts w:ascii="Verdana" w:eastAsia="Times New Roman" w:hAnsi="Verdana"/>
                <w:sz w:val="16"/>
                <w:szCs w:val="16"/>
                <w:lang w:val="en-GB" w:eastAsia="en-GB"/>
              </w:rPr>
              <w:t>Ill-health</w:t>
            </w:r>
            <w:r w:rsidRPr="00FC64AD">
              <w:rPr>
                <w:rFonts w:ascii="Verdana" w:eastAsia="Times New Roman" w:hAnsi="Verdana"/>
                <w:sz w:val="16"/>
                <w:szCs w:val="16"/>
                <w:lang w:val="en-GB" w:eastAsia="en-GB"/>
              </w:rPr>
              <w:t xml:space="preserve"> Benefits</w:t>
            </w:r>
          </w:p>
        </w:tc>
        <w:tc>
          <w:tcPr>
            <w:tcW w:w="1017" w:type="dxa"/>
            <w:tcBorders>
              <w:left w:val="single" w:sz="4" w:space="0" w:color="auto"/>
              <w:bottom w:val="single" w:sz="4" w:space="0" w:color="auto"/>
              <w:right w:val="single" w:sz="4" w:space="0" w:color="auto"/>
            </w:tcBorders>
            <w:vAlign w:val="center"/>
          </w:tcPr>
          <w:p w:rsidR="006F0914" w:rsidRPr="00FC64AD" w:rsidRDefault="008D12F3" w:rsidP="007C11F3">
            <w:pPr>
              <w:pStyle w:val="Normal0"/>
              <w:jc w:val="right"/>
              <w:rPr>
                <w:rFonts w:ascii="Verdana" w:hAnsi="Verdana"/>
                <w:sz w:val="16"/>
                <w:szCs w:val="16"/>
              </w:rPr>
            </w:pPr>
            <w:r>
              <w:rPr>
                <w:rFonts w:ascii="Verdana" w:hAnsi="Verdana"/>
                <w:sz w:val="16"/>
                <w:szCs w:val="16"/>
              </w:rPr>
              <w:t>117</w:t>
            </w:r>
          </w:p>
        </w:tc>
        <w:tc>
          <w:tcPr>
            <w:tcW w:w="1018" w:type="dxa"/>
            <w:tcBorders>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p>
        </w:tc>
      </w:tr>
      <w:tr w:rsidR="006F0914" w:rsidTr="007C11F3">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r w:rsidRPr="00FC64AD">
              <w:rPr>
                <w:rFonts w:ascii="Verdana" w:hAnsi="Verdana"/>
                <w:sz w:val="16"/>
                <w:szCs w:val="16"/>
              </w:rPr>
              <w:t> </w:t>
            </w:r>
          </w:p>
        </w:tc>
        <w:tc>
          <w:tcPr>
            <w:tcW w:w="112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r>
              <w:rPr>
                <w:rFonts w:ascii="Verdana" w:hAnsi="Verdana"/>
                <w:b/>
                <w:bCs/>
                <w:sz w:val="16"/>
                <w:szCs w:val="16"/>
              </w:rPr>
              <w:t>45,510</w:t>
            </w:r>
          </w:p>
        </w:tc>
        <w:tc>
          <w:tcPr>
            <w:tcW w:w="4177" w:type="dxa"/>
            <w:tcBorders>
              <w:top w:val="nil"/>
              <w:left w:val="single" w:sz="4" w:space="0" w:color="auto"/>
              <w:bottom w:val="single" w:sz="4" w:space="0" w:color="auto"/>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p>
        </w:tc>
        <w:tc>
          <w:tcPr>
            <w:tcW w:w="1018"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8D12F3">
            <w:pPr>
              <w:pStyle w:val="Normal0"/>
              <w:jc w:val="right"/>
              <w:rPr>
                <w:rFonts w:ascii="Verdana" w:hAnsi="Verdana"/>
                <w:b/>
                <w:bCs/>
                <w:sz w:val="16"/>
                <w:szCs w:val="16"/>
              </w:rPr>
            </w:pPr>
            <w:r>
              <w:rPr>
                <w:rFonts w:ascii="Verdana" w:hAnsi="Verdana"/>
                <w:b/>
                <w:bCs/>
                <w:sz w:val="16"/>
                <w:szCs w:val="16"/>
              </w:rPr>
              <w:t>47,9</w:t>
            </w:r>
            <w:r w:rsidR="008D12F3">
              <w:rPr>
                <w:rFonts w:ascii="Verdana" w:hAnsi="Verdana"/>
                <w:b/>
                <w:bCs/>
                <w:sz w:val="16"/>
                <w:szCs w:val="16"/>
              </w:rPr>
              <w:t>95</w:t>
            </w:r>
          </w:p>
        </w:tc>
      </w:tr>
      <w:tr w:rsidR="006F0914" w:rsidTr="007C11F3">
        <w:trPr>
          <w:trHeight w:val="326"/>
          <w:jc w:val="center"/>
        </w:trPr>
        <w:tc>
          <w:tcPr>
            <w:tcW w:w="1139" w:type="dxa"/>
            <w:tcBorders>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129" w:type="dxa"/>
            <w:tcBorders>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4177" w:type="dxa"/>
            <w:tcBorders>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Payments To and On Account of Leavers</w:t>
            </w:r>
          </w:p>
        </w:tc>
        <w:tc>
          <w:tcPr>
            <w:tcW w:w="1017" w:type="dxa"/>
            <w:tcBorders>
              <w:top w:val="single" w:sz="4" w:space="0" w:color="auto"/>
              <w:left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018" w:type="dxa"/>
            <w:tcBorders>
              <w:top w:val="single" w:sz="4" w:space="0" w:color="auto"/>
              <w:left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r>
      <w:tr w:rsidR="006F0914" w:rsidTr="007C11F3">
        <w:trPr>
          <w:trHeight w:val="203"/>
          <w:jc w:val="center"/>
        </w:trPr>
        <w:tc>
          <w:tcPr>
            <w:tcW w:w="1139" w:type="dxa"/>
            <w:tcBorders>
              <w:top w:val="nil"/>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sz w:val="16"/>
                <w:szCs w:val="16"/>
              </w:rPr>
            </w:pPr>
            <w:r>
              <w:rPr>
                <w:rFonts w:ascii="Verdana" w:hAnsi="Verdana"/>
                <w:sz w:val="16"/>
                <w:szCs w:val="16"/>
              </w:rPr>
              <w:t>60</w:t>
            </w:r>
          </w:p>
        </w:tc>
        <w:tc>
          <w:tcPr>
            <w:tcW w:w="1129" w:type="dxa"/>
            <w:tcBorders>
              <w:top w:val="nil"/>
              <w:left w:val="single" w:sz="4" w:space="0" w:color="auto"/>
              <w:bottom w:val="nil"/>
              <w:right w:val="single" w:sz="4" w:space="0" w:color="auto"/>
            </w:tcBorders>
            <w:vAlign w:val="center"/>
          </w:tcPr>
          <w:p w:rsidR="006F0914" w:rsidRPr="00FC64AD" w:rsidRDefault="006F0914" w:rsidP="007C11F3">
            <w:pPr>
              <w:pStyle w:val="Normal0"/>
              <w:jc w:val="right"/>
              <w:rPr>
                <w:rFonts w:ascii="Verdana" w:hAnsi="Verdana"/>
                <w:sz w:val="16"/>
                <w:szCs w:val="16"/>
              </w:rPr>
            </w:pPr>
            <w:r w:rsidRPr="00FC64AD">
              <w:rPr>
                <w:rFonts w:ascii="Verdana" w:hAnsi="Verdana"/>
                <w:sz w:val="16"/>
                <w:szCs w:val="16"/>
              </w:rPr>
              <w:t> </w:t>
            </w:r>
          </w:p>
        </w:tc>
        <w:tc>
          <w:tcPr>
            <w:tcW w:w="4177" w:type="dxa"/>
            <w:tcBorders>
              <w:top w:val="nil"/>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Refund of Contributions</w:t>
            </w:r>
          </w:p>
        </w:tc>
        <w:tc>
          <w:tcPr>
            <w:tcW w:w="1017" w:type="dxa"/>
            <w:tcBorders>
              <w:left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r>
              <w:rPr>
                <w:rFonts w:ascii="Verdana" w:hAnsi="Verdana"/>
                <w:sz w:val="16"/>
                <w:szCs w:val="16"/>
              </w:rPr>
              <w:t>49</w:t>
            </w:r>
          </w:p>
        </w:tc>
        <w:tc>
          <w:tcPr>
            <w:tcW w:w="1018" w:type="dxa"/>
            <w:tcBorders>
              <w:left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p>
        </w:tc>
      </w:tr>
      <w:tr w:rsidR="006F0914" w:rsidTr="007C11F3">
        <w:trPr>
          <w:trHeight w:val="203"/>
          <w:jc w:val="center"/>
        </w:trPr>
        <w:tc>
          <w:tcPr>
            <w:tcW w:w="1139" w:type="dxa"/>
            <w:tcBorders>
              <w:top w:val="nil"/>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r>
              <w:rPr>
                <w:rFonts w:ascii="Verdana" w:hAnsi="Verdana"/>
                <w:sz w:val="16"/>
                <w:szCs w:val="16"/>
              </w:rPr>
              <w:t>0</w:t>
            </w:r>
          </w:p>
        </w:tc>
        <w:tc>
          <w:tcPr>
            <w:tcW w:w="1129" w:type="dxa"/>
            <w:tcBorders>
              <w:top w:val="nil"/>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r w:rsidRPr="00FC64AD">
              <w:rPr>
                <w:rFonts w:ascii="Verdana" w:hAnsi="Verdana"/>
                <w:sz w:val="16"/>
                <w:szCs w:val="16"/>
              </w:rPr>
              <w:t> </w:t>
            </w:r>
          </w:p>
        </w:tc>
        <w:tc>
          <w:tcPr>
            <w:tcW w:w="4177" w:type="dxa"/>
            <w:tcBorders>
              <w:top w:val="nil"/>
              <w:left w:val="single" w:sz="4" w:space="0" w:color="auto"/>
              <w:bottom w:val="nil"/>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Individual Transfers Out To Other Schemes</w:t>
            </w:r>
          </w:p>
        </w:tc>
        <w:tc>
          <w:tcPr>
            <w:tcW w:w="1017" w:type="dxa"/>
            <w:tcBorders>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r>
              <w:rPr>
                <w:rFonts w:ascii="Verdana" w:hAnsi="Verdana"/>
                <w:sz w:val="16"/>
                <w:szCs w:val="16"/>
              </w:rPr>
              <w:t>0</w:t>
            </w:r>
          </w:p>
        </w:tc>
        <w:tc>
          <w:tcPr>
            <w:tcW w:w="1018" w:type="dxa"/>
            <w:tcBorders>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p>
        </w:tc>
      </w:tr>
      <w:tr w:rsidR="006F0914" w:rsidTr="007C11F3">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r w:rsidRPr="00FC64AD">
              <w:rPr>
                <w:rFonts w:ascii="Verdana" w:hAnsi="Verdana"/>
                <w:sz w:val="16"/>
                <w:szCs w:val="16"/>
              </w:rPr>
              <w:t> </w:t>
            </w:r>
          </w:p>
        </w:tc>
        <w:tc>
          <w:tcPr>
            <w:tcW w:w="112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r>
              <w:rPr>
                <w:rFonts w:ascii="Verdana" w:hAnsi="Verdana"/>
                <w:b/>
                <w:bCs/>
                <w:sz w:val="16"/>
                <w:szCs w:val="16"/>
              </w:rPr>
              <w:t>60</w:t>
            </w:r>
          </w:p>
        </w:tc>
        <w:tc>
          <w:tcPr>
            <w:tcW w:w="4177" w:type="dxa"/>
            <w:tcBorders>
              <w:top w:val="nil"/>
              <w:left w:val="single" w:sz="4" w:space="0" w:color="auto"/>
              <w:bottom w:val="single" w:sz="4" w:space="0" w:color="auto"/>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16"/>
                <w:szCs w:val="16"/>
              </w:rPr>
            </w:pPr>
          </w:p>
        </w:tc>
        <w:tc>
          <w:tcPr>
            <w:tcW w:w="1018"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r>
              <w:rPr>
                <w:rFonts w:ascii="Verdana" w:hAnsi="Verdana"/>
                <w:b/>
                <w:bCs/>
                <w:sz w:val="16"/>
                <w:szCs w:val="16"/>
              </w:rPr>
              <w:t>49</w:t>
            </w:r>
          </w:p>
        </w:tc>
      </w:tr>
      <w:tr w:rsidR="006F0914" w:rsidTr="007C11F3">
        <w:trPr>
          <w:trHeight w:val="203"/>
          <w:jc w:val="center"/>
        </w:trPr>
        <w:tc>
          <w:tcPr>
            <w:tcW w:w="1139"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7C11F3">
            <w:pPr>
              <w:pStyle w:val="Normal0"/>
              <w:jc w:val="right"/>
              <w:rPr>
                <w:rFonts w:ascii="Verdana" w:hAnsi="Verdana"/>
                <w:b/>
                <w:bCs/>
                <w:sz w:val="16"/>
                <w:szCs w:val="16"/>
              </w:rPr>
            </w:pPr>
            <w:r w:rsidRPr="00FC64AD">
              <w:rPr>
                <w:rFonts w:ascii="Verdana" w:hAnsi="Verdana"/>
                <w:b/>
                <w:bCs/>
                <w:sz w:val="16"/>
                <w:szCs w:val="16"/>
              </w:rPr>
              <w:t> </w:t>
            </w:r>
          </w:p>
        </w:tc>
        <w:tc>
          <w:tcPr>
            <w:tcW w:w="1129"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7C11F3">
            <w:pPr>
              <w:pStyle w:val="Normal0"/>
              <w:jc w:val="right"/>
              <w:rPr>
                <w:rFonts w:ascii="Verdana" w:hAnsi="Verdana"/>
                <w:b/>
                <w:bCs/>
                <w:sz w:val="16"/>
                <w:szCs w:val="16"/>
              </w:rPr>
            </w:pPr>
            <w:r>
              <w:rPr>
                <w:rFonts w:ascii="Verdana" w:hAnsi="Verdana"/>
                <w:b/>
                <w:bCs/>
                <w:sz w:val="16"/>
                <w:szCs w:val="16"/>
              </w:rPr>
              <w:t>45,570</w:t>
            </w:r>
          </w:p>
        </w:tc>
        <w:tc>
          <w:tcPr>
            <w:tcW w:w="4177"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7C11F3">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Total Outflows</w:t>
            </w:r>
          </w:p>
        </w:tc>
        <w:tc>
          <w:tcPr>
            <w:tcW w:w="1017"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7C11F3">
            <w:pPr>
              <w:pStyle w:val="Normal0"/>
              <w:jc w:val="right"/>
              <w:rPr>
                <w:rFonts w:ascii="Verdana" w:hAnsi="Verdana"/>
                <w:b/>
                <w:bCs/>
                <w:sz w:val="16"/>
                <w:szCs w:val="16"/>
              </w:rPr>
            </w:pPr>
          </w:p>
        </w:tc>
        <w:tc>
          <w:tcPr>
            <w:tcW w:w="1018"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8D12F3" w:rsidP="007C11F3">
            <w:pPr>
              <w:pStyle w:val="Normal0"/>
              <w:jc w:val="right"/>
              <w:rPr>
                <w:rFonts w:ascii="Verdana" w:hAnsi="Verdana"/>
                <w:b/>
                <w:bCs/>
                <w:sz w:val="16"/>
                <w:szCs w:val="16"/>
              </w:rPr>
            </w:pPr>
            <w:r>
              <w:rPr>
                <w:rFonts w:ascii="Verdana" w:hAnsi="Verdana"/>
                <w:b/>
                <w:bCs/>
                <w:sz w:val="16"/>
                <w:szCs w:val="16"/>
              </w:rPr>
              <w:t>48,044</w:t>
            </w:r>
          </w:p>
        </w:tc>
      </w:tr>
      <w:tr w:rsidR="006F0914" w:rsidTr="007C11F3">
        <w:trPr>
          <w:trHeight w:val="97"/>
          <w:jc w:val="center"/>
        </w:trPr>
        <w:tc>
          <w:tcPr>
            <w:tcW w:w="113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4"/>
                <w:szCs w:val="4"/>
              </w:rPr>
            </w:pPr>
          </w:p>
        </w:tc>
        <w:tc>
          <w:tcPr>
            <w:tcW w:w="112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4"/>
                <w:szCs w:val="4"/>
              </w:rPr>
            </w:pP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4"/>
                <w:szCs w:val="4"/>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4"/>
                <w:szCs w:val="4"/>
              </w:rPr>
            </w:pPr>
          </w:p>
        </w:tc>
        <w:tc>
          <w:tcPr>
            <w:tcW w:w="1018"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sz w:val="4"/>
                <w:szCs w:val="4"/>
              </w:rPr>
            </w:pPr>
          </w:p>
        </w:tc>
      </w:tr>
      <w:tr w:rsidR="006F0914" w:rsidTr="007C11F3">
        <w:trPr>
          <w:trHeight w:val="203"/>
          <w:jc w:val="center"/>
        </w:trPr>
        <w:tc>
          <w:tcPr>
            <w:tcW w:w="1139"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7C11F3">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7C11F3">
            <w:pPr>
              <w:pStyle w:val="Normal0"/>
              <w:jc w:val="right"/>
              <w:rPr>
                <w:rFonts w:ascii="Verdana" w:hAnsi="Verdana"/>
                <w:b/>
                <w:bCs/>
                <w:sz w:val="16"/>
                <w:szCs w:val="16"/>
              </w:rPr>
            </w:pPr>
            <w:r>
              <w:rPr>
                <w:rFonts w:ascii="Verdana" w:hAnsi="Verdana"/>
                <w:b/>
                <w:bCs/>
                <w:sz w:val="16"/>
                <w:szCs w:val="16"/>
              </w:rPr>
              <w:t>21,082</w:t>
            </w:r>
          </w:p>
        </w:tc>
        <w:tc>
          <w:tcPr>
            <w:tcW w:w="4177"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7C11F3">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 xml:space="preserve">Net amount payable for the year from the Group </w:t>
            </w:r>
            <w:r>
              <w:rPr>
                <w:rFonts w:ascii="Verdana" w:eastAsia="Times New Roman" w:hAnsi="Verdana"/>
                <w:b/>
                <w:sz w:val="16"/>
                <w:szCs w:val="16"/>
                <w:lang w:val="en-GB" w:eastAsia="en-GB"/>
              </w:rPr>
              <w:t>(</w:t>
            </w:r>
            <w:r w:rsidRPr="00FC64AD">
              <w:rPr>
                <w:rFonts w:ascii="Verdana" w:eastAsia="Times New Roman" w:hAnsi="Verdana"/>
                <w:b/>
                <w:sz w:val="16"/>
                <w:szCs w:val="16"/>
                <w:lang w:val="en-GB" w:eastAsia="en-GB"/>
              </w:rPr>
              <w:t>equal to deficit</w:t>
            </w:r>
            <w:r>
              <w:rPr>
                <w:rFonts w:ascii="Verdana" w:eastAsia="Times New Roman" w:hAnsi="Verdana"/>
                <w:b/>
                <w:sz w:val="16"/>
                <w:szCs w:val="16"/>
                <w:lang w:val="en-GB" w:eastAsia="en-GB"/>
              </w:rPr>
              <w:t xml:space="preserve"> amount)</w:t>
            </w:r>
            <w:r w:rsidRPr="00FC64AD">
              <w:rPr>
                <w:rFonts w:ascii="Verdana" w:eastAsia="Times New Roman" w:hAnsi="Verdana"/>
                <w:b/>
                <w:sz w:val="16"/>
                <w:szCs w:val="16"/>
                <w:lang w:val="en-GB" w:eastAsia="en-GB"/>
              </w:rPr>
              <w:t xml:space="preserve"> </w:t>
            </w:r>
          </w:p>
        </w:tc>
        <w:tc>
          <w:tcPr>
            <w:tcW w:w="1017"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7C11F3">
            <w:pPr>
              <w:pStyle w:val="Normal0"/>
              <w:jc w:val="right"/>
              <w:rPr>
                <w:rFonts w:ascii="Verdana" w:hAnsi="Verdana"/>
                <w:b/>
                <w:bCs/>
                <w:sz w:val="16"/>
                <w:szCs w:val="16"/>
              </w:rPr>
            </w:pPr>
          </w:p>
        </w:tc>
        <w:tc>
          <w:tcPr>
            <w:tcW w:w="1018" w:type="dxa"/>
            <w:tcBorders>
              <w:top w:val="single" w:sz="4" w:space="0" w:color="auto"/>
              <w:left w:val="single" w:sz="4" w:space="0" w:color="auto"/>
              <w:bottom w:val="single" w:sz="4" w:space="0" w:color="auto"/>
              <w:right w:val="single" w:sz="4" w:space="0" w:color="auto"/>
            </w:tcBorders>
            <w:shd w:val="clear" w:color="auto" w:fill="FFFFCC"/>
            <w:vAlign w:val="center"/>
          </w:tcPr>
          <w:p w:rsidR="006F0914" w:rsidRPr="00FC64AD" w:rsidRDefault="006F0914" w:rsidP="008D12F3">
            <w:pPr>
              <w:pStyle w:val="Normal0"/>
              <w:jc w:val="right"/>
              <w:rPr>
                <w:rFonts w:ascii="Verdana" w:hAnsi="Verdana"/>
                <w:b/>
                <w:bCs/>
                <w:sz w:val="16"/>
                <w:szCs w:val="16"/>
              </w:rPr>
            </w:pPr>
            <w:r>
              <w:rPr>
                <w:rFonts w:ascii="Verdana" w:hAnsi="Verdana"/>
                <w:b/>
                <w:bCs/>
                <w:sz w:val="16"/>
                <w:szCs w:val="16"/>
              </w:rPr>
              <w:t>17,</w:t>
            </w:r>
            <w:r w:rsidR="008D12F3">
              <w:rPr>
                <w:rFonts w:ascii="Verdana" w:hAnsi="Verdana"/>
                <w:b/>
                <w:bCs/>
                <w:sz w:val="16"/>
                <w:szCs w:val="16"/>
              </w:rPr>
              <w:t>378</w:t>
            </w:r>
          </w:p>
        </w:tc>
      </w:tr>
      <w:tr w:rsidR="006F0914" w:rsidTr="007C11F3">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r>
              <w:rPr>
                <w:rFonts w:ascii="Verdana" w:hAnsi="Verdana"/>
                <w:b/>
                <w:bCs/>
                <w:sz w:val="16"/>
                <w:szCs w:val="16"/>
              </w:rPr>
              <w:t>(19,129</w:t>
            </w:r>
            <w:r w:rsidRPr="00FC64AD">
              <w:rPr>
                <w:rFonts w:ascii="Verdana" w:hAnsi="Verdana"/>
                <w:b/>
                <w:bCs/>
                <w:sz w:val="16"/>
                <w:szCs w:val="16"/>
              </w:rPr>
              <w:t>)</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Additional contribution from the Group to fund the deficit for the year *</w:t>
            </w:r>
          </w:p>
        </w:tc>
        <w:tc>
          <w:tcPr>
            <w:tcW w:w="1017"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018"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8D12F3">
            <w:pPr>
              <w:pStyle w:val="Normal0"/>
              <w:jc w:val="right"/>
              <w:rPr>
                <w:rFonts w:ascii="Verdana" w:hAnsi="Verdana"/>
                <w:b/>
                <w:bCs/>
                <w:sz w:val="16"/>
                <w:szCs w:val="16"/>
              </w:rPr>
            </w:pPr>
            <w:r>
              <w:rPr>
                <w:rFonts w:ascii="Verdana" w:hAnsi="Verdana"/>
                <w:b/>
                <w:bCs/>
                <w:sz w:val="16"/>
                <w:szCs w:val="16"/>
              </w:rPr>
              <w:t>(17,</w:t>
            </w:r>
            <w:r w:rsidR="008D12F3">
              <w:rPr>
                <w:rFonts w:ascii="Verdana" w:hAnsi="Verdana"/>
                <w:b/>
                <w:bCs/>
                <w:sz w:val="16"/>
                <w:szCs w:val="16"/>
              </w:rPr>
              <w:t>378</w:t>
            </w:r>
            <w:r>
              <w:rPr>
                <w:rFonts w:ascii="Verdana" w:hAnsi="Verdana"/>
                <w:b/>
                <w:bCs/>
                <w:sz w:val="16"/>
                <w:szCs w:val="16"/>
              </w:rPr>
              <w:t>)</w:t>
            </w:r>
          </w:p>
        </w:tc>
      </w:tr>
      <w:tr w:rsidR="006F0914" w:rsidTr="007C11F3">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r w:rsidRPr="00FC64AD">
              <w:rPr>
                <w:rFonts w:ascii="Verdana" w:hAnsi="Verdana"/>
                <w:b/>
                <w:bCs/>
                <w:sz w:val="16"/>
                <w:szCs w:val="16"/>
              </w:rPr>
              <w:t>(</w:t>
            </w:r>
            <w:r>
              <w:rPr>
                <w:rFonts w:ascii="Verdana" w:hAnsi="Verdana"/>
                <w:b/>
                <w:bCs/>
                <w:sz w:val="16"/>
                <w:szCs w:val="16"/>
              </w:rPr>
              <w:t>1,953</w:t>
            </w:r>
            <w:r w:rsidRPr="00FC64AD">
              <w:rPr>
                <w:rFonts w:ascii="Verdana" w:hAnsi="Verdana"/>
                <w:b/>
                <w:bCs/>
                <w:sz w:val="16"/>
                <w:szCs w:val="16"/>
              </w:rPr>
              <w:t>)</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 xml:space="preserve">Additional funding payable </w:t>
            </w:r>
          </w:p>
          <w:p w:rsidR="006F0914" w:rsidRPr="00FC64AD" w:rsidRDefault="006F0914" w:rsidP="007C11F3">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by the Police Operating Account to meet deficit for the year @ 2.9%**</w:t>
            </w:r>
          </w:p>
        </w:tc>
        <w:tc>
          <w:tcPr>
            <w:tcW w:w="1017"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018"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r>
              <w:rPr>
                <w:rFonts w:ascii="Verdana" w:hAnsi="Verdana"/>
                <w:b/>
                <w:bCs/>
                <w:sz w:val="16"/>
                <w:szCs w:val="16"/>
              </w:rPr>
              <w:t>0</w:t>
            </w:r>
          </w:p>
        </w:tc>
      </w:tr>
      <w:tr w:rsidR="006F0914" w:rsidTr="007C11F3">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r w:rsidRPr="00FC64AD">
              <w:rPr>
                <w:rFonts w:ascii="Verdana" w:hAnsi="Verdana"/>
                <w:b/>
                <w:bCs/>
                <w:sz w:val="16"/>
                <w:szCs w:val="16"/>
              </w:rPr>
              <w:t>0</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rsidR="006F0914" w:rsidRPr="00FC64AD" w:rsidRDefault="006F0914" w:rsidP="007C11F3">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Net Amount Payable for the Year</w:t>
            </w:r>
          </w:p>
        </w:tc>
        <w:tc>
          <w:tcPr>
            <w:tcW w:w="1017"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p>
        </w:tc>
        <w:tc>
          <w:tcPr>
            <w:tcW w:w="1018" w:type="dxa"/>
            <w:tcBorders>
              <w:top w:val="single" w:sz="4" w:space="0" w:color="auto"/>
              <w:left w:val="single" w:sz="4" w:space="0" w:color="auto"/>
              <w:bottom w:val="single" w:sz="4" w:space="0" w:color="auto"/>
              <w:right w:val="single" w:sz="4" w:space="0" w:color="auto"/>
            </w:tcBorders>
            <w:vAlign w:val="center"/>
          </w:tcPr>
          <w:p w:rsidR="006F0914" w:rsidRPr="00FC64AD" w:rsidRDefault="006F0914" w:rsidP="007C11F3">
            <w:pPr>
              <w:pStyle w:val="Normal0"/>
              <w:jc w:val="right"/>
              <w:rPr>
                <w:rFonts w:ascii="Verdana" w:hAnsi="Verdana"/>
                <w:b/>
                <w:bCs/>
                <w:sz w:val="16"/>
                <w:szCs w:val="16"/>
              </w:rPr>
            </w:pPr>
            <w:r w:rsidRPr="00FC64AD">
              <w:rPr>
                <w:rFonts w:ascii="Verdana" w:hAnsi="Verdana"/>
                <w:b/>
                <w:bCs/>
                <w:sz w:val="16"/>
                <w:szCs w:val="16"/>
              </w:rPr>
              <w:t>0</w:t>
            </w:r>
          </w:p>
        </w:tc>
      </w:tr>
    </w:tbl>
    <w:p w:rsidR="006F0914" w:rsidRPr="00D56A15" w:rsidRDefault="006F0914" w:rsidP="006F0914">
      <w:pPr>
        <w:rPr>
          <w:sz w:val="8"/>
          <w:szCs w:val="8"/>
          <w:lang w:val="en-GB" w:eastAsia="en-GB"/>
        </w:rPr>
      </w:pPr>
    </w:p>
    <w:p w:rsidR="006F0914" w:rsidRDefault="006F0914" w:rsidP="006F0914">
      <w:pPr>
        <w:pStyle w:val="Normal0"/>
        <w:rPr>
          <w:rFonts w:eastAsia="Times New Roman"/>
          <w:sz w:val="22"/>
          <w:szCs w:val="22"/>
          <w:lang w:val="en-GB" w:eastAsia="en-GB"/>
        </w:rPr>
      </w:pPr>
      <w:r w:rsidRPr="000C28D1">
        <w:rPr>
          <w:rFonts w:eastAsia="Times New Roman"/>
          <w:sz w:val="22"/>
          <w:szCs w:val="22"/>
          <w:lang w:val="en-GB" w:eastAsia="en-GB"/>
        </w:rPr>
        <w:t>* The annual deficit on the Police Pensions Account is funded by the Home Office Pension’s Top-up grant.  This income is shown in the PCC and Group Income and Expenditure account.</w:t>
      </w:r>
    </w:p>
    <w:p w:rsidR="006F0914" w:rsidRPr="00D56A15" w:rsidRDefault="006F0914" w:rsidP="006F0914">
      <w:pPr>
        <w:pStyle w:val="Normal0"/>
        <w:rPr>
          <w:rFonts w:eastAsia="Times New Roman"/>
          <w:sz w:val="8"/>
          <w:szCs w:val="8"/>
          <w:lang w:val="en-GB" w:eastAsia="en-GB"/>
        </w:rPr>
      </w:pPr>
    </w:p>
    <w:p w:rsidR="006F0914" w:rsidRDefault="006F0914" w:rsidP="006F0914">
      <w:pPr>
        <w:pStyle w:val="Normal0"/>
        <w:rPr>
          <w:rFonts w:eastAsia="Times New Roman"/>
          <w:sz w:val="22"/>
          <w:szCs w:val="22"/>
          <w:lang w:val="en-GB" w:eastAsia="en-GB"/>
        </w:rPr>
      </w:pPr>
      <w:r w:rsidRPr="000C28D1">
        <w:rPr>
          <w:rFonts w:eastAsia="Times New Roman"/>
          <w:sz w:val="22"/>
          <w:szCs w:val="22"/>
          <w:lang w:val="en-GB" w:eastAsia="en-GB"/>
        </w:rPr>
        <w:t>** The difference between the deficit on the Pension Account and the amount funded by the Pensions Top-up Grant is met from the Police Operating Account.</w:t>
      </w:r>
    </w:p>
    <w:p w:rsidR="006F0914" w:rsidRDefault="006F0914" w:rsidP="006F0914">
      <w:pPr>
        <w:jc w:val="center"/>
        <w:rPr>
          <w:rFonts w:eastAsia="Times New Roman" w:cs="Arial"/>
          <w:b/>
          <w:lang w:val="en-GB" w:eastAsia="en-GB"/>
        </w:rPr>
      </w:pPr>
      <w:r>
        <w:rPr>
          <w:rFonts w:eastAsia="Times New Roman" w:cs="Arial"/>
          <w:b/>
          <w:lang w:val="en-GB" w:eastAsia="en-GB"/>
        </w:rPr>
        <w:t xml:space="preserve">Police Pension Fund </w:t>
      </w:r>
      <w:r w:rsidRPr="000C28D1">
        <w:rPr>
          <w:rFonts w:eastAsia="Times New Roman" w:cs="Arial"/>
          <w:b/>
          <w:lang w:val="en-GB" w:eastAsia="en-GB"/>
        </w:rPr>
        <w:t>Net Assets Statement</w:t>
      </w:r>
    </w:p>
    <w:p w:rsidR="006F0914" w:rsidRPr="009962A0" w:rsidRDefault="006F0914" w:rsidP="006F0914">
      <w:pPr>
        <w:jc w:val="center"/>
        <w:rPr>
          <w:rFonts w:eastAsia="Times New Roman" w:cs="Arial"/>
          <w:b/>
          <w:sz w:val="4"/>
          <w:szCs w:val="4"/>
          <w:lang w:val="en-GB" w:eastAsia="en-GB"/>
        </w:rPr>
      </w:pPr>
    </w:p>
    <w:tbl>
      <w:tblPr>
        <w:tblW w:w="0" w:type="auto"/>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380"/>
        <w:gridCol w:w="3780"/>
        <w:gridCol w:w="1440"/>
      </w:tblGrid>
      <w:tr w:rsidR="006F0914" w:rsidRPr="009962A0" w:rsidTr="007C11F3">
        <w:trPr>
          <w:trHeight w:val="284"/>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6F0914" w:rsidRPr="006F0914" w:rsidRDefault="006F0914" w:rsidP="007C11F3">
            <w:pPr>
              <w:jc w:val="center"/>
              <w:rPr>
                <w:rFonts w:ascii="Verdana" w:eastAsia="Calibri" w:hAnsi="Verdana" w:cs="Arial"/>
                <w:b/>
                <w:bCs/>
                <w:sz w:val="16"/>
                <w:szCs w:val="16"/>
                <w:lang w:val="en-GB"/>
              </w:rPr>
            </w:pPr>
            <w:r w:rsidRPr="006F0914">
              <w:rPr>
                <w:rFonts w:ascii="Verdana" w:eastAsia="Calibri" w:hAnsi="Verdana" w:cs="Arial"/>
                <w:b/>
                <w:bCs/>
                <w:sz w:val="16"/>
                <w:szCs w:val="16"/>
              </w:rPr>
              <w:t>2018/19</w:t>
            </w:r>
          </w:p>
        </w:tc>
        <w:tc>
          <w:tcPr>
            <w:tcW w:w="3780" w:type="dxa"/>
            <w:tcBorders>
              <w:top w:val="single" w:sz="4" w:space="0" w:color="auto"/>
              <w:left w:val="single" w:sz="4" w:space="0" w:color="auto"/>
              <w:bottom w:val="single" w:sz="4" w:space="0" w:color="auto"/>
              <w:right w:val="single" w:sz="4" w:space="0" w:color="auto"/>
            </w:tcBorders>
            <w:vAlign w:val="center"/>
            <w:hideMark/>
          </w:tcPr>
          <w:p w:rsidR="006F0914" w:rsidRPr="006F0914" w:rsidRDefault="006F0914" w:rsidP="007C11F3">
            <w:pPr>
              <w:jc w:val="both"/>
              <w:rPr>
                <w:rFonts w:ascii="Verdana" w:eastAsia="Times New Roman" w:hAnsi="Verdana" w:cs="Arial"/>
                <w:b/>
                <w:sz w:val="16"/>
                <w:szCs w:val="16"/>
                <w:lang w:val="en-GB" w:eastAsia="en-GB"/>
              </w:rPr>
            </w:pPr>
            <w:r w:rsidRPr="006F0914">
              <w:rPr>
                <w:rFonts w:ascii="Verdana" w:eastAsia="Times New Roman" w:hAnsi="Verdana" w:cs="Arial"/>
                <w:b/>
                <w:sz w:val="16"/>
                <w:szCs w:val="16"/>
                <w:lang w:val="en-GB" w:eastAsia="en-GB"/>
              </w:rPr>
              <w:t>Net Current Assets And Liabilities</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0914" w:rsidRPr="006F0914" w:rsidRDefault="006F0914" w:rsidP="007C11F3">
            <w:pPr>
              <w:jc w:val="center"/>
              <w:rPr>
                <w:rFonts w:ascii="Verdana" w:eastAsia="Calibri" w:hAnsi="Verdana" w:cs="Arial"/>
                <w:b/>
                <w:bCs/>
                <w:sz w:val="16"/>
                <w:szCs w:val="16"/>
              </w:rPr>
            </w:pPr>
            <w:r w:rsidRPr="006F0914">
              <w:rPr>
                <w:rFonts w:ascii="Verdana" w:eastAsia="Calibri" w:hAnsi="Verdana" w:cs="Arial"/>
                <w:b/>
                <w:bCs/>
                <w:sz w:val="16"/>
                <w:szCs w:val="16"/>
              </w:rPr>
              <w:t>2019/20</w:t>
            </w:r>
          </w:p>
        </w:tc>
      </w:tr>
      <w:tr w:rsidR="006F0914" w:rsidRPr="009962A0" w:rsidTr="007C11F3">
        <w:trPr>
          <w:trHeight w:val="158"/>
          <w:jc w:val="center"/>
        </w:trPr>
        <w:tc>
          <w:tcPr>
            <w:tcW w:w="1380" w:type="dxa"/>
            <w:tcBorders>
              <w:top w:val="single" w:sz="4" w:space="0" w:color="auto"/>
              <w:left w:val="single" w:sz="4" w:space="0" w:color="auto"/>
              <w:bottom w:val="nil"/>
              <w:right w:val="single" w:sz="4" w:space="0" w:color="auto"/>
            </w:tcBorders>
            <w:vAlign w:val="center"/>
            <w:hideMark/>
          </w:tcPr>
          <w:p w:rsidR="006F0914" w:rsidRPr="006F0914" w:rsidRDefault="006F0914" w:rsidP="007C11F3">
            <w:pPr>
              <w:jc w:val="center"/>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£000</w:t>
            </w:r>
          </w:p>
        </w:tc>
        <w:tc>
          <w:tcPr>
            <w:tcW w:w="3780" w:type="dxa"/>
            <w:tcBorders>
              <w:top w:val="single" w:sz="4" w:space="0" w:color="auto"/>
              <w:left w:val="single" w:sz="4" w:space="0" w:color="auto"/>
              <w:bottom w:val="nil"/>
              <w:right w:val="single" w:sz="4" w:space="0" w:color="auto"/>
            </w:tcBorders>
            <w:vAlign w:val="center"/>
          </w:tcPr>
          <w:p w:rsidR="006F0914" w:rsidRPr="006F0914" w:rsidRDefault="006F0914" w:rsidP="007C11F3">
            <w:pPr>
              <w:jc w:val="both"/>
              <w:rPr>
                <w:rFonts w:ascii="Verdana" w:eastAsia="Times New Roman" w:hAnsi="Verdana" w:cs="Arial"/>
                <w:sz w:val="16"/>
                <w:szCs w:val="16"/>
                <w:lang w:val="en-GB" w:eastAsia="en-GB"/>
              </w:rPr>
            </w:pPr>
          </w:p>
        </w:tc>
        <w:tc>
          <w:tcPr>
            <w:tcW w:w="1440" w:type="dxa"/>
            <w:tcBorders>
              <w:top w:val="single" w:sz="4" w:space="0" w:color="auto"/>
              <w:left w:val="single" w:sz="4" w:space="0" w:color="auto"/>
              <w:bottom w:val="nil"/>
              <w:right w:val="single" w:sz="4" w:space="0" w:color="auto"/>
            </w:tcBorders>
            <w:vAlign w:val="center"/>
            <w:hideMark/>
          </w:tcPr>
          <w:p w:rsidR="006F0914" w:rsidRPr="006F0914" w:rsidRDefault="006F0914" w:rsidP="007C11F3">
            <w:pPr>
              <w:jc w:val="center"/>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£000</w:t>
            </w:r>
          </w:p>
        </w:tc>
      </w:tr>
      <w:tr w:rsidR="006F0914" w:rsidRPr="009962A0" w:rsidTr="007C11F3">
        <w:trPr>
          <w:trHeight w:val="285"/>
          <w:jc w:val="center"/>
        </w:trPr>
        <w:tc>
          <w:tcPr>
            <w:tcW w:w="1380" w:type="dxa"/>
            <w:tcBorders>
              <w:top w:val="nil"/>
              <w:left w:val="single" w:sz="4" w:space="0" w:color="auto"/>
              <w:bottom w:val="nil"/>
              <w:right w:val="single" w:sz="4" w:space="0" w:color="auto"/>
            </w:tcBorders>
            <w:vAlign w:val="center"/>
          </w:tcPr>
          <w:p w:rsidR="006F0914" w:rsidRPr="006F0914" w:rsidRDefault="006F0914" w:rsidP="007C11F3">
            <w:pPr>
              <w:jc w:val="center"/>
              <w:rPr>
                <w:rFonts w:ascii="Verdana" w:eastAsia="Times New Roman" w:hAnsi="Verdana" w:cs="Arial"/>
                <w:sz w:val="16"/>
                <w:szCs w:val="16"/>
                <w:lang w:val="en-GB" w:eastAsia="en-GB"/>
              </w:rPr>
            </w:pPr>
          </w:p>
        </w:tc>
        <w:tc>
          <w:tcPr>
            <w:tcW w:w="3780" w:type="dxa"/>
            <w:tcBorders>
              <w:top w:val="nil"/>
              <w:left w:val="single" w:sz="4" w:space="0" w:color="auto"/>
              <w:bottom w:val="nil"/>
              <w:right w:val="single" w:sz="4" w:space="0" w:color="auto"/>
            </w:tcBorders>
            <w:vAlign w:val="center"/>
            <w:hideMark/>
          </w:tcPr>
          <w:p w:rsidR="006F0914" w:rsidRPr="006F0914" w:rsidRDefault="006F0914" w:rsidP="007C11F3">
            <w:pPr>
              <w:jc w:val="both"/>
              <w:rPr>
                <w:rFonts w:ascii="Verdana" w:eastAsia="Times New Roman" w:hAnsi="Verdana" w:cs="Arial"/>
                <w:b/>
                <w:sz w:val="16"/>
                <w:szCs w:val="16"/>
                <w:lang w:val="en-GB" w:eastAsia="en-GB"/>
              </w:rPr>
            </w:pPr>
            <w:r w:rsidRPr="006F0914">
              <w:rPr>
                <w:rFonts w:ascii="Verdana" w:eastAsia="Times New Roman" w:hAnsi="Verdana" w:cs="Arial"/>
                <w:b/>
                <w:sz w:val="16"/>
                <w:szCs w:val="16"/>
                <w:lang w:val="en-GB" w:eastAsia="en-GB"/>
              </w:rPr>
              <w:t>Current Assets:</w:t>
            </w:r>
          </w:p>
        </w:tc>
        <w:tc>
          <w:tcPr>
            <w:tcW w:w="1440" w:type="dxa"/>
            <w:tcBorders>
              <w:top w:val="nil"/>
              <w:left w:val="single" w:sz="4" w:space="0" w:color="auto"/>
              <w:bottom w:val="nil"/>
              <w:right w:val="single" w:sz="4" w:space="0" w:color="auto"/>
            </w:tcBorders>
            <w:vAlign w:val="center"/>
          </w:tcPr>
          <w:p w:rsidR="006F0914" w:rsidRPr="006F0914" w:rsidRDefault="006F0914" w:rsidP="007C11F3">
            <w:pPr>
              <w:jc w:val="center"/>
              <w:rPr>
                <w:rFonts w:ascii="Verdana" w:eastAsia="Times New Roman" w:hAnsi="Verdana" w:cs="Arial"/>
                <w:sz w:val="16"/>
                <w:szCs w:val="16"/>
                <w:lang w:val="en-GB" w:eastAsia="en-GB"/>
              </w:rPr>
            </w:pPr>
          </w:p>
        </w:tc>
      </w:tr>
      <w:tr w:rsidR="006F0914" w:rsidRPr="009962A0" w:rsidTr="007C11F3">
        <w:trPr>
          <w:trHeight w:val="285"/>
          <w:jc w:val="center"/>
        </w:trPr>
        <w:tc>
          <w:tcPr>
            <w:tcW w:w="1380" w:type="dxa"/>
            <w:tcBorders>
              <w:top w:val="nil"/>
              <w:left w:val="single" w:sz="4" w:space="0" w:color="auto"/>
              <w:bottom w:val="nil"/>
              <w:right w:val="single" w:sz="4" w:space="0" w:color="auto"/>
            </w:tcBorders>
            <w:vAlign w:val="center"/>
            <w:hideMark/>
          </w:tcPr>
          <w:p w:rsidR="006F0914" w:rsidRPr="006F0914" w:rsidRDefault="006F0914" w:rsidP="007C11F3">
            <w:pPr>
              <w:jc w:val="center"/>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0</w:t>
            </w:r>
          </w:p>
        </w:tc>
        <w:tc>
          <w:tcPr>
            <w:tcW w:w="3780" w:type="dxa"/>
            <w:tcBorders>
              <w:top w:val="nil"/>
              <w:left w:val="single" w:sz="4" w:space="0" w:color="auto"/>
              <w:bottom w:val="nil"/>
              <w:right w:val="single" w:sz="4" w:space="0" w:color="auto"/>
            </w:tcBorders>
            <w:vAlign w:val="center"/>
            <w:hideMark/>
          </w:tcPr>
          <w:p w:rsidR="006F0914" w:rsidRPr="006F0914" w:rsidRDefault="006F0914" w:rsidP="007C11F3">
            <w:pPr>
              <w:jc w:val="both"/>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 xml:space="preserve">Contributions due from the </w:t>
            </w:r>
            <w:smartTag w:uri="urn:schemas-microsoft-com:office:smarttags" w:element="stockticker">
              <w:r w:rsidRPr="006F0914">
                <w:rPr>
                  <w:rFonts w:ascii="Verdana" w:eastAsia="Times New Roman" w:hAnsi="Verdana" w:cs="Arial"/>
                  <w:sz w:val="16"/>
                  <w:szCs w:val="16"/>
                  <w:lang w:val="en-GB" w:eastAsia="en-GB"/>
                </w:rPr>
                <w:t>PCC</w:t>
              </w:r>
            </w:smartTag>
          </w:p>
        </w:tc>
        <w:tc>
          <w:tcPr>
            <w:tcW w:w="1440" w:type="dxa"/>
            <w:tcBorders>
              <w:top w:val="nil"/>
              <w:left w:val="single" w:sz="4" w:space="0" w:color="auto"/>
              <w:bottom w:val="nil"/>
              <w:right w:val="single" w:sz="4" w:space="0" w:color="auto"/>
            </w:tcBorders>
            <w:vAlign w:val="center"/>
            <w:hideMark/>
          </w:tcPr>
          <w:p w:rsidR="006F0914" w:rsidRPr="006F0914" w:rsidRDefault="006F0914" w:rsidP="007C11F3">
            <w:pPr>
              <w:jc w:val="center"/>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0</w:t>
            </w:r>
          </w:p>
        </w:tc>
      </w:tr>
      <w:tr w:rsidR="006F0914" w:rsidRPr="009962A0" w:rsidTr="007C11F3">
        <w:trPr>
          <w:trHeight w:val="285"/>
          <w:jc w:val="center"/>
        </w:trPr>
        <w:tc>
          <w:tcPr>
            <w:tcW w:w="1380" w:type="dxa"/>
            <w:tcBorders>
              <w:top w:val="nil"/>
              <w:left w:val="single" w:sz="4" w:space="0" w:color="auto"/>
              <w:bottom w:val="nil"/>
              <w:right w:val="single" w:sz="4" w:space="0" w:color="auto"/>
            </w:tcBorders>
            <w:vAlign w:val="center"/>
            <w:hideMark/>
          </w:tcPr>
          <w:p w:rsidR="006F0914" w:rsidRPr="006F0914" w:rsidRDefault="006F0914" w:rsidP="007C11F3">
            <w:pPr>
              <w:jc w:val="center"/>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0</w:t>
            </w:r>
          </w:p>
        </w:tc>
        <w:tc>
          <w:tcPr>
            <w:tcW w:w="3780" w:type="dxa"/>
            <w:tcBorders>
              <w:top w:val="nil"/>
              <w:left w:val="single" w:sz="4" w:space="0" w:color="auto"/>
              <w:bottom w:val="nil"/>
              <w:right w:val="single" w:sz="4" w:space="0" w:color="auto"/>
            </w:tcBorders>
            <w:vAlign w:val="center"/>
            <w:hideMark/>
          </w:tcPr>
          <w:p w:rsidR="006F0914" w:rsidRPr="006F0914" w:rsidRDefault="006F0914" w:rsidP="007C11F3">
            <w:pPr>
              <w:jc w:val="both"/>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Recoverable overpayments of pensions</w:t>
            </w:r>
          </w:p>
        </w:tc>
        <w:tc>
          <w:tcPr>
            <w:tcW w:w="1440" w:type="dxa"/>
            <w:tcBorders>
              <w:top w:val="nil"/>
              <w:left w:val="single" w:sz="4" w:space="0" w:color="auto"/>
              <w:bottom w:val="nil"/>
              <w:right w:val="single" w:sz="4" w:space="0" w:color="auto"/>
            </w:tcBorders>
            <w:vAlign w:val="center"/>
            <w:hideMark/>
          </w:tcPr>
          <w:p w:rsidR="006F0914" w:rsidRPr="006F0914" w:rsidRDefault="006F0914" w:rsidP="007C11F3">
            <w:pPr>
              <w:jc w:val="center"/>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0</w:t>
            </w:r>
          </w:p>
        </w:tc>
      </w:tr>
      <w:tr w:rsidR="006F0914" w:rsidRPr="009962A0" w:rsidTr="007C11F3">
        <w:trPr>
          <w:trHeight w:val="285"/>
          <w:jc w:val="center"/>
        </w:trPr>
        <w:tc>
          <w:tcPr>
            <w:tcW w:w="1380" w:type="dxa"/>
            <w:tcBorders>
              <w:top w:val="nil"/>
              <w:left w:val="single" w:sz="4" w:space="0" w:color="auto"/>
              <w:bottom w:val="nil"/>
              <w:right w:val="single" w:sz="4" w:space="0" w:color="auto"/>
            </w:tcBorders>
            <w:vAlign w:val="center"/>
          </w:tcPr>
          <w:p w:rsidR="006F0914" w:rsidRPr="006F0914" w:rsidRDefault="006F0914" w:rsidP="007C11F3">
            <w:pPr>
              <w:jc w:val="center"/>
              <w:rPr>
                <w:rFonts w:ascii="Verdana" w:eastAsia="Times New Roman" w:hAnsi="Verdana" w:cs="Arial"/>
                <w:sz w:val="16"/>
                <w:szCs w:val="16"/>
                <w:lang w:val="en-GB" w:eastAsia="en-GB"/>
              </w:rPr>
            </w:pPr>
          </w:p>
        </w:tc>
        <w:tc>
          <w:tcPr>
            <w:tcW w:w="3780" w:type="dxa"/>
            <w:tcBorders>
              <w:top w:val="nil"/>
              <w:left w:val="single" w:sz="4" w:space="0" w:color="auto"/>
              <w:bottom w:val="nil"/>
              <w:right w:val="single" w:sz="4" w:space="0" w:color="auto"/>
            </w:tcBorders>
            <w:vAlign w:val="center"/>
            <w:hideMark/>
          </w:tcPr>
          <w:p w:rsidR="006F0914" w:rsidRPr="006F0914" w:rsidRDefault="006F0914" w:rsidP="007C11F3">
            <w:pPr>
              <w:jc w:val="both"/>
              <w:rPr>
                <w:rFonts w:ascii="Verdana" w:eastAsia="Times New Roman" w:hAnsi="Verdana" w:cs="Arial"/>
                <w:b/>
                <w:sz w:val="16"/>
                <w:szCs w:val="16"/>
                <w:lang w:val="en-GB" w:eastAsia="en-GB"/>
              </w:rPr>
            </w:pPr>
            <w:r w:rsidRPr="006F0914">
              <w:rPr>
                <w:rFonts w:ascii="Verdana" w:eastAsia="Times New Roman" w:hAnsi="Verdana" w:cs="Arial"/>
                <w:b/>
                <w:sz w:val="16"/>
                <w:szCs w:val="16"/>
                <w:lang w:val="en-GB" w:eastAsia="en-GB"/>
              </w:rPr>
              <w:t>Current Liabilities:</w:t>
            </w:r>
          </w:p>
        </w:tc>
        <w:tc>
          <w:tcPr>
            <w:tcW w:w="1440" w:type="dxa"/>
            <w:tcBorders>
              <w:top w:val="nil"/>
              <w:left w:val="single" w:sz="4" w:space="0" w:color="auto"/>
              <w:bottom w:val="nil"/>
              <w:right w:val="single" w:sz="4" w:space="0" w:color="auto"/>
            </w:tcBorders>
            <w:vAlign w:val="center"/>
          </w:tcPr>
          <w:p w:rsidR="006F0914" w:rsidRPr="006F0914" w:rsidRDefault="006F0914" w:rsidP="007C11F3">
            <w:pPr>
              <w:jc w:val="center"/>
              <w:rPr>
                <w:rFonts w:ascii="Verdana" w:eastAsia="Times New Roman" w:hAnsi="Verdana" w:cs="Arial"/>
                <w:sz w:val="16"/>
                <w:szCs w:val="16"/>
                <w:lang w:val="en-GB" w:eastAsia="en-GB"/>
              </w:rPr>
            </w:pPr>
          </w:p>
        </w:tc>
      </w:tr>
      <w:tr w:rsidR="006F0914" w:rsidRPr="009962A0" w:rsidTr="007C11F3">
        <w:trPr>
          <w:trHeight w:val="285"/>
          <w:jc w:val="center"/>
        </w:trPr>
        <w:tc>
          <w:tcPr>
            <w:tcW w:w="1380" w:type="dxa"/>
            <w:tcBorders>
              <w:top w:val="nil"/>
              <w:left w:val="single" w:sz="4" w:space="0" w:color="auto"/>
              <w:bottom w:val="nil"/>
              <w:right w:val="single" w:sz="4" w:space="0" w:color="auto"/>
            </w:tcBorders>
            <w:vAlign w:val="center"/>
            <w:hideMark/>
          </w:tcPr>
          <w:p w:rsidR="006F0914" w:rsidRPr="006F0914" w:rsidRDefault="006F0914" w:rsidP="007C11F3">
            <w:pPr>
              <w:jc w:val="center"/>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0</w:t>
            </w:r>
          </w:p>
        </w:tc>
        <w:tc>
          <w:tcPr>
            <w:tcW w:w="3780" w:type="dxa"/>
            <w:tcBorders>
              <w:top w:val="nil"/>
              <w:left w:val="single" w:sz="4" w:space="0" w:color="auto"/>
              <w:bottom w:val="nil"/>
              <w:right w:val="single" w:sz="4" w:space="0" w:color="auto"/>
            </w:tcBorders>
            <w:vAlign w:val="center"/>
            <w:hideMark/>
          </w:tcPr>
          <w:p w:rsidR="006F0914" w:rsidRPr="006F0914" w:rsidRDefault="006F0914" w:rsidP="007C11F3">
            <w:pPr>
              <w:jc w:val="both"/>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Unpaid pensions benefits</w:t>
            </w:r>
          </w:p>
        </w:tc>
        <w:tc>
          <w:tcPr>
            <w:tcW w:w="1440" w:type="dxa"/>
            <w:tcBorders>
              <w:top w:val="nil"/>
              <w:left w:val="single" w:sz="4" w:space="0" w:color="auto"/>
              <w:bottom w:val="nil"/>
              <w:right w:val="single" w:sz="4" w:space="0" w:color="auto"/>
            </w:tcBorders>
            <w:vAlign w:val="center"/>
            <w:hideMark/>
          </w:tcPr>
          <w:p w:rsidR="006F0914" w:rsidRPr="006F0914" w:rsidRDefault="006F0914" w:rsidP="007C11F3">
            <w:pPr>
              <w:jc w:val="center"/>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0</w:t>
            </w:r>
          </w:p>
        </w:tc>
      </w:tr>
      <w:tr w:rsidR="006F0914" w:rsidRPr="009962A0" w:rsidTr="007C11F3">
        <w:trPr>
          <w:trHeight w:val="285"/>
          <w:jc w:val="center"/>
        </w:trPr>
        <w:tc>
          <w:tcPr>
            <w:tcW w:w="1380" w:type="dxa"/>
            <w:tcBorders>
              <w:top w:val="nil"/>
              <w:left w:val="single" w:sz="4" w:space="0" w:color="auto"/>
              <w:bottom w:val="single" w:sz="4" w:space="0" w:color="auto"/>
              <w:right w:val="single" w:sz="4" w:space="0" w:color="auto"/>
            </w:tcBorders>
            <w:vAlign w:val="center"/>
            <w:hideMark/>
          </w:tcPr>
          <w:p w:rsidR="006F0914" w:rsidRPr="006F0914" w:rsidRDefault="006F0914" w:rsidP="007C11F3">
            <w:pPr>
              <w:jc w:val="center"/>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0</w:t>
            </w:r>
          </w:p>
        </w:tc>
        <w:tc>
          <w:tcPr>
            <w:tcW w:w="3780" w:type="dxa"/>
            <w:tcBorders>
              <w:top w:val="nil"/>
              <w:left w:val="single" w:sz="4" w:space="0" w:color="auto"/>
              <w:bottom w:val="single" w:sz="4" w:space="0" w:color="auto"/>
              <w:right w:val="single" w:sz="4" w:space="0" w:color="auto"/>
            </w:tcBorders>
            <w:vAlign w:val="center"/>
            <w:hideMark/>
          </w:tcPr>
          <w:p w:rsidR="006F0914" w:rsidRPr="006F0914" w:rsidRDefault="006F0914" w:rsidP="007C11F3">
            <w:pPr>
              <w:jc w:val="both"/>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 xml:space="preserve">Surplus for the year owing to the </w:t>
            </w:r>
            <w:smartTag w:uri="urn:schemas-microsoft-com:office:smarttags" w:element="stockticker">
              <w:r w:rsidRPr="006F0914">
                <w:rPr>
                  <w:rFonts w:ascii="Verdana" w:eastAsia="Times New Roman" w:hAnsi="Verdana" w:cs="Arial"/>
                  <w:sz w:val="16"/>
                  <w:szCs w:val="16"/>
                  <w:lang w:val="en-GB" w:eastAsia="en-GB"/>
                </w:rPr>
                <w:t>PCC</w:t>
              </w:r>
            </w:smartTag>
          </w:p>
        </w:tc>
        <w:tc>
          <w:tcPr>
            <w:tcW w:w="1440" w:type="dxa"/>
            <w:tcBorders>
              <w:top w:val="nil"/>
              <w:left w:val="single" w:sz="4" w:space="0" w:color="auto"/>
              <w:bottom w:val="single" w:sz="4" w:space="0" w:color="auto"/>
              <w:right w:val="single" w:sz="4" w:space="0" w:color="auto"/>
            </w:tcBorders>
            <w:vAlign w:val="center"/>
            <w:hideMark/>
          </w:tcPr>
          <w:p w:rsidR="006F0914" w:rsidRPr="006F0914" w:rsidRDefault="006F0914" w:rsidP="007C11F3">
            <w:pPr>
              <w:jc w:val="center"/>
              <w:rPr>
                <w:rFonts w:ascii="Verdana" w:eastAsia="Times New Roman" w:hAnsi="Verdana" w:cs="Arial"/>
                <w:sz w:val="16"/>
                <w:szCs w:val="16"/>
                <w:lang w:val="en-GB" w:eastAsia="en-GB"/>
              </w:rPr>
            </w:pPr>
            <w:r w:rsidRPr="006F0914">
              <w:rPr>
                <w:rFonts w:ascii="Verdana" w:eastAsia="Times New Roman" w:hAnsi="Verdana" w:cs="Arial"/>
                <w:sz w:val="16"/>
                <w:szCs w:val="16"/>
                <w:lang w:val="en-GB" w:eastAsia="en-GB"/>
              </w:rPr>
              <w:t>0</w:t>
            </w:r>
          </w:p>
        </w:tc>
      </w:tr>
      <w:tr w:rsidR="006F0914" w:rsidRPr="009962A0" w:rsidTr="007C11F3">
        <w:trPr>
          <w:trHeight w:val="285"/>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6F0914" w:rsidRPr="006F0914" w:rsidRDefault="006F0914" w:rsidP="007C11F3">
            <w:pPr>
              <w:jc w:val="center"/>
              <w:rPr>
                <w:rFonts w:ascii="Verdana" w:eastAsia="Times New Roman" w:hAnsi="Verdana" w:cs="Arial"/>
                <w:b/>
                <w:sz w:val="16"/>
                <w:szCs w:val="16"/>
                <w:lang w:val="en-GB" w:eastAsia="en-GB"/>
              </w:rPr>
            </w:pPr>
            <w:r w:rsidRPr="006F0914">
              <w:rPr>
                <w:rFonts w:ascii="Verdana" w:eastAsia="Times New Roman" w:hAnsi="Verdana" w:cs="Arial"/>
                <w:b/>
                <w:sz w:val="16"/>
                <w:szCs w:val="16"/>
                <w:lang w:val="en-GB" w:eastAsia="en-GB"/>
              </w:rPr>
              <w:t>0</w:t>
            </w:r>
          </w:p>
        </w:tc>
        <w:tc>
          <w:tcPr>
            <w:tcW w:w="3780" w:type="dxa"/>
            <w:tcBorders>
              <w:top w:val="single" w:sz="4" w:space="0" w:color="auto"/>
              <w:left w:val="single" w:sz="4" w:space="0" w:color="auto"/>
              <w:bottom w:val="single" w:sz="4" w:space="0" w:color="auto"/>
              <w:right w:val="single" w:sz="4" w:space="0" w:color="auto"/>
            </w:tcBorders>
            <w:vAlign w:val="center"/>
            <w:hideMark/>
          </w:tcPr>
          <w:p w:rsidR="006F0914" w:rsidRPr="006F0914" w:rsidRDefault="006F0914" w:rsidP="007C11F3">
            <w:pPr>
              <w:jc w:val="both"/>
              <w:rPr>
                <w:rFonts w:ascii="Verdana" w:eastAsia="Times New Roman" w:hAnsi="Verdana" w:cs="Arial"/>
                <w:b/>
                <w:sz w:val="16"/>
                <w:szCs w:val="16"/>
                <w:lang w:val="en-GB" w:eastAsia="en-GB"/>
              </w:rPr>
            </w:pPr>
            <w:r w:rsidRPr="006F0914">
              <w:rPr>
                <w:rFonts w:ascii="Verdana" w:eastAsia="Times New Roman" w:hAnsi="Verdana" w:cs="Arial"/>
                <w:b/>
                <w:sz w:val="16"/>
                <w:szCs w:val="16"/>
                <w:lang w:val="en-GB" w:eastAsia="en-GB"/>
              </w:rPr>
              <w:t>Net Assets / (Liabilities)</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0914" w:rsidRPr="006F0914" w:rsidRDefault="006F0914" w:rsidP="007C11F3">
            <w:pPr>
              <w:jc w:val="center"/>
              <w:rPr>
                <w:rFonts w:ascii="Verdana" w:eastAsia="Times New Roman" w:hAnsi="Verdana" w:cs="Arial"/>
                <w:b/>
                <w:sz w:val="16"/>
                <w:szCs w:val="16"/>
                <w:lang w:val="en-GB" w:eastAsia="en-GB"/>
              </w:rPr>
            </w:pPr>
            <w:r w:rsidRPr="006F0914">
              <w:rPr>
                <w:rFonts w:ascii="Verdana" w:eastAsia="Times New Roman" w:hAnsi="Verdana" w:cs="Arial"/>
                <w:b/>
                <w:sz w:val="16"/>
                <w:szCs w:val="16"/>
                <w:lang w:val="en-GB" w:eastAsia="en-GB"/>
              </w:rPr>
              <w:t>0</w:t>
            </w:r>
          </w:p>
        </w:tc>
      </w:tr>
    </w:tbl>
    <w:p w:rsidR="006F0914" w:rsidRPr="00D56A15" w:rsidRDefault="006F0914" w:rsidP="006F0914">
      <w:pPr>
        <w:pStyle w:val="Heading1"/>
        <w:rPr>
          <w:lang w:eastAsia="en-GB"/>
        </w:rPr>
      </w:pPr>
      <w:bookmarkStart w:id="37" w:name="_Toc15152187"/>
      <w:bookmarkStart w:id="38" w:name="_Toc43672344"/>
      <w:bookmarkStart w:id="39" w:name="_Toc55901003"/>
      <w:r w:rsidRPr="00D56A15">
        <w:rPr>
          <w:lang w:eastAsia="en-GB"/>
        </w:rPr>
        <w:t>Police Pension Funds - Notes</w:t>
      </w:r>
      <w:bookmarkEnd w:id="37"/>
      <w:bookmarkEnd w:id="38"/>
      <w:bookmarkEnd w:id="39"/>
    </w:p>
    <w:p w:rsidR="006F0914" w:rsidRPr="00915848" w:rsidRDefault="006F0914" w:rsidP="006F0914">
      <w:pPr>
        <w:pStyle w:val="Normal0"/>
        <w:rPr>
          <w:sz w:val="22"/>
          <w:lang w:val="en-GB" w:eastAsia="en-GB"/>
        </w:rPr>
      </w:pPr>
    </w:p>
    <w:p w:rsidR="006F0914" w:rsidRPr="00FC64AD" w:rsidRDefault="006F0914" w:rsidP="006F0914">
      <w:pPr>
        <w:pStyle w:val="Normal0"/>
        <w:rPr>
          <w:rFonts w:ascii="Verdana" w:hAnsi="Verdana"/>
          <w:b/>
          <w:sz w:val="22"/>
          <w:szCs w:val="22"/>
          <w:lang w:val="en-GB" w:eastAsia="en-GB"/>
        </w:rPr>
      </w:pPr>
      <w:r w:rsidRPr="00FC64AD">
        <w:rPr>
          <w:rFonts w:ascii="Verdana" w:hAnsi="Verdana"/>
          <w:b/>
          <w:sz w:val="22"/>
          <w:szCs w:val="22"/>
          <w:lang w:val="en-GB" w:eastAsia="en-GB"/>
        </w:rPr>
        <w:t>Accounting Policies</w:t>
      </w:r>
    </w:p>
    <w:p w:rsidR="006F0914" w:rsidRPr="00FC64AD" w:rsidRDefault="006F0914" w:rsidP="006F0914">
      <w:pPr>
        <w:pStyle w:val="Normal0"/>
        <w:rPr>
          <w:rFonts w:ascii="Verdana" w:hAnsi="Verdana"/>
          <w:sz w:val="22"/>
          <w:szCs w:val="22"/>
          <w:lang w:val="en-GB" w:eastAsia="en-GB"/>
        </w:rPr>
      </w:pPr>
    </w:p>
    <w:p w:rsidR="006F0914" w:rsidRPr="00FC64AD" w:rsidRDefault="006F0914" w:rsidP="006F0914">
      <w:pPr>
        <w:pStyle w:val="Normal0"/>
        <w:jc w:val="both"/>
        <w:rPr>
          <w:rFonts w:ascii="Verdana" w:hAnsi="Verdana"/>
          <w:sz w:val="22"/>
          <w:szCs w:val="22"/>
          <w:lang w:val="en-GB" w:eastAsia="en-GB"/>
        </w:rPr>
      </w:pPr>
      <w:r w:rsidRPr="00FC64AD">
        <w:rPr>
          <w:rFonts w:ascii="Verdana" w:hAnsi="Verdana"/>
          <w:sz w:val="22"/>
          <w:szCs w:val="22"/>
          <w:lang w:val="en-GB" w:eastAsia="en-GB"/>
        </w:rPr>
        <w:t>The Police Pension Account Statements have been prepared to meet the requirements of Regulation 7(1) (d) of the Accounts and Audit Regulations 2003, which states that Chief Constables are obliged to include the police pensions account in their statement of accounts.  They also meet the requirements of the Code of Practice on Local Authority Accounting in the United Kingdom 2018/19 based on International Financial Reporting Standards IAS19, as last amended on 16 June 2011.  The Accounts have been prepared on an accruals basis.  The statements do not take account of liabilities to pay pensions and other benefits in the future.  This is reported upon separately in the Actuary’s statement.</w:t>
      </w:r>
    </w:p>
    <w:p w:rsidR="006F0914" w:rsidRPr="00FC64AD" w:rsidRDefault="006F0914" w:rsidP="006F0914">
      <w:pPr>
        <w:pStyle w:val="Normal0"/>
        <w:jc w:val="both"/>
        <w:rPr>
          <w:rFonts w:ascii="Verdana" w:hAnsi="Verdana"/>
          <w:sz w:val="22"/>
          <w:szCs w:val="22"/>
          <w:lang w:val="en-GB" w:eastAsia="en-GB"/>
        </w:rPr>
      </w:pPr>
    </w:p>
    <w:p w:rsidR="006F0914" w:rsidRPr="00FC64AD" w:rsidRDefault="006F0914" w:rsidP="006F0914">
      <w:pPr>
        <w:jc w:val="both"/>
        <w:rPr>
          <w:rFonts w:cs="Arial"/>
          <w:b/>
          <w:lang w:val="en-GB" w:eastAsia="en-GB"/>
        </w:rPr>
      </w:pPr>
      <w:r w:rsidRPr="00FC64AD">
        <w:rPr>
          <w:rFonts w:cs="Arial"/>
          <w:b/>
          <w:lang w:val="en-GB" w:eastAsia="en-GB"/>
        </w:rPr>
        <w:t>Explanatory Notes to the Police Pension Fund Account Statements</w:t>
      </w:r>
    </w:p>
    <w:p w:rsidR="006F0914" w:rsidRPr="00FC64AD" w:rsidRDefault="006F0914" w:rsidP="006F0914">
      <w:pPr>
        <w:pStyle w:val="Normal0"/>
        <w:jc w:val="both"/>
        <w:rPr>
          <w:rFonts w:ascii="Verdana" w:hAnsi="Verdana"/>
          <w:sz w:val="22"/>
          <w:szCs w:val="22"/>
          <w:lang w:val="en-GB" w:eastAsia="en-GB"/>
        </w:rPr>
      </w:pPr>
    </w:p>
    <w:p w:rsidR="006F0914" w:rsidRPr="00FC64AD" w:rsidRDefault="006F0914" w:rsidP="006F0914">
      <w:pPr>
        <w:pStyle w:val="Normal0"/>
        <w:jc w:val="both"/>
        <w:rPr>
          <w:rFonts w:ascii="Verdana" w:hAnsi="Verdana"/>
          <w:sz w:val="22"/>
          <w:szCs w:val="22"/>
          <w:lang w:val="en-GB" w:eastAsia="en-GB"/>
        </w:rPr>
      </w:pPr>
      <w:r w:rsidRPr="00FC64AD">
        <w:rPr>
          <w:rFonts w:ascii="Verdana" w:hAnsi="Verdana"/>
          <w:sz w:val="22"/>
          <w:szCs w:val="22"/>
          <w:lang w:val="en-GB" w:eastAsia="en-GB"/>
        </w:rPr>
        <w:t>The Chief Constable is required to include a separate police pension account in their Statement of Accounts and is responsible for paying the pension of its former police officers.  The Pension Fund is administered by the Chief Constable in accordance with the Police Pension Fund Regulations 2007 (SI 2007 No 1932).</w:t>
      </w:r>
    </w:p>
    <w:p w:rsidR="006F0914" w:rsidRPr="00FC64AD" w:rsidRDefault="006F0914" w:rsidP="006F0914">
      <w:pPr>
        <w:pStyle w:val="Normal0"/>
        <w:jc w:val="both"/>
        <w:rPr>
          <w:rFonts w:ascii="Verdana" w:hAnsi="Verdana"/>
          <w:sz w:val="22"/>
          <w:szCs w:val="22"/>
          <w:lang w:val="en-GB" w:eastAsia="en-GB"/>
        </w:rPr>
      </w:pPr>
    </w:p>
    <w:p w:rsidR="006F0914" w:rsidRPr="00FC64AD" w:rsidRDefault="006F0914" w:rsidP="006F0914">
      <w:pPr>
        <w:pStyle w:val="Normal0"/>
        <w:jc w:val="both"/>
        <w:rPr>
          <w:rFonts w:ascii="Verdana" w:hAnsi="Verdana"/>
          <w:sz w:val="22"/>
          <w:szCs w:val="22"/>
          <w:lang w:val="en-GB" w:eastAsia="en-GB"/>
        </w:rPr>
      </w:pPr>
      <w:r w:rsidRPr="00FC64AD">
        <w:rPr>
          <w:rFonts w:ascii="Verdana" w:hAnsi="Verdana"/>
          <w:sz w:val="22"/>
          <w:szCs w:val="22"/>
          <w:lang w:val="en-GB" w:eastAsia="en-GB"/>
        </w:rPr>
        <w:t xml:space="preserve">On 1 April 2006 new arrangements came into being for funding and accounting for the Police Pension Schemes.  Before 1 April 2006 these pensions were paid from the Revenue Account and the Authority (preceding the Police Reform and Social Responsibility Act 2011 creating the two corporation sole bodies; the Police and Crime Commissioner for </w:t>
      </w:r>
      <w:r>
        <w:rPr>
          <w:rFonts w:ascii="Verdana" w:hAnsi="Verdana"/>
          <w:sz w:val="22"/>
          <w:szCs w:val="22"/>
          <w:lang w:val="en-GB" w:eastAsia="en-GB"/>
        </w:rPr>
        <w:t>Surrey</w:t>
      </w:r>
      <w:r w:rsidRPr="00FC64AD">
        <w:rPr>
          <w:rFonts w:ascii="Verdana" w:hAnsi="Verdana"/>
          <w:sz w:val="22"/>
          <w:szCs w:val="22"/>
          <w:lang w:val="en-GB" w:eastAsia="en-GB"/>
        </w:rPr>
        <w:t xml:space="preserve"> a</w:t>
      </w:r>
      <w:r>
        <w:rPr>
          <w:rFonts w:ascii="Verdana" w:hAnsi="Verdana"/>
          <w:sz w:val="22"/>
          <w:szCs w:val="22"/>
          <w:lang w:val="en-GB" w:eastAsia="en-GB"/>
        </w:rPr>
        <w:t>nd the Chief Constable of Surrey</w:t>
      </w:r>
      <w:r w:rsidRPr="00FC64AD">
        <w:rPr>
          <w:rFonts w:ascii="Verdana" w:hAnsi="Verdana"/>
          <w:sz w:val="22"/>
          <w:szCs w:val="22"/>
          <w:lang w:val="en-GB" w:eastAsia="en-GB"/>
        </w:rPr>
        <w:t>) received funding from central government as part of the general funding formula to support payments of pensions.  Prior to 1 April 2006, there were no employer contributions based on pensionable pay and no top-up grants.</w:t>
      </w:r>
    </w:p>
    <w:p w:rsidR="006F0914" w:rsidRPr="00FC64AD" w:rsidRDefault="006F0914" w:rsidP="006F0914">
      <w:pPr>
        <w:pStyle w:val="Normal0"/>
        <w:jc w:val="both"/>
        <w:rPr>
          <w:rFonts w:ascii="Verdana" w:hAnsi="Verdana"/>
          <w:sz w:val="22"/>
          <w:szCs w:val="22"/>
          <w:lang w:val="en-GB" w:eastAsia="en-GB"/>
        </w:rPr>
      </w:pPr>
    </w:p>
    <w:p w:rsidR="006F0914" w:rsidRPr="00FC64AD" w:rsidRDefault="006F0914" w:rsidP="006F0914">
      <w:pPr>
        <w:pStyle w:val="Normal0"/>
        <w:jc w:val="both"/>
        <w:rPr>
          <w:rFonts w:ascii="Verdana" w:hAnsi="Verdana"/>
          <w:sz w:val="22"/>
          <w:szCs w:val="22"/>
          <w:lang w:val="en-GB" w:eastAsia="en-GB"/>
        </w:rPr>
      </w:pPr>
      <w:r w:rsidRPr="00FC64AD">
        <w:rPr>
          <w:rFonts w:ascii="Verdana" w:hAnsi="Verdana"/>
          <w:sz w:val="22"/>
          <w:szCs w:val="22"/>
          <w:lang w:val="en-GB" w:eastAsia="en-GB"/>
        </w:rPr>
        <w:t>From 1 April 2006 pensions are paid from a separate local police pensions account, rather than direct from the Income and Expenditure Account.  Overall the change to the financial arrangements for police officer pensions is intended to be ‘cost neutral’ with no impact on either the national or local council tax payer.</w:t>
      </w:r>
    </w:p>
    <w:p w:rsidR="006F0914" w:rsidRPr="00FC64AD" w:rsidRDefault="006F0914" w:rsidP="006F0914">
      <w:pPr>
        <w:pStyle w:val="Normal0"/>
        <w:jc w:val="both"/>
        <w:rPr>
          <w:rFonts w:ascii="Verdana" w:hAnsi="Verdana"/>
          <w:sz w:val="22"/>
          <w:szCs w:val="22"/>
          <w:lang w:val="en-GB" w:eastAsia="en-GB"/>
        </w:rPr>
      </w:pPr>
    </w:p>
    <w:p w:rsidR="006F0914" w:rsidRPr="00A31703" w:rsidRDefault="006F0914" w:rsidP="006F0914">
      <w:pPr>
        <w:pStyle w:val="Normal0"/>
        <w:jc w:val="both"/>
        <w:rPr>
          <w:rFonts w:ascii="Verdana" w:hAnsi="Verdana"/>
          <w:sz w:val="22"/>
          <w:lang w:val="en-GB" w:eastAsia="en-GB"/>
        </w:rPr>
      </w:pPr>
      <w:r w:rsidRPr="00FC64AD">
        <w:rPr>
          <w:rFonts w:ascii="Verdana" w:hAnsi="Verdana"/>
          <w:sz w:val="22"/>
          <w:lang w:val="en-GB" w:eastAsia="en-GB"/>
        </w:rPr>
        <w:t>There are currently three Police Officer pension schemes. Officers in the ‘old scheme’ currently contribute between 14.25% and 15.05% depending upon level of basic annual salary (prior to 1 April 2012 officers in the ‘old scheme’ contributed 11% of pensionable pay).  Officers in the ‘new scheme’ currently contribute between 11.0% and 12.75% depending upon level of basic annual salary (prior to 1 April 2012 officers in the ‘new scheme’ contributed 9.5% of earnings or 6% if ineligible for ill-health benefits).  From 1 April 2015 the Police Pensions Scheme 2015 came into effect and all current active members were transferred to this scheme – with the exception of those qualifying for protections allowing them to remain in their current scheme.  Officers contribute between 12.44% and 13.78% depending on their basic salary.  The Chief Constable makes an</w:t>
      </w:r>
      <w:r>
        <w:rPr>
          <w:rFonts w:ascii="Verdana" w:hAnsi="Verdana"/>
          <w:sz w:val="22"/>
          <w:lang w:val="en-GB" w:eastAsia="en-GB"/>
        </w:rPr>
        <w:t xml:space="preserve"> employer’s contribution of 31</w:t>
      </w:r>
      <w:r w:rsidRPr="00FC64AD">
        <w:rPr>
          <w:rFonts w:ascii="Verdana" w:hAnsi="Verdana"/>
          <w:sz w:val="22"/>
          <w:lang w:val="en-GB" w:eastAsia="en-GB"/>
        </w:rPr>
        <w:t xml:space="preserve">% of pensionable pay.  Employee’s and Employer’s contribution levels are based on percentages of pensionable pay set nationally by the Home Office and are subject to triennial revaluation by the Government Actuary’s Department.  The Police Pension scheme has no assets to cover it liabilities, therefore the total payments to pensioners in any year must be paid for by current officer </w:t>
      </w:r>
      <w:r w:rsidRPr="00A31703">
        <w:rPr>
          <w:rFonts w:ascii="Verdana" w:hAnsi="Verdana"/>
          <w:sz w:val="22"/>
          <w:lang w:val="en-GB" w:eastAsia="en-GB"/>
        </w:rPr>
        <w:t>and employer contributions.</w:t>
      </w:r>
    </w:p>
    <w:p w:rsidR="006F0914" w:rsidRPr="00A31703" w:rsidRDefault="006F0914" w:rsidP="006F0914">
      <w:pPr>
        <w:pStyle w:val="Normal0"/>
        <w:jc w:val="both"/>
        <w:rPr>
          <w:rFonts w:ascii="Verdana" w:eastAsia="Times New Roman" w:hAnsi="Verdana"/>
          <w:sz w:val="22"/>
          <w:lang w:val="en-GB" w:eastAsia="en-GB"/>
        </w:rPr>
      </w:pPr>
    </w:p>
    <w:p w:rsidR="006F0914" w:rsidRPr="00FC64AD" w:rsidRDefault="006F0914" w:rsidP="006F0914">
      <w:pPr>
        <w:pStyle w:val="Normal0"/>
        <w:jc w:val="both"/>
        <w:rPr>
          <w:rFonts w:ascii="Verdana" w:eastAsia="Times New Roman" w:hAnsi="Verdana"/>
          <w:sz w:val="22"/>
          <w:lang w:val="en-GB" w:eastAsia="en-GB"/>
        </w:rPr>
      </w:pPr>
      <w:r w:rsidRPr="00A31703">
        <w:rPr>
          <w:rFonts w:ascii="Verdana" w:eastAsia="Times New Roman" w:hAnsi="Verdana"/>
          <w:sz w:val="22"/>
          <w:lang w:val="en-GB" w:eastAsia="en-GB"/>
        </w:rPr>
        <w:t>Under the current financing arrangements the Pension Account is balanced to nil at the end of the year.  In the event that the Pension Account is in deficit, the Home Office partially reimburse the Police and Crime Commissioner</w:t>
      </w:r>
      <w:r>
        <w:rPr>
          <w:rFonts w:ascii="Verdana" w:eastAsia="Times New Roman" w:hAnsi="Verdana"/>
          <w:sz w:val="22"/>
          <w:lang w:val="en-GB" w:eastAsia="en-GB"/>
        </w:rPr>
        <w:t xml:space="preserve"> and</w:t>
      </w:r>
      <w:r w:rsidRPr="00A31703">
        <w:rPr>
          <w:rFonts w:ascii="Verdana" w:eastAsia="Times New Roman" w:hAnsi="Verdana"/>
          <w:sz w:val="22"/>
          <w:lang w:val="en-GB" w:eastAsia="en-GB"/>
        </w:rPr>
        <w:t xml:space="preserve"> </w:t>
      </w:r>
      <w:r>
        <w:rPr>
          <w:rFonts w:ascii="Verdana" w:eastAsia="Times New Roman" w:hAnsi="Verdana"/>
          <w:sz w:val="22"/>
          <w:lang w:val="en-GB" w:eastAsia="en-GB"/>
        </w:rPr>
        <w:t>t</w:t>
      </w:r>
      <w:r w:rsidRPr="00A31703">
        <w:rPr>
          <w:rFonts w:ascii="Verdana" w:eastAsia="Times New Roman" w:hAnsi="Verdana"/>
          <w:sz w:val="22"/>
          <w:lang w:val="en-GB" w:eastAsia="en-GB"/>
        </w:rPr>
        <w:t xml:space="preserve">he </w:t>
      </w:r>
      <w:r>
        <w:rPr>
          <w:rFonts w:ascii="Verdana" w:eastAsia="Times New Roman" w:hAnsi="Verdana"/>
          <w:sz w:val="22"/>
          <w:lang w:val="en-GB" w:eastAsia="en-GB"/>
        </w:rPr>
        <w:t xml:space="preserve">remaining </w:t>
      </w:r>
      <w:r w:rsidRPr="00A31703">
        <w:rPr>
          <w:rFonts w:ascii="Verdana" w:eastAsia="Times New Roman" w:hAnsi="Verdana"/>
          <w:sz w:val="22"/>
          <w:lang w:val="en-GB" w:eastAsia="en-GB"/>
        </w:rPr>
        <w:t>amount required to balance it to nil is met from the Police Operating Account.</w:t>
      </w:r>
      <w:r w:rsidRPr="00FC64AD">
        <w:rPr>
          <w:rFonts w:ascii="Verdana" w:eastAsia="Times New Roman" w:hAnsi="Verdana"/>
          <w:sz w:val="22"/>
          <w:lang w:val="en-GB" w:eastAsia="en-GB"/>
        </w:rPr>
        <w:t xml:space="preserve">  </w:t>
      </w:r>
    </w:p>
    <w:p w:rsidR="006F0914" w:rsidRPr="00FC64AD" w:rsidRDefault="006F0914" w:rsidP="006F0914">
      <w:pPr>
        <w:pStyle w:val="Normal0"/>
        <w:jc w:val="both"/>
        <w:rPr>
          <w:rFonts w:ascii="Verdana" w:eastAsia="Times New Roman" w:hAnsi="Verdana"/>
          <w:sz w:val="22"/>
          <w:lang w:val="en-GB" w:eastAsia="en-GB"/>
        </w:rPr>
      </w:pPr>
    </w:p>
    <w:p w:rsidR="006F0914" w:rsidRPr="00FC64AD" w:rsidRDefault="006F0914" w:rsidP="006F0914">
      <w:pPr>
        <w:pStyle w:val="Normal0"/>
        <w:jc w:val="both"/>
        <w:rPr>
          <w:rFonts w:ascii="Verdana" w:eastAsia="Times New Roman" w:hAnsi="Verdana"/>
          <w:sz w:val="22"/>
          <w:lang w:val="en-GB" w:eastAsia="en-GB"/>
        </w:rPr>
      </w:pPr>
      <w:r w:rsidRPr="00FC64AD">
        <w:rPr>
          <w:rFonts w:ascii="Verdana" w:eastAsia="Times New Roman" w:hAnsi="Verdana"/>
          <w:sz w:val="22"/>
          <w:lang w:val="en-GB" w:eastAsia="en-GB"/>
        </w:rPr>
        <w:t xml:space="preserve">The Net Asset Statement does not include liabilities to pay pensions and other benefits after the balance sheet date.  </w:t>
      </w:r>
    </w:p>
    <w:p w:rsidR="006F0914" w:rsidRPr="00FC64AD" w:rsidRDefault="006F0914" w:rsidP="006F0914">
      <w:pPr>
        <w:pStyle w:val="Normal0"/>
        <w:jc w:val="both"/>
        <w:rPr>
          <w:rFonts w:ascii="Verdana" w:eastAsia="Times New Roman" w:hAnsi="Verdana"/>
          <w:sz w:val="22"/>
          <w:lang w:val="en-GB" w:eastAsia="en-GB"/>
        </w:rPr>
      </w:pPr>
    </w:p>
    <w:p w:rsidR="006F0914" w:rsidRPr="00FC64AD" w:rsidRDefault="006F0914" w:rsidP="006F0914">
      <w:pPr>
        <w:pStyle w:val="Normal0"/>
        <w:jc w:val="both"/>
        <w:rPr>
          <w:rFonts w:ascii="Verdana" w:eastAsia="Times New Roman" w:hAnsi="Verdana"/>
          <w:sz w:val="22"/>
          <w:lang w:val="en-GB" w:eastAsia="en-GB"/>
        </w:rPr>
      </w:pPr>
      <w:r w:rsidRPr="00FC64AD">
        <w:rPr>
          <w:rFonts w:ascii="Verdana" w:eastAsia="Times New Roman" w:hAnsi="Verdana"/>
          <w:sz w:val="22"/>
          <w:lang w:val="en-GB" w:eastAsia="en-GB"/>
        </w:rPr>
        <w:t xml:space="preserve">Liabilities to pay future pension benefits have been disclosed </w:t>
      </w:r>
      <w:r w:rsidRPr="003E513C">
        <w:rPr>
          <w:rFonts w:ascii="Verdana" w:eastAsia="Times New Roman" w:hAnsi="Verdana"/>
          <w:sz w:val="22"/>
          <w:lang w:val="en-GB" w:eastAsia="en-GB"/>
        </w:rPr>
        <w:t>separately at Note 1</w:t>
      </w:r>
      <w:r w:rsidR="003E513C" w:rsidRPr="003E513C">
        <w:rPr>
          <w:rFonts w:ascii="Verdana" w:eastAsia="Times New Roman" w:hAnsi="Verdana"/>
          <w:sz w:val="22"/>
          <w:lang w:val="en-GB" w:eastAsia="en-GB"/>
        </w:rPr>
        <w:t>7</w:t>
      </w:r>
      <w:r w:rsidRPr="003E513C">
        <w:rPr>
          <w:rFonts w:ascii="Verdana" w:eastAsia="Times New Roman" w:hAnsi="Verdana"/>
          <w:sz w:val="22"/>
          <w:lang w:val="en-GB" w:eastAsia="en-GB"/>
        </w:rPr>
        <w:t xml:space="preserve"> in accordance with IAS 19 ‘Employee Benefits’.</w:t>
      </w:r>
    </w:p>
    <w:p w:rsidR="006F0914" w:rsidRPr="00FC64AD" w:rsidRDefault="006F0914" w:rsidP="006F0914">
      <w:pPr>
        <w:pStyle w:val="Normal0"/>
        <w:jc w:val="both"/>
        <w:rPr>
          <w:rFonts w:ascii="Verdana" w:eastAsia="Times New Roman" w:hAnsi="Verdana"/>
          <w:sz w:val="22"/>
          <w:lang w:val="en-GB" w:eastAsia="en-GB"/>
        </w:rPr>
      </w:pPr>
    </w:p>
    <w:p w:rsidR="006F0914" w:rsidRPr="00FC64AD" w:rsidRDefault="006F0914" w:rsidP="006F0914">
      <w:pPr>
        <w:pStyle w:val="Normal0"/>
        <w:jc w:val="both"/>
        <w:rPr>
          <w:rFonts w:ascii="Verdana" w:eastAsia="Times New Roman" w:hAnsi="Verdana"/>
          <w:sz w:val="22"/>
          <w:lang w:val="en-GB" w:eastAsia="en-GB"/>
        </w:rPr>
      </w:pPr>
      <w:r w:rsidRPr="00FC64AD">
        <w:rPr>
          <w:rFonts w:ascii="Verdana" w:eastAsia="Times New Roman" w:hAnsi="Verdana"/>
          <w:sz w:val="22"/>
          <w:lang w:val="en-GB" w:eastAsia="en-GB"/>
        </w:rPr>
        <w:t>The New Police Pension Scheme (NPPS) applies to police entrants who joined the service on or after 6 April 2006 up to 31 March 2015, or who chose to transfer from the previous Police Pension Scheme (</w:t>
      </w:r>
      <w:smartTag w:uri="urn:schemas-microsoft-com:office:smarttags" w:element="stockticker">
        <w:r w:rsidRPr="00FC64AD">
          <w:rPr>
            <w:rFonts w:ascii="Verdana" w:eastAsia="Times New Roman" w:hAnsi="Verdana"/>
            <w:sz w:val="22"/>
            <w:lang w:val="en-GB" w:eastAsia="en-GB"/>
          </w:rPr>
          <w:t>PPS</w:t>
        </w:r>
      </w:smartTag>
      <w:r w:rsidRPr="00FC64AD">
        <w:rPr>
          <w:rFonts w:ascii="Verdana" w:eastAsia="Times New Roman" w:hAnsi="Verdana"/>
          <w:sz w:val="22"/>
          <w:lang w:val="en-GB" w:eastAsia="en-GB"/>
        </w:rPr>
        <w:t>) to the NPPS.  The Police Pensions Scheme 2015 applies to all current active members who do not qualify for any protections allowing them to remain in their original scheme.  Benefits payable under all three schemes are shown in tabular form below:</w:t>
      </w:r>
    </w:p>
    <w:p w:rsidR="006F0914" w:rsidRPr="00915848" w:rsidRDefault="006F0914" w:rsidP="006F0914">
      <w:pPr>
        <w:pStyle w:val="Normal00"/>
        <w:ind w:left="500"/>
        <w:rPr>
          <w:rFonts w:eastAsia="Times New Roman" w:cs="Arial"/>
          <w:sz w:val="22"/>
          <w:lang w:val="en-GB" w:eastAsia="en-GB"/>
        </w:r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3013"/>
        <w:gridCol w:w="2697"/>
        <w:gridCol w:w="2983"/>
      </w:tblGrid>
      <w:tr w:rsidR="006F0914" w:rsidTr="007C11F3">
        <w:trPr>
          <w:trHeight w:val="392"/>
          <w:jc w:val="center"/>
        </w:trPr>
        <w:tc>
          <w:tcPr>
            <w:tcW w:w="1935"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b/>
                <w:sz w:val="16"/>
                <w:szCs w:val="16"/>
                <w:lang w:val="en-GB" w:eastAsia="en-GB"/>
              </w:rPr>
            </w:pPr>
          </w:p>
        </w:tc>
        <w:tc>
          <w:tcPr>
            <w:tcW w:w="3013" w:type="dxa"/>
            <w:shd w:val="clear" w:color="auto" w:fill="auto"/>
            <w:vAlign w:val="center"/>
          </w:tcPr>
          <w:p w:rsidR="006F0914" w:rsidRPr="00267D4A" w:rsidRDefault="006F0914" w:rsidP="007C11F3">
            <w:pPr>
              <w:pStyle w:val="Normal00"/>
              <w:tabs>
                <w:tab w:val="center" w:pos="4153"/>
                <w:tab w:val="right" w:pos="8306"/>
              </w:tabs>
              <w:rPr>
                <w:rFonts w:ascii="Verdana" w:eastAsia="Times New Roman" w:hAnsi="Verdana" w:cs="Arial"/>
                <w:b/>
                <w:sz w:val="16"/>
                <w:szCs w:val="16"/>
                <w:lang w:val="en-GB" w:eastAsia="en-GB"/>
              </w:rPr>
            </w:pPr>
            <w:r w:rsidRPr="00267D4A">
              <w:rPr>
                <w:rFonts w:ascii="Verdana" w:eastAsia="Times New Roman" w:hAnsi="Verdana" w:cs="Arial"/>
                <w:b/>
                <w:sz w:val="16"/>
                <w:szCs w:val="16"/>
                <w:lang w:val="en-GB" w:eastAsia="en-GB"/>
              </w:rPr>
              <w:t>Police Pension Scheme (</w:t>
            </w:r>
            <w:smartTag w:uri="urn:schemas-microsoft-com:office:smarttags" w:element="stockticker">
              <w:r w:rsidRPr="00267D4A">
                <w:rPr>
                  <w:rFonts w:ascii="Verdana" w:eastAsia="Times New Roman" w:hAnsi="Verdana" w:cs="Arial"/>
                  <w:b/>
                  <w:sz w:val="16"/>
                  <w:szCs w:val="16"/>
                  <w:lang w:val="en-GB" w:eastAsia="en-GB"/>
                </w:rPr>
                <w:t>PPS</w:t>
              </w:r>
            </w:smartTag>
            <w:r w:rsidRPr="00267D4A">
              <w:rPr>
                <w:rFonts w:ascii="Verdana" w:eastAsia="Times New Roman" w:hAnsi="Verdana" w:cs="Arial"/>
                <w:b/>
                <w:sz w:val="16"/>
                <w:szCs w:val="16"/>
                <w:lang w:val="en-GB" w:eastAsia="en-GB"/>
              </w:rPr>
              <w:t>) (1987)</w:t>
            </w:r>
          </w:p>
        </w:tc>
        <w:tc>
          <w:tcPr>
            <w:tcW w:w="2697" w:type="dxa"/>
            <w:shd w:val="clear" w:color="auto" w:fill="auto"/>
            <w:vAlign w:val="center"/>
          </w:tcPr>
          <w:p w:rsidR="006F0914" w:rsidRPr="00267D4A" w:rsidRDefault="006F0914" w:rsidP="007C11F3">
            <w:pPr>
              <w:pStyle w:val="Normal00"/>
              <w:tabs>
                <w:tab w:val="left" w:pos="1667"/>
                <w:tab w:val="center" w:pos="4153"/>
                <w:tab w:val="right" w:pos="8306"/>
              </w:tabs>
              <w:jc w:val="center"/>
              <w:rPr>
                <w:rFonts w:ascii="Verdana" w:eastAsia="Times New Roman" w:hAnsi="Verdana" w:cs="Arial"/>
                <w:b/>
                <w:sz w:val="16"/>
                <w:szCs w:val="16"/>
                <w:lang w:val="en-GB" w:eastAsia="en-GB"/>
              </w:rPr>
            </w:pPr>
            <w:r w:rsidRPr="00267D4A">
              <w:rPr>
                <w:rFonts w:ascii="Verdana" w:eastAsia="Times New Roman" w:hAnsi="Verdana" w:cs="Arial"/>
                <w:b/>
                <w:sz w:val="16"/>
                <w:szCs w:val="16"/>
                <w:lang w:val="en-GB" w:eastAsia="en-GB"/>
              </w:rPr>
              <w:t>New Police Pension Scheme (NPP) (2006)</w:t>
            </w:r>
          </w:p>
        </w:tc>
        <w:tc>
          <w:tcPr>
            <w:tcW w:w="2983" w:type="dxa"/>
            <w:shd w:val="clear" w:color="auto" w:fill="auto"/>
          </w:tcPr>
          <w:p w:rsidR="006F0914" w:rsidRPr="00267D4A" w:rsidRDefault="006F0914" w:rsidP="007C11F3">
            <w:pPr>
              <w:pStyle w:val="Normal00"/>
              <w:tabs>
                <w:tab w:val="left" w:pos="1667"/>
                <w:tab w:val="center" w:pos="4153"/>
                <w:tab w:val="right" w:pos="8306"/>
              </w:tabs>
              <w:jc w:val="center"/>
              <w:rPr>
                <w:rFonts w:ascii="Verdana" w:eastAsia="Times New Roman" w:hAnsi="Verdana" w:cs="Arial"/>
                <w:b/>
                <w:sz w:val="16"/>
                <w:szCs w:val="16"/>
                <w:lang w:val="en-GB" w:eastAsia="en-GB"/>
              </w:rPr>
            </w:pPr>
            <w:r w:rsidRPr="00267D4A">
              <w:rPr>
                <w:rFonts w:ascii="Verdana" w:eastAsia="Times New Roman" w:hAnsi="Verdana" w:cs="Arial"/>
                <w:b/>
                <w:sz w:val="16"/>
                <w:szCs w:val="16"/>
                <w:lang w:val="en-GB" w:eastAsia="en-GB"/>
              </w:rPr>
              <w:t>Police Pensions Scheme 2015</w:t>
            </w:r>
          </w:p>
        </w:tc>
      </w:tr>
      <w:tr w:rsidR="006F0914" w:rsidTr="007C11F3">
        <w:trPr>
          <w:trHeight w:val="799"/>
          <w:jc w:val="center"/>
        </w:trPr>
        <w:tc>
          <w:tcPr>
            <w:tcW w:w="1935"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What is maximum pension</w:t>
            </w:r>
          </w:p>
        </w:tc>
        <w:tc>
          <w:tcPr>
            <w:tcW w:w="3013"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2/3 final salary, with option to exchange part of the pension for a lump sum</w:t>
            </w:r>
          </w:p>
        </w:tc>
        <w:tc>
          <w:tcPr>
            <w:tcW w:w="2697"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½ final salary plus fixed lump sum of 4 times the pension, with option to exchange part or all of lump sum for extra pension</w:t>
            </w:r>
          </w:p>
        </w:tc>
        <w:tc>
          <w:tcPr>
            <w:tcW w:w="2983"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Pension at retirement is the sum of each of the accrued pension pots, subject to revaluation at a rate of CPI +1.25% per year</w:t>
            </w:r>
          </w:p>
        </w:tc>
      </w:tr>
      <w:tr w:rsidR="006F0914" w:rsidTr="007C11F3">
        <w:trPr>
          <w:trHeight w:val="467"/>
          <w:jc w:val="center"/>
        </w:trPr>
        <w:tc>
          <w:tcPr>
            <w:tcW w:w="1935"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Final salary basis</w:t>
            </w:r>
          </w:p>
        </w:tc>
        <w:tc>
          <w:tcPr>
            <w:tcW w:w="3013"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Pensionable remuneration is normally the average remuneration in the employee’s final year</w:t>
            </w:r>
          </w:p>
        </w:tc>
        <w:tc>
          <w:tcPr>
            <w:tcW w:w="2697" w:type="dxa"/>
            <w:shd w:val="clear" w:color="auto" w:fill="auto"/>
            <w:vAlign w:val="center"/>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Earnings over the last ten years are taken into account via best average over 3 consecutive years</w:t>
            </w:r>
          </w:p>
        </w:tc>
        <w:tc>
          <w:tcPr>
            <w:tcW w:w="2983"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Scheme is a Career Average Revalued Earnings scheme</w:t>
            </w:r>
          </w:p>
        </w:tc>
      </w:tr>
      <w:tr w:rsidR="006F0914" w:rsidTr="007C11F3">
        <w:trPr>
          <w:trHeight w:val="464"/>
          <w:jc w:val="center"/>
        </w:trPr>
        <w:tc>
          <w:tcPr>
            <w:tcW w:w="1935"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Length of service for maximum pension</w:t>
            </w:r>
          </w:p>
        </w:tc>
        <w:tc>
          <w:tcPr>
            <w:tcW w:w="3013" w:type="dxa"/>
            <w:shd w:val="clear" w:color="auto" w:fill="auto"/>
            <w:vAlign w:val="center"/>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30 years</w:t>
            </w:r>
          </w:p>
        </w:tc>
        <w:tc>
          <w:tcPr>
            <w:tcW w:w="2697" w:type="dxa"/>
            <w:shd w:val="clear" w:color="auto" w:fill="auto"/>
            <w:vAlign w:val="center"/>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35 years</w:t>
            </w:r>
          </w:p>
        </w:tc>
        <w:tc>
          <w:tcPr>
            <w:tcW w:w="2983" w:type="dxa"/>
            <w:shd w:val="clear" w:color="auto" w:fill="auto"/>
            <w:vAlign w:val="center"/>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No maximum length of membership</w:t>
            </w:r>
          </w:p>
        </w:tc>
      </w:tr>
      <w:tr w:rsidR="006F0914" w:rsidTr="007C11F3">
        <w:trPr>
          <w:trHeight w:val="630"/>
          <w:jc w:val="center"/>
        </w:trPr>
        <w:tc>
          <w:tcPr>
            <w:tcW w:w="1935"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Earliest age to receive pension</w:t>
            </w:r>
          </w:p>
        </w:tc>
        <w:tc>
          <w:tcPr>
            <w:tcW w:w="3013"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Age 50 after 25 years of service</w:t>
            </w:r>
          </w:p>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Any age after 30 years of service</w:t>
            </w:r>
          </w:p>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Age 55 for less than 25 years of service</w:t>
            </w:r>
          </w:p>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Age 60 if leave service before compulsory retirement age with less than 25 years of service</w:t>
            </w:r>
          </w:p>
        </w:tc>
        <w:tc>
          <w:tcPr>
            <w:tcW w:w="2697" w:type="dxa"/>
            <w:shd w:val="clear" w:color="auto" w:fill="auto"/>
            <w:vAlign w:val="center"/>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Age 55 if remain in police service until that age</w:t>
            </w:r>
          </w:p>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p>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Age 65 if leave police service before age 55 or opting out of the scheme</w:t>
            </w:r>
          </w:p>
        </w:tc>
        <w:tc>
          <w:tcPr>
            <w:tcW w:w="2983"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Age 60 if remain in police service until that age.</w:t>
            </w:r>
          </w:p>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p>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State pension age if leave police service before age 60.</w:t>
            </w:r>
          </w:p>
        </w:tc>
      </w:tr>
      <w:tr w:rsidR="006F0914" w:rsidTr="007C11F3">
        <w:trPr>
          <w:trHeight w:val="560"/>
          <w:jc w:val="center"/>
        </w:trPr>
        <w:tc>
          <w:tcPr>
            <w:tcW w:w="1935"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Pension increases</w:t>
            </w:r>
          </w:p>
        </w:tc>
        <w:tc>
          <w:tcPr>
            <w:tcW w:w="3013"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All pensions in payment, deferred pensions and children’s pensions are increased annually in line with the Consumer Price Index.</w:t>
            </w:r>
          </w:p>
        </w:tc>
        <w:tc>
          <w:tcPr>
            <w:tcW w:w="2697"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All pensions in payment, deferred pensions and children’s pensions are increased annually in line with the Consumer Price Index.</w:t>
            </w:r>
          </w:p>
        </w:tc>
        <w:tc>
          <w:tcPr>
            <w:tcW w:w="2983"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All pensions in payment, deferred pensions and children’s pensions are increased annually in line with the Consumer Price Index.</w:t>
            </w:r>
          </w:p>
        </w:tc>
      </w:tr>
      <w:tr w:rsidR="006F0914" w:rsidTr="007C11F3">
        <w:trPr>
          <w:trHeight w:val="549"/>
          <w:jc w:val="center"/>
        </w:trPr>
        <w:tc>
          <w:tcPr>
            <w:tcW w:w="1935"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How is pension accumulated</w:t>
            </w:r>
          </w:p>
        </w:tc>
        <w:tc>
          <w:tcPr>
            <w:tcW w:w="3013"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1/60 of final salary for first 20 years of service, plus 1/30 for final 10 years of service up to a maximum pension entitlement of 40/60.</w:t>
            </w:r>
          </w:p>
        </w:tc>
        <w:tc>
          <w:tcPr>
            <w:tcW w:w="2697"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 xml:space="preserve">1/70 of final salary for each year of service up to a maximum 50% of final pensionable after 35 years of service. </w:t>
            </w:r>
          </w:p>
        </w:tc>
        <w:tc>
          <w:tcPr>
            <w:tcW w:w="2983" w:type="dxa"/>
            <w:shd w:val="clear" w:color="auto" w:fill="auto"/>
          </w:tcPr>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1/55.3th of pensionable earnings each year is added to the members’ pension pot for each year of membership.</w:t>
            </w:r>
          </w:p>
          <w:p w:rsidR="006F0914" w:rsidRPr="00267D4A" w:rsidRDefault="006F0914" w:rsidP="007C11F3">
            <w:pPr>
              <w:pStyle w:val="Normal00"/>
              <w:tabs>
                <w:tab w:val="center" w:pos="4153"/>
                <w:tab w:val="right" w:pos="8306"/>
              </w:tabs>
              <w:rPr>
                <w:rFonts w:ascii="Verdana" w:eastAsia="Times New Roman" w:hAnsi="Verdana" w:cs="Arial"/>
                <w:sz w:val="16"/>
                <w:szCs w:val="16"/>
                <w:lang w:val="en-GB" w:eastAsia="en-GB"/>
              </w:rPr>
            </w:pPr>
          </w:p>
        </w:tc>
      </w:tr>
    </w:tbl>
    <w:p w:rsidR="006F0914" w:rsidRDefault="006F0914" w:rsidP="006F0914">
      <w:pPr>
        <w:rPr>
          <w:rFonts w:eastAsia="Times New Roman" w:cs="Arial"/>
          <w:b/>
          <w:lang w:val="en-GB" w:eastAsia="en-GB"/>
        </w:rPr>
      </w:pPr>
    </w:p>
    <w:p w:rsidR="006F0914" w:rsidRDefault="006F0914" w:rsidP="004D44FF">
      <w:pPr>
        <w:pStyle w:val="Style2"/>
        <w:jc w:val="both"/>
        <w:rPr>
          <w:rFonts w:ascii="Verdana" w:hAnsi="Verdana" w:cs="Times New Roman"/>
          <w:b w:val="0"/>
          <w:sz w:val="22"/>
          <w:szCs w:val="22"/>
        </w:rPr>
      </w:pPr>
    </w:p>
    <w:p w:rsidR="006F0914" w:rsidRDefault="006F0914" w:rsidP="004D44FF">
      <w:pPr>
        <w:pStyle w:val="Style2"/>
        <w:jc w:val="both"/>
        <w:rPr>
          <w:rFonts w:ascii="Verdana" w:hAnsi="Verdana" w:cs="Times New Roman"/>
          <w:b w:val="0"/>
          <w:sz w:val="22"/>
          <w:szCs w:val="22"/>
        </w:rPr>
      </w:pPr>
    </w:p>
    <w:p w:rsidR="006F0914" w:rsidRDefault="006F0914" w:rsidP="004D44FF">
      <w:pPr>
        <w:pStyle w:val="Style2"/>
        <w:jc w:val="both"/>
        <w:rPr>
          <w:rFonts w:ascii="Verdana" w:hAnsi="Verdana" w:cs="Times New Roman"/>
          <w:b w:val="0"/>
          <w:sz w:val="22"/>
          <w:szCs w:val="22"/>
        </w:rPr>
      </w:pPr>
    </w:p>
    <w:p w:rsidR="006F0914" w:rsidRDefault="006F0914">
      <w:pPr>
        <w:rPr>
          <w:rFonts w:asciiTheme="majorHAnsi" w:eastAsiaTheme="majorEastAsia" w:hAnsiTheme="majorHAnsi" w:cstheme="majorBidi"/>
          <w:color w:val="2E74B5" w:themeColor="accent1" w:themeShade="BF"/>
          <w:sz w:val="32"/>
          <w:szCs w:val="32"/>
          <w:lang w:val="en-GB" w:eastAsia="en-GB"/>
        </w:rPr>
      </w:pPr>
      <w:r>
        <w:rPr>
          <w:lang w:val="en-GB" w:eastAsia="en-GB"/>
        </w:rPr>
        <w:br w:type="page"/>
      </w:r>
    </w:p>
    <w:p w:rsidR="00F227D9" w:rsidRPr="008540C8" w:rsidRDefault="00F227D9" w:rsidP="00F227D9">
      <w:pPr>
        <w:pStyle w:val="Heading1"/>
        <w:rPr>
          <w:lang w:val="en-GB" w:eastAsia="en-GB"/>
        </w:rPr>
      </w:pPr>
      <w:bookmarkStart w:id="40" w:name="_Toc55901004"/>
      <w:r w:rsidRPr="008540C8">
        <w:rPr>
          <w:lang w:val="en-GB" w:eastAsia="en-GB"/>
        </w:rPr>
        <w:t>Glossary of Accounting Terms</w:t>
      </w:r>
      <w:bookmarkEnd w:id="40"/>
    </w:p>
    <w:p w:rsidR="00F227D9" w:rsidRDefault="00F227D9" w:rsidP="00F227D9">
      <w:pPr>
        <w:pStyle w:val="Normal0"/>
        <w:jc w:val="both"/>
        <w:rPr>
          <w:rFonts w:ascii="Verdana" w:eastAsia="Times New Roman" w:hAnsi="Verdana" w:cs="Arial"/>
          <w:sz w:val="22"/>
          <w:szCs w:val="22"/>
          <w:lang w:val="en-GB" w:eastAsia="en-GB"/>
        </w:rPr>
      </w:pPr>
    </w:p>
    <w:p w:rsidR="008C26E5" w:rsidRPr="00F31699" w:rsidRDefault="008C26E5" w:rsidP="008C26E5">
      <w:pPr>
        <w:pStyle w:val="Normal0"/>
        <w:jc w:val="both"/>
        <w:rPr>
          <w:rFonts w:ascii="Verdana" w:hAnsi="Verdana"/>
          <w:b/>
          <w:sz w:val="22"/>
          <w:szCs w:val="22"/>
        </w:rPr>
      </w:pPr>
      <w:r w:rsidRPr="00F31699">
        <w:rPr>
          <w:rFonts w:ascii="Verdana" w:hAnsi="Verdana"/>
          <w:b/>
          <w:sz w:val="22"/>
          <w:szCs w:val="22"/>
        </w:rPr>
        <w:t>ACCRUAL</w:t>
      </w:r>
    </w:p>
    <w:p w:rsidR="008C26E5" w:rsidRPr="00F31699" w:rsidRDefault="008C26E5" w:rsidP="008C26E5">
      <w:pPr>
        <w:pStyle w:val="Normal0"/>
        <w:jc w:val="both"/>
        <w:rPr>
          <w:rFonts w:ascii="Verdana" w:hAnsi="Verdana"/>
          <w:sz w:val="22"/>
          <w:szCs w:val="22"/>
        </w:rPr>
      </w:pPr>
      <w:r w:rsidRPr="00F31699">
        <w:rPr>
          <w:rFonts w:ascii="Verdana" w:hAnsi="Verdana"/>
          <w:sz w:val="22"/>
          <w:szCs w:val="22"/>
        </w:rPr>
        <w:t>An accrual is a liability for expenditure relating to goods and services that have been received or supplied but are not invoiced until the following financial year.</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ACCRUED INCOME</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Income earned in the financial year which has not yet been received.</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ACTUARIAL GAINS AND LOSSES</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For a defined benefit pension scheme, the changes in actuarial deficits or surpluses that arise because, either events have not coincided with the actuarial assumptions made for the last valuation (experience gains and losses), or the actuarial assumptions have changed.</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AMORTISATION</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An annual charge made to the overall PCC budget, reducing the value of an asset to zero, over a period of time.</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ASSET</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 xml:space="preserve">Tangible or intangible resources owned by the force and which have future economic value that can be measured and can be expressed in pounds. </w:t>
      </w:r>
    </w:p>
    <w:p w:rsidR="008C26E5" w:rsidRPr="00F31699" w:rsidRDefault="008C26E5" w:rsidP="008C26E5">
      <w:pPr>
        <w:jc w:val="both"/>
        <w:rPr>
          <w:rFonts w:ascii="Verdana" w:hAnsi="Verdana" w:cs="Arial"/>
          <w:sz w:val="22"/>
          <w:szCs w:val="22"/>
        </w:rPr>
      </w:pPr>
    </w:p>
    <w:p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CIPFA</w:t>
      </w:r>
    </w:p>
    <w:p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 xml:space="preserve">The Chartered Institute of Public Finance and Accountancy is one of the professional accountancy bodies in the UK.  CIPFA specialises in the public services and has responsibility for setting accounting standards for these services.  More details can be found on the CIPFA website: </w:t>
      </w:r>
      <w:hyperlink r:id="rId32" w:history="1">
        <w:r w:rsidRPr="00F31699">
          <w:rPr>
            <w:rStyle w:val="Hyperlink"/>
            <w:rFonts w:ascii="Verdana" w:eastAsia="Times New Roman" w:hAnsi="Verdana" w:cs="Times New Roman"/>
            <w:sz w:val="22"/>
            <w:szCs w:val="22"/>
            <w:lang w:val="en-GB" w:eastAsia="en-GB"/>
          </w:rPr>
          <w:t>www.cipfa.org.uk</w:t>
        </w:r>
      </w:hyperlink>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sz w:val="22"/>
          <w:szCs w:val="22"/>
        </w:rPr>
      </w:pPr>
      <w:r w:rsidRPr="00F31699">
        <w:rPr>
          <w:rFonts w:ascii="Verdana" w:hAnsi="Verdana" w:cs="Arial"/>
          <w:b/>
          <w:sz w:val="22"/>
          <w:szCs w:val="22"/>
        </w:rPr>
        <w:t>COMPREHENSIVE INCOME AND EXPENDITURE STATEMENT</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The main revenue fund of the CC showing accounting costs for the year.</w:t>
      </w:r>
    </w:p>
    <w:p w:rsidR="008C26E5" w:rsidRPr="00F31699" w:rsidRDefault="008C26E5" w:rsidP="008C26E5">
      <w:pPr>
        <w:jc w:val="both"/>
        <w:rPr>
          <w:rFonts w:ascii="Verdana" w:hAnsi="Verdana" w:cs="Arial"/>
          <w:sz w:val="22"/>
          <w:szCs w:val="22"/>
        </w:rPr>
      </w:pPr>
    </w:p>
    <w:p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 xml:space="preserve">CODE </w:t>
      </w:r>
    </w:p>
    <w:p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These practices primarily comprise the Code of Practice on Local Authority Accounting in the United Kingdom (The Code) and the Service Reporting Code of Practice, both issued by the Chartered Institute of Public Finance and Accountancy (CIPFA), and supported by International Financial Reporting Standards (</w:t>
      </w:r>
      <w:smartTag w:uri="urn:schemas-microsoft-com:office:smarttags" w:element="stockticker">
        <w:r w:rsidRPr="00F31699">
          <w:rPr>
            <w:rFonts w:ascii="Verdana" w:hAnsi="Verdana"/>
            <w:sz w:val="22"/>
            <w:szCs w:val="22"/>
            <w:lang w:val="en-GB" w:eastAsia="en-GB"/>
          </w:rPr>
          <w:t>IFRS</w:t>
        </w:r>
      </w:smartTag>
      <w:r w:rsidRPr="00F31699">
        <w:rPr>
          <w:rFonts w:ascii="Verdana" w:hAnsi="Verdana"/>
          <w:sz w:val="22"/>
          <w:szCs w:val="22"/>
          <w:lang w:val="en-GB" w:eastAsia="en-GB"/>
        </w:rPr>
        <w:t>) and statutory guidance issued under section 7 of the 2011 Regulations.  More details can be found on the CI</w:t>
      </w:r>
      <w:smartTag w:uri="urn:schemas-microsoft-com:office:smarttags" w:element="stockticker">
        <w:r w:rsidRPr="00F31699">
          <w:rPr>
            <w:rFonts w:ascii="Verdana" w:hAnsi="Verdana"/>
            <w:sz w:val="22"/>
            <w:szCs w:val="22"/>
            <w:lang w:val="en-GB" w:eastAsia="en-GB"/>
          </w:rPr>
          <w:t>PFA</w:t>
        </w:r>
      </w:smartTag>
      <w:r w:rsidRPr="00F31699">
        <w:rPr>
          <w:rFonts w:ascii="Verdana" w:hAnsi="Verdana"/>
          <w:sz w:val="22"/>
          <w:szCs w:val="22"/>
          <w:lang w:val="en-GB" w:eastAsia="en-GB"/>
        </w:rPr>
        <w:t xml:space="preserve"> website: </w:t>
      </w:r>
      <w:hyperlink r:id="rId33" w:history="1">
        <w:r w:rsidRPr="00F31699">
          <w:rPr>
            <w:rStyle w:val="Hyperlink"/>
            <w:rFonts w:ascii="Verdana" w:eastAsia="Times New Roman" w:hAnsi="Verdana" w:cs="Times New Roman"/>
            <w:sz w:val="22"/>
            <w:szCs w:val="22"/>
            <w:lang w:val="en-GB" w:eastAsia="en-GB"/>
          </w:rPr>
          <w:t>www.cipfa.org.uk</w:t>
        </w:r>
      </w:hyperlink>
    </w:p>
    <w:p w:rsidR="008C26E5" w:rsidRPr="00F31699" w:rsidRDefault="008C26E5" w:rsidP="008C26E5">
      <w:pPr>
        <w:pStyle w:val="Normal0"/>
        <w:jc w:val="both"/>
        <w:rPr>
          <w:rFonts w:ascii="Verdana" w:hAnsi="Verdana"/>
          <w:sz w:val="22"/>
          <w:szCs w:val="22"/>
          <w:lang w:val="en-GB" w:eastAsia="en-GB"/>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CURRENT SERVICE COST (PENSIONS)</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The increase in the present value of a defined benefit scheme’s liabilities expected to arise from employee service in the current period.</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CURTAILMENT (PENSIONS)</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For a defined benefit scheme, an event that reduces the expected years of future service of present employees or reduces for a number of employees the accrual of defined benefits for some or all of their future service. Curtailments include:-</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w:t>
      </w:r>
      <w:r w:rsidRPr="00F31699">
        <w:rPr>
          <w:rFonts w:ascii="Verdana" w:hAnsi="Verdana" w:cs="Arial"/>
          <w:sz w:val="22"/>
          <w:szCs w:val="22"/>
        </w:rPr>
        <w:tab/>
        <w:t>Termination of employees’ services earlier than expected, and</w:t>
      </w:r>
    </w:p>
    <w:p w:rsidR="008C26E5" w:rsidRPr="00F31699" w:rsidRDefault="008C26E5" w:rsidP="008C26E5">
      <w:pPr>
        <w:ind w:left="720" w:hanging="720"/>
        <w:jc w:val="both"/>
        <w:rPr>
          <w:rFonts w:ascii="Verdana" w:hAnsi="Verdana" w:cs="Arial"/>
          <w:sz w:val="22"/>
          <w:szCs w:val="22"/>
        </w:rPr>
      </w:pPr>
      <w:r w:rsidRPr="00F31699">
        <w:rPr>
          <w:rFonts w:ascii="Verdana" w:hAnsi="Verdana" w:cs="Arial"/>
          <w:sz w:val="22"/>
          <w:szCs w:val="22"/>
        </w:rPr>
        <w:t>•</w:t>
      </w:r>
      <w:r w:rsidRPr="00F31699">
        <w:rPr>
          <w:rFonts w:ascii="Verdana" w:hAnsi="Verdana" w:cs="Arial"/>
          <w:sz w:val="22"/>
          <w:szCs w:val="22"/>
        </w:rPr>
        <w:tab/>
        <w:t>Termination of or amendment to the terms, of a defined benefit scheme so   that some or all future service by current employees will no longer qualify for benefits or will qualify only for reduced benefits.</w:t>
      </w:r>
    </w:p>
    <w:p w:rsidR="008C26E5" w:rsidRPr="00F31699" w:rsidRDefault="008C26E5" w:rsidP="008C26E5">
      <w:pPr>
        <w:ind w:left="720" w:hanging="720"/>
        <w:jc w:val="both"/>
        <w:rPr>
          <w:rFonts w:ascii="Verdana" w:hAnsi="Verdana" w:cs="Arial"/>
          <w:sz w:val="22"/>
          <w:szCs w:val="22"/>
        </w:rPr>
      </w:pPr>
    </w:p>
    <w:p w:rsidR="008C26E5" w:rsidRDefault="008C26E5" w:rsidP="008C26E5">
      <w:pPr>
        <w:jc w:val="both"/>
        <w:rPr>
          <w:rFonts w:ascii="Verdana" w:hAnsi="Verdana" w:cs="Arial"/>
          <w:b/>
          <w:sz w:val="22"/>
          <w:szCs w:val="22"/>
        </w:rPr>
      </w:pPr>
    </w:p>
    <w:p w:rsidR="008C26E5" w:rsidRPr="00F31699" w:rsidRDefault="008C26E5" w:rsidP="008C26E5">
      <w:pPr>
        <w:jc w:val="both"/>
        <w:rPr>
          <w:rFonts w:ascii="Verdana" w:hAnsi="Verdana" w:cs="Arial"/>
          <w:sz w:val="22"/>
          <w:szCs w:val="22"/>
        </w:rPr>
      </w:pPr>
      <w:r w:rsidRPr="00F31699">
        <w:rPr>
          <w:rFonts w:ascii="Verdana" w:hAnsi="Verdana" w:cs="Arial"/>
          <w:b/>
          <w:sz w:val="22"/>
          <w:szCs w:val="22"/>
        </w:rPr>
        <w:t>DEFINED BENEFIT SCHEME</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A defined benefit scheme is a pension or other retirement benefit scheme other than a defined contribution scheme. Usually, the scheme rules define the benefits independently of the contributions payable, and the benefits are not directly related to the investments of the scheme. The scheme may be funded or unfunded.</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DEFINED CONTRIBUTION SCHEME</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A pension or other retirement benefit scheme into which an employer pays regular contributions fixed as an amount or as a percentage of pay and will have no legal or constructive obligation to pay further contributions if the scheme does not have sufficient assets to pay all employee benefits relating to employee service in the current and prior periods.</w:t>
      </w:r>
    </w:p>
    <w:p w:rsidR="008C26E5" w:rsidRPr="00F31699" w:rsidRDefault="008C26E5" w:rsidP="008C26E5">
      <w:pPr>
        <w:jc w:val="both"/>
        <w:rPr>
          <w:rFonts w:ascii="Verdana" w:hAnsi="Verdana" w:cs="Arial"/>
          <w:sz w:val="22"/>
          <w:szCs w:val="22"/>
        </w:rPr>
      </w:pPr>
    </w:p>
    <w:p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EXPECTED RATE OF RETURN ON PENSION ASSETS</w:t>
      </w:r>
    </w:p>
    <w:p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For a funded defined benefit scheme, the average rate of return, including both income and changes in fair value but net of scheme expenses, expected over the remaining life of the related obligation on the actual assets held by the scheme.</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EXPENSE</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Money spent or cost incurred by the force to police and protect the county, representing the cost of policing.</w:t>
      </w:r>
    </w:p>
    <w:p w:rsidR="008C26E5" w:rsidRPr="00F31699" w:rsidRDefault="008C26E5" w:rsidP="008C26E5">
      <w:pPr>
        <w:jc w:val="both"/>
        <w:rPr>
          <w:rFonts w:ascii="Verdana" w:hAnsi="Verdana" w:cs="Arial"/>
          <w:sz w:val="22"/>
          <w:szCs w:val="22"/>
        </w:rPr>
      </w:pPr>
    </w:p>
    <w:p w:rsidR="008C26E5" w:rsidRPr="00F31699" w:rsidRDefault="008C26E5" w:rsidP="008C26E5">
      <w:pPr>
        <w:pStyle w:val="Normal0"/>
        <w:jc w:val="both"/>
        <w:rPr>
          <w:rFonts w:ascii="Verdana" w:eastAsia="Times New Roman" w:hAnsi="Verdana"/>
          <w:b/>
          <w:sz w:val="22"/>
          <w:szCs w:val="22"/>
        </w:rPr>
      </w:pPr>
      <w:r w:rsidRPr="00F31699">
        <w:rPr>
          <w:rFonts w:ascii="Verdana" w:eastAsia="Times New Roman" w:hAnsi="Verdana"/>
          <w:b/>
          <w:sz w:val="22"/>
          <w:szCs w:val="22"/>
        </w:rPr>
        <w:t>GOING CONCERN</w:t>
      </w:r>
    </w:p>
    <w:p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sz w:val="22"/>
          <w:szCs w:val="22"/>
        </w:rPr>
        <w:t>The concept that the organisation will remain in operational existence for the foreseeable future, in particular that the revenue accounts and Balance Sheet assume no intention to curtail significantly the scale of the operations.</w:t>
      </w:r>
    </w:p>
    <w:p w:rsidR="008C26E5" w:rsidRPr="00F31699" w:rsidRDefault="008C26E5" w:rsidP="008C26E5">
      <w:pPr>
        <w:jc w:val="both"/>
        <w:rPr>
          <w:rFonts w:ascii="Verdana" w:hAnsi="Verdana" w:cs="Arial"/>
          <w:sz w:val="22"/>
          <w:szCs w:val="22"/>
        </w:rPr>
      </w:pPr>
    </w:p>
    <w:p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b/>
          <w:sz w:val="22"/>
          <w:szCs w:val="22"/>
        </w:rPr>
        <w:t xml:space="preserve">IAS19 </w:t>
      </w:r>
    </w:p>
    <w:p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sz w:val="22"/>
          <w:szCs w:val="22"/>
        </w:rPr>
        <w:t>International Accounting Standard 19 (IAS19) for Employee Benefits sets out the accounting treatment and disclosure for employee benefits and pensions.</w:t>
      </w:r>
    </w:p>
    <w:p w:rsidR="008C26E5" w:rsidRPr="00F31699" w:rsidRDefault="008C26E5" w:rsidP="008C26E5">
      <w:pPr>
        <w:pStyle w:val="Normal0"/>
        <w:jc w:val="both"/>
        <w:rPr>
          <w:rFonts w:ascii="Verdana" w:eastAsia="Times New Roman" w:hAnsi="Verdana"/>
          <w:sz w:val="22"/>
          <w:szCs w:val="22"/>
        </w:rPr>
      </w:pPr>
    </w:p>
    <w:p w:rsidR="008C26E5" w:rsidRPr="00F31699" w:rsidRDefault="008C26E5" w:rsidP="008C26E5">
      <w:pPr>
        <w:pStyle w:val="Normal0"/>
        <w:jc w:val="both"/>
        <w:rPr>
          <w:rFonts w:ascii="Verdana" w:eastAsia="Times New Roman" w:hAnsi="Verdana"/>
          <w:b/>
          <w:sz w:val="22"/>
          <w:szCs w:val="22"/>
        </w:rPr>
      </w:pPr>
      <w:r w:rsidRPr="00F31699">
        <w:rPr>
          <w:rFonts w:ascii="Verdana" w:eastAsia="Times New Roman" w:hAnsi="Verdana"/>
          <w:b/>
          <w:sz w:val="22"/>
          <w:szCs w:val="22"/>
        </w:rPr>
        <w:t>IFRS</w:t>
      </w:r>
    </w:p>
    <w:p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sz w:val="22"/>
          <w:szCs w:val="22"/>
        </w:rPr>
        <w:t>International Financial Reporting Standards</w:t>
      </w:r>
    </w:p>
    <w:p w:rsidR="008C26E5" w:rsidRPr="00F31699" w:rsidRDefault="008C26E5" w:rsidP="008C26E5">
      <w:pPr>
        <w:pStyle w:val="Normal0"/>
        <w:jc w:val="both"/>
        <w:rPr>
          <w:rFonts w:ascii="Verdana" w:eastAsia="Times New Roman" w:hAnsi="Verdana"/>
          <w:sz w:val="22"/>
          <w:szCs w:val="22"/>
        </w:rPr>
      </w:pPr>
    </w:p>
    <w:p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b/>
          <w:sz w:val="22"/>
          <w:szCs w:val="22"/>
        </w:rPr>
        <w:t xml:space="preserve">INCOME </w:t>
      </w:r>
    </w:p>
    <w:p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sz w:val="22"/>
          <w:szCs w:val="22"/>
        </w:rPr>
        <w:t xml:space="preserve">Income is money (or some equivalent value) that the force, usually  receives in exchange for providing a police service.  </w:t>
      </w:r>
    </w:p>
    <w:p w:rsidR="008C26E5" w:rsidRPr="00F31699" w:rsidRDefault="008C26E5" w:rsidP="008C26E5">
      <w:pPr>
        <w:pStyle w:val="Normal0"/>
        <w:jc w:val="both"/>
        <w:rPr>
          <w:rFonts w:ascii="Verdana" w:eastAsia="Times New Roman" w:hAnsi="Verdana"/>
          <w:b/>
          <w:sz w:val="22"/>
          <w:szCs w:val="22"/>
        </w:rPr>
      </w:pPr>
      <w:r w:rsidRPr="00F31699">
        <w:rPr>
          <w:rFonts w:ascii="Verdana" w:eastAsia="Times New Roman" w:hAnsi="Verdana"/>
          <w:b/>
          <w:sz w:val="22"/>
          <w:szCs w:val="22"/>
        </w:rPr>
        <w:t>INTEREST COSTS (PENSIONS)</w:t>
      </w:r>
    </w:p>
    <w:p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sz w:val="22"/>
          <w:szCs w:val="22"/>
        </w:rPr>
        <w:t>For a defined benefit scheme, the expected increase during the period in the present value of the scheme liabilities because the benefits are one period closer to settlement.</w:t>
      </w:r>
    </w:p>
    <w:p w:rsidR="008C26E5" w:rsidRPr="00F31699" w:rsidRDefault="008C26E5" w:rsidP="008C26E5">
      <w:pPr>
        <w:pStyle w:val="Normal0"/>
        <w:jc w:val="both"/>
        <w:rPr>
          <w:rFonts w:ascii="Verdana" w:eastAsia="Times New Roman" w:hAnsi="Verdana"/>
          <w:b/>
          <w:sz w:val="22"/>
          <w:szCs w:val="22"/>
        </w:rPr>
      </w:pPr>
    </w:p>
    <w:p w:rsidR="008C26E5" w:rsidRPr="00F31699" w:rsidRDefault="008C26E5" w:rsidP="008C26E5">
      <w:pPr>
        <w:pStyle w:val="Normal0"/>
        <w:jc w:val="both"/>
        <w:rPr>
          <w:rFonts w:ascii="Verdana" w:eastAsia="Times New Roman" w:hAnsi="Verdana"/>
          <w:b/>
          <w:sz w:val="22"/>
          <w:szCs w:val="22"/>
        </w:rPr>
      </w:pPr>
      <w:r w:rsidRPr="00F31699">
        <w:rPr>
          <w:rFonts w:ascii="Verdana" w:eastAsia="Times New Roman" w:hAnsi="Verdana"/>
          <w:b/>
          <w:sz w:val="22"/>
          <w:szCs w:val="22"/>
        </w:rPr>
        <w:t>INVESTMENTS (PENSION FUND)</w:t>
      </w:r>
    </w:p>
    <w:p w:rsidR="008C26E5" w:rsidRPr="00F31699" w:rsidRDefault="008C26E5" w:rsidP="008C26E5">
      <w:pPr>
        <w:pStyle w:val="Normal0"/>
        <w:jc w:val="both"/>
        <w:rPr>
          <w:rFonts w:ascii="Verdana" w:eastAsia="Times New Roman" w:hAnsi="Verdana"/>
          <w:sz w:val="22"/>
          <w:szCs w:val="22"/>
        </w:rPr>
      </w:pPr>
      <w:r w:rsidRPr="00F31699">
        <w:rPr>
          <w:rFonts w:ascii="Verdana" w:eastAsia="Times New Roman" w:hAnsi="Verdana"/>
          <w:sz w:val="22"/>
          <w:szCs w:val="22"/>
        </w:rPr>
        <w:t>The investments of the pensions fund will be accounted for in the statement of that fund. However, the PCC Group is also required to disclose, as part of the disclosures relating to retirement benefits, the attributable share of pension scheme assets associated with their underlying obligations.</w:t>
      </w:r>
    </w:p>
    <w:p w:rsidR="008C26E5" w:rsidRPr="00F31699" w:rsidRDefault="008C26E5" w:rsidP="008C26E5">
      <w:pPr>
        <w:jc w:val="both"/>
        <w:rPr>
          <w:rFonts w:ascii="Verdana" w:hAnsi="Verdana" w:cs="Arial"/>
          <w:sz w:val="22"/>
          <w:szCs w:val="22"/>
        </w:rPr>
      </w:pPr>
    </w:p>
    <w:p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JOINT AUDIT COMMITTEE (JAC)</w:t>
      </w:r>
    </w:p>
    <w:p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The JAC is an independent Joint External Audit Committee of the Su</w:t>
      </w:r>
      <w:r w:rsidR="003E44C5">
        <w:rPr>
          <w:rFonts w:ascii="Verdana" w:hAnsi="Verdana"/>
          <w:sz w:val="22"/>
          <w:szCs w:val="22"/>
          <w:lang w:val="en-GB" w:eastAsia="en-GB"/>
        </w:rPr>
        <w:t>rrey</w:t>
      </w:r>
      <w:r w:rsidRPr="00F31699">
        <w:rPr>
          <w:rFonts w:ascii="Verdana" w:hAnsi="Verdana"/>
          <w:sz w:val="22"/>
          <w:szCs w:val="22"/>
          <w:lang w:val="en-GB" w:eastAsia="en-GB"/>
        </w:rPr>
        <w:t xml:space="preserve"> Police and Crime Commissioner a</w:t>
      </w:r>
      <w:r w:rsidR="003E44C5">
        <w:rPr>
          <w:rFonts w:ascii="Verdana" w:hAnsi="Verdana"/>
          <w:sz w:val="22"/>
          <w:szCs w:val="22"/>
          <w:lang w:val="en-GB" w:eastAsia="en-GB"/>
        </w:rPr>
        <w:t>nd the Chief Constable of Surrey</w:t>
      </w:r>
      <w:r w:rsidRPr="00F31699">
        <w:rPr>
          <w:rFonts w:ascii="Verdana" w:hAnsi="Verdana"/>
          <w:sz w:val="22"/>
          <w:szCs w:val="22"/>
          <w:lang w:val="en-GB" w:eastAsia="en-GB"/>
        </w:rPr>
        <w:t xml:space="preserve"> providing a key component of corporate governance arrangements for both corporations sole.</w:t>
      </w:r>
    </w:p>
    <w:p w:rsidR="008C26E5" w:rsidRDefault="008C26E5" w:rsidP="008C26E5">
      <w:pPr>
        <w:pStyle w:val="Normal0"/>
        <w:jc w:val="both"/>
        <w:rPr>
          <w:rFonts w:ascii="Verdana" w:hAnsi="Verdana"/>
          <w:sz w:val="22"/>
          <w:szCs w:val="22"/>
          <w:lang w:val="en-GB" w:eastAsia="en-GB"/>
        </w:rPr>
      </w:pPr>
    </w:p>
    <w:p w:rsidR="008C26E5" w:rsidRDefault="008C26E5" w:rsidP="008C26E5">
      <w:pPr>
        <w:pStyle w:val="Normal0"/>
        <w:jc w:val="both"/>
        <w:rPr>
          <w:rFonts w:ascii="Verdana" w:hAnsi="Verdana"/>
          <w:sz w:val="22"/>
          <w:szCs w:val="22"/>
          <w:lang w:val="en-GB" w:eastAsia="en-GB"/>
        </w:rPr>
      </w:pPr>
    </w:p>
    <w:p w:rsidR="008C26E5" w:rsidRPr="00F31699" w:rsidRDefault="008C26E5" w:rsidP="008C26E5">
      <w:pPr>
        <w:pStyle w:val="Normal0"/>
        <w:jc w:val="both"/>
        <w:rPr>
          <w:rFonts w:ascii="Verdana" w:hAnsi="Verdana"/>
          <w:sz w:val="22"/>
          <w:szCs w:val="22"/>
          <w:lang w:val="en-GB" w:eastAsia="en-GB"/>
        </w:rPr>
      </w:pPr>
    </w:p>
    <w:p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LAAP</w:t>
      </w:r>
    </w:p>
    <w:p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The Local Authority Accounting Panel issues LAAP Bulletins to assist practitioners with the application of the requirements of the Code of Practice on Local Authority Accounting and Prudential Code, and to provide advice on emerging or urgent accounting issues.  Bulletins provide influential guidance that is intended to be best practice, but are not prescriptive and do not have the formal status of the Code or Prudential Code.</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LIABILITY</w:t>
      </w:r>
    </w:p>
    <w:p w:rsidR="008C26E5" w:rsidRPr="00F31699" w:rsidRDefault="008C26E5" w:rsidP="008C26E5">
      <w:pPr>
        <w:jc w:val="both"/>
        <w:rPr>
          <w:rFonts w:ascii="Verdana" w:hAnsi="Verdana" w:cs="Arial"/>
          <w:b/>
          <w:sz w:val="22"/>
          <w:szCs w:val="22"/>
        </w:rPr>
      </w:pPr>
      <w:r w:rsidRPr="00F31699">
        <w:rPr>
          <w:rFonts w:ascii="Verdana" w:hAnsi="Verdana" w:cs="Arial"/>
          <w:sz w:val="22"/>
          <w:szCs w:val="22"/>
        </w:rPr>
        <w:t xml:space="preserve">An obligation that legally binds an individual or company to settle a debt. </w:t>
      </w:r>
    </w:p>
    <w:p w:rsidR="008C26E5" w:rsidRPr="00F31699" w:rsidRDefault="008C26E5" w:rsidP="008C26E5">
      <w:pPr>
        <w:pStyle w:val="Normal0"/>
        <w:jc w:val="both"/>
        <w:rPr>
          <w:rFonts w:ascii="Verdana" w:hAnsi="Verdana"/>
          <w:sz w:val="22"/>
          <w:szCs w:val="22"/>
          <w:lang w:val="en-GB" w:eastAsia="en-GB"/>
        </w:rPr>
      </w:pPr>
    </w:p>
    <w:p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color w:val="000000"/>
          <w:sz w:val="22"/>
          <w:szCs w:val="22"/>
          <w:lang w:val="en-GB" w:eastAsia="en-GB"/>
        </w:rPr>
        <w:t>NET OPERATING EXPENDITURE</w:t>
      </w:r>
    </w:p>
    <w:p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The total net expenditure before financing from Central Government grants or local Council Tax and before the movements shown in the Statement of Movement on the General Fund Balance.</w:t>
      </w:r>
    </w:p>
    <w:p w:rsidR="008C26E5" w:rsidRPr="00F31699" w:rsidRDefault="008C26E5" w:rsidP="008C26E5">
      <w:pPr>
        <w:pStyle w:val="Normal0"/>
        <w:jc w:val="both"/>
        <w:rPr>
          <w:rFonts w:ascii="Verdana" w:hAnsi="Verdana"/>
          <w:sz w:val="22"/>
          <w:szCs w:val="22"/>
          <w:lang w:val="en-GB" w:eastAsia="en-GB"/>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PAST SERVICE COSTS (PENSIONS)</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For a defined benefit scheme, the increase in the present value of the scheme liabilities related to employee service in prior periods arising in the current period as a result of the introduction of, or improvement to, retirement benefits.</w:t>
      </w:r>
    </w:p>
    <w:p w:rsidR="008C26E5" w:rsidRPr="00F31699" w:rsidRDefault="008C26E5" w:rsidP="008C26E5">
      <w:pPr>
        <w:jc w:val="both"/>
        <w:rPr>
          <w:rFonts w:ascii="Verdana" w:hAnsi="Verdana" w:cs="Arial"/>
          <w:sz w:val="22"/>
          <w:szCs w:val="22"/>
        </w:rPr>
      </w:pPr>
    </w:p>
    <w:p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PCC</w:t>
      </w:r>
    </w:p>
    <w:p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Police and Crime Commissioner</w:t>
      </w:r>
    </w:p>
    <w:p w:rsidR="008C26E5" w:rsidRPr="00F31699" w:rsidRDefault="008C26E5" w:rsidP="008C26E5">
      <w:pPr>
        <w:pStyle w:val="Normal0"/>
        <w:jc w:val="both"/>
        <w:rPr>
          <w:rFonts w:ascii="Verdana" w:hAnsi="Verdana"/>
          <w:sz w:val="22"/>
          <w:szCs w:val="22"/>
          <w:lang w:val="en-GB" w:eastAsia="en-GB"/>
        </w:rPr>
      </w:pPr>
    </w:p>
    <w:p w:rsidR="008C26E5" w:rsidRPr="00F31699" w:rsidRDefault="008C26E5" w:rsidP="008C26E5">
      <w:pPr>
        <w:pStyle w:val="Normal0"/>
        <w:jc w:val="both"/>
        <w:rPr>
          <w:rFonts w:ascii="Verdana" w:hAnsi="Verdana"/>
          <w:b/>
          <w:sz w:val="22"/>
          <w:szCs w:val="22"/>
          <w:lang w:val="en-GB" w:eastAsia="en-GB"/>
        </w:rPr>
      </w:pPr>
      <w:r w:rsidRPr="00F31699">
        <w:rPr>
          <w:rFonts w:ascii="Verdana" w:hAnsi="Verdana"/>
          <w:b/>
          <w:sz w:val="22"/>
          <w:szCs w:val="22"/>
          <w:lang w:val="en-GB" w:eastAsia="en-GB"/>
        </w:rPr>
        <w:t>POLICE GRANT</w:t>
      </w:r>
    </w:p>
    <w:p w:rsidR="008C26E5" w:rsidRPr="00F31699" w:rsidRDefault="008C26E5" w:rsidP="008C26E5">
      <w:pPr>
        <w:pStyle w:val="Normal0"/>
        <w:jc w:val="both"/>
        <w:rPr>
          <w:rFonts w:ascii="Verdana" w:hAnsi="Verdana"/>
          <w:sz w:val="22"/>
          <w:szCs w:val="22"/>
          <w:lang w:val="en-GB" w:eastAsia="en-GB"/>
        </w:rPr>
      </w:pPr>
      <w:r w:rsidRPr="00F31699">
        <w:rPr>
          <w:rFonts w:ascii="Verdana" w:hAnsi="Verdana"/>
          <w:sz w:val="22"/>
          <w:szCs w:val="22"/>
          <w:lang w:val="en-GB" w:eastAsia="en-GB"/>
        </w:rPr>
        <w:t>A specific grant paid to the PCC by Central Government to support its revenue expenditure.  It is a fixed sum calculated by the Government on an assumed needs basis.</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PROVISION</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An amount set aside to provide for a liability which is likely to be incurred but the exact amount and the date on which it will arise is uncertain.</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RELATED PARTIES</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Two or more parties are related parties when at any time during the financial period:</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(i) one party has direct or indirect control of the other party, or</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(ii) the parties are subject to common control from the same source, or</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(iii) one party has influence over the financial and operational policies of the other party to an extent that the other party might be inhibited from pursuing at all times its own separate interests, or</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(iv) the parties, in entering a transaction, are subject to influence from the same source to such an extent that one of the parties to the transaction has subordinated its own separate interests.</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 xml:space="preserve">RELATED PARTY TRANSACTION </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 xml:space="preserve">A related party transaction is the transfer of assets or liabilities or the performance of services by, to or for a related party irrespective of whether a charge is made. </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RESERVE</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An amount set aside for a specific purpose and carried forward to meet expenditure in future years. General reserves represent accumulated balances which may be used to support future spending. Earmarked reserves are those reserves set aside to meet specific policy purposes.</w:t>
      </w:r>
    </w:p>
    <w:p w:rsidR="008C26E5" w:rsidRDefault="008C26E5" w:rsidP="008C26E5">
      <w:pPr>
        <w:jc w:val="both"/>
        <w:rPr>
          <w:rFonts w:ascii="Verdana" w:hAnsi="Verdana" w:cs="Arial"/>
          <w:sz w:val="22"/>
          <w:szCs w:val="22"/>
        </w:rPr>
      </w:pPr>
    </w:p>
    <w:p w:rsidR="008C26E5" w:rsidRDefault="008C26E5" w:rsidP="008C26E5">
      <w:pPr>
        <w:jc w:val="both"/>
        <w:rPr>
          <w:rFonts w:ascii="Verdana" w:hAnsi="Verdana" w:cs="Arial"/>
          <w:sz w:val="22"/>
          <w:szCs w:val="22"/>
        </w:rPr>
      </w:pPr>
    </w:p>
    <w:p w:rsidR="008C26E5"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sz w:val="22"/>
          <w:szCs w:val="22"/>
        </w:rPr>
      </w:pPr>
    </w:p>
    <w:p w:rsidR="008C26E5" w:rsidRPr="00F31699" w:rsidRDefault="008C26E5" w:rsidP="008C26E5">
      <w:pPr>
        <w:pStyle w:val="Normal0"/>
        <w:rPr>
          <w:rFonts w:ascii="Verdana" w:hAnsi="Verdana"/>
          <w:b/>
          <w:sz w:val="22"/>
          <w:szCs w:val="22"/>
          <w:lang w:val="en-GB" w:eastAsia="en-GB"/>
        </w:rPr>
      </w:pPr>
      <w:r w:rsidRPr="00F31699">
        <w:rPr>
          <w:rFonts w:ascii="Verdana" w:hAnsi="Verdana"/>
          <w:b/>
          <w:color w:val="000000"/>
          <w:sz w:val="22"/>
          <w:szCs w:val="22"/>
          <w:lang w:val="en-GB" w:eastAsia="en-GB"/>
        </w:rPr>
        <w:t>REVENUE BUDGET</w:t>
      </w:r>
    </w:p>
    <w:p w:rsidR="008C26E5" w:rsidRPr="00F31699" w:rsidRDefault="008C26E5" w:rsidP="008C26E5">
      <w:pPr>
        <w:pStyle w:val="Normal0"/>
        <w:rPr>
          <w:rFonts w:ascii="Verdana" w:hAnsi="Verdana"/>
          <w:sz w:val="22"/>
          <w:szCs w:val="22"/>
          <w:lang w:val="en-GB" w:eastAsia="en-GB"/>
        </w:rPr>
      </w:pPr>
      <w:r w:rsidRPr="00F31699">
        <w:rPr>
          <w:rFonts w:ascii="Verdana" w:hAnsi="Verdana" w:cs="ArialMT"/>
          <w:color w:val="000000"/>
          <w:sz w:val="22"/>
          <w:szCs w:val="22"/>
          <w:lang w:val="en-GB" w:eastAsia="en-GB"/>
        </w:rPr>
        <w:t>The Revenue Budget estimates annual income and expenditure requirements, and sets out the financial implications of the PCC Group policies and the basis of the annual precept to be levied on collection funds.</w:t>
      </w:r>
    </w:p>
    <w:p w:rsidR="008C26E5" w:rsidRPr="00F31699" w:rsidRDefault="008C26E5" w:rsidP="008C26E5">
      <w:pPr>
        <w:jc w:val="both"/>
        <w:rPr>
          <w:rFonts w:ascii="Verdana" w:hAnsi="Verdana" w:cs="Arial"/>
          <w:sz w:val="22"/>
          <w:szCs w:val="22"/>
        </w:rPr>
      </w:pPr>
    </w:p>
    <w:p w:rsidR="008C26E5" w:rsidRPr="00F31699" w:rsidRDefault="008C26E5" w:rsidP="008C26E5">
      <w:pPr>
        <w:pStyle w:val="Normal0"/>
        <w:rPr>
          <w:rFonts w:ascii="Verdana" w:hAnsi="Verdana"/>
          <w:b/>
          <w:sz w:val="22"/>
          <w:szCs w:val="22"/>
          <w:lang w:val="en-GB" w:eastAsia="en-GB"/>
        </w:rPr>
      </w:pPr>
      <w:r w:rsidRPr="00F31699">
        <w:rPr>
          <w:rFonts w:ascii="Verdana" w:hAnsi="Verdana"/>
          <w:b/>
          <w:sz w:val="22"/>
          <w:szCs w:val="22"/>
          <w:lang w:val="en-GB" w:eastAsia="en-GB"/>
        </w:rPr>
        <w:t>SCHEME LIABILITIES (PENSIONS)</w:t>
      </w:r>
    </w:p>
    <w:p w:rsidR="008C26E5" w:rsidRPr="00F31699" w:rsidRDefault="008C26E5" w:rsidP="008C26E5">
      <w:pPr>
        <w:jc w:val="both"/>
        <w:rPr>
          <w:rFonts w:ascii="Verdana" w:hAnsi="Verdana" w:cs="Arial"/>
          <w:sz w:val="22"/>
          <w:szCs w:val="22"/>
        </w:rPr>
      </w:pPr>
      <w:r w:rsidRPr="00F31699">
        <w:rPr>
          <w:rFonts w:ascii="Verdana" w:hAnsi="Verdana"/>
          <w:sz w:val="22"/>
          <w:szCs w:val="22"/>
        </w:rPr>
        <w:t>The liabilities of a defined benefit scheme for outgoings due after the valuation date. Scheme liabilities measured using the projected unit method reflects the benefits that the employer is committed to provide for service up to the valuation date.</w:t>
      </w:r>
    </w:p>
    <w:p w:rsidR="008C26E5" w:rsidRPr="00F31699" w:rsidRDefault="008C26E5" w:rsidP="008C26E5">
      <w:pPr>
        <w:jc w:val="both"/>
        <w:rPr>
          <w:rFonts w:ascii="Verdana" w:hAnsi="Verdana" w:cs="Arial"/>
          <w:sz w:val="22"/>
          <w:szCs w:val="22"/>
        </w:rPr>
      </w:pPr>
    </w:p>
    <w:p w:rsidR="008C26E5" w:rsidRPr="00F31699" w:rsidRDefault="008C26E5" w:rsidP="008C26E5">
      <w:pPr>
        <w:jc w:val="both"/>
        <w:rPr>
          <w:rFonts w:ascii="Verdana" w:hAnsi="Verdana" w:cs="Arial"/>
          <w:b/>
          <w:sz w:val="22"/>
          <w:szCs w:val="22"/>
        </w:rPr>
      </w:pPr>
      <w:r w:rsidRPr="00F31699">
        <w:rPr>
          <w:rFonts w:ascii="Verdana" w:hAnsi="Verdana" w:cs="Arial"/>
          <w:b/>
          <w:sz w:val="22"/>
          <w:szCs w:val="22"/>
        </w:rPr>
        <w:t>SETTLEMENT (PENSIONS)</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An irrevocable action that relieves the employer (or the defined benefit scheme) of the primary responsibility for a pension obligation and eliminates significant risks relating to the obligation and the assets used to effect the settlement. Settlements include:-</w:t>
      </w:r>
    </w:p>
    <w:p w:rsidR="008C26E5" w:rsidRPr="00F31699" w:rsidRDefault="008C26E5" w:rsidP="008C26E5">
      <w:pPr>
        <w:jc w:val="both"/>
        <w:rPr>
          <w:rFonts w:ascii="Verdana" w:hAnsi="Verdana" w:cs="Arial"/>
          <w:sz w:val="22"/>
          <w:szCs w:val="22"/>
        </w:rPr>
      </w:pPr>
    </w:p>
    <w:p w:rsidR="008C26E5" w:rsidRPr="00F31699" w:rsidRDefault="008C26E5" w:rsidP="008C26E5">
      <w:pPr>
        <w:ind w:left="720" w:hanging="720"/>
        <w:jc w:val="both"/>
        <w:rPr>
          <w:rFonts w:ascii="Verdana" w:hAnsi="Verdana" w:cs="Arial"/>
          <w:sz w:val="22"/>
          <w:szCs w:val="22"/>
        </w:rPr>
      </w:pPr>
      <w:r w:rsidRPr="00F31699">
        <w:rPr>
          <w:rFonts w:ascii="Verdana" w:hAnsi="Verdana" w:cs="Arial"/>
          <w:sz w:val="22"/>
          <w:szCs w:val="22"/>
        </w:rPr>
        <w:t>•</w:t>
      </w:r>
      <w:r w:rsidRPr="00F31699">
        <w:rPr>
          <w:rFonts w:ascii="Verdana" w:hAnsi="Verdana" w:cs="Arial"/>
          <w:sz w:val="22"/>
          <w:szCs w:val="22"/>
        </w:rPr>
        <w:tab/>
        <w:t>a lump sum cash payment to scheme members in exchange for their rights to receive specified pension benefits</w:t>
      </w:r>
    </w:p>
    <w:p w:rsidR="008C26E5" w:rsidRPr="00F31699" w:rsidRDefault="008C26E5" w:rsidP="008C26E5">
      <w:pPr>
        <w:jc w:val="both"/>
        <w:rPr>
          <w:rFonts w:ascii="Verdana" w:hAnsi="Verdana" w:cs="Arial"/>
          <w:sz w:val="22"/>
          <w:szCs w:val="22"/>
        </w:rPr>
      </w:pPr>
      <w:r w:rsidRPr="00F31699">
        <w:rPr>
          <w:rFonts w:ascii="Verdana" w:hAnsi="Verdana" w:cs="Arial"/>
          <w:sz w:val="22"/>
          <w:szCs w:val="22"/>
        </w:rPr>
        <w:t>•</w:t>
      </w:r>
      <w:r w:rsidRPr="00F31699">
        <w:rPr>
          <w:rFonts w:ascii="Verdana" w:hAnsi="Verdana" w:cs="Arial"/>
          <w:sz w:val="22"/>
          <w:szCs w:val="22"/>
        </w:rPr>
        <w:tab/>
        <w:t>the purchase of an irrevocable annuity contract sufficient to cover vested benefits, and</w:t>
      </w:r>
    </w:p>
    <w:p w:rsidR="008C26E5" w:rsidRPr="00F31699" w:rsidRDefault="008C26E5" w:rsidP="008C26E5">
      <w:pPr>
        <w:ind w:left="720" w:hanging="720"/>
        <w:jc w:val="both"/>
        <w:rPr>
          <w:rFonts w:ascii="Verdana" w:hAnsi="Verdana" w:cs="Arial"/>
          <w:sz w:val="22"/>
          <w:szCs w:val="22"/>
        </w:rPr>
      </w:pPr>
      <w:r w:rsidRPr="00F31699">
        <w:rPr>
          <w:rFonts w:ascii="Verdana" w:hAnsi="Verdana" w:cs="Arial"/>
          <w:sz w:val="22"/>
          <w:szCs w:val="22"/>
        </w:rPr>
        <w:t>•</w:t>
      </w:r>
      <w:r w:rsidRPr="00F31699">
        <w:rPr>
          <w:rFonts w:ascii="Verdana" w:hAnsi="Verdana" w:cs="Arial"/>
          <w:sz w:val="22"/>
          <w:szCs w:val="22"/>
        </w:rPr>
        <w:tab/>
        <w:t>the transfer of scheme assets and liabilities relating to a group of employees leaving the scheme.</w:t>
      </w:r>
    </w:p>
    <w:p w:rsidR="008C26E5" w:rsidRPr="00F31699" w:rsidRDefault="008C26E5" w:rsidP="008C26E5">
      <w:pPr>
        <w:ind w:left="720" w:hanging="720"/>
        <w:jc w:val="both"/>
        <w:rPr>
          <w:rFonts w:ascii="Verdana" w:hAnsi="Verdana" w:cs="Arial"/>
          <w:sz w:val="22"/>
          <w:szCs w:val="22"/>
        </w:rPr>
      </w:pPr>
    </w:p>
    <w:p w:rsidR="008C26E5" w:rsidRPr="00F31699" w:rsidRDefault="008C26E5" w:rsidP="008C26E5">
      <w:pPr>
        <w:pStyle w:val="Normal0"/>
        <w:rPr>
          <w:rFonts w:ascii="Verdana" w:hAnsi="Verdana"/>
          <w:b/>
          <w:sz w:val="22"/>
          <w:szCs w:val="22"/>
          <w:lang w:val="en-GB" w:eastAsia="en-GB"/>
        </w:rPr>
      </w:pPr>
      <w:r w:rsidRPr="00F31699">
        <w:rPr>
          <w:rFonts w:ascii="Verdana" w:hAnsi="Verdana"/>
          <w:b/>
          <w:color w:val="000000"/>
          <w:sz w:val="22"/>
          <w:szCs w:val="22"/>
          <w:lang w:val="en-GB" w:eastAsia="en-GB"/>
        </w:rPr>
        <w:t>TOTAL NET EXPENDITURE</w:t>
      </w:r>
    </w:p>
    <w:p w:rsidR="008C26E5" w:rsidRPr="00D5396C" w:rsidRDefault="008C26E5" w:rsidP="008C26E5">
      <w:pPr>
        <w:pStyle w:val="Normal0"/>
        <w:rPr>
          <w:rFonts w:ascii="Verdana" w:hAnsi="Verdana"/>
          <w:sz w:val="22"/>
          <w:szCs w:val="22"/>
          <w:lang w:val="en-GB" w:eastAsia="en-GB"/>
        </w:rPr>
      </w:pPr>
      <w:r w:rsidRPr="00F31699">
        <w:rPr>
          <w:rFonts w:ascii="Verdana" w:hAnsi="Verdana" w:cs="ArialMT"/>
          <w:color w:val="000000"/>
          <w:sz w:val="22"/>
          <w:szCs w:val="22"/>
          <w:lang w:val="en-GB" w:eastAsia="en-GB"/>
        </w:rPr>
        <w:t>Total net spending requirement after deducting specific grants and other local income is financed by Central Government grants and local Council Tax</w:t>
      </w:r>
      <w:r w:rsidRPr="00FA3F11">
        <w:rPr>
          <w:rFonts w:ascii="Verdana" w:hAnsi="Verdana" w:cs="Arial"/>
          <w:sz w:val="22"/>
          <w:szCs w:val="22"/>
        </w:rPr>
        <w:t>.</w:t>
      </w:r>
    </w:p>
    <w:p w:rsidR="008C26E5" w:rsidRDefault="008C26E5" w:rsidP="00F227D9">
      <w:pPr>
        <w:pStyle w:val="Normal0"/>
        <w:jc w:val="both"/>
        <w:rPr>
          <w:rFonts w:ascii="Verdana" w:eastAsia="Times New Roman" w:hAnsi="Verdana" w:cs="Arial"/>
          <w:sz w:val="22"/>
          <w:szCs w:val="22"/>
          <w:lang w:val="en-GB" w:eastAsia="en-GB"/>
        </w:rPr>
      </w:pPr>
    </w:p>
    <w:p w:rsidR="008C26E5" w:rsidRDefault="008C26E5" w:rsidP="00F227D9">
      <w:pPr>
        <w:pStyle w:val="Normal0"/>
        <w:jc w:val="both"/>
        <w:rPr>
          <w:rFonts w:ascii="Verdana" w:eastAsia="Times New Roman" w:hAnsi="Verdana" w:cs="Arial"/>
          <w:sz w:val="22"/>
          <w:szCs w:val="22"/>
          <w:lang w:val="en-GB" w:eastAsia="en-GB"/>
        </w:rPr>
      </w:pPr>
    </w:p>
    <w:p w:rsidR="008C26E5" w:rsidRDefault="008C26E5" w:rsidP="00F227D9">
      <w:pPr>
        <w:pStyle w:val="Normal0"/>
        <w:jc w:val="both"/>
        <w:rPr>
          <w:rFonts w:ascii="Verdana" w:eastAsia="Times New Roman" w:hAnsi="Verdana" w:cs="Arial"/>
          <w:sz w:val="22"/>
          <w:szCs w:val="22"/>
          <w:lang w:val="en-GB" w:eastAsia="en-GB"/>
        </w:rPr>
      </w:pPr>
    </w:p>
    <w:p w:rsidR="008C26E5" w:rsidRDefault="008C26E5" w:rsidP="00F227D9">
      <w:pPr>
        <w:pStyle w:val="Normal0"/>
        <w:jc w:val="both"/>
        <w:rPr>
          <w:rFonts w:ascii="Verdana" w:eastAsia="Times New Roman" w:hAnsi="Verdana" w:cs="Arial"/>
          <w:sz w:val="22"/>
          <w:szCs w:val="22"/>
          <w:lang w:val="en-GB" w:eastAsia="en-GB"/>
        </w:rPr>
      </w:pPr>
    </w:p>
    <w:p w:rsidR="008C26E5" w:rsidRDefault="008C26E5" w:rsidP="00F227D9">
      <w:pPr>
        <w:pStyle w:val="Normal0"/>
        <w:jc w:val="both"/>
        <w:rPr>
          <w:rFonts w:ascii="Verdana" w:eastAsia="Times New Roman" w:hAnsi="Verdana" w:cs="Arial"/>
          <w:sz w:val="22"/>
          <w:szCs w:val="22"/>
          <w:lang w:val="en-GB" w:eastAsia="en-GB"/>
        </w:rPr>
      </w:pPr>
    </w:p>
    <w:p w:rsidR="008C26E5" w:rsidRDefault="008C26E5" w:rsidP="00F227D9">
      <w:pPr>
        <w:pStyle w:val="Normal0"/>
        <w:jc w:val="both"/>
        <w:rPr>
          <w:rFonts w:ascii="Verdana" w:eastAsia="Times New Roman" w:hAnsi="Verdana" w:cs="Arial"/>
          <w:sz w:val="22"/>
          <w:szCs w:val="22"/>
          <w:lang w:val="en-GB" w:eastAsia="en-GB"/>
        </w:rPr>
      </w:pPr>
    </w:p>
    <w:p w:rsidR="008C26E5" w:rsidRDefault="008C26E5" w:rsidP="00F227D9">
      <w:pPr>
        <w:pStyle w:val="Normal0"/>
        <w:jc w:val="both"/>
        <w:rPr>
          <w:rFonts w:ascii="Verdana" w:eastAsia="Times New Roman" w:hAnsi="Verdana" w:cs="Arial"/>
          <w:sz w:val="22"/>
          <w:szCs w:val="22"/>
          <w:lang w:val="en-GB" w:eastAsia="en-GB"/>
        </w:rPr>
      </w:pPr>
    </w:p>
    <w:p w:rsidR="008C26E5" w:rsidRDefault="008C26E5" w:rsidP="00F227D9">
      <w:pPr>
        <w:pStyle w:val="Normal0"/>
        <w:jc w:val="both"/>
        <w:rPr>
          <w:rFonts w:ascii="Verdana" w:eastAsia="Times New Roman" w:hAnsi="Verdana" w:cs="Arial"/>
          <w:sz w:val="22"/>
          <w:szCs w:val="22"/>
          <w:lang w:val="en-GB" w:eastAsia="en-GB"/>
        </w:rPr>
      </w:pPr>
    </w:p>
    <w:p w:rsidR="008C26E5" w:rsidRDefault="008C26E5" w:rsidP="00F227D9">
      <w:pPr>
        <w:pStyle w:val="Normal0"/>
        <w:jc w:val="both"/>
        <w:rPr>
          <w:rFonts w:ascii="Verdana" w:eastAsia="Times New Roman" w:hAnsi="Verdana" w:cs="Arial"/>
          <w:sz w:val="22"/>
          <w:szCs w:val="22"/>
          <w:lang w:val="en-GB" w:eastAsia="en-GB"/>
        </w:rPr>
      </w:pPr>
    </w:p>
    <w:p w:rsidR="008C26E5" w:rsidRPr="00FA3F11" w:rsidRDefault="008C26E5" w:rsidP="00F227D9">
      <w:pPr>
        <w:pStyle w:val="Normal0"/>
        <w:jc w:val="both"/>
        <w:rPr>
          <w:rFonts w:ascii="Verdana" w:eastAsia="Times New Roman" w:hAnsi="Verdana" w:cs="Arial"/>
          <w:sz w:val="22"/>
          <w:szCs w:val="22"/>
          <w:lang w:val="en-GB" w:eastAsia="en-GB"/>
        </w:rPr>
      </w:pPr>
    </w:p>
    <w:sectPr w:rsidR="008C26E5" w:rsidRPr="00FA3F11" w:rsidSect="00F227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B85" w:rsidRDefault="003D5B85">
      <w:r>
        <w:separator/>
      </w:r>
    </w:p>
  </w:endnote>
  <w:endnote w:type="continuationSeparator" w:id="0">
    <w:p w:rsidR="003D5B85" w:rsidRDefault="003D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 Lola">
    <w:altName w:val="FS Lol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B85" w:rsidRDefault="003D5B85">
    <w:pPr>
      <w:pStyle w:val="Footer"/>
      <w:jc w:val="center"/>
    </w:pPr>
  </w:p>
  <w:p w:rsidR="003D5B85" w:rsidRDefault="003D5B85" w:rsidP="00F227D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B85" w:rsidRPr="004D1896" w:rsidRDefault="00EA146B" w:rsidP="00F227D9">
    <w:pPr>
      <w:pStyle w:val="Footer"/>
      <w:tabs>
        <w:tab w:val="clear" w:pos="4513"/>
        <w:tab w:val="center" w:pos="4510"/>
        <w:tab w:val="left" w:pos="6090"/>
      </w:tabs>
      <w:jc w:val="center"/>
      <w:rPr>
        <w:rFonts w:ascii="Verdana" w:hAnsi="Verdana"/>
        <w:sz w:val="22"/>
        <w:szCs w:val="22"/>
      </w:rPr>
    </w:pPr>
    <w:sdt>
      <w:sdtPr>
        <w:id w:val="-1252808656"/>
        <w:docPartObj>
          <w:docPartGallery w:val="Page Numbers (Bottom of Page)"/>
          <w:docPartUnique/>
        </w:docPartObj>
      </w:sdtPr>
      <w:sdtEndPr>
        <w:rPr>
          <w:rFonts w:ascii="Verdana" w:hAnsi="Verdana"/>
          <w:noProof/>
          <w:sz w:val="22"/>
          <w:szCs w:val="22"/>
        </w:rPr>
      </w:sdtEndPr>
      <w:sdtContent>
        <w:r w:rsidR="003D5B85" w:rsidRPr="004D1896">
          <w:rPr>
            <w:rFonts w:ascii="Verdana" w:hAnsi="Verdana"/>
            <w:sz w:val="22"/>
            <w:szCs w:val="22"/>
          </w:rPr>
          <w:fldChar w:fldCharType="begin"/>
        </w:r>
        <w:r w:rsidR="003D5B85" w:rsidRPr="004D1896">
          <w:rPr>
            <w:rFonts w:ascii="Verdana" w:hAnsi="Verdana"/>
            <w:sz w:val="22"/>
            <w:szCs w:val="22"/>
          </w:rPr>
          <w:instrText xml:space="preserve"> PAGE   \* MERGEFORMAT </w:instrText>
        </w:r>
        <w:r w:rsidR="003D5B85" w:rsidRPr="004D1896">
          <w:rPr>
            <w:rFonts w:ascii="Verdana" w:hAnsi="Verdana"/>
            <w:sz w:val="22"/>
            <w:szCs w:val="22"/>
          </w:rPr>
          <w:fldChar w:fldCharType="separate"/>
        </w:r>
        <w:r>
          <w:rPr>
            <w:rFonts w:ascii="Verdana" w:hAnsi="Verdana"/>
            <w:noProof/>
            <w:sz w:val="22"/>
            <w:szCs w:val="22"/>
          </w:rPr>
          <w:t>52</w:t>
        </w:r>
        <w:r w:rsidR="003D5B85" w:rsidRPr="004D1896">
          <w:rPr>
            <w:rFonts w:ascii="Verdana" w:hAnsi="Verdana"/>
            <w:noProof/>
            <w:sz w:val="22"/>
            <w:szCs w:val="22"/>
          </w:rPr>
          <w:fldChar w:fldCharType="end"/>
        </w:r>
      </w:sdtContent>
    </w:sdt>
  </w:p>
  <w:p w:rsidR="003D5B85" w:rsidRDefault="003D5B85" w:rsidP="00F227D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B85" w:rsidRDefault="003D5B85">
      <w:r>
        <w:separator/>
      </w:r>
    </w:p>
  </w:footnote>
  <w:footnote w:type="continuationSeparator" w:id="0">
    <w:p w:rsidR="003D5B85" w:rsidRDefault="003D5B85">
      <w:r>
        <w:continuationSeparator/>
      </w:r>
    </w:p>
  </w:footnote>
  <w:footnote w:id="1">
    <w:p w:rsidR="003D5B85" w:rsidRDefault="003D5B85" w:rsidP="00D835CC">
      <w:pPr>
        <w:pStyle w:val="FootnoteText"/>
        <w:rPr>
          <w:rFonts w:ascii="Calibri" w:hAnsi="Calibri"/>
          <w:sz w:val="18"/>
          <w:szCs w:val="18"/>
        </w:rPr>
      </w:pPr>
      <w:r w:rsidRPr="00345718">
        <w:rPr>
          <w:rStyle w:val="FootnoteReference"/>
          <w:rFonts w:ascii="Calibri" w:hAnsi="Calibri"/>
          <w:sz w:val="18"/>
          <w:szCs w:val="18"/>
        </w:rPr>
        <w:footnoteRef/>
      </w:r>
      <w:r w:rsidRPr="00345718">
        <w:rPr>
          <w:rFonts w:ascii="Calibri" w:hAnsi="Calibri"/>
          <w:sz w:val="18"/>
          <w:szCs w:val="18"/>
        </w:rPr>
        <w:t xml:space="preserve">  </w:t>
      </w:r>
      <w:hyperlink r:id="rId1" w:history="1">
        <w:r w:rsidRPr="00345718">
          <w:rPr>
            <w:rStyle w:val="Hyperlink"/>
            <w:rFonts w:ascii="Calibri" w:hAnsi="Calibri"/>
            <w:sz w:val="18"/>
            <w:szCs w:val="18"/>
          </w:rPr>
          <w:t>Code of Corporate Governance</w:t>
        </w:r>
      </w:hyperlink>
      <w:r>
        <w:rPr>
          <w:rFonts w:ascii="Calibri" w:hAnsi="Calibri"/>
          <w:sz w:val="18"/>
          <w:szCs w:val="18"/>
        </w:rPr>
        <w:t>)</w:t>
      </w:r>
      <w:r w:rsidRPr="0000323E">
        <w:t xml:space="preserve"> </w:t>
      </w:r>
      <w:hyperlink r:id="rId2" w:history="1">
        <w:r w:rsidRPr="00ED0617">
          <w:rPr>
            <w:rStyle w:val="Hyperlink"/>
            <w:rFonts w:ascii="Calibri" w:hAnsi="Calibri"/>
            <w:sz w:val="18"/>
            <w:szCs w:val="18"/>
          </w:rPr>
          <w:t>https://www.</w:t>
        </w:r>
        <w:r>
          <w:rPr>
            <w:rStyle w:val="Hyperlink"/>
            <w:rFonts w:ascii="Calibri" w:hAnsi="Calibri"/>
            <w:sz w:val="18"/>
            <w:szCs w:val="18"/>
          </w:rPr>
          <w:t>Surrey</w:t>
        </w:r>
        <w:r w:rsidRPr="00ED0617">
          <w:rPr>
            <w:rStyle w:val="Hyperlink"/>
            <w:rFonts w:ascii="Calibri" w:hAnsi="Calibri"/>
            <w:sz w:val="18"/>
            <w:szCs w:val="18"/>
          </w:rPr>
          <w:t>-pcc.gov.uk/media/4781/code-of-corporate-governance-v9-2020.pdf</w:t>
        </w:r>
      </w:hyperlink>
    </w:p>
    <w:p w:rsidR="003D5B85" w:rsidRPr="00E45E81" w:rsidRDefault="003D5B85" w:rsidP="00D835CC">
      <w:pPr>
        <w:pStyle w:val="FootnoteText"/>
        <w:rPr>
          <w:rFonts w:ascii="Calibri" w:hAnsi="Calibri"/>
          <w:color w:val="FF0000"/>
          <w:sz w:val="18"/>
          <w:szCs w:val="18"/>
          <w:u w:val="single"/>
        </w:rPr>
      </w:pPr>
    </w:p>
  </w:footnote>
  <w:footnote w:id="2">
    <w:p w:rsidR="003D5B85" w:rsidRPr="00345718" w:rsidRDefault="003D5B85" w:rsidP="00D835CC">
      <w:pPr>
        <w:pStyle w:val="FootnoteText"/>
        <w:rPr>
          <w:rFonts w:ascii="Calibri" w:hAnsi="Calibri"/>
          <w:sz w:val="18"/>
          <w:szCs w:val="18"/>
        </w:rPr>
      </w:pPr>
      <w:r w:rsidRPr="00345718">
        <w:rPr>
          <w:rStyle w:val="FootnoteReference"/>
          <w:rFonts w:ascii="Calibri" w:hAnsi="Calibri"/>
          <w:sz w:val="18"/>
          <w:szCs w:val="18"/>
        </w:rPr>
        <w:footnoteRef/>
      </w:r>
      <w:r w:rsidRPr="00345718">
        <w:rPr>
          <w:rFonts w:ascii="Calibri" w:hAnsi="Calibri"/>
          <w:iCs/>
          <w:sz w:val="18"/>
          <w:szCs w:val="18"/>
        </w:rPr>
        <w:t xml:space="preserve">  “Delivering Good</w:t>
      </w:r>
      <w:r w:rsidRPr="00345718">
        <w:rPr>
          <w:rFonts w:ascii="Calibri" w:hAnsi="Calibri"/>
          <w:sz w:val="18"/>
          <w:szCs w:val="18"/>
        </w:rPr>
        <w:t xml:space="preserve"> Go</w:t>
      </w:r>
      <w:r w:rsidRPr="00345718">
        <w:rPr>
          <w:rFonts w:ascii="Calibri" w:hAnsi="Calibri"/>
          <w:iCs/>
          <w:sz w:val="18"/>
          <w:szCs w:val="18"/>
        </w:rPr>
        <w:t>vernance in Local Government”</w:t>
      </w:r>
      <w:r w:rsidRPr="00345718">
        <w:rPr>
          <w:rFonts w:ascii="Calibri" w:hAnsi="Calibri"/>
          <w:sz w:val="18"/>
          <w:szCs w:val="18"/>
        </w:rPr>
        <w:t xml:space="preserve"> </w:t>
      </w:r>
      <w:hyperlink r:id="rId3" w:history="1">
        <w:r w:rsidRPr="00345718">
          <w:rPr>
            <w:rStyle w:val="Hyperlink"/>
            <w:rFonts w:ascii="Calibri" w:hAnsi="Calibri"/>
            <w:sz w:val="18"/>
            <w:szCs w:val="18"/>
          </w:rPr>
          <w:t>http://www.cipfa.org/policy-and-guidance/publications/d/delivering-good-governance-in-local-government-framework-2016-edition</w:t>
        </w:r>
      </w:hyperlink>
    </w:p>
  </w:footnote>
  <w:footnote w:id="3">
    <w:p w:rsidR="003D5B85" w:rsidRPr="00345718" w:rsidRDefault="003D5B85" w:rsidP="00D835CC">
      <w:pPr>
        <w:pStyle w:val="FootnoteText"/>
        <w:rPr>
          <w:rFonts w:ascii="Calibri" w:hAnsi="Calibri"/>
          <w:sz w:val="18"/>
          <w:szCs w:val="18"/>
        </w:rPr>
      </w:pPr>
      <w:r w:rsidRPr="00345718">
        <w:rPr>
          <w:rStyle w:val="FootnoteReference"/>
          <w:rFonts w:ascii="Calibri" w:hAnsi="Calibri"/>
          <w:sz w:val="18"/>
          <w:szCs w:val="18"/>
        </w:rPr>
        <w:footnoteRef/>
      </w:r>
      <w:r w:rsidRPr="00345718">
        <w:rPr>
          <w:rFonts w:ascii="Calibri" w:hAnsi="Calibri"/>
          <w:sz w:val="18"/>
          <w:szCs w:val="18"/>
        </w:rPr>
        <w:t xml:space="preserve">  “</w:t>
      </w:r>
      <w:r w:rsidRPr="00345718">
        <w:rPr>
          <w:rFonts w:ascii="Calibri" w:hAnsi="Calibri"/>
          <w:iCs/>
          <w:sz w:val="18"/>
          <w:szCs w:val="18"/>
        </w:rPr>
        <w:t>Delivering Good</w:t>
      </w:r>
      <w:r w:rsidRPr="00345718">
        <w:rPr>
          <w:rFonts w:ascii="Calibri" w:hAnsi="Calibri"/>
          <w:sz w:val="18"/>
          <w:szCs w:val="18"/>
        </w:rPr>
        <w:t xml:space="preserve"> Go</w:t>
      </w:r>
      <w:r w:rsidRPr="00345718">
        <w:rPr>
          <w:rFonts w:ascii="Calibri" w:hAnsi="Calibri"/>
          <w:iCs/>
          <w:sz w:val="18"/>
          <w:szCs w:val="18"/>
        </w:rPr>
        <w:t>vernance in Local Government”</w:t>
      </w:r>
      <w:r w:rsidRPr="00345718">
        <w:rPr>
          <w:rFonts w:ascii="Calibri" w:hAnsi="Calibri"/>
          <w:sz w:val="18"/>
          <w:szCs w:val="18"/>
        </w:rPr>
        <w:t xml:space="preserve"> and the guidance notes for policing bodies (revised 2016) </w:t>
      </w:r>
      <w:hyperlink r:id="rId4" w:history="1">
        <w:r w:rsidRPr="00345718">
          <w:rPr>
            <w:rStyle w:val="Hyperlink"/>
            <w:rFonts w:ascii="Calibri" w:hAnsi="Calibri"/>
            <w:sz w:val="18"/>
            <w:szCs w:val="18"/>
          </w:rPr>
          <w:t>http://www.cipfa.org/policy-and-guidance/publications/d/delivering-good-governance-guidance-notes-for-policing-bodies-in-england-and-wales-2016-edition</w:t>
        </w:r>
      </w:hyperlink>
    </w:p>
  </w:footnote>
  <w:footnote w:id="4">
    <w:p w:rsidR="003D5B85" w:rsidRPr="000803AE" w:rsidRDefault="003D5B85" w:rsidP="00D835CC">
      <w:pPr>
        <w:pStyle w:val="FootnoteText"/>
        <w:ind w:left="284" w:hanging="284"/>
        <w:rPr>
          <w:rFonts w:ascii="Calibri" w:hAnsi="Calibri"/>
          <w:sz w:val="18"/>
          <w:szCs w:val="18"/>
        </w:rPr>
      </w:pPr>
      <w:r w:rsidRPr="00954DC3">
        <w:rPr>
          <w:rStyle w:val="FootnoteReference"/>
          <w:sz w:val="18"/>
          <w:szCs w:val="18"/>
        </w:rPr>
        <w:footnoteRef/>
      </w:r>
      <w:r>
        <w:rPr>
          <w:sz w:val="18"/>
          <w:szCs w:val="18"/>
        </w:rPr>
        <w:t xml:space="preserve">   </w:t>
      </w:r>
      <w:r w:rsidRPr="000803AE">
        <w:rPr>
          <w:rFonts w:ascii="Calibri" w:hAnsi="Calibri"/>
          <w:sz w:val="18"/>
          <w:szCs w:val="18"/>
        </w:rPr>
        <w:t>The role of the Chief Finance Officer of the Police and Crime Commissioner and the Chief Finance</w:t>
      </w:r>
      <w:r>
        <w:rPr>
          <w:rFonts w:ascii="Calibri" w:hAnsi="Calibri"/>
          <w:sz w:val="18"/>
          <w:szCs w:val="18"/>
        </w:rPr>
        <w:t xml:space="preserve"> Officer of the Chief Constable </w:t>
      </w:r>
      <w:r w:rsidRPr="000803AE">
        <w:rPr>
          <w:rFonts w:ascii="Calibri" w:hAnsi="Calibri"/>
          <w:sz w:val="18"/>
          <w:szCs w:val="18"/>
        </w:rPr>
        <w:t xml:space="preserve">(July 2012) </w:t>
      </w:r>
      <w:hyperlink r:id="rId5" w:history="1">
        <w:r w:rsidRPr="002E26D5">
          <w:rPr>
            <w:rStyle w:val="Hyperlink"/>
            <w:rFonts w:ascii="Calibri" w:hAnsi="Calibri"/>
            <w:sz w:val="18"/>
            <w:szCs w:val="18"/>
          </w:rPr>
          <w:t>http://www.cipfa.org/policy-and-guidance/reports/cipfa-statement-on-the-role-of-the-chief-financial-officer-of-the-police-and-crime-commissioner-and-the-chief-finance-officer-of-the-chief-constable</w:t>
        </w:r>
      </w:hyperlink>
    </w:p>
  </w:footnote>
  <w:footnote w:id="5">
    <w:p w:rsidR="003D5B85" w:rsidRPr="000803AE" w:rsidRDefault="003D5B85" w:rsidP="00D835CC">
      <w:pPr>
        <w:pStyle w:val="FootnoteText"/>
        <w:rPr>
          <w:rFonts w:ascii="Calibri" w:hAnsi="Calibri"/>
          <w:sz w:val="18"/>
          <w:szCs w:val="18"/>
        </w:rPr>
      </w:pPr>
      <w:r w:rsidRPr="000803AE">
        <w:rPr>
          <w:rStyle w:val="FootnoteReference"/>
          <w:rFonts w:ascii="Calibri" w:hAnsi="Calibri"/>
          <w:sz w:val="18"/>
          <w:szCs w:val="18"/>
        </w:rPr>
        <w:footnoteRef/>
      </w:r>
      <w:r>
        <w:rPr>
          <w:rFonts w:ascii="Calibri" w:hAnsi="Calibri"/>
          <w:sz w:val="18"/>
          <w:szCs w:val="18"/>
        </w:rPr>
        <w:t xml:space="preserve">    Police and Crime Plan</w:t>
      </w:r>
      <w:r w:rsidRPr="009D608A">
        <w:rPr>
          <w:rFonts w:ascii="Calibri" w:hAnsi="Calibri"/>
          <w:sz w:val="18"/>
          <w:szCs w:val="18"/>
        </w:rPr>
        <w:t>:</w:t>
      </w:r>
      <w:r w:rsidRPr="00A55878">
        <w:rPr>
          <w:rFonts w:ascii="Calibri" w:hAnsi="Calibri"/>
          <w:sz w:val="18"/>
          <w:szCs w:val="18"/>
        </w:rPr>
        <w:t xml:space="preserve"> </w:t>
      </w:r>
      <w:hyperlink r:id="rId6" w:history="1">
        <w:r w:rsidRPr="00A55878">
          <w:rPr>
            <w:rStyle w:val="Hyperlink"/>
            <w:rFonts w:ascii="Calibri" w:hAnsi="Calibri"/>
            <w:sz w:val="18"/>
            <w:szCs w:val="18"/>
          </w:rPr>
          <w:t>Police &amp; Crime Plan</w:t>
        </w:r>
      </w:hyperlink>
    </w:p>
  </w:footnote>
  <w:footnote w:id="6">
    <w:p w:rsidR="003D5B85" w:rsidRPr="000803AE" w:rsidRDefault="003D5B85" w:rsidP="00D835CC">
      <w:pPr>
        <w:pStyle w:val="FootnoteText"/>
        <w:rPr>
          <w:rFonts w:ascii="Calibri" w:hAnsi="Calibri"/>
          <w:sz w:val="18"/>
          <w:szCs w:val="18"/>
        </w:rPr>
      </w:pPr>
      <w:r w:rsidRPr="000803AE">
        <w:rPr>
          <w:rStyle w:val="FootnoteReference"/>
          <w:rFonts w:ascii="Calibri" w:hAnsi="Calibri"/>
          <w:sz w:val="18"/>
          <w:szCs w:val="18"/>
        </w:rPr>
        <w:footnoteRef/>
      </w:r>
      <w:r>
        <w:rPr>
          <w:rFonts w:ascii="Calibri" w:hAnsi="Calibri"/>
          <w:sz w:val="18"/>
          <w:szCs w:val="18"/>
        </w:rPr>
        <w:t xml:space="preserve">    </w:t>
      </w:r>
      <w:hyperlink r:id="rId7" w:history="1">
        <w:r w:rsidRPr="008034AE">
          <w:rPr>
            <w:rStyle w:val="Hyperlink"/>
            <w:rFonts w:ascii="Calibri" w:hAnsi="Calibri"/>
            <w:sz w:val="18"/>
            <w:szCs w:val="18"/>
          </w:rPr>
          <w:t>Strategic Policing Requirement</w:t>
        </w:r>
      </w:hyperlink>
      <w:r w:rsidRPr="008034AE">
        <w:rPr>
          <w:rFonts w:ascii="Calibri" w:hAnsi="Calibri"/>
          <w:sz w:val="18"/>
          <w:szCs w:val="18"/>
        </w:rPr>
        <w:t>:</w:t>
      </w:r>
      <w:r>
        <w:rPr>
          <w:rFonts w:ascii="Calibri" w:hAnsi="Calibri"/>
          <w:sz w:val="18"/>
          <w:szCs w:val="18"/>
          <w:u w:val="single"/>
        </w:rPr>
        <w:t xml:space="preserve"> </w:t>
      </w:r>
      <w:r>
        <w:rPr>
          <w:rFonts w:ascii="Calibri" w:hAnsi="Calibri"/>
          <w:sz w:val="18"/>
          <w:szCs w:val="18"/>
        </w:rPr>
        <w:t xml:space="preserve"> </w:t>
      </w:r>
      <w:hyperlink r:id="rId8" w:history="1">
        <w:r w:rsidRPr="008E0175">
          <w:rPr>
            <w:rStyle w:val="Hyperlink"/>
            <w:rFonts w:ascii="Calibri" w:hAnsi="Calibri"/>
            <w:sz w:val="18"/>
            <w:szCs w:val="18"/>
          </w:rPr>
          <w:t>https://www.gov.uk/government/publications/strategic-policing-requirement</w:t>
        </w:r>
      </w:hyperlink>
    </w:p>
  </w:footnote>
  <w:footnote w:id="7">
    <w:p w:rsidR="003D5B85" w:rsidRPr="004F1B6A" w:rsidRDefault="003D5B85" w:rsidP="00D835CC">
      <w:pPr>
        <w:pStyle w:val="FootnoteText"/>
        <w:rPr>
          <w:rFonts w:ascii="Calibri" w:hAnsi="Calibri"/>
          <w:sz w:val="18"/>
          <w:szCs w:val="18"/>
        </w:rPr>
      </w:pPr>
      <w:r w:rsidRPr="00E042A3">
        <w:rPr>
          <w:rStyle w:val="FootnoteReference"/>
          <w:rFonts w:ascii="Calibri" w:hAnsi="Calibri"/>
          <w:sz w:val="18"/>
          <w:szCs w:val="18"/>
        </w:rPr>
        <w:footnoteRef/>
      </w:r>
      <w:r w:rsidRPr="00E042A3">
        <w:rPr>
          <w:rFonts w:ascii="Calibri" w:hAnsi="Calibri"/>
          <w:sz w:val="18"/>
          <w:szCs w:val="18"/>
        </w:rPr>
        <w:t xml:space="preserve">    Governan</w:t>
      </w:r>
      <w:r w:rsidRPr="004F1B6A">
        <w:rPr>
          <w:rFonts w:ascii="Calibri" w:hAnsi="Calibri"/>
          <w:sz w:val="18"/>
          <w:szCs w:val="18"/>
        </w:rPr>
        <w:t xml:space="preserve">ce Documents: </w:t>
      </w:r>
      <w:hyperlink r:id="rId9" w:history="1">
        <w:r w:rsidRPr="00D4147B">
          <w:rPr>
            <w:rStyle w:val="Hyperlink"/>
            <w:rFonts w:ascii="Calibri" w:hAnsi="Calibri"/>
            <w:sz w:val="18"/>
            <w:szCs w:val="18"/>
          </w:rPr>
          <w:t>https://www.surrey-pcc.gov.uk/transparency/key-responsibilities/</w:t>
        </w:r>
      </w:hyperlink>
    </w:p>
  </w:footnote>
  <w:footnote w:id="8">
    <w:p w:rsidR="003D5B85" w:rsidRPr="004F1B6A" w:rsidRDefault="003D5B85" w:rsidP="00D835CC">
      <w:pPr>
        <w:pStyle w:val="FootnoteText"/>
        <w:rPr>
          <w:sz w:val="18"/>
          <w:szCs w:val="18"/>
          <w:highlight w:val="yellow"/>
        </w:rPr>
      </w:pPr>
      <w:r w:rsidRPr="004F1B6A">
        <w:rPr>
          <w:rStyle w:val="FootnoteReference"/>
          <w:rFonts w:ascii="Calibri" w:hAnsi="Calibri"/>
          <w:sz w:val="18"/>
          <w:szCs w:val="18"/>
        </w:rPr>
        <w:footnoteRef/>
      </w:r>
      <w:r w:rsidRPr="004F1B6A">
        <w:rPr>
          <w:rFonts w:ascii="Calibri" w:hAnsi="Calibri"/>
          <w:sz w:val="18"/>
          <w:szCs w:val="18"/>
        </w:rPr>
        <w:t xml:space="preserve"> </w:t>
      </w:r>
      <w:r w:rsidRPr="004F1B6A">
        <w:rPr>
          <w:sz w:val="18"/>
          <w:szCs w:val="18"/>
        </w:rPr>
        <w:t xml:space="preserve">   </w:t>
      </w:r>
      <w:r w:rsidRPr="004F1B6A">
        <w:rPr>
          <w:rFonts w:ascii="Calibri" w:hAnsi="Calibri"/>
          <w:sz w:val="18"/>
          <w:szCs w:val="18"/>
        </w:rPr>
        <w:t>HMIC Crime Data Integrity inspection report 2018 Surrey Police:</w:t>
      </w:r>
      <w:r>
        <w:rPr>
          <w:sz w:val="18"/>
          <w:szCs w:val="18"/>
        </w:rPr>
        <w:t xml:space="preserve"> </w:t>
      </w:r>
      <w:hyperlink r:id="rId10" w:history="1">
        <w:r w:rsidRPr="00D4147B">
          <w:rPr>
            <w:rStyle w:val="Hyperlink"/>
            <w:rFonts w:ascii="Calibri" w:hAnsi="Calibri"/>
            <w:sz w:val="18"/>
            <w:szCs w:val="18"/>
          </w:rPr>
          <w:t>https://www.justiceinspectorates.gov.uk/hmicfrs/publications/surrey-crime-data-integrity-inspection-2018/</w:t>
        </w:r>
      </w:hyperlink>
    </w:p>
  </w:footnote>
  <w:footnote w:id="9">
    <w:p w:rsidR="003D5B85" w:rsidRPr="004E4D99" w:rsidRDefault="003D5B85" w:rsidP="00D835CC">
      <w:pPr>
        <w:pStyle w:val="FootnoteText"/>
        <w:rPr>
          <w:rFonts w:ascii="Calibri" w:hAnsi="Calibri"/>
          <w:bCs/>
          <w:sz w:val="18"/>
          <w:szCs w:val="18"/>
        </w:rPr>
      </w:pPr>
      <w:r w:rsidRPr="006049F0">
        <w:rPr>
          <w:rStyle w:val="FootnoteReference"/>
          <w:rFonts w:ascii="Calibri" w:hAnsi="Calibri"/>
          <w:sz w:val="18"/>
          <w:szCs w:val="18"/>
        </w:rPr>
        <w:footnoteRef/>
      </w:r>
      <w:r w:rsidRPr="006049F0">
        <w:rPr>
          <w:rFonts w:ascii="Calibri" w:hAnsi="Calibri"/>
          <w:sz w:val="18"/>
          <w:szCs w:val="18"/>
        </w:rPr>
        <w:t xml:space="preserve"> </w:t>
      </w:r>
      <w:r w:rsidRPr="006049F0">
        <w:rPr>
          <w:rStyle w:val="style4b1"/>
          <w:rFonts w:ascii="Calibri" w:hAnsi="Calibri"/>
          <w:b w:val="0"/>
          <w:sz w:val="18"/>
          <w:szCs w:val="18"/>
        </w:rPr>
        <w:t>Anti-Fraud, Bribery an</w:t>
      </w:r>
      <w:r>
        <w:rPr>
          <w:rStyle w:val="style4b1"/>
          <w:rFonts w:ascii="Calibri" w:hAnsi="Calibri"/>
          <w:b w:val="0"/>
          <w:sz w:val="18"/>
          <w:szCs w:val="18"/>
        </w:rPr>
        <w:t xml:space="preserve">d Corruption Policy: </w:t>
      </w:r>
      <w:hyperlink r:id="rId11" w:history="1">
        <w:r w:rsidRPr="00D4147B">
          <w:rPr>
            <w:rStyle w:val="Hyperlink"/>
            <w:rFonts w:ascii="Calibri" w:hAnsi="Calibri"/>
            <w:sz w:val="18"/>
            <w:szCs w:val="18"/>
          </w:rPr>
          <w:t>https://www.surrey.police.uk/SysSiteAssets/foi-media/surrey/policies/anti-fraud-corruption-and-bribery-policy.pdf</w:t>
        </w:r>
      </w:hyperlink>
    </w:p>
  </w:footnote>
  <w:footnote w:id="10">
    <w:p w:rsidR="003D5B85" w:rsidRPr="004F5B05" w:rsidRDefault="003D5B85" w:rsidP="00D835CC">
      <w:pPr>
        <w:pStyle w:val="FootnoteText"/>
        <w:rPr>
          <w:rFonts w:ascii="Calibri" w:hAnsi="Calibri"/>
          <w:sz w:val="18"/>
          <w:szCs w:val="18"/>
        </w:rPr>
      </w:pPr>
      <w:r w:rsidRPr="00F82AE8">
        <w:rPr>
          <w:rStyle w:val="FootnoteReference"/>
          <w:rFonts w:ascii="Calibri" w:hAnsi="Calibri"/>
          <w:sz w:val="18"/>
          <w:szCs w:val="18"/>
        </w:rPr>
        <w:footnoteRef/>
      </w:r>
      <w:r w:rsidRPr="00F82AE8">
        <w:rPr>
          <w:rFonts w:ascii="Calibri" w:hAnsi="Calibri"/>
          <w:sz w:val="18"/>
          <w:szCs w:val="18"/>
        </w:rPr>
        <w:t xml:space="preserve">   </w:t>
      </w:r>
      <w:r>
        <w:rPr>
          <w:rFonts w:ascii="Calibri" w:hAnsi="Calibri"/>
          <w:sz w:val="18"/>
          <w:szCs w:val="18"/>
        </w:rPr>
        <w:t xml:space="preserve"> IOPC U</w:t>
      </w:r>
      <w:r w:rsidRPr="00F82AE8">
        <w:rPr>
          <w:rFonts w:ascii="Calibri" w:hAnsi="Calibri"/>
          <w:sz w:val="18"/>
          <w:szCs w:val="18"/>
        </w:rPr>
        <w:t>se of Force</w:t>
      </w:r>
      <w:r>
        <w:rPr>
          <w:rFonts w:ascii="Calibri" w:hAnsi="Calibri"/>
          <w:sz w:val="18"/>
          <w:szCs w:val="18"/>
        </w:rPr>
        <w:t xml:space="preserve">: </w:t>
      </w:r>
      <w:r w:rsidRPr="00D41E4B">
        <w:t xml:space="preserve"> </w:t>
      </w:r>
      <w:hyperlink r:id="rId12" w:history="1">
        <w:r w:rsidRPr="006577DE">
          <w:rPr>
            <w:rStyle w:val="Hyperlink"/>
            <w:rFonts w:ascii="Calibri" w:hAnsi="Calibri"/>
            <w:sz w:val="18"/>
            <w:szCs w:val="18"/>
          </w:rPr>
          <w:t>https://www.policeconduct.gov.uk/sites/default/files/Documents/research-learning/IPCC_Use_Of_Force_Report.pdf</w:t>
        </w:r>
      </w:hyperlink>
    </w:p>
  </w:footnote>
  <w:footnote w:id="11">
    <w:p w:rsidR="003D5B85" w:rsidRPr="00AE4602" w:rsidRDefault="003D5B85" w:rsidP="00D835CC">
      <w:pPr>
        <w:pStyle w:val="FootnoteText"/>
        <w:rPr>
          <w:rFonts w:ascii="Calibri" w:hAnsi="Calibri"/>
          <w:sz w:val="18"/>
          <w:szCs w:val="18"/>
        </w:rPr>
      </w:pPr>
      <w:r w:rsidRPr="004F5B05">
        <w:rPr>
          <w:rStyle w:val="FootnoteReference"/>
          <w:rFonts w:ascii="Calibri" w:hAnsi="Calibri"/>
          <w:sz w:val="18"/>
          <w:szCs w:val="18"/>
        </w:rPr>
        <w:footnoteRef/>
      </w:r>
      <w:r w:rsidRPr="004F5B05">
        <w:rPr>
          <w:rFonts w:ascii="Calibri" w:hAnsi="Calibri"/>
          <w:sz w:val="18"/>
          <w:szCs w:val="18"/>
        </w:rPr>
        <w:t xml:space="preserve">  </w:t>
      </w:r>
      <w:r>
        <w:rPr>
          <w:rFonts w:ascii="Calibri" w:hAnsi="Calibri"/>
          <w:sz w:val="18"/>
          <w:szCs w:val="18"/>
        </w:rPr>
        <w:t xml:space="preserve">  </w:t>
      </w:r>
      <w:r w:rsidRPr="004F5B05">
        <w:rPr>
          <w:rFonts w:ascii="Calibri" w:hAnsi="Calibri"/>
          <w:sz w:val="18"/>
          <w:szCs w:val="18"/>
        </w:rPr>
        <w:t>HMIC</w:t>
      </w:r>
      <w:r>
        <w:rPr>
          <w:rFonts w:ascii="Calibri" w:hAnsi="Calibri"/>
          <w:sz w:val="18"/>
          <w:szCs w:val="18"/>
        </w:rPr>
        <w:t>FRS</w:t>
      </w:r>
      <w:r w:rsidRPr="004F5B05">
        <w:rPr>
          <w:rFonts w:ascii="Calibri" w:hAnsi="Calibri"/>
          <w:sz w:val="18"/>
          <w:szCs w:val="18"/>
        </w:rPr>
        <w:t xml:space="preserve"> PEEL assessment</w:t>
      </w:r>
      <w:r>
        <w:rPr>
          <w:rFonts w:ascii="Calibri" w:hAnsi="Calibri"/>
          <w:sz w:val="18"/>
          <w:szCs w:val="18"/>
        </w:rPr>
        <w:t>:</w:t>
      </w:r>
      <w:r w:rsidRPr="00351B0A">
        <w:t xml:space="preserve"> </w:t>
      </w:r>
      <w:hyperlink r:id="rId13" w:history="1">
        <w:r w:rsidRPr="00D4147B">
          <w:rPr>
            <w:rStyle w:val="Hyperlink"/>
            <w:rFonts w:ascii="Calibri" w:hAnsi="Calibri"/>
            <w:sz w:val="18"/>
            <w:szCs w:val="18"/>
          </w:rPr>
          <w:t>https://www.justiceinspectorates.gov.uk/hmicfrs/peel-assessments/peel-2018/surrey/</w:t>
        </w:r>
      </w:hyperlink>
    </w:p>
    <w:p w:rsidR="003D5B85" w:rsidRPr="00D4147B" w:rsidRDefault="003D5B85" w:rsidP="00D835CC">
      <w:pPr>
        <w:pStyle w:val="FootnoteText"/>
        <w:rPr>
          <w:rFonts w:ascii="Calibri" w:hAnsi="Calibri"/>
          <w:sz w:val="18"/>
          <w:szCs w:val="18"/>
        </w:rPr>
      </w:pPr>
    </w:p>
  </w:footnote>
  <w:footnote w:id="12">
    <w:p w:rsidR="003D5B85" w:rsidRPr="00C715C8" w:rsidRDefault="003D5B85" w:rsidP="00D835CC">
      <w:pPr>
        <w:pStyle w:val="FootnoteText"/>
        <w:rPr>
          <w:rFonts w:ascii="Calibri" w:eastAsia="Calibri" w:hAnsi="Calibri" w:cs="Times New Roman"/>
          <w:sz w:val="18"/>
          <w:szCs w:val="18"/>
          <w:lang w:eastAsia="en-US"/>
        </w:rPr>
      </w:pPr>
      <w:r w:rsidRPr="00BF5E7C">
        <w:rPr>
          <w:rStyle w:val="FootnoteReference"/>
          <w:rFonts w:ascii="Calibri" w:hAnsi="Calibri"/>
          <w:sz w:val="18"/>
          <w:szCs w:val="18"/>
        </w:rPr>
        <w:footnoteRef/>
      </w:r>
      <w:r w:rsidRPr="00BF5E7C">
        <w:rPr>
          <w:rFonts w:ascii="Calibri" w:hAnsi="Calibri"/>
          <w:sz w:val="18"/>
          <w:szCs w:val="18"/>
        </w:rPr>
        <w:t xml:space="preserve">  Surrey Chief </w:t>
      </w:r>
      <w:r w:rsidRPr="00C715C8">
        <w:rPr>
          <w:rFonts w:ascii="Calibri" w:hAnsi="Calibri"/>
          <w:sz w:val="18"/>
          <w:szCs w:val="18"/>
        </w:rPr>
        <w:t xml:space="preserve">Constable’s ‘Plan on a Page’ vision: </w:t>
      </w:r>
      <w:hyperlink r:id="rId14" w:history="1">
        <w:r w:rsidRPr="00C715C8">
          <w:rPr>
            <w:rStyle w:val="Hyperlink"/>
            <w:rFonts w:ascii="Calibri" w:hAnsi="Calibri"/>
            <w:sz w:val="18"/>
            <w:szCs w:val="18"/>
          </w:rPr>
          <w:t>https://www.surrey.police.uk/SysSiteAssets/media/downloads/surrey/about-us/ourplanonapage.pdf</w:t>
        </w:r>
      </w:hyperlink>
    </w:p>
  </w:footnote>
  <w:footnote w:id="13">
    <w:p w:rsidR="003D5B85" w:rsidRPr="00C715C8" w:rsidRDefault="003D5B85" w:rsidP="00D835CC">
      <w:pPr>
        <w:spacing w:before="40" w:after="40"/>
        <w:rPr>
          <w:rFonts w:ascii="Calibri" w:eastAsia="Calibri" w:hAnsi="Calibri" w:cs="Times New Roman"/>
          <w:sz w:val="18"/>
          <w:szCs w:val="18"/>
        </w:rPr>
      </w:pPr>
      <w:r w:rsidRPr="00C715C8">
        <w:rPr>
          <w:rStyle w:val="FootnoteReference"/>
          <w:rFonts w:ascii="Calibri" w:hAnsi="Calibri"/>
          <w:sz w:val="18"/>
          <w:szCs w:val="18"/>
        </w:rPr>
        <w:footnoteRef/>
      </w:r>
      <w:r w:rsidRPr="00C715C8">
        <w:rPr>
          <w:rFonts w:ascii="Calibri" w:hAnsi="Calibri"/>
          <w:sz w:val="18"/>
          <w:szCs w:val="18"/>
        </w:rPr>
        <w:t xml:space="preserve">   Surrey Business Plan:  </w:t>
      </w:r>
      <w:hyperlink r:id="rId15" w:history="1">
        <w:r w:rsidRPr="00C715C8">
          <w:rPr>
            <w:rStyle w:val="Hyperlink"/>
            <w:rFonts w:ascii="Calibri" w:eastAsia="Calibri" w:hAnsi="Calibri" w:cs="Times New Roman"/>
            <w:sz w:val="18"/>
            <w:szCs w:val="18"/>
          </w:rPr>
          <w:t>https://www.surrey.police.uk/SysSiteAssets/media/downloads/surrey/about-us/business-plan-2017.pdf</w:t>
        </w:r>
      </w:hyperlink>
    </w:p>
  </w:footnote>
  <w:footnote w:id="14">
    <w:p w:rsidR="003D5B85" w:rsidRPr="00C715C8" w:rsidRDefault="003D5B85" w:rsidP="00D835CC">
      <w:pPr>
        <w:pStyle w:val="FootnoteText"/>
        <w:rPr>
          <w:rFonts w:ascii="Calibri" w:hAnsi="Calibri"/>
          <w:sz w:val="18"/>
          <w:szCs w:val="18"/>
        </w:rPr>
      </w:pPr>
      <w:r w:rsidRPr="00C715C8">
        <w:rPr>
          <w:rStyle w:val="FootnoteReference"/>
          <w:sz w:val="18"/>
          <w:szCs w:val="18"/>
        </w:rPr>
        <w:footnoteRef/>
      </w:r>
      <w:r w:rsidRPr="00C715C8">
        <w:t xml:space="preserve"> </w:t>
      </w:r>
      <w:r w:rsidRPr="00C715C8">
        <w:rPr>
          <w:rFonts w:ascii="Calibri" w:hAnsi="Calibri"/>
          <w:sz w:val="18"/>
          <w:szCs w:val="18"/>
        </w:rPr>
        <w:t xml:space="preserve">Surrey police Force Management Statement 2018: </w:t>
      </w:r>
      <w:hyperlink r:id="rId16" w:history="1">
        <w:r w:rsidRPr="00C715C8">
          <w:rPr>
            <w:rStyle w:val="Hyperlink"/>
            <w:rFonts w:ascii="Calibri" w:hAnsi="Calibri"/>
            <w:sz w:val="18"/>
            <w:szCs w:val="18"/>
          </w:rPr>
          <w:t>https://www.Surrey.police.uk/SysSiteAssets/foi-media/Surrey/other_information/Surrey-police-force-management-statement-2019.pdf</w:t>
        </w:r>
      </w:hyperlink>
    </w:p>
    <w:p w:rsidR="003D5B85" w:rsidRPr="00D4147B" w:rsidRDefault="00EA146B" w:rsidP="00D835CC">
      <w:pPr>
        <w:pStyle w:val="FootnoteText"/>
        <w:rPr>
          <w:rFonts w:ascii="Calibri" w:hAnsi="Calibri"/>
          <w:sz w:val="18"/>
          <w:szCs w:val="18"/>
        </w:rPr>
      </w:pPr>
      <w:hyperlink r:id="rId17" w:history="1">
        <w:r w:rsidR="003D5B85" w:rsidRPr="00D4147B">
          <w:rPr>
            <w:rStyle w:val="Hyperlink"/>
            <w:rFonts w:ascii="Calibri" w:hAnsi="Calibri"/>
            <w:sz w:val="18"/>
            <w:szCs w:val="18"/>
          </w:rPr>
          <w:t>https://www.surrey.police.uk/SysSiteAssets/media/downloads/surrey/about-us/sp_forcemanagementstatement.pdf</w:t>
        </w:r>
      </w:hyperlink>
    </w:p>
    <w:p w:rsidR="003D5B85" w:rsidRPr="00D4147B" w:rsidRDefault="003D5B85" w:rsidP="00D835CC">
      <w:pPr>
        <w:pStyle w:val="FootnoteText"/>
        <w:rPr>
          <w:rFonts w:ascii="Calibri" w:hAnsi="Calibri"/>
          <w:sz w:val="18"/>
          <w:szCs w:val="18"/>
        </w:rPr>
      </w:pPr>
    </w:p>
  </w:footnote>
  <w:footnote w:id="15">
    <w:p w:rsidR="003D5B85" w:rsidRPr="00B32F84" w:rsidRDefault="003D5B85" w:rsidP="00D835CC">
      <w:pPr>
        <w:pStyle w:val="FootnoteText"/>
        <w:rPr>
          <w:sz w:val="18"/>
          <w:szCs w:val="18"/>
        </w:rPr>
      </w:pPr>
      <w:r w:rsidRPr="00345718">
        <w:rPr>
          <w:rStyle w:val="FootnoteReference"/>
          <w:rFonts w:ascii="Calibri" w:hAnsi="Calibri"/>
          <w:sz w:val="18"/>
          <w:szCs w:val="18"/>
        </w:rPr>
        <w:footnoteRef/>
      </w:r>
      <w:r w:rsidRPr="00345718">
        <w:rPr>
          <w:rFonts w:ascii="Calibri" w:hAnsi="Calibri"/>
          <w:sz w:val="18"/>
          <w:szCs w:val="18"/>
        </w:rPr>
        <w:t xml:space="preserve">  The use of targets in policing: </w:t>
      </w:r>
      <w:hyperlink r:id="rId18" w:history="1">
        <w:r w:rsidRPr="00D15467">
          <w:rPr>
            <w:rStyle w:val="Hyperlink"/>
            <w:rFonts w:ascii="Calibri" w:hAnsi="Calibri"/>
            <w:sz w:val="18"/>
            <w:szCs w:val="18"/>
          </w:rPr>
          <w:t>https://www.gov.uk/government/uploads/system/uploads/attachment_data/file/466058/Review_Targets_2015.pdf</w:t>
        </w:r>
      </w:hyperlink>
    </w:p>
  </w:footnote>
  <w:footnote w:id="16">
    <w:p w:rsidR="003D5B85" w:rsidRPr="004F5B05" w:rsidRDefault="003D5B85" w:rsidP="00D835CC">
      <w:pPr>
        <w:pStyle w:val="FootnoteText"/>
        <w:rPr>
          <w:rFonts w:ascii="Calibri" w:hAnsi="Calibri"/>
          <w:sz w:val="18"/>
          <w:szCs w:val="18"/>
        </w:rPr>
      </w:pPr>
      <w:r w:rsidRPr="004F5B05">
        <w:rPr>
          <w:rStyle w:val="FootnoteReference"/>
          <w:rFonts w:ascii="Calibri" w:hAnsi="Calibri"/>
          <w:sz w:val="18"/>
          <w:szCs w:val="18"/>
        </w:rPr>
        <w:footnoteRef/>
      </w:r>
      <w:r w:rsidRPr="004F5B05">
        <w:rPr>
          <w:rFonts w:ascii="Calibri" w:hAnsi="Calibri"/>
          <w:sz w:val="18"/>
          <w:szCs w:val="18"/>
        </w:rPr>
        <w:t xml:space="preserve">   HMIC</w:t>
      </w:r>
      <w:r>
        <w:rPr>
          <w:rFonts w:ascii="Calibri" w:hAnsi="Calibri"/>
          <w:sz w:val="18"/>
          <w:szCs w:val="18"/>
        </w:rPr>
        <w:t>FRS</w:t>
      </w:r>
      <w:r w:rsidRPr="004F5B05">
        <w:rPr>
          <w:rFonts w:ascii="Calibri" w:hAnsi="Calibri"/>
          <w:sz w:val="18"/>
          <w:szCs w:val="18"/>
        </w:rPr>
        <w:t xml:space="preserve"> Valu</w:t>
      </w:r>
      <w:r>
        <w:rPr>
          <w:rFonts w:ascii="Calibri" w:hAnsi="Calibri"/>
          <w:sz w:val="18"/>
          <w:szCs w:val="18"/>
        </w:rPr>
        <w:t>e for Money profiles Surrey 2019</w:t>
      </w:r>
      <w:r w:rsidRPr="004F5B05">
        <w:rPr>
          <w:rFonts w:ascii="Calibri" w:hAnsi="Calibri"/>
          <w:sz w:val="18"/>
          <w:szCs w:val="18"/>
        </w:rPr>
        <w:t xml:space="preserve">: </w:t>
      </w:r>
      <w:hyperlink r:id="rId19" w:history="1">
        <w:r w:rsidRPr="00796183">
          <w:rPr>
            <w:rStyle w:val="Hyperlink"/>
            <w:rFonts w:ascii="Calibri" w:hAnsi="Calibri"/>
            <w:sz w:val="18"/>
            <w:szCs w:val="18"/>
          </w:rPr>
          <w:t>https://www.justiceinspectorates.gov.uk/hmicfrs/our-work/article/value-for-money-inspections/value-for-money-profiles/value-for-money-dashboards/</w:t>
        </w:r>
      </w:hyperlink>
    </w:p>
  </w:footnote>
  <w:footnote w:id="17">
    <w:p w:rsidR="003D5B85" w:rsidRPr="00281E67" w:rsidRDefault="003D5B85" w:rsidP="00D835CC">
      <w:pPr>
        <w:pStyle w:val="FootnoteText"/>
        <w:rPr>
          <w:rFonts w:ascii="Calibri" w:hAnsi="Calibri"/>
          <w:sz w:val="18"/>
          <w:szCs w:val="18"/>
        </w:rPr>
      </w:pPr>
      <w:r w:rsidRPr="00281E67">
        <w:rPr>
          <w:rStyle w:val="FootnoteReference"/>
          <w:rFonts w:ascii="Calibri" w:hAnsi="Calibri"/>
          <w:sz w:val="18"/>
          <w:szCs w:val="18"/>
        </w:rPr>
        <w:footnoteRef/>
      </w:r>
      <w:r w:rsidRPr="00281E67">
        <w:rPr>
          <w:rFonts w:ascii="Calibri" w:hAnsi="Calibri"/>
          <w:sz w:val="18"/>
          <w:szCs w:val="18"/>
        </w:rPr>
        <w:t xml:space="preserve">    Joint Audit Committee</w:t>
      </w:r>
      <w:r>
        <w:rPr>
          <w:rFonts w:ascii="Calibri" w:hAnsi="Calibri"/>
          <w:sz w:val="18"/>
          <w:szCs w:val="18"/>
        </w:rPr>
        <w:t>:</w:t>
      </w:r>
      <w:r w:rsidRPr="00281E67">
        <w:rPr>
          <w:rFonts w:ascii="Calibri" w:hAnsi="Calibri"/>
          <w:sz w:val="18"/>
          <w:szCs w:val="18"/>
        </w:rPr>
        <w:t xml:space="preserve"> </w:t>
      </w:r>
      <w:hyperlink r:id="rId20" w:history="1">
        <w:r w:rsidRPr="008A4B85">
          <w:rPr>
            <w:rStyle w:val="Hyperlink"/>
            <w:rFonts w:ascii="Calibri" w:hAnsi="Calibri"/>
            <w:sz w:val="18"/>
            <w:szCs w:val="18"/>
          </w:rPr>
          <w:t>https://www.surrey-pcc.gov.uk/transparency/meetings-agendas/</w:t>
        </w:r>
      </w:hyperlink>
    </w:p>
  </w:footnote>
  <w:footnote w:id="18">
    <w:p w:rsidR="003D5B85" w:rsidRPr="004F5B05" w:rsidRDefault="003D5B85" w:rsidP="00D835CC">
      <w:pPr>
        <w:pStyle w:val="FootnoteText"/>
        <w:rPr>
          <w:rFonts w:ascii="Calibri" w:hAnsi="Calibri"/>
          <w:sz w:val="18"/>
          <w:szCs w:val="18"/>
        </w:rPr>
      </w:pPr>
      <w:r w:rsidRPr="004F5B05">
        <w:rPr>
          <w:rStyle w:val="FootnoteReference"/>
          <w:rFonts w:ascii="Calibri" w:hAnsi="Calibri"/>
          <w:sz w:val="18"/>
          <w:szCs w:val="18"/>
        </w:rPr>
        <w:footnoteRef/>
      </w:r>
      <w:r>
        <w:rPr>
          <w:rFonts w:ascii="Calibri" w:hAnsi="Calibri"/>
          <w:sz w:val="18"/>
          <w:szCs w:val="18"/>
        </w:rPr>
        <w:t xml:space="preserve">    Surrey Police website: </w:t>
      </w:r>
      <w:hyperlink r:id="rId21" w:history="1">
        <w:r w:rsidRPr="008A4B85">
          <w:rPr>
            <w:rStyle w:val="Hyperlink"/>
            <w:rFonts w:ascii="Calibri" w:hAnsi="Calibri"/>
            <w:sz w:val="18"/>
            <w:szCs w:val="18"/>
          </w:rPr>
          <w:t>https://www.surrey.police.uk/foi-ai/af/accessing-information/</w:t>
        </w:r>
      </w:hyperlink>
      <w:r>
        <w:rPr>
          <w:rFonts w:ascii="Calibri" w:hAnsi="Calibri"/>
          <w:sz w:val="18"/>
          <w:szCs w:val="18"/>
        </w:rPr>
        <w:t xml:space="preserve"> </w:t>
      </w:r>
    </w:p>
  </w:footnote>
  <w:footnote w:id="19">
    <w:p w:rsidR="003D5B85" w:rsidRDefault="003D5B85" w:rsidP="00D835CC">
      <w:pPr>
        <w:pStyle w:val="FootnoteText"/>
        <w:rPr>
          <w:rFonts w:ascii="Calibri" w:hAnsi="Calibri"/>
          <w:sz w:val="18"/>
          <w:szCs w:val="18"/>
        </w:rPr>
      </w:pPr>
      <w:r w:rsidRPr="004F5B05">
        <w:rPr>
          <w:rStyle w:val="FootnoteReference"/>
          <w:rFonts w:ascii="Calibri" w:hAnsi="Calibri"/>
          <w:sz w:val="18"/>
          <w:szCs w:val="18"/>
        </w:rPr>
        <w:footnoteRef/>
      </w:r>
      <w:r w:rsidRPr="004F5B05">
        <w:rPr>
          <w:rFonts w:ascii="Calibri" w:hAnsi="Calibri"/>
          <w:sz w:val="18"/>
          <w:szCs w:val="18"/>
        </w:rPr>
        <w:t xml:space="preserve">   </w:t>
      </w:r>
      <w:r>
        <w:rPr>
          <w:rFonts w:ascii="Calibri" w:hAnsi="Calibri"/>
          <w:sz w:val="18"/>
          <w:szCs w:val="18"/>
        </w:rPr>
        <w:t xml:space="preserve"> </w:t>
      </w:r>
      <w:r w:rsidRPr="004F5B05">
        <w:rPr>
          <w:rFonts w:ascii="Calibri" w:hAnsi="Calibri"/>
          <w:sz w:val="18"/>
          <w:szCs w:val="18"/>
        </w:rPr>
        <w:t xml:space="preserve">Misconduct Hearings: </w:t>
      </w:r>
      <w:hyperlink r:id="rId22" w:history="1">
        <w:r w:rsidRPr="008A4B85">
          <w:rPr>
            <w:rStyle w:val="Hyperlink"/>
            <w:rFonts w:ascii="Calibri" w:hAnsi="Calibri"/>
            <w:sz w:val="18"/>
            <w:szCs w:val="18"/>
          </w:rPr>
          <w:t>https://www.surrey.police.uk/search?q=misconduct+meetings</w:t>
        </w:r>
      </w:hyperlink>
    </w:p>
    <w:p w:rsidR="003D5B85" w:rsidRPr="004F5B05" w:rsidRDefault="003D5B85" w:rsidP="00D835CC">
      <w:pPr>
        <w:pStyle w:val="FootnoteText"/>
        <w:rPr>
          <w:rFonts w:ascii="Calibri" w:hAnsi="Calibri"/>
          <w:sz w:val="18"/>
          <w:szCs w:val="18"/>
        </w:rPr>
      </w:pPr>
    </w:p>
  </w:footnote>
  <w:footnote w:id="20">
    <w:p w:rsidR="003D5B85" w:rsidRPr="00B75DDA" w:rsidRDefault="003D5B85" w:rsidP="00C5423F">
      <w:pPr>
        <w:pStyle w:val="FootnoteText"/>
        <w:rPr>
          <w:rFonts w:asciiTheme="minorHAnsi" w:hAnsiTheme="minorHAnsi"/>
          <w:sz w:val="18"/>
          <w:szCs w:val="18"/>
        </w:rPr>
      </w:pPr>
      <w:r w:rsidRPr="00B75DDA">
        <w:rPr>
          <w:rStyle w:val="FootnoteReference"/>
          <w:rFonts w:ascii="Calibri" w:hAnsi="Calibri"/>
          <w:sz w:val="18"/>
          <w:szCs w:val="18"/>
        </w:rPr>
        <w:footnoteRef/>
      </w:r>
      <w:r w:rsidRPr="00B75DDA">
        <w:rPr>
          <w:rFonts w:ascii="Calibri" w:hAnsi="Calibri"/>
          <w:sz w:val="18"/>
          <w:szCs w:val="18"/>
        </w:rPr>
        <w:t xml:space="preserve"> Annual Internal Audit Opin</w:t>
      </w:r>
      <w:r w:rsidRPr="00B75DDA">
        <w:rPr>
          <w:rFonts w:asciiTheme="minorHAnsi" w:hAnsiTheme="minorHAnsi"/>
          <w:sz w:val="18"/>
          <w:szCs w:val="18"/>
        </w:rPr>
        <w:t xml:space="preserve">ion 2019-20: </w:t>
      </w:r>
      <w:hyperlink r:id="rId23" w:history="1">
        <w:r w:rsidRPr="00B75DDA">
          <w:rPr>
            <w:rStyle w:val="Hyperlink"/>
            <w:rFonts w:asciiTheme="minorHAnsi" w:hAnsiTheme="minorHAnsi"/>
            <w:sz w:val="18"/>
            <w:szCs w:val="18"/>
          </w:rPr>
          <w:t>https://surrey-pcc.gov.uk/wp-content/uploads/2020/07/10a.pdf</w:t>
        </w:r>
      </w:hyperlink>
    </w:p>
    <w:p w:rsidR="003D5B85" w:rsidRPr="00B75DDA" w:rsidRDefault="003D5B85" w:rsidP="00C5423F">
      <w:pPr>
        <w:pStyle w:val="FootnoteText"/>
        <w:rPr>
          <w:rFonts w:asciiTheme="minorHAnsi" w:hAnsiTheme="minorHAnsi"/>
          <w:color w:val="FF0000"/>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6300C2C"/>
    <w:lvl w:ilvl="0" w:tplc="8190E0E6">
      <w:start w:val="1"/>
      <w:numFmt w:val="decimal"/>
      <w:pStyle w:val="Style1"/>
      <w:lvlText w:val="%1."/>
      <w:lvlJc w:val="left"/>
      <w:pPr>
        <w:ind w:left="5606" w:hanging="360"/>
      </w:pPr>
      <w:rPr>
        <w:rFonts w:hint="default"/>
      </w:rPr>
    </w:lvl>
    <w:lvl w:ilvl="1" w:tplc="9B106274" w:tentative="1">
      <w:start w:val="1"/>
      <w:numFmt w:val="lowerLetter"/>
      <w:lvlText w:val="%2."/>
      <w:lvlJc w:val="left"/>
      <w:pPr>
        <w:ind w:left="1800" w:hanging="360"/>
      </w:pPr>
    </w:lvl>
    <w:lvl w:ilvl="2" w:tplc="81923730" w:tentative="1">
      <w:start w:val="1"/>
      <w:numFmt w:val="lowerRoman"/>
      <w:lvlText w:val="%3."/>
      <w:lvlJc w:val="right"/>
      <w:pPr>
        <w:ind w:left="2520" w:hanging="180"/>
      </w:pPr>
    </w:lvl>
    <w:lvl w:ilvl="3" w:tplc="86D62062" w:tentative="1">
      <w:start w:val="1"/>
      <w:numFmt w:val="decimal"/>
      <w:lvlText w:val="%4."/>
      <w:lvlJc w:val="left"/>
      <w:pPr>
        <w:ind w:left="3240" w:hanging="360"/>
      </w:pPr>
    </w:lvl>
    <w:lvl w:ilvl="4" w:tplc="B066EA7E" w:tentative="1">
      <w:start w:val="1"/>
      <w:numFmt w:val="lowerLetter"/>
      <w:lvlText w:val="%5."/>
      <w:lvlJc w:val="left"/>
      <w:pPr>
        <w:ind w:left="3960" w:hanging="360"/>
      </w:pPr>
    </w:lvl>
    <w:lvl w:ilvl="5" w:tplc="AB8C8D2A" w:tentative="1">
      <w:start w:val="1"/>
      <w:numFmt w:val="lowerRoman"/>
      <w:lvlText w:val="%6."/>
      <w:lvlJc w:val="right"/>
      <w:pPr>
        <w:ind w:left="4680" w:hanging="180"/>
      </w:pPr>
    </w:lvl>
    <w:lvl w:ilvl="6" w:tplc="F03CD366" w:tentative="1">
      <w:start w:val="1"/>
      <w:numFmt w:val="decimal"/>
      <w:lvlText w:val="%7."/>
      <w:lvlJc w:val="left"/>
      <w:pPr>
        <w:ind w:left="5400" w:hanging="360"/>
      </w:pPr>
    </w:lvl>
    <w:lvl w:ilvl="7" w:tplc="AD9E28B8" w:tentative="1">
      <w:start w:val="1"/>
      <w:numFmt w:val="lowerLetter"/>
      <w:lvlText w:val="%8."/>
      <w:lvlJc w:val="left"/>
      <w:pPr>
        <w:ind w:left="6120" w:hanging="360"/>
      </w:pPr>
    </w:lvl>
    <w:lvl w:ilvl="8" w:tplc="95A680AE" w:tentative="1">
      <w:start w:val="1"/>
      <w:numFmt w:val="lowerRoman"/>
      <w:lvlText w:val="%9."/>
      <w:lvlJc w:val="right"/>
      <w:pPr>
        <w:ind w:left="6840" w:hanging="180"/>
      </w:pPr>
    </w:lvl>
  </w:abstractNum>
  <w:abstractNum w:abstractNumId="1" w15:restartNumberingAfterBreak="0">
    <w:nsid w:val="00000002"/>
    <w:multiLevelType w:val="hybridMultilevel"/>
    <w:tmpl w:val="706AF5B0"/>
    <w:lvl w:ilvl="0" w:tplc="9D9E50B6">
      <w:start w:val="1"/>
      <w:numFmt w:val="bullet"/>
      <w:lvlText w:val=""/>
      <w:lvlJc w:val="left"/>
      <w:pPr>
        <w:ind w:left="1440" w:hanging="360"/>
      </w:pPr>
      <w:rPr>
        <w:rFonts w:ascii="Symbol" w:hAnsi="Symbol" w:hint="default"/>
      </w:rPr>
    </w:lvl>
    <w:lvl w:ilvl="1" w:tplc="AA9EF8E4" w:tentative="1">
      <w:start w:val="1"/>
      <w:numFmt w:val="bullet"/>
      <w:lvlText w:val="o"/>
      <w:lvlJc w:val="left"/>
      <w:pPr>
        <w:ind w:left="2160" w:hanging="360"/>
      </w:pPr>
      <w:rPr>
        <w:rFonts w:ascii="Courier New" w:hAnsi="Courier New" w:cs="Courier New" w:hint="default"/>
      </w:rPr>
    </w:lvl>
    <w:lvl w:ilvl="2" w:tplc="C6BA4404" w:tentative="1">
      <w:start w:val="1"/>
      <w:numFmt w:val="bullet"/>
      <w:lvlText w:val=""/>
      <w:lvlJc w:val="left"/>
      <w:pPr>
        <w:ind w:left="2880" w:hanging="360"/>
      </w:pPr>
      <w:rPr>
        <w:rFonts w:ascii="Wingdings" w:hAnsi="Wingdings" w:hint="default"/>
      </w:rPr>
    </w:lvl>
    <w:lvl w:ilvl="3" w:tplc="AFF8582C" w:tentative="1">
      <w:start w:val="1"/>
      <w:numFmt w:val="bullet"/>
      <w:lvlText w:val=""/>
      <w:lvlJc w:val="left"/>
      <w:pPr>
        <w:ind w:left="3600" w:hanging="360"/>
      </w:pPr>
      <w:rPr>
        <w:rFonts w:ascii="Symbol" w:hAnsi="Symbol" w:hint="default"/>
      </w:rPr>
    </w:lvl>
    <w:lvl w:ilvl="4" w:tplc="FA7885B8" w:tentative="1">
      <w:start w:val="1"/>
      <w:numFmt w:val="bullet"/>
      <w:lvlText w:val="o"/>
      <w:lvlJc w:val="left"/>
      <w:pPr>
        <w:ind w:left="4320" w:hanging="360"/>
      </w:pPr>
      <w:rPr>
        <w:rFonts w:ascii="Courier New" w:hAnsi="Courier New" w:cs="Courier New" w:hint="default"/>
      </w:rPr>
    </w:lvl>
    <w:lvl w:ilvl="5" w:tplc="7AEE8DF4" w:tentative="1">
      <w:start w:val="1"/>
      <w:numFmt w:val="bullet"/>
      <w:lvlText w:val=""/>
      <w:lvlJc w:val="left"/>
      <w:pPr>
        <w:ind w:left="5040" w:hanging="360"/>
      </w:pPr>
      <w:rPr>
        <w:rFonts w:ascii="Wingdings" w:hAnsi="Wingdings" w:hint="default"/>
      </w:rPr>
    </w:lvl>
    <w:lvl w:ilvl="6" w:tplc="5060E108" w:tentative="1">
      <w:start w:val="1"/>
      <w:numFmt w:val="bullet"/>
      <w:lvlText w:val=""/>
      <w:lvlJc w:val="left"/>
      <w:pPr>
        <w:ind w:left="5760" w:hanging="360"/>
      </w:pPr>
      <w:rPr>
        <w:rFonts w:ascii="Symbol" w:hAnsi="Symbol" w:hint="default"/>
      </w:rPr>
    </w:lvl>
    <w:lvl w:ilvl="7" w:tplc="7AB61FFE" w:tentative="1">
      <w:start w:val="1"/>
      <w:numFmt w:val="bullet"/>
      <w:lvlText w:val="o"/>
      <w:lvlJc w:val="left"/>
      <w:pPr>
        <w:ind w:left="6480" w:hanging="360"/>
      </w:pPr>
      <w:rPr>
        <w:rFonts w:ascii="Courier New" w:hAnsi="Courier New" w:cs="Courier New" w:hint="default"/>
      </w:rPr>
    </w:lvl>
    <w:lvl w:ilvl="8" w:tplc="D890CF72"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376C9D4E"/>
    <w:lvl w:ilvl="0" w:tplc="5C2A2F6C">
      <w:start w:val="1"/>
      <w:numFmt w:val="bullet"/>
      <w:lvlText w:val=""/>
      <w:lvlJc w:val="left"/>
      <w:pPr>
        <w:ind w:left="720" w:hanging="360"/>
      </w:pPr>
      <w:rPr>
        <w:rFonts w:ascii="Symbol" w:hAnsi="Symbol" w:hint="default"/>
      </w:rPr>
    </w:lvl>
    <w:lvl w:ilvl="1" w:tplc="976E01D2" w:tentative="1">
      <w:start w:val="1"/>
      <w:numFmt w:val="bullet"/>
      <w:lvlText w:val="o"/>
      <w:lvlJc w:val="left"/>
      <w:pPr>
        <w:ind w:left="1440" w:hanging="360"/>
      </w:pPr>
      <w:rPr>
        <w:rFonts w:ascii="Courier New" w:hAnsi="Courier New" w:cs="Courier New" w:hint="default"/>
      </w:rPr>
    </w:lvl>
    <w:lvl w:ilvl="2" w:tplc="207C9286" w:tentative="1">
      <w:start w:val="1"/>
      <w:numFmt w:val="bullet"/>
      <w:lvlText w:val=""/>
      <w:lvlJc w:val="left"/>
      <w:pPr>
        <w:ind w:left="2160" w:hanging="360"/>
      </w:pPr>
      <w:rPr>
        <w:rFonts w:ascii="Wingdings" w:hAnsi="Wingdings" w:hint="default"/>
      </w:rPr>
    </w:lvl>
    <w:lvl w:ilvl="3" w:tplc="A48AC2D0" w:tentative="1">
      <w:start w:val="1"/>
      <w:numFmt w:val="bullet"/>
      <w:lvlText w:val=""/>
      <w:lvlJc w:val="left"/>
      <w:pPr>
        <w:ind w:left="2880" w:hanging="360"/>
      </w:pPr>
      <w:rPr>
        <w:rFonts w:ascii="Symbol" w:hAnsi="Symbol" w:hint="default"/>
      </w:rPr>
    </w:lvl>
    <w:lvl w:ilvl="4" w:tplc="19EE07A8" w:tentative="1">
      <w:start w:val="1"/>
      <w:numFmt w:val="bullet"/>
      <w:lvlText w:val="o"/>
      <w:lvlJc w:val="left"/>
      <w:pPr>
        <w:ind w:left="3600" w:hanging="360"/>
      </w:pPr>
      <w:rPr>
        <w:rFonts w:ascii="Courier New" w:hAnsi="Courier New" w:cs="Courier New" w:hint="default"/>
      </w:rPr>
    </w:lvl>
    <w:lvl w:ilvl="5" w:tplc="164485C8" w:tentative="1">
      <w:start w:val="1"/>
      <w:numFmt w:val="bullet"/>
      <w:lvlText w:val=""/>
      <w:lvlJc w:val="left"/>
      <w:pPr>
        <w:ind w:left="4320" w:hanging="360"/>
      </w:pPr>
      <w:rPr>
        <w:rFonts w:ascii="Wingdings" w:hAnsi="Wingdings" w:hint="default"/>
      </w:rPr>
    </w:lvl>
    <w:lvl w:ilvl="6" w:tplc="B428DC5A" w:tentative="1">
      <w:start w:val="1"/>
      <w:numFmt w:val="bullet"/>
      <w:lvlText w:val=""/>
      <w:lvlJc w:val="left"/>
      <w:pPr>
        <w:ind w:left="5040" w:hanging="360"/>
      </w:pPr>
      <w:rPr>
        <w:rFonts w:ascii="Symbol" w:hAnsi="Symbol" w:hint="default"/>
      </w:rPr>
    </w:lvl>
    <w:lvl w:ilvl="7" w:tplc="2BDC2442" w:tentative="1">
      <w:start w:val="1"/>
      <w:numFmt w:val="bullet"/>
      <w:lvlText w:val="o"/>
      <w:lvlJc w:val="left"/>
      <w:pPr>
        <w:ind w:left="5760" w:hanging="360"/>
      </w:pPr>
      <w:rPr>
        <w:rFonts w:ascii="Courier New" w:hAnsi="Courier New" w:cs="Courier New" w:hint="default"/>
      </w:rPr>
    </w:lvl>
    <w:lvl w:ilvl="8" w:tplc="6DB2C606"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B602FE84"/>
    <w:lvl w:ilvl="0" w:tplc="EA3A37F2">
      <w:start w:val="1"/>
      <w:numFmt w:val="bullet"/>
      <w:lvlText w:val=""/>
      <w:lvlJc w:val="left"/>
      <w:pPr>
        <w:ind w:left="1080" w:hanging="720"/>
      </w:pPr>
      <w:rPr>
        <w:rFonts w:ascii="Symbol" w:hAnsi="Symbol" w:hint="default"/>
      </w:rPr>
    </w:lvl>
    <w:lvl w:ilvl="1" w:tplc="C8C23EB6">
      <w:start w:val="1"/>
      <w:numFmt w:val="bullet"/>
      <w:lvlText w:val="o"/>
      <w:lvlJc w:val="left"/>
      <w:pPr>
        <w:ind w:left="1440" w:hanging="360"/>
      </w:pPr>
      <w:rPr>
        <w:rFonts w:ascii="Courier New" w:hAnsi="Courier New" w:cs="Courier New" w:hint="default"/>
      </w:rPr>
    </w:lvl>
    <w:lvl w:ilvl="2" w:tplc="4822C214" w:tentative="1">
      <w:start w:val="1"/>
      <w:numFmt w:val="bullet"/>
      <w:lvlText w:val=""/>
      <w:lvlJc w:val="left"/>
      <w:pPr>
        <w:ind w:left="2160" w:hanging="360"/>
      </w:pPr>
      <w:rPr>
        <w:rFonts w:ascii="Wingdings" w:hAnsi="Wingdings" w:hint="default"/>
      </w:rPr>
    </w:lvl>
    <w:lvl w:ilvl="3" w:tplc="340C02BA" w:tentative="1">
      <w:start w:val="1"/>
      <w:numFmt w:val="bullet"/>
      <w:lvlText w:val=""/>
      <w:lvlJc w:val="left"/>
      <w:pPr>
        <w:ind w:left="2880" w:hanging="360"/>
      </w:pPr>
      <w:rPr>
        <w:rFonts w:ascii="Symbol" w:hAnsi="Symbol" w:hint="default"/>
      </w:rPr>
    </w:lvl>
    <w:lvl w:ilvl="4" w:tplc="149AB72C" w:tentative="1">
      <w:start w:val="1"/>
      <w:numFmt w:val="bullet"/>
      <w:lvlText w:val="o"/>
      <w:lvlJc w:val="left"/>
      <w:pPr>
        <w:ind w:left="3600" w:hanging="360"/>
      </w:pPr>
      <w:rPr>
        <w:rFonts w:ascii="Courier New" w:hAnsi="Courier New" w:cs="Courier New" w:hint="default"/>
      </w:rPr>
    </w:lvl>
    <w:lvl w:ilvl="5" w:tplc="BAB2DB62" w:tentative="1">
      <w:start w:val="1"/>
      <w:numFmt w:val="bullet"/>
      <w:lvlText w:val=""/>
      <w:lvlJc w:val="left"/>
      <w:pPr>
        <w:ind w:left="4320" w:hanging="360"/>
      </w:pPr>
      <w:rPr>
        <w:rFonts w:ascii="Wingdings" w:hAnsi="Wingdings" w:hint="default"/>
      </w:rPr>
    </w:lvl>
    <w:lvl w:ilvl="6" w:tplc="D03AFBEA" w:tentative="1">
      <w:start w:val="1"/>
      <w:numFmt w:val="bullet"/>
      <w:lvlText w:val=""/>
      <w:lvlJc w:val="left"/>
      <w:pPr>
        <w:ind w:left="5040" w:hanging="360"/>
      </w:pPr>
      <w:rPr>
        <w:rFonts w:ascii="Symbol" w:hAnsi="Symbol" w:hint="default"/>
      </w:rPr>
    </w:lvl>
    <w:lvl w:ilvl="7" w:tplc="03682018" w:tentative="1">
      <w:start w:val="1"/>
      <w:numFmt w:val="bullet"/>
      <w:lvlText w:val="o"/>
      <w:lvlJc w:val="left"/>
      <w:pPr>
        <w:ind w:left="5760" w:hanging="360"/>
      </w:pPr>
      <w:rPr>
        <w:rFonts w:ascii="Courier New" w:hAnsi="Courier New" w:cs="Courier New" w:hint="default"/>
      </w:rPr>
    </w:lvl>
    <w:lvl w:ilvl="8" w:tplc="82BAC21A"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9C60B0C"/>
    <w:lvl w:ilvl="0" w:tplc="E7C04D90">
      <w:start w:val="1"/>
      <w:numFmt w:val="bullet"/>
      <w:lvlText w:val=""/>
      <w:lvlJc w:val="left"/>
      <w:pPr>
        <w:ind w:left="720" w:hanging="360"/>
      </w:pPr>
      <w:rPr>
        <w:rFonts w:ascii="Symbol" w:hAnsi="Symbol" w:hint="default"/>
      </w:rPr>
    </w:lvl>
    <w:lvl w:ilvl="1" w:tplc="20C0C54E" w:tentative="1">
      <w:start w:val="1"/>
      <w:numFmt w:val="bullet"/>
      <w:lvlText w:val="o"/>
      <w:lvlJc w:val="left"/>
      <w:pPr>
        <w:ind w:left="1440" w:hanging="360"/>
      </w:pPr>
      <w:rPr>
        <w:rFonts w:ascii="Courier New" w:hAnsi="Courier New" w:cs="Courier New" w:hint="default"/>
      </w:rPr>
    </w:lvl>
    <w:lvl w:ilvl="2" w:tplc="D496022C" w:tentative="1">
      <w:start w:val="1"/>
      <w:numFmt w:val="bullet"/>
      <w:lvlText w:val=""/>
      <w:lvlJc w:val="left"/>
      <w:pPr>
        <w:ind w:left="2160" w:hanging="360"/>
      </w:pPr>
      <w:rPr>
        <w:rFonts w:ascii="Wingdings" w:hAnsi="Wingdings" w:hint="default"/>
      </w:rPr>
    </w:lvl>
    <w:lvl w:ilvl="3" w:tplc="B43CD9F6" w:tentative="1">
      <w:start w:val="1"/>
      <w:numFmt w:val="bullet"/>
      <w:lvlText w:val=""/>
      <w:lvlJc w:val="left"/>
      <w:pPr>
        <w:ind w:left="2880" w:hanging="360"/>
      </w:pPr>
      <w:rPr>
        <w:rFonts w:ascii="Symbol" w:hAnsi="Symbol" w:hint="default"/>
      </w:rPr>
    </w:lvl>
    <w:lvl w:ilvl="4" w:tplc="3744AE06" w:tentative="1">
      <w:start w:val="1"/>
      <w:numFmt w:val="bullet"/>
      <w:lvlText w:val="o"/>
      <w:lvlJc w:val="left"/>
      <w:pPr>
        <w:ind w:left="3600" w:hanging="360"/>
      </w:pPr>
      <w:rPr>
        <w:rFonts w:ascii="Courier New" w:hAnsi="Courier New" w:cs="Courier New" w:hint="default"/>
      </w:rPr>
    </w:lvl>
    <w:lvl w:ilvl="5" w:tplc="CFB6FA76" w:tentative="1">
      <w:start w:val="1"/>
      <w:numFmt w:val="bullet"/>
      <w:lvlText w:val=""/>
      <w:lvlJc w:val="left"/>
      <w:pPr>
        <w:ind w:left="4320" w:hanging="360"/>
      </w:pPr>
      <w:rPr>
        <w:rFonts w:ascii="Wingdings" w:hAnsi="Wingdings" w:hint="default"/>
      </w:rPr>
    </w:lvl>
    <w:lvl w:ilvl="6" w:tplc="38A68BEA" w:tentative="1">
      <w:start w:val="1"/>
      <w:numFmt w:val="bullet"/>
      <w:lvlText w:val=""/>
      <w:lvlJc w:val="left"/>
      <w:pPr>
        <w:ind w:left="5040" w:hanging="360"/>
      </w:pPr>
      <w:rPr>
        <w:rFonts w:ascii="Symbol" w:hAnsi="Symbol" w:hint="default"/>
      </w:rPr>
    </w:lvl>
    <w:lvl w:ilvl="7" w:tplc="3B50C03A" w:tentative="1">
      <w:start w:val="1"/>
      <w:numFmt w:val="bullet"/>
      <w:lvlText w:val="o"/>
      <w:lvlJc w:val="left"/>
      <w:pPr>
        <w:ind w:left="5760" w:hanging="360"/>
      </w:pPr>
      <w:rPr>
        <w:rFonts w:ascii="Courier New" w:hAnsi="Courier New" w:cs="Courier New" w:hint="default"/>
      </w:rPr>
    </w:lvl>
    <w:lvl w:ilvl="8" w:tplc="280A575A"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868E76EE"/>
    <w:lvl w:ilvl="0" w:tplc="26F4B88E">
      <w:start w:val="1"/>
      <w:numFmt w:val="bullet"/>
      <w:lvlText w:val=""/>
      <w:lvlJc w:val="left"/>
      <w:pPr>
        <w:ind w:left="720" w:hanging="360"/>
      </w:pPr>
      <w:rPr>
        <w:rFonts w:ascii="Symbol" w:hAnsi="Symbol" w:hint="default"/>
      </w:rPr>
    </w:lvl>
    <w:lvl w:ilvl="1" w:tplc="CAC80512">
      <w:start w:val="1"/>
      <w:numFmt w:val="bullet"/>
      <w:lvlText w:val="o"/>
      <w:lvlJc w:val="left"/>
      <w:pPr>
        <w:ind w:left="1440" w:hanging="360"/>
      </w:pPr>
      <w:rPr>
        <w:rFonts w:ascii="Courier New" w:hAnsi="Courier New" w:cs="Courier New" w:hint="default"/>
      </w:rPr>
    </w:lvl>
    <w:lvl w:ilvl="2" w:tplc="FEF24152" w:tentative="1">
      <w:start w:val="1"/>
      <w:numFmt w:val="bullet"/>
      <w:lvlText w:val=""/>
      <w:lvlJc w:val="left"/>
      <w:pPr>
        <w:ind w:left="2160" w:hanging="360"/>
      </w:pPr>
      <w:rPr>
        <w:rFonts w:ascii="Wingdings" w:hAnsi="Wingdings" w:hint="default"/>
      </w:rPr>
    </w:lvl>
    <w:lvl w:ilvl="3" w:tplc="31F6F5F6" w:tentative="1">
      <w:start w:val="1"/>
      <w:numFmt w:val="bullet"/>
      <w:lvlText w:val=""/>
      <w:lvlJc w:val="left"/>
      <w:pPr>
        <w:ind w:left="2880" w:hanging="360"/>
      </w:pPr>
      <w:rPr>
        <w:rFonts w:ascii="Symbol" w:hAnsi="Symbol" w:hint="default"/>
      </w:rPr>
    </w:lvl>
    <w:lvl w:ilvl="4" w:tplc="7D907944" w:tentative="1">
      <w:start w:val="1"/>
      <w:numFmt w:val="bullet"/>
      <w:lvlText w:val="o"/>
      <w:lvlJc w:val="left"/>
      <w:pPr>
        <w:ind w:left="3600" w:hanging="360"/>
      </w:pPr>
      <w:rPr>
        <w:rFonts w:ascii="Courier New" w:hAnsi="Courier New" w:cs="Courier New" w:hint="default"/>
      </w:rPr>
    </w:lvl>
    <w:lvl w:ilvl="5" w:tplc="A4E45C14" w:tentative="1">
      <w:start w:val="1"/>
      <w:numFmt w:val="bullet"/>
      <w:lvlText w:val=""/>
      <w:lvlJc w:val="left"/>
      <w:pPr>
        <w:ind w:left="4320" w:hanging="360"/>
      </w:pPr>
      <w:rPr>
        <w:rFonts w:ascii="Wingdings" w:hAnsi="Wingdings" w:hint="default"/>
      </w:rPr>
    </w:lvl>
    <w:lvl w:ilvl="6" w:tplc="D9761C88" w:tentative="1">
      <w:start w:val="1"/>
      <w:numFmt w:val="bullet"/>
      <w:lvlText w:val=""/>
      <w:lvlJc w:val="left"/>
      <w:pPr>
        <w:ind w:left="5040" w:hanging="360"/>
      </w:pPr>
      <w:rPr>
        <w:rFonts w:ascii="Symbol" w:hAnsi="Symbol" w:hint="default"/>
      </w:rPr>
    </w:lvl>
    <w:lvl w:ilvl="7" w:tplc="F364E338" w:tentative="1">
      <w:start w:val="1"/>
      <w:numFmt w:val="bullet"/>
      <w:lvlText w:val="o"/>
      <w:lvlJc w:val="left"/>
      <w:pPr>
        <w:ind w:left="5760" w:hanging="360"/>
      </w:pPr>
      <w:rPr>
        <w:rFonts w:ascii="Courier New" w:hAnsi="Courier New" w:cs="Courier New" w:hint="default"/>
      </w:rPr>
    </w:lvl>
    <w:lvl w:ilvl="8" w:tplc="666CC994"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9881882"/>
    <w:lvl w:ilvl="0" w:tplc="CED2F3E6">
      <w:start w:val="1"/>
      <w:numFmt w:val="decimal"/>
      <w:lvlText w:val="%1."/>
      <w:lvlJc w:val="left"/>
      <w:pPr>
        <w:ind w:left="720" w:hanging="360"/>
      </w:pPr>
      <w:rPr>
        <w:rFonts w:hint="default"/>
      </w:rPr>
    </w:lvl>
    <w:lvl w:ilvl="1" w:tplc="6F94EDD4" w:tentative="1">
      <w:start w:val="1"/>
      <w:numFmt w:val="lowerLetter"/>
      <w:lvlText w:val="%2."/>
      <w:lvlJc w:val="left"/>
      <w:pPr>
        <w:ind w:left="1440" w:hanging="360"/>
      </w:pPr>
    </w:lvl>
    <w:lvl w:ilvl="2" w:tplc="6F8A6B56" w:tentative="1">
      <w:start w:val="1"/>
      <w:numFmt w:val="lowerRoman"/>
      <w:lvlText w:val="%3."/>
      <w:lvlJc w:val="right"/>
      <w:pPr>
        <w:ind w:left="2160" w:hanging="180"/>
      </w:pPr>
    </w:lvl>
    <w:lvl w:ilvl="3" w:tplc="42B2F20C" w:tentative="1">
      <w:start w:val="1"/>
      <w:numFmt w:val="decimal"/>
      <w:lvlText w:val="%4."/>
      <w:lvlJc w:val="left"/>
      <w:pPr>
        <w:ind w:left="2880" w:hanging="360"/>
      </w:pPr>
    </w:lvl>
    <w:lvl w:ilvl="4" w:tplc="5C967AE4" w:tentative="1">
      <w:start w:val="1"/>
      <w:numFmt w:val="lowerLetter"/>
      <w:lvlText w:val="%5."/>
      <w:lvlJc w:val="left"/>
      <w:pPr>
        <w:ind w:left="3600" w:hanging="360"/>
      </w:pPr>
    </w:lvl>
    <w:lvl w:ilvl="5" w:tplc="1CEE5694" w:tentative="1">
      <w:start w:val="1"/>
      <w:numFmt w:val="lowerRoman"/>
      <w:lvlText w:val="%6."/>
      <w:lvlJc w:val="right"/>
      <w:pPr>
        <w:ind w:left="4320" w:hanging="180"/>
      </w:pPr>
    </w:lvl>
    <w:lvl w:ilvl="6" w:tplc="DCCE70BC" w:tentative="1">
      <w:start w:val="1"/>
      <w:numFmt w:val="decimal"/>
      <w:lvlText w:val="%7."/>
      <w:lvlJc w:val="left"/>
      <w:pPr>
        <w:ind w:left="5040" w:hanging="360"/>
      </w:pPr>
    </w:lvl>
    <w:lvl w:ilvl="7" w:tplc="640A45D8" w:tentative="1">
      <w:start w:val="1"/>
      <w:numFmt w:val="lowerLetter"/>
      <w:lvlText w:val="%8."/>
      <w:lvlJc w:val="left"/>
      <w:pPr>
        <w:ind w:left="5760" w:hanging="360"/>
      </w:pPr>
    </w:lvl>
    <w:lvl w:ilvl="8" w:tplc="FAB0B5E8" w:tentative="1">
      <w:start w:val="1"/>
      <w:numFmt w:val="lowerRoman"/>
      <w:lvlText w:val="%9."/>
      <w:lvlJc w:val="right"/>
      <w:pPr>
        <w:ind w:left="6480" w:hanging="180"/>
      </w:pPr>
    </w:lvl>
  </w:abstractNum>
  <w:abstractNum w:abstractNumId="7" w15:restartNumberingAfterBreak="0">
    <w:nsid w:val="00000008"/>
    <w:multiLevelType w:val="hybridMultilevel"/>
    <w:tmpl w:val="38161D60"/>
    <w:lvl w:ilvl="0" w:tplc="E79AAADC">
      <w:start w:val="1"/>
      <w:numFmt w:val="bullet"/>
      <w:lvlText w:val=""/>
      <w:lvlJc w:val="left"/>
      <w:pPr>
        <w:ind w:left="720" w:hanging="360"/>
      </w:pPr>
      <w:rPr>
        <w:rFonts w:ascii="Symbol" w:hAnsi="Symbol" w:hint="default"/>
      </w:rPr>
    </w:lvl>
    <w:lvl w:ilvl="1" w:tplc="4F4A4012" w:tentative="1">
      <w:start w:val="1"/>
      <w:numFmt w:val="bullet"/>
      <w:lvlText w:val="o"/>
      <w:lvlJc w:val="left"/>
      <w:pPr>
        <w:ind w:left="1440" w:hanging="360"/>
      </w:pPr>
      <w:rPr>
        <w:rFonts w:ascii="Courier New" w:hAnsi="Courier New" w:cs="Courier New" w:hint="default"/>
      </w:rPr>
    </w:lvl>
    <w:lvl w:ilvl="2" w:tplc="6C7AFD54" w:tentative="1">
      <w:start w:val="1"/>
      <w:numFmt w:val="bullet"/>
      <w:lvlText w:val=""/>
      <w:lvlJc w:val="left"/>
      <w:pPr>
        <w:ind w:left="2160" w:hanging="360"/>
      </w:pPr>
      <w:rPr>
        <w:rFonts w:ascii="Wingdings" w:hAnsi="Wingdings" w:hint="default"/>
      </w:rPr>
    </w:lvl>
    <w:lvl w:ilvl="3" w:tplc="2BCA399A" w:tentative="1">
      <w:start w:val="1"/>
      <w:numFmt w:val="bullet"/>
      <w:lvlText w:val=""/>
      <w:lvlJc w:val="left"/>
      <w:pPr>
        <w:ind w:left="2880" w:hanging="360"/>
      </w:pPr>
      <w:rPr>
        <w:rFonts w:ascii="Symbol" w:hAnsi="Symbol" w:hint="default"/>
      </w:rPr>
    </w:lvl>
    <w:lvl w:ilvl="4" w:tplc="2604CB56" w:tentative="1">
      <w:start w:val="1"/>
      <w:numFmt w:val="bullet"/>
      <w:lvlText w:val="o"/>
      <w:lvlJc w:val="left"/>
      <w:pPr>
        <w:ind w:left="3600" w:hanging="360"/>
      </w:pPr>
      <w:rPr>
        <w:rFonts w:ascii="Courier New" w:hAnsi="Courier New" w:cs="Courier New" w:hint="default"/>
      </w:rPr>
    </w:lvl>
    <w:lvl w:ilvl="5" w:tplc="4710B6AA" w:tentative="1">
      <w:start w:val="1"/>
      <w:numFmt w:val="bullet"/>
      <w:lvlText w:val=""/>
      <w:lvlJc w:val="left"/>
      <w:pPr>
        <w:ind w:left="4320" w:hanging="360"/>
      </w:pPr>
      <w:rPr>
        <w:rFonts w:ascii="Wingdings" w:hAnsi="Wingdings" w:hint="default"/>
      </w:rPr>
    </w:lvl>
    <w:lvl w:ilvl="6" w:tplc="1200C94A" w:tentative="1">
      <w:start w:val="1"/>
      <w:numFmt w:val="bullet"/>
      <w:lvlText w:val=""/>
      <w:lvlJc w:val="left"/>
      <w:pPr>
        <w:ind w:left="5040" w:hanging="360"/>
      </w:pPr>
      <w:rPr>
        <w:rFonts w:ascii="Symbol" w:hAnsi="Symbol" w:hint="default"/>
      </w:rPr>
    </w:lvl>
    <w:lvl w:ilvl="7" w:tplc="97064702" w:tentative="1">
      <w:start w:val="1"/>
      <w:numFmt w:val="bullet"/>
      <w:lvlText w:val="o"/>
      <w:lvlJc w:val="left"/>
      <w:pPr>
        <w:ind w:left="5760" w:hanging="360"/>
      </w:pPr>
      <w:rPr>
        <w:rFonts w:ascii="Courier New" w:hAnsi="Courier New" w:cs="Courier New" w:hint="default"/>
      </w:rPr>
    </w:lvl>
    <w:lvl w:ilvl="8" w:tplc="79D6A3B0"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A71C76C6"/>
    <w:lvl w:ilvl="0" w:tplc="11EE4916">
      <w:start w:val="1"/>
      <w:numFmt w:val="bullet"/>
      <w:lvlText w:val=""/>
      <w:lvlJc w:val="left"/>
      <w:pPr>
        <w:ind w:left="720" w:hanging="360"/>
      </w:pPr>
      <w:rPr>
        <w:rFonts w:ascii="Symbol" w:hAnsi="Symbol" w:hint="default"/>
      </w:rPr>
    </w:lvl>
    <w:lvl w:ilvl="1" w:tplc="587050E6">
      <w:start w:val="1"/>
      <w:numFmt w:val="bullet"/>
      <w:lvlText w:val="o"/>
      <w:lvlJc w:val="left"/>
      <w:pPr>
        <w:ind w:left="1440" w:hanging="360"/>
      </w:pPr>
      <w:rPr>
        <w:rFonts w:ascii="Courier New" w:hAnsi="Courier New" w:cs="Courier New" w:hint="default"/>
      </w:rPr>
    </w:lvl>
    <w:lvl w:ilvl="2" w:tplc="0282B2FA" w:tentative="1">
      <w:start w:val="1"/>
      <w:numFmt w:val="bullet"/>
      <w:lvlText w:val=""/>
      <w:lvlJc w:val="left"/>
      <w:pPr>
        <w:ind w:left="2160" w:hanging="360"/>
      </w:pPr>
      <w:rPr>
        <w:rFonts w:ascii="Wingdings" w:hAnsi="Wingdings" w:hint="default"/>
      </w:rPr>
    </w:lvl>
    <w:lvl w:ilvl="3" w:tplc="9E360C68" w:tentative="1">
      <w:start w:val="1"/>
      <w:numFmt w:val="bullet"/>
      <w:lvlText w:val=""/>
      <w:lvlJc w:val="left"/>
      <w:pPr>
        <w:ind w:left="2880" w:hanging="360"/>
      </w:pPr>
      <w:rPr>
        <w:rFonts w:ascii="Symbol" w:hAnsi="Symbol" w:hint="default"/>
      </w:rPr>
    </w:lvl>
    <w:lvl w:ilvl="4" w:tplc="6794F986" w:tentative="1">
      <w:start w:val="1"/>
      <w:numFmt w:val="bullet"/>
      <w:lvlText w:val="o"/>
      <w:lvlJc w:val="left"/>
      <w:pPr>
        <w:ind w:left="3600" w:hanging="360"/>
      </w:pPr>
      <w:rPr>
        <w:rFonts w:ascii="Courier New" w:hAnsi="Courier New" w:cs="Courier New" w:hint="default"/>
      </w:rPr>
    </w:lvl>
    <w:lvl w:ilvl="5" w:tplc="3B8E1482" w:tentative="1">
      <w:start w:val="1"/>
      <w:numFmt w:val="bullet"/>
      <w:lvlText w:val=""/>
      <w:lvlJc w:val="left"/>
      <w:pPr>
        <w:ind w:left="4320" w:hanging="360"/>
      </w:pPr>
      <w:rPr>
        <w:rFonts w:ascii="Wingdings" w:hAnsi="Wingdings" w:hint="default"/>
      </w:rPr>
    </w:lvl>
    <w:lvl w:ilvl="6" w:tplc="1D7ECBEC" w:tentative="1">
      <w:start w:val="1"/>
      <w:numFmt w:val="bullet"/>
      <w:lvlText w:val=""/>
      <w:lvlJc w:val="left"/>
      <w:pPr>
        <w:ind w:left="5040" w:hanging="360"/>
      </w:pPr>
      <w:rPr>
        <w:rFonts w:ascii="Symbol" w:hAnsi="Symbol" w:hint="default"/>
      </w:rPr>
    </w:lvl>
    <w:lvl w:ilvl="7" w:tplc="AD2AC1AA" w:tentative="1">
      <w:start w:val="1"/>
      <w:numFmt w:val="bullet"/>
      <w:lvlText w:val="o"/>
      <w:lvlJc w:val="left"/>
      <w:pPr>
        <w:ind w:left="5760" w:hanging="360"/>
      </w:pPr>
      <w:rPr>
        <w:rFonts w:ascii="Courier New" w:hAnsi="Courier New" w:cs="Courier New" w:hint="default"/>
      </w:rPr>
    </w:lvl>
    <w:lvl w:ilvl="8" w:tplc="16344242"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E0DAB9B2"/>
    <w:lvl w:ilvl="0" w:tplc="9DDC94C4">
      <w:start w:val="1"/>
      <w:numFmt w:val="bullet"/>
      <w:lvlText w:val=""/>
      <w:lvlJc w:val="left"/>
      <w:pPr>
        <w:ind w:left="1168" w:hanging="360"/>
      </w:pPr>
      <w:rPr>
        <w:rFonts w:ascii="Symbol" w:hAnsi="Symbol" w:hint="default"/>
      </w:rPr>
    </w:lvl>
    <w:lvl w:ilvl="1" w:tplc="8B387B0A" w:tentative="1">
      <w:start w:val="1"/>
      <w:numFmt w:val="bullet"/>
      <w:lvlText w:val="o"/>
      <w:lvlJc w:val="left"/>
      <w:pPr>
        <w:ind w:left="1888" w:hanging="360"/>
      </w:pPr>
      <w:rPr>
        <w:rFonts w:ascii="Courier New" w:hAnsi="Courier New" w:cs="Courier New" w:hint="default"/>
      </w:rPr>
    </w:lvl>
    <w:lvl w:ilvl="2" w:tplc="973C62C4" w:tentative="1">
      <w:start w:val="1"/>
      <w:numFmt w:val="bullet"/>
      <w:lvlText w:val=""/>
      <w:lvlJc w:val="left"/>
      <w:pPr>
        <w:ind w:left="2608" w:hanging="360"/>
      </w:pPr>
      <w:rPr>
        <w:rFonts w:ascii="Wingdings" w:hAnsi="Wingdings" w:hint="default"/>
      </w:rPr>
    </w:lvl>
    <w:lvl w:ilvl="3" w:tplc="9088504C" w:tentative="1">
      <w:start w:val="1"/>
      <w:numFmt w:val="bullet"/>
      <w:lvlText w:val=""/>
      <w:lvlJc w:val="left"/>
      <w:pPr>
        <w:ind w:left="3328" w:hanging="360"/>
      </w:pPr>
      <w:rPr>
        <w:rFonts w:ascii="Symbol" w:hAnsi="Symbol" w:hint="default"/>
      </w:rPr>
    </w:lvl>
    <w:lvl w:ilvl="4" w:tplc="C600936E" w:tentative="1">
      <w:start w:val="1"/>
      <w:numFmt w:val="bullet"/>
      <w:lvlText w:val="o"/>
      <w:lvlJc w:val="left"/>
      <w:pPr>
        <w:ind w:left="4048" w:hanging="360"/>
      </w:pPr>
      <w:rPr>
        <w:rFonts w:ascii="Courier New" w:hAnsi="Courier New" w:cs="Courier New" w:hint="default"/>
      </w:rPr>
    </w:lvl>
    <w:lvl w:ilvl="5" w:tplc="719E4B98" w:tentative="1">
      <w:start w:val="1"/>
      <w:numFmt w:val="bullet"/>
      <w:lvlText w:val=""/>
      <w:lvlJc w:val="left"/>
      <w:pPr>
        <w:ind w:left="4768" w:hanging="360"/>
      </w:pPr>
      <w:rPr>
        <w:rFonts w:ascii="Wingdings" w:hAnsi="Wingdings" w:hint="default"/>
      </w:rPr>
    </w:lvl>
    <w:lvl w:ilvl="6" w:tplc="8B76D548" w:tentative="1">
      <w:start w:val="1"/>
      <w:numFmt w:val="bullet"/>
      <w:lvlText w:val=""/>
      <w:lvlJc w:val="left"/>
      <w:pPr>
        <w:ind w:left="5488" w:hanging="360"/>
      </w:pPr>
      <w:rPr>
        <w:rFonts w:ascii="Symbol" w:hAnsi="Symbol" w:hint="default"/>
      </w:rPr>
    </w:lvl>
    <w:lvl w:ilvl="7" w:tplc="B61E3BEE" w:tentative="1">
      <w:start w:val="1"/>
      <w:numFmt w:val="bullet"/>
      <w:lvlText w:val="o"/>
      <w:lvlJc w:val="left"/>
      <w:pPr>
        <w:ind w:left="6208" w:hanging="360"/>
      </w:pPr>
      <w:rPr>
        <w:rFonts w:ascii="Courier New" w:hAnsi="Courier New" w:cs="Courier New" w:hint="default"/>
      </w:rPr>
    </w:lvl>
    <w:lvl w:ilvl="8" w:tplc="7ED65734" w:tentative="1">
      <w:start w:val="1"/>
      <w:numFmt w:val="bullet"/>
      <w:lvlText w:val=""/>
      <w:lvlJc w:val="left"/>
      <w:pPr>
        <w:ind w:left="6928" w:hanging="360"/>
      </w:pPr>
      <w:rPr>
        <w:rFonts w:ascii="Wingdings" w:hAnsi="Wingdings" w:hint="default"/>
      </w:rPr>
    </w:lvl>
  </w:abstractNum>
  <w:abstractNum w:abstractNumId="10" w15:restartNumberingAfterBreak="0">
    <w:nsid w:val="0000000B"/>
    <w:multiLevelType w:val="hybridMultilevel"/>
    <w:tmpl w:val="AC502834"/>
    <w:lvl w:ilvl="0" w:tplc="26CA5F74">
      <w:start w:val="6"/>
      <w:numFmt w:val="decimal"/>
      <w:lvlText w:val="%1"/>
      <w:lvlJc w:val="left"/>
      <w:pPr>
        <w:ind w:left="928" w:hanging="360"/>
      </w:pPr>
      <w:rPr>
        <w:rFonts w:hint="default"/>
      </w:rPr>
    </w:lvl>
    <w:lvl w:ilvl="1" w:tplc="48F2EBB8" w:tentative="1">
      <w:start w:val="1"/>
      <w:numFmt w:val="lowerLetter"/>
      <w:lvlText w:val="%2."/>
      <w:lvlJc w:val="left"/>
      <w:pPr>
        <w:ind w:left="1648" w:hanging="360"/>
      </w:pPr>
    </w:lvl>
    <w:lvl w:ilvl="2" w:tplc="B8563A36" w:tentative="1">
      <w:start w:val="1"/>
      <w:numFmt w:val="lowerRoman"/>
      <w:lvlText w:val="%3."/>
      <w:lvlJc w:val="right"/>
      <w:pPr>
        <w:ind w:left="2368" w:hanging="180"/>
      </w:pPr>
    </w:lvl>
    <w:lvl w:ilvl="3" w:tplc="A31CEB1A" w:tentative="1">
      <w:start w:val="1"/>
      <w:numFmt w:val="decimal"/>
      <w:lvlText w:val="%4."/>
      <w:lvlJc w:val="left"/>
      <w:pPr>
        <w:ind w:left="3088" w:hanging="360"/>
      </w:pPr>
    </w:lvl>
    <w:lvl w:ilvl="4" w:tplc="E1D44096" w:tentative="1">
      <w:start w:val="1"/>
      <w:numFmt w:val="lowerLetter"/>
      <w:lvlText w:val="%5."/>
      <w:lvlJc w:val="left"/>
      <w:pPr>
        <w:ind w:left="3808" w:hanging="360"/>
      </w:pPr>
    </w:lvl>
    <w:lvl w:ilvl="5" w:tplc="17C080BE" w:tentative="1">
      <w:start w:val="1"/>
      <w:numFmt w:val="lowerRoman"/>
      <w:lvlText w:val="%6."/>
      <w:lvlJc w:val="right"/>
      <w:pPr>
        <w:ind w:left="4528" w:hanging="180"/>
      </w:pPr>
    </w:lvl>
    <w:lvl w:ilvl="6" w:tplc="7A742444" w:tentative="1">
      <w:start w:val="1"/>
      <w:numFmt w:val="decimal"/>
      <w:lvlText w:val="%7."/>
      <w:lvlJc w:val="left"/>
      <w:pPr>
        <w:ind w:left="5248" w:hanging="360"/>
      </w:pPr>
    </w:lvl>
    <w:lvl w:ilvl="7" w:tplc="C8562344" w:tentative="1">
      <w:start w:val="1"/>
      <w:numFmt w:val="lowerLetter"/>
      <w:lvlText w:val="%8."/>
      <w:lvlJc w:val="left"/>
      <w:pPr>
        <w:ind w:left="5968" w:hanging="360"/>
      </w:pPr>
    </w:lvl>
    <w:lvl w:ilvl="8" w:tplc="74AEC62A" w:tentative="1">
      <w:start w:val="1"/>
      <w:numFmt w:val="lowerRoman"/>
      <w:lvlText w:val="%9."/>
      <w:lvlJc w:val="right"/>
      <w:pPr>
        <w:ind w:left="6688" w:hanging="180"/>
      </w:pPr>
    </w:lvl>
  </w:abstractNum>
  <w:abstractNum w:abstractNumId="11" w15:restartNumberingAfterBreak="0">
    <w:nsid w:val="0000000C"/>
    <w:multiLevelType w:val="multilevel"/>
    <w:tmpl w:val="26F26CE2"/>
    <w:name w:val="WW8Num12"/>
    <w:lvl w:ilvl="0">
      <w:start w:val="1"/>
      <w:numFmt w:val="bullet"/>
      <w:lvlText w:val=""/>
      <w:lvlJc w:val="left"/>
      <w:pPr>
        <w:tabs>
          <w:tab w:val="num" w:pos="1080"/>
        </w:tabs>
        <w:ind w:left="1080" w:hanging="360"/>
      </w:pPr>
      <w:rPr>
        <w:rFonts w:ascii="Symbol" w:hAnsi="Symbol" w:cs="Arial" w:hint="default"/>
      </w:rPr>
    </w:lvl>
    <w:lvl w:ilvl="1">
      <w:start w:val="4"/>
      <w:numFmt w:val="bullet"/>
      <w:lvlText w:val="-"/>
      <w:lvlJc w:val="left"/>
      <w:pPr>
        <w:tabs>
          <w:tab w:val="num" w:pos="1800"/>
        </w:tabs>
        <w:ind w:left="1800" w:hanging="360"/>
      </w:pPr>
      <w:rPr>
        <w:rFonts w:ascii="Verdana" w:eastAsia="Times New Roman" w:hAnsi="Verdana" w:cs="Arial" w:hint="default"/>
        <w:b w:val="0"/>
        <w:i w:val="0"/>
      </w:rPr>
    </w:lvl>
    <w:lvl w:ilvl="2">
      <w:start w:val="1"/>
      <w:numFmt w:val="bullet"/>
      <w:lvlText w:val=""/>
      <w:lvlJc w:val="left"/>
      <w:pPr>
        <w:tabs>
          <w:tab w:val="num" w:pos="2700"/>
        </w:tabs>
        <w:ind w:left="2700" w:hanging="360"/>
      </w:pPr>
      <w:rPr>
        <w:rFonts w:ascii="Symbol" w:hAnsi="Symbol" w:cs="Symbol" w:hint="default"/>
      </w:rPr>
    </w:lvl>
    <w:lvl w:ilvl="3">
      <w:start w:val="8"/>
      <w:numFmt w:val="decimal"/>
      <w:lvlText w:val="%4."/>
      <w:lvlJc w:val="left"/>
      <w:pPr>
        <w:tabs>
          <w:tab w:val="num" w:pos="72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02372D0B"/>
    <w:multiLevelType w:val="multilevel"/>
    <w:tmpl w:val="03507B0E"/>
    <w:lvl w:ilvl="0">
      <w:start w:val="1"/>
      <w:numFmt w:val="decimal"/>
      <w:lvlText w:val="%1"/>
      <w:lvlJc w:val="left"/>
      <w:pPr>
        <w:tabs>
          <w:tab w:val="num" w:pos="360"/>
        </w:tabs>
        <w:ind w:left="360" w:hanging="360"/>
      </w:pPr>
      <w:rPr>
        <w:rFonts w:ascii="Symbol" w:hAnsi="Symbol" w:cs="Symbol" w:hint="default"/>
        <w:sz w:val="22"/>
        <w:szCs w:val="22"/>
      </w:rPr>
    </w:lvl>
    <w:lvl w:ilvl="1">
      <w:start w:val="1"/>
      <w:numFmt w:val="decimal"/>
      <w:lvlText w:val="%1.%2"/>
      <w:lvlJc w:val="left"/>
      <w:pPr>
        <w:tabs>
          <w:tab w:val="num" w:pos="720"/>
        </w:tabs>
        <w:ind w:left="720" w:hanging="720"/>
      </w:pPr>
      <w:rPr>
        <w:rFonts w:ascii="Calibri" w:hAnsi="Calibri" w:cs="Arial" w:hint="default"/>
        <w:color w:val="auto"/>
        <w:sz w:val="22"/>
        <w:szCs w:val="22"/>
      </w:rPr>
    </w:lvl>
    <w:lvl w:ilvl="2">
      <w:start w:val="1"/>
      <w:numFmt w:val="decimal"/>
      <w:lvlText w:val="%1.%2.%3"/>
      <w:lvlJc w:val="left"/>
      <w:pPr>
        <w:tabs>
          <w:tab w:val="num" w:pos="720"/>
        </w:tabs>
        <w:ind w:left="720" w:hanging="720"/>
      </w:pPr>
      <w:rPr>
        <w:rFonts w:ascii="Symbol" w:hAnsi="Symbol" w:cs="Symbol" w:hint="default"/>
        <w:sz w:val="22"/>
        <w:szCs w:val="22"/>
      </w:rPr>
    </w:lvl>
    <w:lvl w:ilvl="3">
      <w:start w:val="1"/>
      <w:numFmt w:val="decimal"/>
      <w:lvlText w:val="%1.%2.%3.%4"/>
      <w:lvlJc w:val="left"/>
      <w:pPr>
        <w:tabs>
          <w:tab w:val="num" w:pos="1080"/>
        </w:tabs>
        <w:ind w:left="1080" w:hanging="1080"/>
      </w:pPr>
      <w:rPr>
        <w:rFonts w:ascii="Symbol" w:hAnsi="Symbol" w:cs="Symbol" w:hint="default"/>
        <w:sz w:val="22"/>
        <w:szCs w:val="22"/>
      </w:rPr>
    </w:lvl>
    <w:lvl w:ilvl="4">
      <w:start w:val="1"/>
      <w:numFmt w:val="decimal"/>
      <w:lvlText w:val="%1.%2.%3.%4.%5"/>
      <w:lvlJc w:val="left"/>
      <w:pPr>
        <w:tabs>
          <w:tab w:val="num" w:pos="1440"/>
        </w:tabs>
        <w:ind w:left="1440" w:hanging="1440"/>
      </w:pPr>
      <w:rPr>
        <w:rFonts w:ascii="Symbol" w:hAnsi="Symbol" w:cs="Symbol" w:hint="default"/>
        <w:sz w:val="22"/>
        <w:szCs w:val="22"/>
      </w:rPr>
    </w:lvl>
    <w:lvl w:ilvl="5">
      <w:start w:val="1"/>
      <w:numFmt w:val="decimal"/>
      <w:lvlText w:val="%1.%2.%3.%4.%5.%6"/>
      <w:lvlJc w:val="left"/>
      <w:pPr>
        <w:tabs>
          <w:tab w:val="num" w:pos="1800"/>
        </w:tabs>
        <w:ind w:left="1800" w:hanging="1800"/>
      </w:pPr>
      <w:rPr>
        <w:rFonts w:ascii="Symbol" w:hAnsi="Symbol" w:cs="Symbol" w:hint="default"/>
        <w:sz w:val="22"/>
        <w:szCs w:val="22"/>
      </w:rPr>
    </w:lvl>
    <w:lvl w:ilvl="6">
      <w:start w:val="1"/>
      <w:numFmt w:val="decimal"/>
      <w:lvlText w:val="%1.%2.%3.%4.%5.%6.%7"/>
      <w:lvlJc w:val="left"/>
      <w:pPr>
        <w:tabs>
          <w:tab w:val="num" w:pos="1800"/>
        </w:tabs>
        <w:ind w:left="1800" w:hanging="1800"/>
      </w:pPr>
      <w:rPr>
        <w:rFonts w:ascii="Symbol" w:hAnsi="Symbol" w:cs="Symbol" w:hint="default"/>
        <w:sz w:val="22"/>
        <w:szCs w:val="22"/>
      </w:rPr>
    </w:lvl>
    <w:lvl w:ilvl="7">
      <w:start w:val="1"/>
      <w:numFmt w:val="decimal"/>
      <w:lvlText w:val="%1.%2.%3.%4.%5.%6.%7.%8"/>
      <w:lvlJc w:val="left"/>
      <w:pPr>
        <w:tabs>
          <w:tab w:val="num" w:pos="2160"/>
        </w:tabs>
        <w:ind w:left="2160" w:hanging="2160"/>
      </w:pPr>
      <w:rPr>
        <w:rFonts w:ascii="Symbol" w:hAnsi="Symbol" w:cs="Symbol" w:hint="default"/>
        <w:sz w:val="22"/>
        <w:szCs w:val="22"/>
      </w:rPr>
    </w:lvl>
    <w:lvl w:ilvl="8">
      <w:start w:val="1"/>
      <w:numFmt w:val="decimal"/>
      <w:lvlText w:val="%1.%2.%3.%4.%5.%6.%7.%8.%9"/>
      <w:lvlJc w:val="left"/>
      <w:pPr>
        <w:tabs>
          <w:tab w:val="num" w:pos="2520"/>
        </w:tabs>
        <w:ind w:left="2520" w:hanging="2520"/>
      </w:pPr>
      <w:rPr>
        <w:rFonts w:ascii="Symbol" w:hAnsi="Symbol" w:cs="Symbol" w:hint="default"/>
        <w:sz w:val="22"/>
        <w:szCs w:val="22"/>
      </w:rPr>
    </w:lvl>
  </w:abstractNum>
  <w:abstractNum w:abstractNumId="13" w15:restartNumberingAfterBreak="0">
    <w:nsid w:val="0D6C25DA"/>
    <w:multiLevelType w:val="hybridMultilevel"/>
    <w:tmpl w:val="A38821E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4" w15:restartNumberingAfterBreak="0">
    <w:nsid w:val="0D954E5D"/>
    <w:multiLevelType w:val="hybridMultilevel"/>
    <w:tmpl w:val="21B23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F1D7B67"/>
    <w:multiLevelType w:val="hybridMultilevel"/>
    <w:tmpl w:val="CE3A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2D1AF4"/>
    <w:multiLevelType w:val="hybridMultilevel"/>
    <w:tmpl w:val="53B6E696"/>
    <w:lvl w:ilvl="0" w:tplc="08090001">
      <w:start w:val="1"/>
      <w:numFmt w:val="bullet"/>
      <w:lvlText w:val=""/>
      <w:lvlJc w:val="left"/>
      <w:pPr>
        <w:ind w:left="1080" w:hanging="360"/>
      </w:pPr>
      <w:rPr>
        <w:rFonts w:ascii="Symbol" w:hAnsi="Symbol" w:hint="default"/>
      </w:rPr>
    </w:lvl>
    <w:lvl w:ilvl="1" w:tplc="48F2EBB8" w:tentative="1">
      <w:start w:val="1"/>
      <w:numFmt w:val="lowerLetter"/>
      <w:lvlText w:val="%2."/>
      <w:lvlJc w:val="left"/>
      <w:pPr>
        <w:ind w:left="1800" w:hanging="360"/>
      </w:pPr>
    </w:lvl>
    <w:lvl w:ilvl="2" w:tplc="B8563A36" w:tentative="1">
      <w:start w:val="1"/>
      <w:numFmt w:val="lowerRoman"/>
      <w:lvlText w:val="%3."/>
      <w:lvlJc w:val="right"/>
      <w:pPr>
        <w:ind w:left="2520" w:hanging="180"/>
      </w:pPr>
    </w:lvl>
    <w:lvl w:ilvl="3" w:tplc="A31CEB1A" w:tentative="1">
      <w:start w:val="1"/>
      <w:numFmt w:val="decimal"/>
      <w:lvlText w:val="%4."/>
      <w:lvlJc w:val="left"/>
      <w:pPr>
        <w:ind w:left="3240" w:hanging="360"/>
      </w:pPr>
    </w:lvl>
    <w:lvl w:ilvl="4" w:tplc="E1D44096" w:tentative="1">
      <w:start w:val="1"/>
      <w:numFmt w:val="lowerLetter"/>
      <w:lvlText w:val="%5."/>
      <w:lvlJc w:val="left"/>
      <w:pPr>
        <w:ind w:left="3960" w:hanging="360"/>
      </w:pPr>
    </w:lvl>
    <w:lvl w:ilvl="5" w:tplc="17C080BE" w:tentative="1">
      <w:start w:val="1"/>
      <w:numFmt w:val="lowerRoman"/>
      <w:lvlText w:val="%6."/>
      <w:lvlJc w:val="right"/>
      <w:pPr>
        <w:ind w:left="4680" w:hanging="180"/>
      </w:pPr>
    </w:lvl>
    <w:lvl w:ilvl="6" w:tplc="7A742444" w:tentative="1">
      <w:start w:val="1"/>
      <w:numFmt w:val="decimal"/>
      <w:lvlText w:val="%7."/>
      <w:lvlJc w:val="left"/>
      <w:pPr>
        <w:ind w:left="5400" w:hanging="360"/>
      </w:pPr>
    </w:lvl>
    <w:lvl w:ilvl="7" w:tplc="C8562344" w:tentative="1">
      <w:start w:val="1"/>
      <w:numFmt w:val="lowerLetter"/>
      <w:lvlText w:val="%8."/>
      <w:lvlJc w:val="left"/>
      <w:pPr>
        <w:ind w:left="6120" w:hanging="360"/>
      </w:pPr>
    </w:lvl>
    <w:lvl w:ilvl="8" w:tplc="74AEC62A" w:tentative="1">
      <w:start w:val="1"/>
      <w:numFmt w:val="lowerRoman"/>
      <w:lvlText w:val="%9."/>
      <w:lvlJc w:val="right"/>
      <w:pPr>
        <w:ind w:left="6840" w:hanging="180"/>
      </w:pPr>
    </w:lvl>
  </w:abstractNum>
  <w:abstractNum w:abstractNumId="17" w15:restartNumberingAfterBreak="0">
    <w:nsid w:val="17205752"/>
    <w:multiLevelType w:val="hybridMultilevel"/>
    <w:tmpl w:val="3E1635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88273B5"/>
    <w:multiLevelType w:val="hybridMultilevel"/>
    <w:tmpl w:val="A546000E"/>
    <w:lvl w:ilvl="0" w:tplc="90DCB5AA">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99306F"/>
    <w:multiLevelType w:val="hybridMultilevel"/>
    <w:tmpl w:val="90DCAE56"/>
    <w:name w:val="WW8Num42"/>
    <w:lvl w:ilvl="0" w:tplc="10620580">
      <w:start w:val="5"/>
      <w:numFmt w:val="decimal"/>
      <w:lvlText w:val="%1"/>
      <w:lvlJc w:val="left"/>
      <w:pPr>
        <w:tabs>
          <w:tab w:val="num" w:pos="720"/>
        </w:tabs>
        <w:ind w:left="720" w:hanging="360"/>
      </w:pPr>
      <w:rPr>
        <w:rFonts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131A0E"/>
    <w:multiLevelType w:val="hybridMultilevel"/>
    <w:tmpl w:val="46300C2C"/>
    <w:lvl w:ilvl="0" w:tplc="3E8CE8BC">
      <w:start w:val="1"/>
      <w:numFmt w:val="decimal"/>
      <w:lvlText w:val="%1."/>
      <w:lvlJc w:val="left"/>
      <w:pPr>
        <w:ind w:left="560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45B6D64"/>
    <w:multiLevelType w:val="hybridMultilevel"/>
    <w:tmpl w:val="BC767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DB03CC"/>
    <w:multiLevelType w:val="hybridMultilevel"/>
    <w:tmpl w:val="A71C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F95DEE"/>
    <w:multiLevelType w:val="hybridMultilevel"/>
    <w:tmpl w:val="B4F4849C"/>
    <w:lvl w:ilvl="0" w:tplc="F946757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DE90257"/>
    <w:multiLevelType w:val="hybridMultilevel"/>
    <w:tmpl w:val="D3C6CE1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5" w15:restartNumberingAfterBreak="0">
    <w:nsid w:val="2FE408E4"/>
    <w:multiLevelType w:val="hybridMultilevel"/>
    <w:tmpl w:val="60FC1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3C96DC3"/>
    <w:multiLevelType w:val="hybridMultilevel"/>
    <w:tmpl w:val="3CF2A12A"/>
    <w:lvl w:ilvl="0" w:tplc="3CE8F7BC">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385A1B3B"/>
    <w:multiLevelType w:val="hybridMultilevel"/>
    <w:tmpl w:val="C72C8FE4"/>
    <w:lvl w:ilvl="0" w:tplc="0809000F">
      <w:start w:val="1"/>
      <w:numFmt w:val="decimal"/>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28" w15:restartNumberingAfterBreak="0">
    <w:nsid w:val="3C05507D"/>
    <w:multiLevelType w:val="hybridMultilevel"/>
    <w:tmpl w:val="379CC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D896354"/>
    <w:multiLevelType w:val="hybridMultilevel"/>
    <w:tmpl w:val="B4F81B10"/>
    <w:lvl w:ilvl="0" w:tplc="891EE0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DC02692"/>
    <w:multiLevelType w:val="hybridMultilevel"/>
    <w:tmpl w:val="F7344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F59743C"/>
    <w:multiLevelType w:val="hybridMultilevel"/>
    <w:tmpl w:val="D6669458"/>
    <w:lvl w:ilvl="0" w:tplc="21CC186E">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567474"/>
    <w:multiLevelType w:val="multilevel"/>
    <w:tmpl w:val="E25A1E64"/>
    <w:name w:val="WW8Num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449D0CCB"/>
    <w:multiLevelType w:val="hybridMultilevel"/>
    <w:tmpl w:val="19762CBC"/>
    <w:lvl w:ilvl="0" w:tplc="08090001">
      <w:start w:val="1"/>
      <w:numFmt w:val="bullet"/>
      <w:lvlText w:val=""/>
      <w:lvlJc w:val="left"/>
      <w:pPr>
        <w:ind w:left="1080" w:hanging="360"/>
      </w:pPr>
      <w:rPr>
        <w:rFonts w:ascii="Symbol" w:hAnsi="Symbol" w:hint="default"/>
      </w:rPr>
    </w:lvl>
    <w:lvl w:ilvl="1" w:tplc="48F2EBB8" w:tentative="1">
      <w:start w:val="1"/>
      <w:numFmt w:val="lowerLetter"/>
      <w:lvlText w:val="%2."/>
      <w:lvlJc w:val="left"/>
      <w:pPr>
        <w:ind w:left="1800" w:hanging="360"/>
      </w:pPr>
    </w:lvl>
    <w:lvl w:ilvl="2" w:tplc="B8563A36" w:tentative="1">
      <w:start w:val="1"/>
      <w:numFmt w:val="lowerRoman"/>
      <w:lvlText w:val="%3."/>
      <w:lvlJc w:val="right"/>
      <w:pPr>
        <w:ind w:left="2520" w:hanging="180"/>
      </w:pPr>
    </w:lvl>
    <w:lvl w:ilvl="3" w:tplc="A31CEB1A" w:tentative="1">
      <w:start w:val="1"/>
      <w:numFmt w:val="decimal"/>
      <w:lvlText w:val="%4."/>
      <w:lvlJc w:val="left"/>
      <w:pPr>
        <w:ind w:left="3240" w:hanging="360"/>
      </w:pPr>
    </w:lvl>
    <w:lvl w:ilvl="4" w:tplc="E1D44096" w:tentative="1">
      <w:start w:val="1"/>
      <w:numFmt w:val="lowerLetter"/>
      <w:lvlText w:val="%5."/>
      <w:lvlJc w:val="left"/>
      <w:pPr>
        <w:ind w:left="3960" w:hanging="360"/>
      </w:pPr>
    </w:lvl>
    <w:lvl w:ilvl="5" w:tplc="17C080BE" w:tentative="1">
      <w:start w:val="1"/>
      <w:numFmt w:val="lowerRoman"/>
      <w:lvlText w:val="%6."/>
      <w:lvlJc w:val="right"/>
      <w:pPr>
        <w:ind w:left="4680" w:hanging="180"/>
      </w:pPr>
    </w:lvl>
    <w:lvl w:ilvl="6" w:tplc="7A742444" w:tentative="1">
      <w:start w:val="1"/>
      <w:numFmt w:val="decimal"/>
      <w:lvlText w:val="%7."/>
      <w:lvlJc w:val="left"/>
      <w:pPr>
        <w:ind w:left="5400" w:hanging="360"/>
      </w:pPr>
    </w:lvl>
    <w:lvl w:ilvl="7" w:tplc="C8562344" w:tentative="1">
      <w:start w:val="1"/>
      <w:numFmt w:val="lowerLetter"/>
      <w:lvlText w:val="%8."/>
      <w:lvlJc w:val="left"/>
      <w:pPr>
        <w:ind w:left="6120" w:hanging="360"/>
      </w:pPr>
    </w:lvl>
    <w:lvl w:ilvl="8" w:tplc="74AEC62A" w:tentative="1">
      <w:start w:val="1"/>
      <w:numFmt w:val="lowerRoman"/>
      <w:lvlText w:val="%9."/>
      <w:lvlJc w:val="right"/>
      <w:pPr>
        <w:ind w:left="6840" w:hanging="180"/>
      </w:pPr>
    </w:lvl>
  </w:abstractNum>
  <w:abstractNum w:abstractNumId="34" w15:restartNumberingAfterBreak="0">
    <w:nsid w:val="48163AB4"/>
    <w:multiLevelType w:val="hybridMultilevel"/>
    <w:tmpl w:val="994A1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82858A4"/>
    <w:multiLevelType w:val="hybridMultilevel"/>
    <w:tmpl w:val="207ED38E"/>
    <w:lvl w:ilvl="0" w:tplc="710684E4">
      <w:start w:val="1"/>
      <w:numFmt w:val="bullet"/>
      <w:lvlText w:val=""/>
      <w:lvlJc w:val="left"/>
      <w:pPr>
        <w:ind w:left="360" w:hanging="360"/>
      </w:pPr>
      <w:rPr>
        <w:rFonts w:ascii="Symbol" w:hAnsi="Symbol" w:hint="default"/>
        <w:sz w:val="16"/>
        <w:szCs w:val="16"/>
        <w:vertAlign w:val="baseline"/>
      </w:rPr>
    </w:lvl>
    <w:lvl w:ilvl="1" w:tplc="F8CEB980">
      <w:start w:val="1"/>
      <w:numFmt w:val="bullet"/>
      <w:lvlText w:val=""/>
      <w:lvlJc w:val="left"/>
      <w:pPr>
        <w:ind w:left="1080" w:hanging="360"/>
      </w:pPr>
      <w:rPr>
        <w:rFonts w:ascii="Wingdings" w:hAnsi="Wingdings" w:hint="default"/>
        <w:sz w:val="16"/>
        <w:szCs w:val="1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A9153F9"/>
    <w:multiLevelType w:val="hybridMultilevel"/>
    <w:tmpl w:val="6A6A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D72A03"/>
    <w:multiLevelType w:val="hybridMultilevel"/>
    <w:tmpl w:val="E0DAB9B2"/>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38" w15:restartNumberingAfterBreak="0">
    <w:nsid w:val="5D315F29"/>
    <w:multiLevelType w:val="hybridMultilevel"/>
    <w:tmpl w:val="F6F491E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FB5B71"/>
    <w:multiLevelType w:val="hybridMultilevel"/>
    <w:tmpl w:val="A7307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3738BA"/>
    <w:multiLevelType w:val="hybridMultilevel"/>
    <w:tmpl w:val="D2E8A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AE36FE"/>
    <w:multiLevelType w:val="hybridMultilevel"/>
    <w:tmpl w:val="C07AA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FBD6BD1"/>
    <w:multiLevelType w:val="hybridMultilevel"/>
    <w:tmpl w:val="E592C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760736C7"/>
    <w:multiLevelType w:val="hybridMultilevel"/>
    <w:tmpl w:val="706AF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DEF00F9"/>
    <w:multiLevelType w:val="hybridMultilevel"/>
    <w:tmpl w:val="AEE4E0A6"/>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0"/>
  </w:num>
  <w:num w:numId="13">
    <w:abstractNumId w:val="43"/>
  </w:num>
  <w:num w:numId="14">
    <w:abstractNumId w:val="22"/>
  </w:num>
  <w:num w:numId="15">
    <w:abstractNumId w:val="37"/>
  </w:num>
  <w:num w:numId="16">
    <w:abstractNumId w:val="11"/>
  </w:num>
  <w:num w:numId="17">
    <w:abstractNumId w:val="32"/>
  </w:num>
  <w:num w:numId="18">
    <w:abstractNumId w:val="19"/>
  </w:num>
  <w:num w:numId="19">
    <w:abstractNumId w:val="14"/>
  </w:num>
  <w:num w:numId="20">
    <w:abstractNumId w:val="23"/>
  </w:num>
  <w:num w:numId="21">
    <w:abstractNumId w:val="39"/>
  </w:num>
  <w:num w:numId="22">
    <w:abstractNumId w:val="25"/>
  </w:num>
  <w:num w:numId="23">
    <w:abstractNumId w:val="28"/>
  </w:num>
  <w:num w:numId="24">
    <w:abstractNumId w:val="30"/>
  </w:num>
  <w:num w:numId="25">
    <w:abstractNumId w:val="29"/>
  </w:num>
  <w:num w:numId="26">
    <w:abstractNumId w:val="34"/>
  </w:num>
  <w:num w:numId="27">
    <w:abstractNumId w:val="38"/>
  </w:num>
  <w:num w:numId="28">
    <w:abstractNumId w:val="21"/>
  </w:num>
  <w:num w:numId="29">
    <w:abstractNumId w:val="18"/>
  </w:num>
  <w:num w:numId="30">
    <w:abstractNumId w:val="44"/>
  </w:num>
  <w:num w:numId="31">
    <w:abstractNumId w:val="42"/>
  </w:num>
  <w:num w:numId="32">
    <w:abstractNumId w:val="31"/>
  </w:num>
  <w:num w:numId="33">
    <w:abstractNumId w:val="35"/>
  </w:num>
  <w:num w:numId="34">
    <w:abstractNumId w:val="36"/>
  </w:num>
  <w:num w:numId="35">
    <w:abstractNumId w:val="40"/>
  </w:num>
  <w:num w:numId="36">
    <w:abstractNumId w:val="26"/>
  </w:num>
  <w:num w:numId="37">
    <w:abstractNumId w:val="12"/>
  </w:num>
  <w:num w:numId="38">
    <w:abstractNumId w:val="13"/>
  </w:num>
  <w:num w:numId="39">
    <w:abstractNumId w:val="15"/>
  </w:num>
  <w:num w:numId="40">
    <w:abstractNumId w:val="41"/>
  </w:num>
  <w:num w:numId="41">
    <w:abstractNumId w:val="24"/>
  </w:num>
  <w:num w:numId="42">
    <w:abstractNumId w:val="27"/>
  </w:num>
  <w:num w:numId="43">
    <w:abstractNumId w:val="16"/>
  </w:num>
  <w:num w:numId="44">
    <w:abstractNumId w:val="3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6B"/>
    <w:rsid w:val="000142E0"/>
    <w:rsid w:val="00031705"/>
    <w:rsid w:val="0004065E"/>
    <w:rsid w:val="000438B0"/>
    <w:rsid w:val="00050307"/>
    <w:rsid w:val="00054281"/>
    <w:rsid w:val="000620F7"/>
    <w:rsid w:val="00072FB1"/>
    <w:rsid w:val="000737C6"/>
    <w:rsid w:val="00080023"/>
    <w:rsid w:val="00085308"/>
    <w:rsid w:val="00093F70"/>
    <w:rsid w:val="000C5C8B"/>
    <w:rsid w:val="000C615A"/>
    <w:rsid w:val="000D3639"/>
    <w:rsid w:val="000D4B72"/>
    <w:rsid w:val="000E382F"/>
    <w:rsid w:val="000E7D0A"/>
    <w:rsid w:val="000F36B5"/>
    <w:rsid w:val="001022EE"/>
    <w:rsid w:val="0011175D"/>
    <w:rsid w:val="00112634"/>
    <w:rsid w:val="00117F6A"/>
    <w:rsid w:val="00121FED"/>
    <w:rsid w:val="00136908"/>
    <w:rsid w:val="001373EC"/>
    <w:rsid w:val="001541FD"/>
    <w:rsid w:val="00154A58"/>
    <w:rsid w:val="0015627F"/>
    <w:rsid w:val="001624A9"/>
    <w:rsid w:val="00171FA9"/>
    <w:rsid w:val="00175CB5"/>
    <w:rsid w:val="00177F85"/>
    <w:rsid w:val="00177FD7"/>
    <w:rsid w:val="00181561"/>
    <w:rsid w:val="00185C26"/>
    <w:rsid w:val="001873B6"/>
    <w:rsid w:val="0019097B"/>
    <w:rsid w:val="00197032"/>
    <w:rsid w:val="001A0AA1"/>
    <w:rsid w:val="001A7830"/>
    <w:rsid w:val="001A7BEB"/>
    <w:rsid w:val="001B2874"/>
    <w:rsid w:val="001B4357"/>
    <w:rsid w:val="001B66A5"/>
    <w:rsid w:val="001C5D42"/>
    <w:rsid w:val="001E35EA"/>
    <w:rsid w:val="001F2A9E"/>
    <w:rsid w:val="001F3AA9"/>
    <w:rsid w:val="002070F1"/>
    <w:rsid w:val="00212174"/>
    <w:rsid w:val="0021382D"/>
    <w:rsid w:val="00215C2F"/>
    <w:rsid w:val="00220628"/>
    <w:rsid w:val="00227875"/>
    <w:rsid w:val="00232962"/>
    <w:rsid w:val="00232DC8"/>
    <w:rsid w:val="00236CEC"/>
    <w:rsid w:val="0024288B"/>
    <w:rsid w:val="00253338"/>
    <w:rsid w:val="00254C6C"/>
    <w:rsid w:val="00263ED1"/>
    <w:rsid w:val="00276E38"/>
    <w:rsid w:val="00277A9F"/>
    <w:rsid w:val="002829E7"/>
    <w:rsid w:val="0028489A"/>
    <w:rsid w:val="002A45A6"/>
    <w:rsid w:val="002A683F"/>
    <w:rsid w:val="002A69A9"/>
    <w:rsid w:val="002A7782"/>
    <w:rsid w:val="002B0C61"/>
    <w:rsid w:val="002B5AAF"/>
    <w:rsid w:val="002C1306"/>
    <w:rsid w:val="002C4AB1"/>
    <w:rsid w:val="002C62BB"/>
    <w:rsid w:val="002E2671"/>
    <w:rsid w:val="002E4563"/>
    <w:rsid w:val="002E4C7E"/>
    <w:rsid w:val="002E6C3C"/>
    <w:rsid w:val="002E77B2"/>
    <w:rsid w:val="003063F1"/>
    <w:rsid w:val="00321D4F"/>
    <w:rsid w:val="003267F1"/>
    <w:rsid w:val="003331E5"/>
    <w:rsid w:val="003375BB"/>
    <w:rsid w:val="0034498D"/>
    <w:rsid w:val="00355738"/>
    <w:rsid w:val="00373459"/>
    <w:rsid w:val="00374FBB"/>
    <w:rsid w:val="0038214B"/>
    <w:rsid w:val="003A37E3"/>
    <w:rsid w:val="003A6CBF"/>
    <w:rsid w:val="003D2925"/>
    <w:rsid w:val="003D5B85"/>
    <w:rsid w:val="003E0F60"/>
    <w:rsid w:val="003E44C5"/>
    <w:rsid w:val="003E513C"/>
    <w:rsid w:val="003F16E2"/>
    <w:rsid w:val="00406EFB"/>
    <w:rsid w:val="00426AD6"/>
    <w:rsid w:val="004342FC"/>
    <w:rsid w:val="0043540B"/>
    <w:rsid w:val="00435DBD"/>
    <w:rsid w:val="004379CE"/>
    <w:rsid w:val="0044102F"/>
    <w:rsid w:val="00443FC8"/>
    <w:rsid w:val="00444662"/>
    <w:rsid w:val="00446E9E"/>
    <w:rsid w:val="00454A1F"/>
    <w:rsid w:val="0046391D"/>
    <w:rsid w:val="00467BD0"/>
    <w:rsid w:val="00477DD8"/>
    <w:rsid w:val="004815E2"/>
    <w:rsid w:val="004856EB"/>
    <w:rsid w:val="00490CB1"/>
    <w:rsid w:val="004972FF"/>
    <w:rsid w:val="004A7F8B"/>
    <w:rsid w:val="004C09A6"/>
    <w:rsid w:val="004D08FC"/>
    <w:rsid w:val="004D44FF"/>
    <w:rsid w:val="004E070E"/>
    <w:rsid w:val="004E1B9C"/>
    <w:rsid w:val="004F5584"/>
    <w:rsid w:val="00507CF4"/>
    <w:rsid w:val="00510C86"/>
    <w:rsid w:val="00520257"/>
    <w:rsid w:val="00530ABE"/>
    <w:rsid w:val="0053376B"/>
    <w:rsid w:val="005433C3"/>
    <w:rsid w:val="005707BD"/>
    <w:rsid w:val="00583AB9"/>
    <w:rsid w:val="00584BCB"/>
    <w:rsid w:val="00590FCA"/>
    <w:rsid w:val="00591B0B"/>
    <w:rsid w:val="00596D6E"/>
    <w:rsid w:val="005A4A0F"/>
    <w:rsid w:val="005B4F75"/>
    <w:rsid w:val="005B5F07"/>
    <w:rsid w:val="005C3491"/>
    <w:rsid w:val="005D2A39"/>
    <w:rsid w:val="005E1900"/>
    <w:rsid w:val="005E3587"/>
    <w:rsid w:val="005E4528"/>
    <w:rsid w:val="005F0DF3"/>
    <w:rsid w:val="005F4054"/>
    <w:rsid w:val="005F4361"/>
    <w:rsid w:val="005F440C"/>
    <w:rsid w:val="0060449C"/>
    <w:rsid w:val="006047C6"/>
    <w:rsid w:val="00611449"/>
    <w:rsid w:val="00615773"/>
    <w:rsid w:val="006173EE"/>
    <w:rsid w:val="006224E3"/>
    <w:rsid w:val="00645BB6"/>
    <w:rsid w:val="00661521"/>
    <w:rsid w:val="00664CC3"/>
    <w:rsid w:val="006803CF"/>
    <w:rsid w:val="00681A8F"/>
    <w:rsid w:val="00687614"/>
    <w:rsid w:val="00693255"/>
    <w:rsid w:val="00696AC1"/>
    <w:rsid w:val="00696CB6"/>
    <w:rsid w:val="006A2722"/>
    <w:rsid w:val="006B6027"/>
    <w:rsid w:val="006B769E"/>
    <w:rsid w:val="006C3F16"/>
    <w:rsid w:val="006C620C"/>
    <w:rsid w:val="006C6FEF"/>
    <w:rsid w:val="006D15D3"/>
    <w:rsid w:val="006D52D2"/>
    <w:rsid w:val="006E1B73"/>
    <w:rsid w:val="006E4155"/>
    <w:rsid w:val="006F0914"/>
    <w:rsid w:val="007026D3"/>
    <w:rsid w:val="00710DB0"/>
    <w:rsid w:val="00717940"/>
    <w:rsid w:val="00726941"/>
    <w:rsid w:val="00730D03"/>
    <w:rsid w:val="00735DCD"/>
    <w:rsid w:val="00736699"/>
    <w:rsid w:val="00736E5C"/>
    <w:rsid w:val="00742A40"/>
    <w:rsid w:val="00744CE5"/>
    <w:rsid w:val="00745D0C"/>
    <w:rsid w:val="0074769D"/>
    <w:rsid w:val="00762E78"/>
    <w:rsid w:val="0076589E"/>
    <w:rsid w:val="00766375"/>
    <w:rsid w:val="00776DBF"/>
    <w:rsid w:val="007969D0"/>
    <w:rsid w:val="007A7597"/>
    <w:rsid w:val="007B1C64"/>
    <w:rsid w:val="007B6813"/>
    <w:rsid w:val="007B6F2E"/>
    <w:rsid w:val="007C11F3"/>
    <w:rsid w:val="007C1A0A"/>
    <w:rsid w:val="007C4FDE"/>
    <w:rsid w:val="007D3C35"/>
    <w:rsid w:val="007F1F79"/>
    <w:rsid w:val="007F47E3"/>
    <w:rsid w:val="008016F5"/>
    <w:rsid w:val="00805C41"/>
    <w:rsid w:val="00832FB0"/>
    <w:rsid w:val="008512CC"/>
    <w:rsid w:val="008515EF"/>
    <w:rsid w:val="00855EC7"/>
    <w:rsid w:val="00862FFE"/>
    <w:rsid w:val="00864372"/>
    <w:rsid w:val="00865B75"/>
    <w:rsid w:val="00866EC6"/>
    <w:rsid w:val="008810EB"/>
    <w:rsid w:val="00884CD8"/>
    <w:rsid w:val="00887D0E"/>
    <w:rsid w:val="00893122"/>
    <w:rsid w:val="008979A0"/>
    <w:rsid w:val="008A6955"/>
    <w:rsid w:val="008A6FEA"/>
    <w:rsid w:val="008B3697"/>
    <w:rsid w:val="008C239A"/>
    <w:rsid w:val="008C26E5"/>
    <w:rsid w:val="008C791E"/>
    <w:rsid w:val="008D12F3"/>
    <w:rsid w:val="008E5B11"/>
    <w:rsid w:val="008F2072"/>
    <w:rsid w:val="009110B2"/>
    <w:rsid w:val="0091266F"/>
    <w:rsid w:val="0092209F"/>
    <w:rsid w:val="00927BDD"/>
    <w:rsid w:val="00932918"/>
    <w:rsid w:val="0093439D"/>
    <w:rsid w:val="00934F62"/>
    <w:rsid w:val="00943794"/>
    <w:rsid w:val="0095140D"/>
    <w:rsid w:val="00951FF1"/>
    <w:rsid w:val="00966C77"/>
    <w:rsid w:val="00967D9B"/>
    <w:rsid w:val="0097306C"/>
    <w:rsid w:val="0097481A"/>
    <w:rsid w:val="0098712B"/>
    <w:rsid w:val="00992C4B"/>
    <w:rsid w:val="00994FDF"/>
    <w:rsid w:val="009A0D79"/>
    <w:rsid w:val="009B0797"/>
    <w:rsid w:val="009C5CA9"/>
    <w:rsid w:val="009C61C8"/>
    <w:rsid w:val="009D2F7C"/>
    <w:rsid w:val="009D4BFD"/>
    <w:rsid w:val="009E4823"/>
    <w:rsid w:val="009E4C9E"/>
    <w:rsid w:val="009E50B1"/>
    <w:rsid w:val="00A04602"/>
    <w:rsid w:val="00A16BF1"/>
    <w:rsid w:val="00A2403F"/>
    <w:rsid w:val="00A24E94"/>
    <w:rsid w:val="00A252D1"/>
    <w:rsid w:val="00A42AC5"/>
    <w:rsid w:val="00A50EF4"/>
    <w:rsid w:val="00A55AC7"/>
    <w:rsid w:val="00A62237"/>
    <w:rsid w:val="00A725E1"/>
    <w:rsid w:val="00A74714"/>
    <w:rsid w:val="00A83C9C"/>
    <w:rsid w:val="00A857C9"/>
    <w:rsid w:val="00AA24E9"/>
    <w:rsid w:val="00AA2A89"/>
    <w:rsid w:val="00AC2334"/>
    <w:rsid w:val="00AC5A2C"/>
    <w:rsid w:val="00AC6398"/>
    <w:rsid w:val="00AE7D24"/>
    <w:rsid w:val="00B0056C"/>
    <w:rsid w:val="00B03559"/>
    <w:rsid w:val="00B1227F"/>
    <w:rsid w:val="00B33563"/>
    <w:rsid w:val="00B33F2E"/>
    <w:rsid w:val="00B35A15"/>
    <w:rsid w:val="00B36FFE"/>
    <w:rsid w:val="00B461E8"/>
    <w:rsid w:val="00B60B19"/>
    <w:rsid w:val="00B634E7"/>
    <w:rsid w:val="00B8692E"/>
    <w:rsid w:val="00B9211A"/>
    <w:rsid w:val="00B9279C"/>
    <w:rsid w:val="00B938F3"/>
    <w:rsid w:val="00BA06A8"/>
    <w:rsid w:val="00BA7F4D"/>
    <w:rsid w:val="00BB7271"/>
    <w:rsid w:val="00BC7EDF"/>
    <w:rsid w:val="00BD457F"/>
    <w:rsid w:val="00BD4D89"/>
    <w:rsid w:val="00BF4E08"/>
    <w:rsid w:val="00C06223"/>
    <w:rsid w:val="00C11BE7"/>
    <w:rsid w:val="00C13F01"/>
    <w:rsid w:val="00C20BD8"/>
    <w:rsid w:val="00C338AE"/>
    <w:rsid w:val="00C372B0"/>
    <w:rsid w:val="00C4690D"/>
    <w:rsid w:val="00C5423F"/>
    <w:rsid w:val="00C76394"/>
    <w:rsid w:val="00C77E48"/>
    <w:rsid w:val="00C835F5"/>
    <w:rsid w:val="00C9670E"/>
    <w:rsid w:val="00CB30C3"/>
    <w:rsid w:val="00CB3842"/>
    <w:rsid w:val="00CB78A4"/>
    <w:rsid w:val="00CB7CD9"/>
    <w:rsid w:val="00CC2317"/>
    <w:rsid w:val="00CC5491"/>
    <w:rsid w:val="00CC67D1"/>
    <w:rsid w:val="00CC6FE1"/>
    <w:rsid w:val="00CF2A30"/>
    <w:rsid w:val="00CF309E"/>
    <w:rsid w:val="00D02B10"/>
    <w:rsid w:val="00D04E08"/>
    <w:rsid w:val="00D13754"/>
    <w:rsid w:val="00D1426A"/>
    <w:rsid w:val="00D20C66"/>
    <w:rsid w:val="00D244D6"/>
    <w:rsid w:val="00D31247"/>
    <w:rsid w:val="00D32A15"/>
    <w:rsid w:val="00D40303"/>
    <w:rsid w:val="00D462EF"/>
    <w:rsid w:val="00D51113"/>
    <w:rsid w:val="00D54323"/>
    <w:rsid w:val="00D54BAF"/>
    <w:rsid w:val="00D62DC7"/>
    <w:rsid w:val="00D81043"/>
    <w:rsid w:val="00D82E50"/>
    <w:rsid w:val="00D835CC"/>
    <w:rsid w:val="00D877E6"/>
    <w:rsid w:val="00D96C82"/>
    <w:rsid w:val="00DA1BE1"/>
    <w:rsid w:val="00DA1CBF"/>
    <w:rsid w:val="00DA3253"/>
    <w:rsid w:val="00DA4E8D"/>
    <w:rsid w:val="00DB05DC"/>
    <w:rsid w:val="00DB7E44"/>
    <w:rsid w:val="00DC535E"/>
    <w:rsid w:val="00DD578C"/>
    <w:rsid w:val="00DD66F7"/>
    <w:rsid w:val="00DE0E02"/>
    <w:rsid w:val="00DE3AB2"/>
    <w:rsid w:val="00DE6A27"/>
    <w:rsid w:val="00DF2096"/>
    <w:rsid w:val="00DF5955"/>
    <w:rsid w:val="00E0209D"/>
    <w:rsid w:val="00E10A30"/>
    <w:rsid w:val="00E1508C"/>
    <w:rsid w:val="00E1695D"/>
    <w:rsid w:val="00E30927"/>
    <w:rsid w:val="00E43044"/>
    <w:rsid w:val="00E529DE"/>
    <w:rsid w:val="00E716C1"/>
    <w:rsid w:val="00E72A2D"/>
    <w:rsid w:val="00E85CCB"/>
    <w:rsid w:val="00E96EFD"/>
    <w:rsid w:val="00E972C9"/>
    <w:rsid w:val="00EA146B"/>
    <w:rsid w:val="00EA424E"/>
    <w:rsid w:val="00EB0483"/>
    <w:rsid w:val="00EC08AA"/>
    <w:rsid w:val="00ED12F8"/>
    <w:rsid w:val="00EF6C4E"/>
    <w:rsid w:val="00F07523"/>
    <w:rsid w:val="00F17092"/>
    <w:rsid w:val="00F21C6A"/>
    <w:rsid w:val="00F227D9"/>
    <w:rsid w:val="00F24B38"/>
    <w:rsid w:val="00F4160A"/>
    <w:rsid w:val="00F435C1"/>
    <w:rsid w:val="00F52015"/>
    <w:rsid w:val="00F667D8"/>
    <w:rsid w:val="00F7117B"/>
    <w:rsid w:val="00F742F5"/>
    <w:rsid w:val="00F77E2A"/>
    <w:rsid w:val="00F81412"/>
    <w:rsid w:val="00F87184"/>
    <w:rsid w:val="00F9000A"/>
    <w:rsid w:val="00F93CA0"/>
    <w:rsid w:val="00F96F86"/>
    <w:rsid w:val="00FA298C"/>
    <w:rsid w:val="00FA504F"/>
    <w:rsid w:val="00FB2B90"/>
    <w:rsid w:val="00FB5DC4"/>
    <w:rsid w:val="00FF1FF9"/>
    <w:rsid w:val="00FF3D29"/>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CA0"/>
  </w:style>
  <w:style w:type="paragraph" w:styleId="Heading1">
    <w:name w:val="heading 1"/>
    <w:basedOn w:val="Normal"/>
    <w:next w:val="Normal"/>
    <w:link w:val="Heading1Char"/>
    <w:uiPriority w:val="9"/>
    <w:qFormat/>
    <w:rsid w:val="008615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5E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ED4B63"/>
    <w:pPr>
      <w:tabs>
        <w:tab w:val="center" w:pos="4513"/>
        <w:tab w:val="right" w:pos="9026"/>
      </w:tabs>
    </w:pPr>
  </w:style>
  <w:style w:type="character" w:customStyle="1" w:styleId="HeaderChar">
    <w:name w:val="Header Char"/>
    <w:basedOn w:val="DefaultParagraphFont"/>
    <w:link w:val="Header"/>
    <w:uiPriority w:val="99"/>
    <w:rsid w:val="00ED4B63"/>
  </w:style>
  <w:style w:type="paragraph" w:styleId="Footer">
    <w:name w:val="footer"/>
    <w:basedOn w:val="Normal"/>
    <w:link w:val="FooterChar"/>
    <w:unhideWhenUsed/>
    <w:rsid w:val="00ED4B63"/>
    <w:pPr>
      <w:tabs>
        <w:tab w:val="center" w:pos="4513"/>
        <w:tab w:val="right" w:pos="9026"/>
      </w:tabs>
    </w:pPr>
  </w:style>
  <w:style w:type="character" w:customStyle="1" w:styleId="FooterChar">
    <w:name w:val="Footer Char"/>
    <w:basedOn w:val="DefaultParagraphFont"/>
    <w:link w:val="Footer"/>
    <w:uiPriority w:val="99"/>
    <w:rsid w:val="00ED4B63"/>
  </w:style>
  <w:style w:type="paragraph" w:styleId="TOCHeading">
    <w:name w:val="TOC Heading"/>
    <w:basedOn w:val="Heading1"/>
    <w:next w:val="Normal"/>
    <w:uiPriority w:val="39"/>
    <w:unhideWhenUsed/>
    <w:qFormat/>
    <w:rsid w:val="008615E5"/>
    <w:pPr>
      <w:spacing w:line="259" w:lineRule="auto"/>
      <w:outlineLvl w:val="9"/>
    </w:pPr>
    <w:rPr>
      <w:rFonts w:ascii="Arial" w:hAnsi="Arial"/>
      <w:b/>
      <w:color w:val="800080"/>
      <w:sz w:val="22"/>
    </w:rPr>
  </w:style>
  <w:style w:type="paragraph" w:customStyle="1" w:styleId="T1TableStyle">
    <w:name w:val="T1TableStyle"/>
    <w:rPr>
      <w:rFonts w:ascii="Times New Roman" w:eastAsia="Times New Roman" w:hAnsi="Times New Roman"/>
      <w:sz w:val="20"/>
      <w:szCs w:val="20"/>
    </w:rPr>
  </w:style>
  <w:style w:type="paragraph" w:customStyle="1" w:styleId="Normal0">
    <w:name w:val="Normal_0"/>
    <w:qFormat/>
    <w:rsid w:val="003B1431"/>
    <w:pPr>
      <w:spacing w:line="256" w:lineRule="auto"/>
    </w:pPr>
    <w:rPr>
      <w:sz w:val="20"/>
      <w:szCs w:val="20"/>
    </w:rPr>
  </w:style>
  <w:style w:type="paragraph" w:styleId="TOC1">
    <w:name w:val="toc 1"/>
    <w:basedOn w:val="Normal"/>
    <w:next w:val="Normal"/>
    <w:autoRedefine/>
    <w:uiPriority w:val="39"/>
    <w:rsid w:val="00805BCE"/>
  </w:style>
  <w:style w:type="character" w:styleId="Hyperlink">
    <w:name w:val="Hyperlink"/>
    <w:basedOn w:val="DefaultParagraphFont"/>
    <w:uiPriority w:val="99"/>
    <w:rsid w:val="00EF7B96"/>
    <w:rPr>
      <w:color w:val="0000FF"/>
      <w:u w:val="single"/>
    </w:rPr>
  </w:style>
  <w:style w:type="paragraph" w:customStyle="1" w:styleId="Style2">
    <w:name w:val="Style2"/>
    <w:basedOn w:val="Normal0"/>
    <w:link w:val="Style2Char"/>
    <w:qFormat/>
    <w:rsid w:val="00582E12"/>
    <w:pPr>
      <w:spacing w:line="240" w:lineRule="auto"/>
    </w:pPr>
    <w:rPr>
      <w:rFonts w:ascii="Arial" w:eastAsia="Times New Roman" w:hAnsi="Arial" w:cs="Arial"/>
      <w:b/>
    </w:rPr>
  </w:style>
  <w:style w:type="character" w:customStyle="1" w:styleId="Style2Char">
    <w:name w:val="Style2 Char"/>
    <w:basedOn w:val="DefaultParagraphFont"/>
    <w:link w:val="Style2"/>
    <w:rsid w:val="00582E12"/>
    <w:rPr>
      <w:rFonts w:ascii="Times New Roman" w:eastAsia="Times New Roman" w:hAnsi="Times New Roman" w:cs="Arial"/>
      <w:b/>
      <w:sz w:val="20"/>
      <w:szCs w:val="20"/>
    </w:rPr>
  </w:style>
  <w:style w:type="paragraph" w:customStyle="1" w:styleId="Style1">
    <w:name w:val="Style1"/>
    <w:basedOn w:val="ListParagraph"/>
    <w:link w:val="Style1Char"/>
    <w:qFormat/>
    <w:rsid w:val="00763C50"/>
    <w:pPr>
      <w:numPr>
        <w:numId w:val="1"/>
      </w:numPr>
      <w:jc w:val="both"/>
    </w:pPr>
    <w:rPr>
      <w:rFonts w:cs="Arial"/>
      <w:b/>
    </w:rPr>
  </w:style>
  <w:style w:type="paragraph" w:styleId="ListParagraph">
    <w:name w:val="List Paragraph"/>
    <w:basedOn w:val="Normal0"/>
    <w:link w:val="ListParagraphChar"/>
    <w:uiPriority w:val="34"/>
    <w:qFormat/>
    <w:rsid w:val="00B81A65"/>
    <w:pPr>
      <w:spacing w:line="240" w:lineRule="auto"/>
      <w:ind w:left="720"/>
      <w:contextualSpacing/>
    </w:pPr>
    <w:rPr>
      <w:rFonts w:ascii="Arial" w:eastAsia="Times New Roman" w:hAnsi="Arial"/>
    </w:rPr>
  </w:style>
  <w:style w:type="character" w:customStyle="1" w:styleId="ListParagraphChar">
    <w:name w:val="List Paragraph Char"/>
    <w:basedOn w:val="DefaultParagraphFont"/>
    <w:link w:val="ListParagraph"/>
    <w:uiPriority w:val="34"/>
    <w:rsid w:val="00763C50"/>
    <w:rPr>
      <w:rFonts w:ascii="Times New Roman" w:eastAsia="Times New Roman" w:hAnsi="Times New Roman"/>
      <w:sz w:val="20"/>
      <w:szCs w:val="20"/>
    </w:rPr>
  </w:style>
  <w:style w:type="character" w:customStyle="1" w:styleId="Style1Char">
    <w:name w:val="Style1 Char"/>
    <w:basedOn w:val="ListParagraphChar"/>
    <w:link w:val="Style1"/>
    <w:rsid w:val="00763C50"/>
    <w:rPr>
      <w:rFonts w:ascii="Times New Roman" w:eastAsia="Times New Roman" w:hAnsi="Times New Roman" w:cs="Arial"/>
      <w:b/>
      <w:sz w:val="20"/>
      <w:szCs w:val="20"/>
    </w:rPr>
  </w:style>
  <w:style w:type="paragraph" w:customStyle="1" w:styleId="Normal00">
    <w:name w:val="Normal_0_0"/>
    <w:qFormat/>
    <w:rsid w:val="00385C1D"/>
  </w:style>
  <w:style w:type="character" w:styleId="Strong">
    <w:name w:val="Strong"/>
    <w:uiPriority w:val="22"/>
    <w:qFormat/>
    <w:rsid w:val="00961C9C"/>
    <w:rPr>
      <w:rFonts w:ascii="Arial" w:hAnsi="Arial"/>
      <w:b/>
      <w:bCs/>
    </w:rPr>
  </w:style>
  <w:style w:type="character" w:customStyle="1" w:styleId="WW8Num1z0">
    <w:name w:val="WW8Num1z0"/>
    <w:rsid w:val="00D835CC"/>
    <w:rPr>
      <w:rFonts w:hint="default"/>
    </w:rPr>
  </w:style>
  <w:style w:type="character" w:customStyle="1" w:styleId="WW8Num1z1">
    <w:name w:val="WW8Num1z1"/>
    <w:rsid w:val="00D835CC"/>
    <w:rPr>
      <w:rFonts w:ascii="Verdana" w:hAnsi="Verdana" w:cs="Verdana" w:hint="default"/>
      <w:b w:val="0"/>
      <w:i w:val="0"/>
      <w:color w:val="auto"/>
      <w:sz w:val="22"/>
      <w:szCs w:val="22"/>
    </w:rPr>
  </w:style>
  <w:style w:type="character" w:customStyle="1" w:styleId="WW8Num2z0">
    <w:name w:val="WW8Num2z0"/>
    <w:rsid w:val="00D835CC"/>
    <w:rPr>
      <w:rFonts w:cs="Arial" w:hint="default"/>
    </w:rPr>
  </w:style>
  <w:style w:type="character" w:customStyle="1" w:styleId="WW8Num2z1">
    <w:name w:val="WW8Num2z1"/>
    <w:rsid w:val="00D835CC"/>
  </w:style>
  <w:style w:type="character" w:customStyle="1" w:styleId="WW8Num2z2">
    <w:name w:val="WW8Num2z2"/>
    <w:rsid w:val="00D835CC"/>
    <w:rPr>
      <w:rFonts w:ascii="Symbol" w:hAnsi="Symbol" w:cs="Symbol" w:hint="default"/>
    </w:rPr>
  </w:style>
  <w:style w:type="character" w:customStyle="1" w:styleId="WW8Num3z0">
    <w:name w:val="WW8Num3z0"/>
    <w:rsid w:val="00D835CC"/>
    <w:rPr>
      <w:rFonts w:cs="Arial" w:hint="default"/>
    </w:rPr>
  </w:style>
  <w:style w:type="character" w:customStyle="1" w:styleId="WW8Num4z0">
    <w:name w:val="WW8Num4z0"/>
    <w:rsid w:val="00D835CC"/>
    <w:rPr>
      <w:rFonts w:cs="Arial" w:hint="default"/>
    </w:rPr>
  </w:style>
  <w:style w:type="character" w:customStyle="1" w:styleId="WW8Num5z0">
    <w:name w:val="WW8Num5z0"/>
    <w:rsid w:val="00D835CC"/>
    <w:rPr>
      <w:rFonts w:ascii="Symbol" w:hAnsi="Symbol" w:cs="Symbol" w:hint="default"/>
      <w:sz w:val="22"/>
      <w:szCs w:val="22"/>
    </w:rPr>
  </w:style>
  <w:style w:type="character" w:customStyle="1" w:styleId="WW8Num6z0">
    <w:name w:val="WW8Num6z0"/>
    <w:rsid w:val="00D835CC"/>
    <w:rPr>
      <w:rFonts w:ascii="Symbol" w:hAnsi="Symbol" w:cs="Symbol" w:hint="default"/>
      <w:sz w:val="22"/>
      <w:szCs w:val="22"/>
    </w:rPr>
  </w:style>
  <w:style w:type="character" w:customStyle="1" w:styleId="WW8Num7z0">
    <w:name w:val="WW8Num7z0"/>
    <w:rsid w:val="00D835CC"/>
    <w:rPr>
      <w:rFonts w:cs="Verdana" w:hint="default"/>
    </w:rPr>
  </w:style>
  <w:style w:type="character" w:customStyle="1" w:styleId="WW8Num8z0">
    <w:name w:val="WW8Num8z0"/>
    <w:rsid w:val="00D835CC"/>
    <w:rPr>
      <w:rFonts w:ascii="Symbol" w:hAnsi="Symbol" w:cs="Symbol" w:hint="default"/>
      <w:sz w:val="22"/>
      <w:szCs w:val="22"/>
    </w:rPr>
  </w:style>
  <w:style w:type="character" w:customStyle="1" w:styleId="WW8Num8z3">
    <w:name w:val="WW8Num8z3"/>
    <w:rsid w:val="00D835CC"/>
  </w:style>
  <w:style w:type="character" w:customStyle="1" w:styleId="WW8Num8z4">
    <w:name w:val="WW8Num8z4"/>
    <w:rsid w:val="00D835CC"/>
  </w:style>
  <w:style w:type="character" w:customStyle="1" w:styleId="WW8Num8z5">
    <w:name w:val="WW8Num8z5"/>
    <w:rsid w:val="00D835CC"/>
  </w:style>
  <w:style w:type="character" w:customStyle="1" w:styleId="WW8Num8z6">
    <w:name w:val="WW8Num8z6"/>
    <w:rsid w:val="00D835CC"/>
  </w:style>
  <w:style w:type="character" w:customStyle="1" w:styleId="WW8Num8z7">
    <w:name w:val="WW8Num8z7"/>
    <w:rsid w:val="00D835CC"/>
  </w:style>
  <w:style w:type="character" w:customStyle="1" w:styleId="WW8Num8z8">
    <w:name w:val="WW8Num8z8"/>
    <w:rsid w:val="00D835CC"/>
  </w:style>
  <w:style w:type="character" w:customStyle="1" w:styleId="WW8Num9z0">
    <w:name w:val="WW8Num9z0"/>
    <w:rsid w:val="00D835CC"/>
    <w:rPr>
      <w:rFonts w:cs="Times New Roman" w:hint="default"/>
    </w:rPr>
  </w:style>
  <w:style w:type="character" w:customStyle="1" w:styleId="WW8Num10z0">
    <w:name w:val="WW8Num10z0"/>
    <w:rsid w:val="00D835CC"/>
    <w:rPr>
      <w:rFonts w:cs="Arial" w:hint="default"/>
    </w:rPr>
  </w:style>
  <w:style w:type="character" w:customStyle="1" w:styleId="WW8Num11z0">
    <w:name w:val="WW8Num11z0"/>
    <w:rsid w:val="00D835CC"/>
    <w:rPr>
      <w:rFonts w:cs="Arial" w:hint="default"/>
    </w:rPr>
  </w:style>
  <w:style w:type="character" w:customStyle="1" w:styleId="WW8Num12z0">
    <w:name w:val="WW8Num12z0"/>
    <w:rsid w:val="00D835CC"/>
    <w:rPr>
      <w:rFonts w:cs="Arial" w:hint="default"/>
    </w:rPr>
  </w:style>
  <w:style w:type="character" w:customStyle="1" w:styleId="WW8Num12z1">
    <w:name w:val="WW8Num12z1"/>
    <w:rsid w:val="00D835CC"/>
    <w:rPr>
      <w:rFonts w:hint="default"/>
      <w:b w:val="0"/>
      <w:i w:val="0"/>
    </w:rPr>
  </w:style>
  <w:style w:type="character" w:customStyle="1" w:styleId="WW8Num12z2">
    <w:name w:val="WW8Num12z2"/>
    <w:rsid w:val="00D835CC"/>
    <w:rPr>
      <w:rFonts w:ascii="Symbol" w:hAnsi="Symbol" w:cs="Symbol" w:hint="default"/>
    </w:rPr>
  </w:style>
  <w:style w:type="character" w:customStyle="1" w:styleId="WW8Num12z3">
    <w:name w:val="WW8Num12z3"/>
    <w:rsid w:val="00D835CC"/>
    <w:rPr>
      <w:rFonts w:hint="default"/>
    </w:rPr>
  </w:style>
  <w:style w:type="character" w:customStyle="1" w:styleId="WW8Num12z4">
    <w:name w:val="WW8Num12z4"/>
    <w:rsid w:val="00D835CC"/>
  </w:style>
  <w:style w:type="character" w:customStyle="1" w:styleId="WW8Num12z5">
    <w:name w:val="WW8Num12z5"/>
    <w:rsid w:val="00D835CC"/>
  </w:style>
  <w:style w:type="character" w:customStyle="1" w:styleId="WW8Num12z6">
    <w:name w:val="WW8Num12z6"/>
    <w:rsid w:val="00D835CC"/>
  </w:style>
  <w:style w:type="character" w:customStyle="1" w:styleId="WW8Num12z7">
    <w:name w:val="WW8Num12z7"/>
    <w:rsid w:val="00D835CC"/>
  </w:style>
  <w:style w:type="character" w:customStyle="1" w:styleId="WW8Num12z8">
    <w:name w:val="WW8Num12z8"/>
    <w:rsid w:val="00D835CC"/>
  </w:style>
  <w:style w:type="character" w:customStyle="1" w:styleId="WW8Num13z0">
    <w:name w:val="WW8Num13z0"/>
    <w:rsid w:val="00D835CC"/>
    <w:rPr>
      <w:rFonts w:hint="default"/>
    </w:rPr>
  </w:style>
  <w:style w:type="character" w:customStyle="1" w:styleId="WW8Num13z1">
    <w:name w:val="WW8Num13z1"/>
    <w:rsid w:val="00D835CC"/>
    <w:rPr>
      <w:rFonts w:hint="default"/>
      <w:b w:val="0"/>
      <w:i w:val="0"/>
      <w:color w:val="auto"/>
    </w:rPr>
  </w:style>
  <w:style w:type="character" w:customStyle="1" w:styleId="WW8Num13z2">
    <w:name w:val="WW8Num13z2"/>
    <w:rsid w:val="00D835CC"/>
  </w:style>
  <w:style w:type="character" w:customStyle="1" w:styleId="WW8Num13z3">
    <w:name w:val="WW8Num13z3"/>
    <w:rsid w:val="00D835CC"/>
  </w:style>
  <w:style w:type="character" w:customStyle="1" w:styleId="WW8Num13z4">
    <w:name w:val="WW8Num13z4"/>
    <w:rsid w:val="00D835CC"/>
  </w:style>
  <w:style w:type="character" w:customStyle="1" w:styleId="WW8Num13z5">
    <w:name w:val="WW8Num13z5"/>
    <w:rsid w:val="00D835CC"/>
  </w:style>
  <w:style w:type="character" w:customStyle="1" w:styleId="WW8Num13z6">
    <w:name w:val="WW8Num13z6"/>
    <w:rsid w:val="00D835CC"/>
  </w:style>
  <w:style w:type="character" w:customStyle="1" w:styleId="WW8Num13z7">
    <w:name w:val="WW8Num13z7"/>
    <w:rsid w:val="00D835CC"/>
  </w:style>
  <w:style w:type="character" w:customStyle="1" w:styleId="WW8Num13z8">
    <w:name w:val="WW8Num13z8"/>
    <w:rsid w:val="00D835CC"/>
  </w:style>
  <w:style w:type="character" w:customStyle="1" w:styleId="WW8Num2z3">
    <w:name w:val="WW8Num2z3"/>
    <w:rsid w:val="00D835CC"/>
  </w:style>
  <w:style w:type="character" w:customStyle="1" w:styleId="WW8Num2z4">
    <w:name w:val="WW8Num2z4"/>
    <w:rsid w:val="00D835CC"/>
  </w:style>
  <w:style w:type="character" w:customStyle="1" w:styleId="WW8Num2z5">
    <w:name w:val="WW8Num2z5"/>
    <w:rsid w:val="00D835CC"/>
  </w:style>
  <w:style w:type="character" w:customStyle="1" w:styleId="WW8Num2z6">
    <w:name w:val="WW8Num2z6"/>
    <w:rsid w:val="00D835CC"/>
  </w:style>
  <w:style w:type="character" w:customStyle="1" w:styleId="WW8Num2z7">
    <w:name w:val="WW8Num2z7"/>
    <w:rsid w:val="00D835CC"/>
  </w:style>
  <w:style w:type="character" w:customStyle="1" w:styleId="WW8Num2z8">
    <w:name w:val="WW8Num2z8"/>
    <w:rsid w:val="00D835CC"/>
  </w:style>
  <w:style w:type="character" w:customStyle="1" w:styleId="WW8Num4z1">
    <w:name w:val="WW8Num4z1"/>
    <w:rsid w:val="00D835CC"/>
  </w:style>
  <w:style w:type="character" w:customStyle="1" w:styleId="WW8Num4z2">
    <w:name w:val="WW8Num4z2"/>
    <w:rsid w:val="00D835CC"/>
  </w:style>
  <w:style w:type="character" w:customStyle="1" w:styleId="WW8Num4z3">
    <w:name w:val="WW8Num4z3"/>
    <w:rsid w:val="00D835CC"/>
  </w:style>
  <w:style w:type="character" w:customStyle="1" w:styleId="WW8Num4z4">
    <w:name w:val="WW8Num4z4"/>
    <w:rsid w:val="00D835CC"/>
  </w:style>
  <w:style w:type="character" w:customStyle="1" w:styleId="WW8Num4z5">
    <w:name w:val="WW8Num4z5"/>
    <w:rsid w:val="00D835CC"/>
  </w:style>
  <w:style w:type="character" w:customStyle="1" w:styleId="WW8Num4z6">
    <w:name w:val="WW8Num4z6"/>
    <w:rsid w:val="00D835CC"/>
  </w:style>
  <w:style w:type="character" w:customStyle="1" w:styleId="WW8Num4z7">
    <w:name w:val="WW8Num4z7"/>
    <w:rsid w:val="00D835CC"/>
  </w:style>
  <w:style w:type="character" w:customStyle="1" w:styleId="WW8Num4z8">
    <w:name w:val="WW8Num4z8"/>
    <w:rsid w:val="00D835CC"/>
  </w:style>
  <w:style w:type="character" w:customStyle="1" w:styleId="WW8Num5z1">
    <w:name w:val="WW8Num5z1"/>
    <w:rsid w:val="00D835CC"/>
    <w:rPr>
      <w:rFonts w:hint="default"/>
      <w:b w:val="0"/>
      <w:i w:val="0"/>
    </w:rPr>
  </w:style>
  <w:style w:type="character" w:customStyle="1" w:styleId="WW8Num5z2">
    <w:name w:val="WW8Num5z2"/>
    <w:rsid w:val="00D835CC"/>
    <w:rPr>
      <w:rFonts w:hint="default"/>
    </w:rPr>
  </w:style>
  <w:style w:type="character" w:customStyle="1" w:styleId="WW8Num6z1">
    <w:name w:val="WW8Num6z1"/>
    <w:rsid w:val="00D835CC"/>
    <w:rPr>
      <w:rFonts w:ascii="Courier New" w:hAnsi="Courier New" w:cs="Courier New" w:hint="default"/>
    </w:rPr>
  </w:style>
  <w:style w:type="character" w:customStyle="1" w:styleId="WW8Num6z2">
    <w:name w:val="WW8Num6z2"/>
    <w:rsid w:val="00D835CC"/>
    <w:rPr>
      <w:rFonts w:ascii="Wingdings" w:hAnsi="Wingdings" w:cs="Wingdings" w:hint="default"/>
    </w:rPr>
  </w:style>
  <w:style w:type="character" w:customStyle="1" w:styleId="WW8Num7z1">
    <w:name w:val="WW8Num7z1"/>
    <w:rsid w:val="00D835CC"/>
  </w:style>
  <w:style w:type="character" w:customStyle="1" w:styleId="WW8Num7z2">
    <w:name w:val="WW8Num7z2"/>
    <w:rsid w:val="00D835CC"/>
    <w:rPr>
      <w:rFonts w:ascii="Symbol" w:hAnsi="Symbol" w:cs="Symbol" w:hint="default"/>
    </w:rPr>
  </w:style>
  <w:style w:type="character" w:customStyle="1" w:styleId="WW8Num7z3">
    <w:name w:val="WW8Num7z3"/>
    <w:rsid w:val="00D835CC"/>
  </w:style>
  <w:style w:type="character" w:customStyle="1" w:styleId="WW8Num7z4">
    <w:name w:val="WW8Num7z4"/>
    <w:rsid w:val="00D835CC"/>
  </w:style>
  <w:style w:type="character" w:customStyle="1" w:styleId="WW8Num7z5">
    <w:name w:val="WW8Num7z5"/>
    <w:rsid w:val="00D835CC"/>
  </w:style>
  <w:style w:type="character" w:customStyle="1" w:styleId="WW8Num7z6">
    <w:name w:val="WW8Num7z6"/>
    <w:rsid w:val="00D835CC"/>
  </w:style>
  <w:style w:type="character" w:customStyle="1" w:styleId="WW8Num7z7">
    <w:name w:val="WW8Num7z7"/>
    <w:rsid w:val="00D835CC"/>
  </w:style>
  <w:style w:type="character" w:customStyle="1" w:styleId="WW8Num7z8">
    <w:name w:val="WW8Num7z8"/>
    <w:rsid w:val="00D835CC"/>
  </w:style>
  <w:style w:type="character" w:customStyle="1" w:styleId="WW8Num8z1">
    <w:name w:val="WW8Num8z1"/>
    <w:rsid w:val="00D835CC"/>
    <w:rPr>
      <w:rFonts w:ascii="Courier New" w:hAnsi="Courier New" w:cs="Courier New" w:hint="default"/>
    </w:rPr>
  </w:style>
  <w:style w:type="character" w:customStyle="1" w:styleId="WW8Num8z2">
    <w:name w:val="WW8Num8z2"/>
    <w:rsid w:val="00D835CC"/>
    <w:rPr>
      <w:rFonts w:ascii="Wingdings" w:hAnsi="Wingdings" w:cs="Wingdings" w:hint="default"/>
    </w:rPr>
  </w:style>
  <w:style w:type="character" w:customStyle="1" w:styleId="WW8Num10z1">
    <w:name w:val="WW8Num10z1"/>
    <w:rsid w:val="00D835CC"/>
  </w:style>
  <w:style w:type="character" w:customStyle="1" w:styleId="WW8Num10z2">
    <w:name w:val="WW8Num10z2"/>
    <w:rsid w:val="00D835CC"/>
  </w:style>
  <w:style w:type="character" w:customStyle="1" w:styleId="WW8Num10z3">
    <w:name w:val="WW8Num10z3"/>
    <w:rsid w:val="00D835CC"/>
  </w:style>
  <w:style w:type="character" w:customStyle="1" w:styleId="WW8Num10z4">
    <w:name w:val="WW8Num10z4"/>
    <w:rsid w:val="00D835CC"/>
  </w:style>
  <w:style w:type="character" w:customStyle="1" w:styleId="WW8Num10z5">
    <w:name w:val="WW8Num10z5"/>
    <w:rsid w:val="00D835CC"/>
  </w:style>
  <w:style w:type="character" w:customStyle="1" w:styleId="WW8Num10z6">
    <w:name w:val="WW8Num10z6"/>
    <w:rsid w:val="00D835CC"/>
  </w:style>
  <w:style w:type="character" w:customStyle="1" w:styleId="WW8Num10z7">
    <w:name w:val="WW8Num10z7"/>
    <w:rsid w:val="00D835CC"/>
  </w:style>
  <w:style w:type="character" w:customStyle="1" w:styleId="WW8Num10z8">
    <w:name w:val="WW8Num10z8"/>
    <w:rsid w:val="00D835CC"/>
  </w:style>
  <w:style w:type="character" w:customStyle="1" w:styleId="WW8Num11z1">
    <w:name w:val="WW8Num11z1"/>
    <w:rsid w:val="00D835CC"/>
    <w:rPr>
      <w:rFonts w:ascii="Symbol" w:hAnsi="Symbol" w:cs="Symbol" w:hint="default"/>
    </w:rPr>
  </w:style>
  <w:style w:type="character" w:customStyle="1" w:styleId="WW8Num11z3">
    <w:name w:val="WW8Num11z3"/>
    <w:rsid w:val="00D835CC"/>
  </w:style>
  <w:style w:type="character" w:customStyle="1" w:styleId="WW8Num11z4">
    <w:name w:val="WW8Num11z4"/>
    <w:rsid w:val="00D835CC"/>
  </w:style>
  <w:style w:type="character" w:customStyle="1" w:styleId="WW8Num11z5">
    <w:name w:val="WW8Num11z5"/>
    <w:rsid w:val="00D835CC"/>
  </w:style>
  <w:style w:type="character" w:customStyle="1" w:styleId="WW8Num11z6">
    <w:name w:val="WW8Num11z6"/>
    <w:rsid w:val="00D835CC"/>
  </w:style>
  <w:style w:type="character" w:customStyle="1" w:styleId="WW8Num11z7">
    <w:name w:val="WW8Num11z7"/>
    <w:rsid w:val="00D835CC"/>
  </w:style>
  <w:style w:type="character" w:customStyle="1" w:styleId="WW8Num11z8">
    <w:name w:val="WW8Num11z8"/>
    <w:rsid w:val="00D835CC"/>
  </w:style>
  <w:style w:type="character" w:customStyle="1" w:styleId="WW8Num14z0">
    <w:name w:val="WW8Num14z0"/>
    <w:rsid w:val="00D835CC"/>
    <w:rPr>
      <w:rFonts w:ascii="Symbol" w:hAnsi="Symbol" w:cs="Symbol" w:hint="default"/>
    </w:rPr>
  </w:style>
  <w:style w:type="character" w:customStyle="1" w:styleId="WW8Num14z3">
    <w:name w:val="WW8Num14z3"/>
    <w:rsid w:val="00D835CC"/>
  </w:style>
  <w:style w:type="character" w:customStyle="1" w:styleId="WW8Num14z4">
    <w:name w:val="WW8Num14z4"/>
    <w:rsid w:val="00D835CC"/>
  </w:style>
  <w:style w:type="character" w:customStyle="1" w:styleId="WW8Num14z5">
    <w:name w:val="WW8Num14z5"/>
    <w:rsid w:val="00D835CC"/>
  </w:style>
  <w:style w:type="character" w:customStyle="1" w:styleId="WW8Num14z6">
    <w:name w:val="WW8Num14z6"/>
    <w:rsid w:val="00D835CC"/>
  </w:style>
  <w:style w:type="character" w:customStyle="1" w:styleId="WW8Num14z7">
    <w:name w:val="WW8Num14z7"/>
    <w:rsid w:val="00D835CC"/>
  </w:style>
  <w:style w:type="character" w:customStyle="1" w:styleId="WW8Num14z8">
    <w:name w:val="WW8Num14z8"/>
    <w:rsid w:val="00D835CC"/>
  </w:style>
  <w:style w:type="character" w:customStyle="1" w:styleId="WW8Num15z0">
    <w:name w:val="WW8Num15z0"/>
    <w:rsid w:val="00D835CC"/>
    <w:rPr>
      <w:rFonts w:ascii="Symbol" w:hAnsi="Symbol" w:cs="Symbol" w:hint="default"/>
    </w:rPr>
  </w:style>
  <w:style w:type="character" w:customStyle="1" w:styleId="WW8Num15z1">
    <w:name w:val="WW8Num15z1"/>
    <w:rsid w:val="00D835CC"/>
    <w:rPr>
      <w:rFonts w:ascii="Courier New" w:hAnsi="Courier New" w:cs="Courier New" w:hint="default"/>
    </w:rPr>
  </w:style>
  <w:style w:type="character" w:customStyle="1" w:styleId="WW8Num15z2">
    <w:name w:val="WW8Num15z2"/>
    <w:rsid w:val="00D835CC"/>
    <w:rPr>
      <w:rFonts w:ascii="Wingdings" w:hAnsi="Wingdings" w:cs="Wingdings" w:hint="default"/>
    </w:rPr>
  </w:style>
  <w:style w:type="character" w:customStyle="1" w:styleId="WW8Num16z0">
    <w:name w:val="WW8Num16z0"/>
    <w:rsid w:val="00D835CC"/>
    <w:rPr>
      <w:rFonts w:ascii="Symbol" w:hAnsi="Symbol" w:cs="Symbol" w:hint="default"/>
      <w:color w:val="000000"/>
    </w:rPr>
  </w:style>
  <w:style w:type="character" w:customStyle="1" w:styleId="WW8Num16z1">
    <w:name w:val="WW8Num16z1"/>
    <w:rsid w:val="00D835CC"/>
    <w:rPr>
      <w:rFonts w:ascii="Courier New" w:hAnsi="Courier New" w:cs="Courier New" w:hint="default"/>
    </w:rPr>
  </w:style>
  <w:style w:type="character" w:customStyle="1" w:styleId="WW8Num16z2">
    <w:name w:val="WW8Num16z2"/>
    <w:rsid w:val="00D835CC"/>
    <w:rPr>
      <w:rFonts w:ascii="Wingdings" w:hAnsi="Wingdings" w:cs="Wingdings" w:hint="default"/>
    </w:rPr>
  </w:style>
  <w:style w:type="character" w:customStyle="1" w:styleId="WW8Num16z3">
    <w:name w:val="WW8Num16z3"/>
    <w:rsid w:val="00D835CC"/>
    <w:rPr>
      <w:rFonts w:ascii="Symbol" w:hAnsi="Symbol" w:cs="Symbol" w:hint="default"/>
    </w:rPr>
  </w:style>
  <w:style w:type="character" w:customStyle="1" w:styleId="WW8Num17z0">
    <w:name w:val="WW8Num17z0"/>
    <w:rsid w:val="00D835CC"/>
    <w:rPr>
      <w:rFonts w:ascii="Verdana" w:hAnsi="Verdana" w:cs="Arial" w:hint="default"/>
      <w:sz w:val="22"/>
      <w:szCs w:val="22"/>
    </w:rPr>
  </w:style>
  <w:style w:type="character" w:customStyle="1" w:styleId="WW8Num18z0">
    <w:name w:val="WW8Num18z0"/>
    <w:rsid w:val="00D835CC"/>
    <w:rPr>
      <w:rFonts w:ascii="Symbol" w:hAnsi="Symbol" w:cs="Symbol" w:hint="default"/>
      <w:color w:val="auto"/>
      <w:sz w:val="22"/>
      <w:szCs w:val="22"/>
    </w:rPr>
  </w:style>
  <w:style w:type="character" w:customStyle="1" w:styleId="WW8Num18z1">
    <w:name w:val="WW8Num18z1"/>
    <w:rsid w:val="00D835CC"/>
    <w:rPr>
      <w:rFonts w:ascii="Courier New" w:hAnsi="Courier New" w:cs="Courier New" w:hint="default"/>
    </w:rPr>
  </w:style>
  <w:style w:type="character" w:customStyle="1" w:styleId="WW8Num18z2">
    <w:name w:val="WW8Num18z2"/>
    <w:rsid w:val="00D835CC"/>
    <w:rPr>
      <w:rFonts w:ascii="Wingdings" w:hAnsi="Wingdings" w:cs="Wingdings" w:hint="default"/>
    </w:rPr>
  </w:style>
  <w:style w:type="character" w:customStyle="1" w:styleId="WW8Num18z3">
    <w:name w:val="WW8Num18z3"/>
    <w:rsid w:val="00D835CC"/>
    <w:rPr>
      <w:rFonts w:ascii="Symbol" w:hAnsi="Symbol" w:cs="Symbol" w:hint="default"/>
    </w:rPr>
  </w:style>
  <w:style w:type="character" w:customStyle="1" w:styleId="WW8Num19z0">
    <w:name w:val="WW8Num19z0"/>
    <w:rsid w:val="00D835CC"/>
    <w:rPr>
      <w:rFonts w:ascii="Symbol" w:hAnsi="Symbol" w:cs="Symbol" w:hint="default"/>
      <w:sz w:val="22"/>
      <w:szCs w:val="22"/>
    </w:rPr>
  </w:style>
  <w:style w:type="character" w:customStyle="1" w:styleId="WW8Num19z1">
    <w:name w:val="WW8Num19z1"/>
    <w:rsid w:val="00D835CC"/>
    <w:rPr>
      <w:rFonts w:ascii="Courier New" w:hAnsi="Courier New" w:cs="Courier New" w:hint="default"/>
    </w:rPr>
  </w:style>
  <w:style w:type="character" w:customStyle="1" w:styleId="WW8Num19z2">
    <w:name w:val="WW8Num19z2"/>
    <w:rsid w:val="00D835CC"/>
    <w:rPr>
      <w:rFonts w:ascii="Wingdings" w:hAnsi="Wingdings" w:cs="Wingdings" w:hint="default"/>
    </w:rPr>
  </w:style>
  <w:style w:type="character" w:customStyle="1" w:styleId="WW8Num20z0">
    <w:name w:val="WW8Num20z0"/>
    <w:rsid w:val="00D835CC"/>
    <w:rPr>
      <w:rFonts w:ascii="Symbol" w:hAnsi="Symbol" w:cs="Symbol" w:hint="default"/>
    </w:rPr>
  </w:style>
  <w:style w:type="character" w:customStyle="1" w:styleId="WW8Num20z1">
    <w:name w:val="WW8Num20z1"/>
    <w:rsid w:val="00D835CC"/>
    <w:rPr>
      <w:rFonts w:ascii="Courier New" w:hAnsi="Courier New" w:cs="Courier New" w:hint="default"/>
    </w:rPr>
  </w:style>
  <w:style w:type="character" w:customStyle="1" w:styleId="WW8Num20z2">
    <w:name w:val="WW8Num20z2"/>
    <w:rsid w:val="00D835CC"/>
    <w:rPr>
      <w:rFonts w:ascii="Wingdings" w:hAnsi="Wingdings" w:cs="Wingdings" w:hint="default"/>
    </w:rPr>
  </w:style>
  <w:style w:type="character" w:customStyle="1" w:styleId="WW8Num21z0">
    <w:name w:val="WW8Num21z0"/>
    <w:rsid w:val="00D835CC"/>
    <w:rPr>
      <w:rFonts w:ascii="Symbol" w:hAnsi="Symbol" w:cs="Symbol" w:hint="default"/>
    </w:rPr>
  </w:style>
  <w:style w:type="character" w:customStyle="1" w:styleId="WW8Num21z1">
    <w:name w:val="WW8Num21z1"/>
    <w:rsid w:val="00D835CC"/>
    <w:rPr>
      <w:rFonts w:ascii="Courier New" w:hAnsi="Courier New" w:cs="Courier New" w:hint="default"/>
    </w:rPr>
  </w:style>
  <w:style w:type="character" w:customStyle="1" w:styleId="WW8Num21z2">
    <w:name w:val="WW8Num21z2"/>
    <w:rsid w:val="00D835CC"/>
    <w:rPr>
      <w:rFonts w:ascii="Wingdings" w:hAnsi="Wingdings" w:cs="Wingdings" w:hint="default"/>
    </w:rPr>
  </w:style>
  <w:style w:type="character" w:customStyle="1" w:styleId="WW8Num22z0">
    <w:name w:val="WW8Num22z0"/>
    <w:rsid w:val="00D835CC"/>
    <w:rPr>
      <w:rFonts w:hint="default"/>
    </w:rPr>
  </w:style>
  <w:style w:type="character" w:customStyle="1" w:styleId="WW8Num22z1">
    <w:name w:val="WW8Num22z1"/>
    <w:rsid w:val="00D835CC"/>
    <w:rPr>
      <w:rFonts w:ascii="Symbol" w:hAnsi="Symbol" w:cs="Symbol" w:hint="default"/>
    </w:rPr>
  </w:style>
  <w:style w:type="character" w:customStyle="1" w:styleId="WW8Num22z2">
    <w:name w:val="WW8Num22z2"/>
    <w:rsid w:val="00D835CC"/>
  </w:style>
  <w:style w:type="character" w:customStyle="1" w:styleId="WW8Num22z3">
    <w:name w:val="WW8Num22z3"/>
    <w:rsid w:val="00D835CC"/>
  </w:style>
  <w:style w:type="character" w:customStyle="1" w:styleId="WW8Num22z4">
    <w:name w:val="WW8Num22z4"/>
    <w:rsid w:val="00D835CC"/>
  </w:style>
  <w:style w:type="character" w:customStyle="1" w:styleId="WW8Num22z5">
    <w:name w:val="WW8Num22z5"/>
    <w:rsid w:val="00D835CC"/>
  </w:style>
  <w:style w:type="character" w:customStyle="1" w:styleId="WW8Num22z6">
    <w:name w:val="WW8Num22z6"/>
    <w:rsid w:val="00D835CC"/>
  </w:style>
  <w:style w:type="character" w:customStyle="1" w:styleId="WW8Num22z7">
    <w:name w:val="WW8Num22z7"/>
    <w:rsid w:val="00D835CC"/>
  </w:style>
  <w:style w:type="character" w:customStyle="1" w:styleId="WW8Num22z8">
    <w:name w:val="WW8Num22z8"/>
    <w:rsid w:val="00D835CC"/>
  </w:style>
  <w:style w:type="character" w:customStyle="1" w:styleId="WW8Num23z0">
    <w:name w:val="WW8Num23z0"/>
    <w:rsid w:val="00D835CC"/>
    <w:rPr>
      <w:rFonts w:ascii="Symbol" w:hAnsi="Symbol" w:cs="Symbol" w:hint="default"/>
      <w:color w:val="auto"/>
      <w:sz w:val="22"/>
      <w:szCs w:val="22"/>
    </w:rPr>
  </w:style>
  <w:style w:type="character" w:customStyle="1" w:styleId="WW8Num23z1">
    <w:name w:val="WW8Num23z1"/>
    <w:rsid w:val="00D835CC"/>
  </w:style>
  <w:style w:type="character" w:customStyle="1" w:styleId="WW8Num23z2">
    <w:name w:val="WW8Num23z2"/>
    <w:rsid w:val="00D835CC"/>
    <w:rPr>
      <w:rFonts w:ascii="Symbol" w:hAnsi="Symbol" w:cs="Symbol" w:hint="default"/>
    </w:rPr>
  </w:style>
  <w:style w:type="character" w:customStyle="1" w:styleId="WW8Num23z3">
    <w:name w:val="WW8Num23z3"/>
    <w:rsid w:val="00D835CC"/>
    <w:rPr>
      <w:rFonts w:hint="default"/>
    </w:rPr>
  </w:style>
  <w:style w:type="character" w:customStyle="1" w:styleId="WW8Num23z4">
    <w:name w:val="WW8Num23z4"/>
    <w:rsid w:val="00D835CC"/>
  </w:style>
  <w:style w:type="character" w:customStyle="1" w:styleId="WW8Num23z5">
    <w:name w:val="WW8Num23z5"/>
    <w:rsid w:val="00D835CC"/>
  </w:style>
  <w:style w:type="character" w:customStyle="1" w:styleId="WW8Num23z6">
    <w:name w:val="WW8Num23z6"/>
    <w:rsid w:val="00D835CC"/>
  </w:style>
  <w:style w:type="character" w:customStyle="1" w:styleId="WW8Num23z7">
    <w:name w:val="WW8Num23z7"/>
    <w:rsid w:val="00D835CC"/>
  </w:style>
  <w:style w:type="character" w:customStyle="1" w:styleId="WW8Num23z8">
    <w:name w:val="WW8Num23z8"/>
    <w:rsid w:val="00D835CC"/>
  </w:style>
  <w:style w:type="character" w:customStyle="1" w:styleId="FootnoteCharacters">
    <w:name w:val="Footnote Characters"/>
    <w:rsid w:val="00D835CC"/>
    <w:rPr>
      <w:vertAlign w:val="superscript"/>
    </w:rPr>
  </w:style>
  <w:style w:type="character" w:styleId="FollowedHyperlink">
    <w:name w:val="FollowedHyperlink"/>
    <w:rsid w:val="00D835CC"/>
    <w:rPr>
      <w:color w:val="800080"/>
      <w:u w:val="single"/>
    </w:rPr>
  </w:style>
  <w:style w:type="character" w:styleId="FootnoteReference">
    <w:name w:val="footnote reference"/>
    <w:rsid w:val="00D835CC"/>
    <w:rPr>
      <w:vertAlign w:val="superscript"/>
    </w:rPr>
  </w:style>
  <w:style w:type="character" w:customStyle="1" w:styleId="EndnoteCharacters">
    <w:name w:val="Endnote Characters"/>
    <w:rsid w:val="00D835CC"/>
    <w:rPr>
      <w:vertAlign w:val="superscript"/>
    </w:rPr>
  </w:style>
  <w:style w:type="character" w:customStyle="1" w:styleId="WW-EndnoteCharacters">
    <w:name w:val="WW-Endnote Characters"/>
    <w:rsid w:val="00D835CC"/>
  </w:style>
  <w:style w:type="character" w:styleId="EndnoteReference">
    <w:name w:val="endnote reference"/>
    <w:rsid w:val="00D835CC"/>
    <w:rPr>
      <w:vertAlign w:val="superscript"/>
    </w:rPr>
  </w:style>
  <w:style w:type="paragraph" w:customStyle="1" w:styleId="Heading">
    <w:name w:val="Heading"/>
    <w:basedOn w:val="Normal"/>
    <w:next w:val="BodyText"/>
    <w:rsid w:val="00D835CC"/>
    <w:pPr>
      <w:keepNext/>
      <w:suppressAutoHyphens/>
      <w:spacing w:before="240" w:after="120"/>
    </w:pPr>
    <w:rPr>
      <w:rFonts w:ascii="Arial" w:eastAsia="Microsoft YaHei" w:hAnsi="Arial" w:cs="Mangal"/>
      <w:sz w:val="28"/>
      <w:szCs w:val="28"/>
      <w:lang w:val="en-GB" w:eastAsia="ar-SA"/>
    </w:rPr>
  </w:style>
  <w:style w:type="paragraph" w:styleId="BodyText">
    <w:name w:val="Body Text"/>
    <w:basedOn w:val="Normal"/>
    <w:link w:val="BodyTextChar"/>
    <w:rsid w:val="00D835CC"/>
    <w:pPr>
      <w:suppressAutoHyphens/>
      <w:spacing w:after="120"/>
    </w:pPr>
    <w:rPr>
      <w:rFonts w:ascii="Arial" w:eastAsia="Times New Roman" w:hAnsi="Arial" w:cs="Arial"/>
      <w:sz w:val="20"/>
      <w:szCs w:val="20"/>
      <w:lang w:val="en-GB" w:eastAsia="ar-SA"/>
    </w:rPr>
  </w:style>
  <w:style w:type="character" w:customStyle="1" w:styleId="BodyTextChar">
    <w:name w:val="Body Text Char"/>
    <w:basedOn w:val="DefaultParagraphFont"/>
    <w:link w:val="BodyText"/>
    <w:rsid w:val="00D835CC"/>
    <w:rPr>
      <w:rFonts w:ascii="Arial" w:eastAsia="Times New Roman" w:hAnsi="Arial" w:cs="Arial"/>
      <w:sz w:val="20"/>
      <w:szCs w:val="20"/>
      <w:lang w:val="en-GB" w:eastAsia="ar-SA"/>
    </w:rPr>
  </w:style>
  <w:style w:type="paragraph" w:styleId="List">
    <w:name w:val="List"/>
    <w:basedOn w:val="BodyText"/>
    <w:rsid w:val="00D835CC"/>
    <w:rPr>
      <w:rFonts w:cs="Mangal"/>
    </w:rPr>
  </w:style>
  <w:style w:type="paragraph" w:styleId="Caption">
    <w:name w:val="caption"/>
    <w:basedOn w:val="Normal"/>
    <w:qFormat/>
    <w:rsid w:val="00D835CC"/>
    <w:pPr>
      <w:suppressLineNumbers/>
      <w:suppressAutoHyphens/>
      <w:spacing w:before="120" w:after="120"/>
    </w:pPr>
    <w:rPr>
      <w:rFonts w:ascii="Arial" w:eastAsia="Times New Roman" w:hAnsi="Arial" w:cs="Mangal"/>
      <w:i/>
      <w:iCs/>
      <w:lang w:val="en-GB" w:eastAsia="ar-SA"/>
    </w:rPr>
  </w:style>
  <w:style w:type="paragraph" w:customStyle="1" w:styleId="Index">
    <w:name w:val="Index"/>
    <w:basedOn w:val="Normal"/>
    <w:rsid w:val="00D835CC"/>
    <w:pPr>
      <w:suppressLineNumbers/>
      <w:suppressAutoHyphens/>
    </w:pPr>
    <w:rPr>
      <w:rFonts w:ascii="Arial" w:eastAsia="Times New Roman" w:hAnsi="Arial" w:cs="Mangal"/>
      <w:sz w:val="20"/>
      <w:szCs w:val="20"/>
      <w:lang w:val="en-GB" w:eastAsia="ar-SA"/>
    </w:rPr>
  </w:style>
  <w:style w:type="paragraph" w:customStyle="1" w:styleId="CharCharChar">
    <w:name w:val="Char Char Char"/>
    <w:basedOn w:val="Normal"/>
    <w:rsid w:val="00D835CC"/>
    <w:pPr>
      <w:suppressAutoHyphens/>
      <w:spacing w:after="120" w:line="240" w:lineRule="exact"/>
    </w:pPr>
    <w:rPr>
      <w:rFonts w:ascii="Verdana" w:eastAsia="Times New Roman" w:hAnsi="Verdana" w:cs="Verdana"/>
      <w:sz w:val="20"/>
      <w:szCs w:val="20"/>
      <w:lang w:eastAsia="ar-SA"/>
    </w:rPr>
  </w:style>
  <w:style w:type="paragraph" w:customStyle="1" w:styleId="NormalWeb1">
    <w:name w:val="Normal (Web)1"/>
    <w:basedOn w:val="Normal"/>
    <w:rsid w:val="00D835CC"/>
    <w:pPr>
      <w:suppressAutoHyphens/>
    </w:pPr>
    <w:rPr>
      <w:rFonts w:ascii="Times New Roman" w:eastAsia="Times New Roman" w:hAnsi="Times New Roman" w:cs="Times New Roman"/>
      <w:lang w:val="en-GB" w:eastAsia="ar-SA"/>
    </w:rPr>
  </w:style>
  <w:style w:type="paragraph" w:styleId="FootnoteText">
    <w:name w:val="footnote text"/>
    <w:basedOn w:val="Normal"/>
    <w:link w:val="FootnoteTextChar"/>
    <w:rsid w:val="00D835CC"/>
    <w:pPr>
      <w:suppressAutoHyphens/>
    </w:pPr>
    <w:rPr>
      <w:rFonts w:ascii="Arial" w:eastAsia="Times New Roman" w:hAnsi="Arial" w:cs="Arial"/>
      <w:sz w:val="20"/>
      <w:szCs w:val="20"/>
      <w:lang w:val="en-GB" w:eastAsia="ar-SA"/>
    </w:rPr>
  </w:style>
  <w:style w:type="character" w:customStyle="1" w:styleId="FootnoteTextChar">
    <w:name w:val="Footnote Text Char"/>
    <w:basedOn w:val="DefaultParagraphFont"/>
    <w:link w:val="FootnoteText"/>
    <w:rsid w:val="00D835CC"/>
    <w:rPr>
      <w:rFonts w:ascii="Arial" w:eastAsia="Times New Roman" w:hAnsi="Arial" w:cs="Arial"/>
      <w:sz w:val="20"/>
      <w:szCs w:val="20"/>
      <w:lang w:val="en-GB" w:eastAsia="ar-SA"/>
    </w:rPr>
  </w:style>
  <w:style w:type="paragraph" w:styleId="BalloonText">
    <w:name w:val="Balloon Text"/>
    <w:basedOn w:val="Normal"/>
    <w:link w:val="BalloonTextChar"/>
    <w:rsid w:val="00D835CC"/>
    <w:pPr>
      <w:suppressAutoHyphens/>
    </w:pPr>
    <w:rPr>
      <w:rFonts w:ascii="Tahoma" w:eastAsia="Times New Roman" w:hAnsi="Tahoma" w:cs="Tahoma"/>
      <w:sz w:val="16"/>
      <w:szCs w:val="16"/>
      <w:lang w:val="en-GB" w:eastAsia="ar-SA"/>
    </w:rPr>
  </w:style>
  <w:style w:type="character" w:customStyle="1" w:styleId="BalloonTextChar">
    <w:name w:val="Balloon Text Char"/>
    <w:basedOn w:val="DefaultParagraphFont"/>
    <w:link w:val="BalloonText"/>
    <w:uiPriority w:val="99"/>
    <w:rsid w:val="00D835CC"/>
    <w:rPr>
      <w:rFonts w:ascii="Tahoma" w:eastAsia="Times New Roman" w:hAnsi="Tahoma" w:cs="Tahoma"/>
      <w:sz w:val="16"/>
      <w:szCs w:val="16"/>
      <w:lang w:val="en-GB" w:eastAsia="ar-SA"/>
    </w:rPr>
  </w:style>
  <w:style w:type="character" w:customStyle="1" w:styleId="CommentTextChar">
    <w:name w:val="Comment Text Char"/>
    <w:basedOn w:val="DefaultParagraphFont"/>
    <w:link w:val="CommentText"/>
    <w:semiHidden/>
    <w:rsid w:val="00D835CC"/>
    <w:rPr>
      <w:rFonts w:ascii="Arial" w:eastAsia="Times New Roman" w:hAnsi="Arial" w:cs="Arial"/>
      <w:sz w:val="20"/>
      <w:szCs w:val="20"/>
      <w:lang w:val="en-GB" w:eastAsia="ar-SA"/>
    </w:rPr>
  </w:style>
  <w:style w:type="paragraph" w:styleId="CommentText">
    <w:name w:val="annotation text"/>
    <w:basedOn w:val="Normal"/>
    <w:link w:val="CommentTextChar"/>
    <w:semiHidden/>
    <w:rsid w:val="00D835CC"/>
    <w:pPr>
      <w:suppressAutoHyphens/>
    </w:pPr>
    <w:rPr>
      <w:rFonts w:ascii="Arial" w:eastAsia="Times New Roman" w:hAnsi="Arial" w:cs="Arial"/>
      <w:sz w:val="20"/>
      <w:szCs w:val="20"/>
      <w:lang w:val="en-GB" w:eastAsia="ar-SA"/>
    </w:rPr>
  </w:style>
  <w:style w:type="character" w:customStyle="1" w:styleId="CommentSubjectChar">
    <w:name w:val="Comment Subject Char"/>
    <w:basedOn w:val="CommentTextChar"/>
    <w:link w:val="CommentSubject"/>
    <w:semiHidden/>
    <w:rsid w:val="00D835CC"/>
    <w:rPr>
      <w:rFonts w:ascii="Arial" w:eastAsia="Times New Roman" w:hAnsi="Arial" w:cs="Arial"/>
      <w:b/>
      <w:bCs/>
      <w:sz w:val="20"/>
      <w:szCs w:val="20"/>
      <w:lang w:val="en-GB" w:eastAsia="ar-SA"/>
    </w:rPr>
  </w:style>
  <w:style w:type="paragraph" w:styleId="CommentSubject">
    <w:name w:val="annotation subject"/>
    <w:basedOn w:val="CommentText"/>
    <w:next w:val="CommentText"/>
    <w:link w:val="CommentSubjectChar"/>
    <w:semiHidden/>
    <w:rsid w:val="00D835CC"/>
    <w:rPr>
      <w:b/>
      <w:bCs/>
    </w:rPr>
  </w:style>
  <w:style w:type="character" w:styleId="PageNumber">
    <w:name w:val="page number"/>
    <w:basedOn w:val="DefaultParagraphFont"/>
    <w:rsid w:val="00D835CC"/>
  </w:style>
  <w:style w:type="character" w:customStyle="1" w:styleId="DocumentMapChar">
    <w:name w:val="Document Map Char"/>
    <w:basedOn w:val="DefaultParagraphFont"/>
    <w:link w:val="DocumentMap"/>
    <w:semiHidden/>
    <w:rsid w:val="00D835CC"/>
    <w:rPr>
      <w:rFonts w:ascii="Tahoma" w:eastAsia="Times New Roman" w:hAnsi="Tahoma" w:cs="Tahoma"/>
      <w:sz w:val="20"/>
      <w:szCs w:val="20"/>
      <w:shd w:val="clear" w:color="auto" w:fill="000080"/>
      <w:lang w:val="en-GB" w:eastAsia="ar-SA"/>
    </w:rPr>
  </w:style>
  <w:style w:type="paragraph" w:styleId="DocumentMap">
    <w:name w:val="Document Map"/>
    <w:basedOn w:val="Normal"/>
    <w:link w:val="DocumentMapChar"/>
    <w:semiHidden/>
    <w:rsid w:val="00D835CC"/>
    <w:pPr>
      <w:shd w:val="clear" w:color="auto" w:fill="000080"/>
      <w:suppressAutoHyphens/>
    </w:pPr>
    <w:rPr>
      <w:rFonts w:ascii="Tahoma" w:eastAsia="Times New Roman" w:hAnsi="Tahoma" w:cs="Tahoma"/>
      <w:sz w:val="20"/>
      <w:szCs w:val="20"/>
      <w:lang w:val="en-GB" w:eastAsia="ar-SA"/>
    </w:rPr>
  </w:style>
  <w:style w:type="paragraph" w:styleId="NormalWeb">
    <w:name w:val="Normal (Web)"/>
    <w:basedOn w:val="Normal"/>
    <w:rsid w:val="00D835CC"/>
    <w:pPr>
      <w:spacing w:before="100" w:beforeAutospacing="1" w:after="100" w:afterAutospacing="1"/>
    </w:pPr>
    <w:rPr>
      <w:rFonts w:ascii="Times New Roman" w:eastAsia="Times New Roman" w:hAnsi="Times New Roman" w:cs="Times New Roman"/>
      <w:lang w:val="en-GB" w:eastAsia="en-GB"/>
    </w:rPr>
  </w:style>
  <w:style w:type="paragraph" w:styleId="EndnoteText">
    <w:name w:val="endnote text"/>
    <w:basedOn w:val="Normal"/>
    <w:link w:val="EndnoteTextChar"/>
    <w:rsid w:val="00D835CC"/>
    <w:pPr>
      <w:suppressAutoHyphens/>
    </w:pPr>
    <w:rPr>
      <w:rFonts w:ascii="Arial" w:eastAsia="Times New Roman" w:hAnsi="Arial" w:cs="Arial"/>
      <w:sz w:val="20"/>
      <w:szCs w:val="20"/>
      <w:lang w:val="en-GB" w:eastAsia="ar-SA"/>
    </w:rPr>
  </w:style>
  <w:style w:type="character" w:customStyle="1" w:styleId="EndnoteTextChar">
    <w:name w:val="Endnote Text Char"/>
    <w:basedOn w:val="DefaultParagraphFont"/>
    <w:link w:val="EndnoteText"/>
    <w:rsid w:val="00D835CC"/>
    <w:rPr>
      <w:rFonts w:ascii="Arial" w:eastAsia="Times New Roman" w:hAnsi="Arial" w:cs="Arial"/>
      <w:sz w:val="20"/>
      <w:szCs w:val="20"/>
      <w:lang w:val="en-GB" w:eastAsia="ar-SA"/>
    </w:rPr>
  </w:style>
  <w:style w:type="character" w:styleId="Emphasis">
    <w:name w:val="Emphasis"/>
    <w:uiPriority w:val="20"/>
    <w:qFormat/>
    <w:rsid w:val="00D835CC"/>
    <w:rPr>
      <w:b/>
      <w:bCs/>
      <w:i w:val="0"/>
      <w:iCs w:val="0"/>
    </w:rPr>
  </w:style>
  <w:style w:type="character" w:customStyle="1" w:styleId="st1">
    <w:name w:val="st1"/>
    <w:rsid w:val="00D835CC"/>
  </w:style>
  <w:style w:type="paragraph" w:customStyle="1" w:styleId="Default">
    <w:name w:val="Default"/>
    <w:rsid w:val="00D835CC"/>
    <w:pPr>
      <w:autoSpaceDE w:val="0"/>
      <w:autoSpaceDN w:val="0"/>
      <w:adjustRightInd w:val="0"/>
    </w:pPr>
    <w:rPr>
      <w:rFonts w:ascii="Arial" w:eastAsia="Times New Roman" w:hAnsi="Arial" w:cs="Arial"/>
      <w:color w:val="000000"/>
      <w:lang w:val="en-GB" w:eastAsia="en-GB"/>
    </w:rPr>
  </w:style>
  <w:style w:type="character" w:customStyle="1" w:styleId="style4b1">
    <w:name w:val="style4b1"/>
    <w:rsid w:val="00D835CC"/>
    <w:rPr>
      <w:b/>
      <w:bCs/>
      <w:color w:val="003366"/>
      <w:sz w:val="24"/>
      <w:szCs w:val="24"/>
    </w:rPr>
  </w:style>
  <w:style w:type="paragraph" w:styleId="NoSpacing">
    <w:name w:val="No Spacing"/>
    <w:basedOn w:val="Normal0"/>
    <w:next w:val="Normal0"/>
    <w:uiPriority w:val="1"/>
    <w:qFormat/>
    <w:rsid w:val="00C20BD8"/>
    <w:pPr>
      <w:spacing w:line="240" w:lineRule="auto"/>
    </w:pPr>
    <w:rPr>
      <w:rFonts w:ascii="Verdana" w:eastAsia="Calibri" w:hAnsi="Verdana"/>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1668">
      <w:bodyDiv w:val="1"/>
      <w:marLeft w:val="0"/>
      <w:marRight w:val="0"/>
      <w:marTop w:val="0"/>
      <w:marBottom w:val="0"/>
      <w:divBdr>
        <w:top w:val="none" w:sz="0" w:space="0" w:color="auto"/>
        <w:left w:val="none" w:sz="0" w:space="0" w:color="auto"/>
        <w:bottom w:val="none" w:sz="0" w:space="0" w:color="auto"/>
        <w:right w:val="none" w:sz="0" w:space="0" w:color="auto"/>
      </w:divBdr>
    </w:div>
    <w:div w:id="111752611">
      <w:bodyDiv w:val="1"/>
      <w:marLeft w:val="0"/>
      <w:marRight w:val="0"/>
      <w:marTop w:val="0"/>
      <w:marBottom w:val="0"/>
      <w:divBdr>
        <w:top w:val="none" w:sz="0" w:space="0" w:color="auto"/>
        <w:left w:val="none" w:sz="0" w:space="0" w:color="auto"/>
        <w:bottom w:val="none" w:sz="0" w:space="0" w:color="auto"/>
        <w:right w:val="none" w:sz="0" w:space="0" w:color="auto"/>
      </w:divBdr>
    </w:div>
    <w:div w:id="176968061">
      <w:bodyDiv w:val="1"/>
      <w:marLeft w:val="0"/>
      <w:marRight w:val="0"/>
      <w:marTop w:val="0"/>
      <w:marBottom w:val="0"/>
      <w:divBdr>
        <w:top w:val="none" w:sz="0" w:space="0" w:color="auto"/>
        <w:left w:val="none" w:sz="0" w:space="0" w:color="auto"/>
        <w:bottom w:val="none" w:sz="0" w:space="0" w:color="auto"/>
        <w:right w:val="none" w:sz="0" w:space="0" w:color="auto"/>
      </w:divBdr>
    </w:div>
    <w:div w:id="288903507">
      <w:bodyDiv w:val="1"/>
      <w:marLeft w:val="0"/>
      <w:marRight w:val="0"/>
      <w:marTop w:val="0"/>
      <w:marBottom w:val="0"/>
      <w:divBdr>
        <w:top w:val="none" w:sz="0" w:space="0" w:color="auto"/>
        <w:left w:val="none" w:sz="0" w:space="0" w:color="auto"/>
        <w:bottom w:val="none" w:sz="0" w:space="0" w:color="auto"/>
        <w:right w:val="none" w:sz="0" w:space="0" w:color="auto"/>
      </w:divBdr>
    </w:div>
    <w:div w:id="320432785">
      <w:bodyDiv w:val="1"/>
      <w:marLeft w:val="0"/>
      <w:marRight w:val="0"/>
      <w:marTop w:val="0"/>
      <w:marBottom w:val="0"/>
      <w:divBdr>
        <w:top w:val="none" w:sz="0" w:space="0" w:color="auto"/>
        <w:left w:val="none" w:sz="0" w:space="0" w:color="auto"/>
        <w:bottom w:val="none" w:sz="0" w:space="0" w:color="auto"/>
        <w:right w:val="none" w:sz="0" w:space="0" w:color="auto"/>
      </w:divBdr>
    </w:div>
    <w:div w:id="442193809">
      <w:bodyDiv w:val="1"/>
      <w:marLeft w:val="0"/>
      <w:marRight w:val="0"/>
      <w:marTop w:val="0"/>
      <w:marBottom w:val="0"/>
      <w:divBdr>
        <w:top w:val="none" w:sz="0" w:space="0" w:color="auto"/>
        <w:left w:val="none" w:sz="0" w:space="0" w:color="auto"/>
        <w:bottom w:val="none" w:sz="0" w:space="0" w:color="auto"/>
        <w:right w:val="none" w:sz="0" w:space="0" w:color="auto"/>
      </w:divBdr>
    </w:div>
    <w:div w:id="465246644">
      <w:bodyDiv w:val="1"/>
      <w:marLeft w:val="0"/>
      <w:marRight w:val="0"/>
      <w:marTop w:val="0"/>
      <w:marBottom w:val="0"/>
      <w:divBdr>
        <w:top w:val="none" w:sz="0" w:space="0" w:color="auto"/>
        <w:left w:val="none" w:sz="0" w:space="0" w:color="auto"/>
        <w:bottom w:val="none" w:sz="0" w:space="0" w:color="auto"/>
        <w:right w:val="none" w:sz="0" w:space="0" w:color="auto"/>
      </w:divBdr>
    </w:div>
    <w:div w:id="495389539">
      <w:bodyDiv w:val="1"/>
      <w:marLeft w:val="0"/>
      <w:marRight w:val="0"/>
      <w:marTop w:val="0"/>
      <w:marBottom w:val="0"/>
      <w:divBdr>
        <w:top w:val="none" w:sz="0" w:space="0" w:color="auto"/>
        <w:left w:val="none" w:sz="0" w:space="0" w:color="auto"/>
        <w:bottom w:val="none" w:sz="0" w:space="0" w:color="auto"/>
        <w:right w:val="none" w:sz="0" w:space="0" w:color="auto"/>
      </w:divBdr>
    </w:div>
    <w:div w:id="515851291">
      <w:bodyDiv w:val="1"/>
      <w:marLeft w:val="0"/>
      <w:marRight w:val="0"/>
      <w:marTop w:val="0"/>
      <w:marBottom w:val="0"/>
      <w:divBdr>
        <w:top w:val="none" w:sz="0" w:space="0" w:color="auto"/>
        <w:left w:val="none" w:sz="0" w:space="0" w:color="auto"/>
        <w:bottom w:val="none" w:sz="0" w:space="0" w:color="auto"/>
        <w:right w:val="none" w:sz="0" w:space="0" w:color="auto"/>
      </w:divBdr>
    </w:div>
    <w:div w:id="745344488">
      <w:bodyDiv w:val="1"/>
      <w:marLeft w:val="0"/>
      <w:marRight w:val="0"/>
      <w:marTop w:val="0"/>
      <w:marBottom w:val="0"/>
      <w:divBdr>
        <w:top w:val="none" w:sz="0" w:space="0" w:color="auto"/>
        <w:left w:val="none" w:sz="0" w:space="0" w:color="auto"/>
        <w:bottom w:val="none" w:sz="0" w:space="0" w:color="auto"/>
        <w:right w:val="none" w:sz="0" w:space="0" w:color="auto"/>
      </w:divBdr>
    </w:div>
    <w:div w:id="789974204">
      <w:bodyDiv w:val="1"/>
      <w:marLeft w:val="0"/>
      <w:marRight w:val="0"/>
      <w:marTop w:val="0"/>
      <w:marBottom w:val="0"/>
      <w:divBdr>
        <w:top w:val="none" w:sz="0" w:space="0" w:color="auto"/>
        <w:left w:val="none" w:sz="0" w:space="0" w:color="auto"/>
        <w:bottom w:val="none" w:sz="0" w:space="0" w:color="auto"/>
        <w:right w:val="none" w:sz="0" w:space="0" w:color="auto"/>
      </w:divBdr>
    </w:div>
    <w:div w:id="819420224">
      <w:bodyDiv w:val="1"/>
      <w:marLeft w:val="0"/>
      <w:marRight w:val="0"/>
      <w:marTop w:val="0"/>
      <w:marBottom w:val="0"/>
      <w:divBdr>
        <w:top w:val="none" w:sz="0" w:space="0" w:color="auto"/>
        <w:left w:val="none" w:sz="0" w:space="0" w:color="auto"/>
        <w:bottom w:val="none" w:sz="0" w:space="0" w:color="auto"/>
        <w:right w:val="none" w:sz="0" w:space="0" w:color="auto"/>
      </w:divBdr>
    </w:div>
    <w:div w:id="857237479">
      <w:bodyDiv w:val="1"/>
      <w:marLeft w:val="0"/>
      <w:marRight w:val="0"/>
      <w:marTop w:val="0"/>
      <w:marBottom w:val="0"/>
      <w:divBdr>
        <w:top w:val="none" w:sz="0" w:space="0" w:color="auto"/>
        <w:left w:val="none" w:sz="0" w:space="0" w:color="auto"/>
        <w:bottom w:val="none" w:sz="0" w:space="0" w:color="auto"/>
        <w:right w:val="none" w:sz="0" w:space="0" w:color="auto"/>
      </w:divBdr>
    </w:div>
    <w:div w:id="975068284">
      <w:bodyDiv w:val="1"/>
      <w:marLeft w:val="0"/>
      <w:marRight w:val="0"/>
      <w:marTop w:val="0"/>
      <w:marBottom w:val="0"/>
      <w:divBdr>
        <w:top w:val="none" w:sz="0" w:space="0" w:color="auto"/>
        <w:left w:val="none" w:sz="0" w:space="0" w:color="auto"/>
        <w:bottom w:val="none" w:sz="0" w:space="0" w:color="auto"/>
        <w:right w:val="none" w:sz="0" w:space="0" w:color="auto"/>
      </w:divBdr>
    </w:div>
    <w:div w:id="1024794989">
      <w:bodyDiv w:val="1"/>
      <w:marLeft w:val="0"/>
      <w:marRight w:val="0"/>
      <w:marTop w:val="0"/>
      <w:marBottom w:val="0"/>
      <w:divBdr>
        <w:top w:val="none" w:sz="0" w:space="0" w:color="auto"/>
        <w:left w:val="none" w:sz="0" w:space="0" w:color="auto"/>
        <w:bottom w:val="none" w:sz="0" w:space="0" w:color="auto"/>
        <w:right w:val="none" w:sz="0" w:space="0" w:color="auto"/>
      </w:divBdr>
    </w:div>
    <w:div w:id="1327896762">
      <w:bodyDiv w:val="1"/>
      <w:marLeft w:val="0"/>
      <w:marRight w:val="0"/>
      <w:marTop w:val="0"/>
      <w:marBottom w:val="0"/>
      <w:divBdr>
        <w:top w:val="none" w:sz="0" w:space="0" w:color="auto"/>
        <w:left w:val="none" w:sz="0" w:space="0" w:color="auto"/>
        <w:bottom w:val="none" w:sz="0" w:space="0" w:color="auto"/>
        <w:right w:val="none" w:sz="0" w:space="0" w:color="auto"/>
      </w:divBdr>
    </w:div>
    <w:div w:id="1388718901">
      <w:bodyDiv w:val="1"/>
      <w:marLeft w:val="0"/>
      <w:marRight w:val="0"/>
      <w:marTop w:val="0"/>
      <w:marBottom w:val="0"/>
      <w:divBdr>
        <w:top w:val="none" w:sz="0" w:space="0" w:color="auto"/>
        <w:left w:val="none" w:sz="0" w:space="0" w:color="auto"/>
        <w:bottom w:val="none" w:sz="0" w:space="0" w:color="auto"/>
        <w:right w:val="none" w:sz="0" w:space="0" w:color="auto"/>
      </w:divBdr>
    </w:div>
    <w:div w:id="1424178847">
      <w:bodyDiv w:val="1"/>
      <w:marLeft w:val="0"/>
      <w:marRight w:val="0"/>
      <w:marTop w:val="0"/>
      <w:marBottom w:val="0"/>
      <w:divBdr>
        <w:top w:val="none" w:sz="0" w:space="0" w:color="auto"/>
        <w:left w:val="none" w:sz="0" w:space="0" w:color="auto"/>
        <w:bottom w:val="none" w:sz="0" w:space="0" w:color="auto"/>
        <w:right w:val="none" w:sz="0" w:space="0" w:color="auto"/>
      </w:divBdr>
    </w:div>
    <w:div w:id="1432435507">
      <w:bodyDiv w:val="1"/>
      <w:marLeft w:val="0"/>
      <w:marRight w:val="0"/>
      <w:marTop w:val="0"/>
      <w:marBottom w:val="0"/>
      <w:divBdr>
        <w:top w:val="none" w:sz="0" w:space="0" w:color="auto"/>
        <w:left w:val="none" w:sz="0" w:space="0" w:color="auto"/>
        <w:bottom w:val="none" w:sz="0" w:space="0" w:color="auto"/>
        <w:right w:val="none" w:sz="0" w:space="0" w:color="auto"/>
      </w:divBdr>
    </w:div>
    <w:div w:id="1746611059">
      <w:bodyDiv w:val="1"/>
      <w:marLeft w:val="0"/>
      <w:marRight w:val="0"/>
      <w:marTop w:val="0"/>
      <w:marBottom w:val="0"/>
      <w:divBdr>
        <w:top w:val="none" w:sz="0" w:space="0" w:color="auto"/>
        <w:left w:val="none" w:sz="0" w:space="0" w:color="auto"/>
        <w:bottom w:val="none" w:sz="0" w:space="0" w:color="auto"/>
        <w:right w:val="none" w:sz="0" w:space="0" w:color="auto"/>
      </w:divBdr>
    </w:div>
    <w:div w:id="1828858455">
      <w:bodyDiv w:val="1"/>
      <w:marLeft w:val="0"/>
      <w:marRight w:val="0"/>
      <w:marTop w:val="0"/>
      <w:marBottom w:val="0"/>
      <w:divBdr>
        <w:top w:val="none" w:sz="0" w:space="0" w:color="auto"/>
        <w:left w:val="none" w:sz="0" w:space="0" w:color="auto"/>
        <w:bottom w:val="none" w:sz="0" w:space="0" w:color="auto"/>
        <w:right w:val="none" w:sz="0" w:space="0" w:color="auto"/>
      </w:divBdr>
    </w:div>
    <w:div w:id="2097482327">
      <w:bodyDiv w:val="1"/>
      <w:marLeft w:val="0"/>
      <w:marRight w:val="0"/>
      <w:marTop w:val="0"/>
      <w:marBottom w:val="0"/>
      <w:divBdr>
        <w:top w:val="none" w:sz="0" w:space="0" w:color="auto"/>
        <w:left w:val="none" w:sz="0" w:space="0" w:color="auto"/>
        <w:bottom w:val="none" w:sz="0" w:space="0" w:color="auto"/>
        <w:right w:val="none" w:sz="0" w:space="0" w:color="auto"/>
      </w:divBdr>
    </w:div>
    <w:div w:id="2136871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image" Target="media/image6.png"/><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2.emf"/><Relationship Id="rId33" Type="http://schemas.openxmlformats.org/officeDocument/2006/relationships/hyperlink" Target="file://\\int\finance\Financedata\SHARED\Local%20Settings\Temporary%20Internet%20Files\KADWE_M\KADWE_M\Local%20Settings\Temporary%20Internet%20Files\Application%20Data\majer_s\Application%20Data\Microsoft\rowe_ms\Application%20Data\Microsoft\Year%20end%202011%2012\Year%20end%202011%2012\(Q)%20Statement%20of%20Accounts\Year%20end%202009%2010\Accounts%2009-10\(P)%20Statement%20of%20Accounts\www.cipfa.org.uk"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emf"/><Relationship Id="rId32" Type="http://schemas.openxmlformats.org/officeDocument/2006/relationships/hyperlink" Target="file://\\int\finance\Financedata\SHARED\Local%20Settings\Temporary%20Internet%20Files\KADWE_M\KADWE_M\Local%20Settings\Temporary%20Internet%20Files\Application%20Data\majer_s\Application%20Data\Microsoft\rowe_ms\Application%20Data\Microsoft\Year%20end%202011%2012\Year%20end%202011%2012\(Q)%20Statement%20of%20Accounts\Year%20end%202009%2010\Accounts%2009-10\(P)%20Statement%20of%20Accounts\www.cipfa.org.uk" TargetMode="External"/><Relationship Id="rId5" Type="http://schemas.openxmlformats.org/officeDocument/2006/relationships/webSettings" Target="webSettings.xml"/><Relationship Id="rId15" Type="http://schemas.openxmlformats.org/officeDocument/2006/relationships/hyperlink" Target="mailto:CorporateFinance@Surrey.pnn.police.uk" TargetMode="External"/><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footer" Target="footer2.xml"/><Relationship Id="rId19" Type="http://schemas.openxmlformats.org/officeDocument/2006/relationships/hyperlink" Target="mailto:Peter.Gillett@Surrey.pnn.police.uk" TargetMode="External"/><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trategic-policing-requirement" TargetMode="External"/><Relationship Id="rId13" Type="http://schemas.openxmlformats.org/officeDocument/2006/relationships/hyperlink" Target="https://www.justiceinspectorates.gov.uk/hmicfrs/peel-assessments/peel-2018/surrey/" TargetMode="External"/><Relationship Id="rId18" Type="http://schemas.openxmlformats.org/officeDocument/2006/relationships/hyperlink" Target="https://www.gov.uk/government/uploads/system/uploads/attachment_data/file/466058/Review_Targets_2015.pdf" TargetMode="External"/><Relationship Id="rId3" Type="http://schemas.openxmlformats.org/officeDocument/2006/relationships/hyperlink" Target="http://www.cipfa.org/policy-and-guidance/publications/d/delivering-good-governance-in-local-government-framework-2016-edition" TargetMode="External"/><Relationship Id="rId21" Type="http://schemas.openxmlformats.org/officeDocument/2006/relationships/hyperlink" Target="https://www.surrey.police.uk/foi-ai/af/accessing-information/" TargetMode="External"/><Relationship Id="rId7" Type="http://schemas.openxmlformats.org/officeDocument/2006/relationships/hyperlink" Target="https://www.gov.uk/government/publications/strategic-policing-requirement" TargetMode="External"/><Relationship Id="rId12" Type="http://schemas.openxmlformats.org/officeDocument/2006/relationships/hyperlink" Target="https://www.policeconduct.gov.uk/sites/default/files/Documents/research-learning/IPCC_Use_Of_Force_Report.pdf" TargetMode="External"/><Relationship Id="rId17" Type="http://schemas.openxmlformats.org/officeDocument/2006/relationships/hyperlink" Target="https://www.surrey.police.uk/SysSiteAssets/media/downloads/surrey/about-us/sp_forcemanagementstatement.pdf" TargetMode="External"/><Relationship Id="rId2" Type="http://schemas.openxmlformats.org/officeDocument/2006/relationships/hyperlink" Target="https://www.sussex-pcc.gov.uk/media/4781/code-of-corporate-governance-v9-2020.pdf" TargetMode="External"/><Relationship Id="rId16" Type="http://schemas.openxmlformats.org/officeDocument/2006/relationships/hyperlink" Target="https://www.sussex.police.uk/SysSiteAssets/foi-media/sussex/other_information/sussex-police-force-management-statement-2019.pdf" TargetMode="External"/><Relationship Id="rId20" Type="http://schemas.openxmlformats.org/officeDocument/2006/relationships/hyperlink" Target="https://www.surrey-pcc.gov.uk/transparency/meetings-agendas/" TargetMode="External"/><Relationship Id="rId1" Type="http://schemas.openxmlformats.org/officeDocument/2006/relationships/hyperlink" Target="https://www.sussex-pcc.gov.uk/media/2995/code-of-governance-v5.pdf" TargetMode="External"/><Relationship Id="rId6" Type="http://schemas.openxmlformats.org/officeDocument/2006/relationships/hyperlink" Target="http://www.surrey-pcc.gov.uk/plan/" TargetMode="External"/><Relationship Id="rId11" Type="http://schemas.openxmlformats.org/officeDocument/2006/relationships/hyperlink" Target="https://www.surrey.police.uk/SysSiteAssets/foi-media/surrey/policies/anti-fraud-corruption-and-bribery-policy.pdf" TargetMode="External"/><Relationship Id="rId5" Type="http://schemas.openxmlformats.org/officeDocument/2006/relationships/hyperlink" Target="http://www.cipfa.org/policy-and-guidance/reports/cipfa-statement-on-the-role-of-the-chief-financial-officer-of-the-police-and-crime-commissioner-and-the-chief-finance-officer-of-the-chief-constable" TargetMode="External"/><Relationship Id="rId15" Type="http://schemas.openxmlformats.org/officeDocument/2006/relationships/hyperlink" Target="https://www.surrey.police.uk/SysSiteAssets/media/downloads/surrey/about-us/business-plan-2017.pdf" TargetMode="External"/><Relationship Id="rId23" Type="http://schemas.openxmlformats.org/officeDocument/2006/relationships/hyperlink" Target="https://surrey-pcc.gov.uk/wp-content/uploads/2020/07/10a.pdf" TargetMode="External"/><Relationship Id="rId10" Type="http://schemas.openxmlformats.org/officeDocument/2006/relationships/hyperlink" Target="https://www.justiceinspectorates.gov.uk/hmicfrs/publications/surrey-crime-data-integrity-inspection-2018/" TargetMode="External"/><Relationship Id="rId19" Type="http://schemas.openxmlformats.org/officeDocument/2006/relationships/hyperlink" Target="https://www.justiceinspectorates.gov.uk/hmicfrs/our-work/article/value-for-money-inspections/value-for-money-profiles/value-for-money-dashboards/" TargetMode="External"/><Relationship Id="rId4" Type="http://schemas.openxmlformats.org/officeDocument/2006/relationships/hyperlink" Target="http://www.cipfa.org/policy-and-guidance/publications/d/delivering-good-governance-guidance-notes-for-policing-bodies-in-england-and-wales-2016-edition" TargetMode="External"/><Relationship Id="rId9" Type="http://schemas.openxmlformats.org/officeDocument/2006/relationships/hyperlink" Target="https://www.surrey-pcc.gov.uk/transparency/key-responsibilities/" TargetMode="External"/><Relationship Id="rId14" Type="http://schemas.openxmlformats.org/officeDocument/2006/relationships/hyperlink" Target="https://www.surrey.police.uk/SysSiteAssets/media/downloads/surrey/about-us/ourplanonapage.pdf" TargetMode="External"/><Relationship Id="rId22" Type="http://schemas.openxmlformats.org/officeDocument/2006/relationships/hyperlink" Target="https://www.surrey.police.uk/search?q=misconduct+meeting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ub1mntbrowne\Public\Finance&amp;Admin\ACCOUNT\Final%20Accounts%20All%20Years\Final%20Accounts%202019-2020\Statement%20of%20Accounts\CC%20Tables\Actual%20Costs%20Table%20for%20Narrative%20Report-CC%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ub1mntbrowne\Public\Finance&amp;Admin\ACCOUNT\Final%20Accounts%20All%20Years\Final%20Accounts%202019-2020\Statement%20of%20Accounts\CC%20Tables\Saves%20Pie%20chart.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ysClr val="windowText" lastClr="000000"/>
                </a:solidFill>
              </a:rPr>
              <a:t>2019/20</a:t>
            </a:r>
            <a:r>
              <a:rPr lang="en-GB" b="1" baseline="0">
                <a:solidFill>
                  <a:sysClr val="windowText" lastClr="000000"/>
                </a:solidFill>
              </a:rPr>
              <a:t> Chief Constable Outturn</a:t>
            </a:r>
            <a:endParaRPr lang="en-GB"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42-4551-B10E-F5A2EDCD8D9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42-4551-B10E-F5A2EDCD8D9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42-4551-B10E-F5A2EDCD8D9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42-4551-B10E-F5A2EDCD8D9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142-4551-B10E-F5A2EDCD8D9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142-4551-B10E-F5A2EDCD8D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Sheet1!$C$24:$C$29</c:f>
              <c:strCache>
                <c:ptCount val="6"/>
                <c:pt idx="0">
                  <c:v>Police Payroll</c:v>
                </c:pt>
                <c:pt idx="1">
                  <c:v>Staff Payroll</c:v>
                </c:pt>
                <c:pt idx="2">
                  <c:v>Other Payroll Costs</c:v>
                </c:pt>
                <c:pt idx="3">
                  <c:v>Premises</c:v>
                </c:pt>
                <c:pt idx="4">
                  <c:v>Transport</c:v>
                </c:pt>
                <c:pt idx="5">
                  <c:v>Supplies and Services</c:v>
                </c:pt>
              </c:strCache>
            </c:strRef>
          </c:cat>
          <c:val>
            <c:numRef>
              <c:f>Sheet1!$D$24:$D$29</c:f>
              <c:numCache>
                <c:formatCode>0%</c:formatCode>
                <c:ptCount val="6"/>
                <c:pt idx="0">
                  <c:v>0.48819561551433382</c:v>
                </c:pt>
                <c:pt idx="1">
                  <c:v>0.29300168634064078</c:v>
                </c:pt>
                <c:pt idx="2">
                  <c:v>2.4451939291736932E-2</c:v>
                </c:pt>
                <c:pt idx="3">
                  <c:v>5.3541315345699822E-2</c:v>
                </c:pt>
                <c:pt idx="4">
                  <c:v>2.571669477234401E-2</c:v>
                </c:pt>
                <c:pt idx="5">
                  <c:v>0.11509274873524451</c:v>
                </c:pt>
              </c:numCache>
            </c:numRef>
          </c:val>
          <c:extLst xmlns:c16r2="http://schemas.microsoft.com/office/drawing/2015/06/chart">
            <c:ext xmlns:c16="http://schemas.microsoft.com/office/drawing/2014/chart" uri="{C3380CC4-5D6E-409C-BE32-E72D297353CC}">
              <c16:uniqueId val="{0000000C-6142-4551-B10E-F5A2EDCD8D9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Savings by Portfolio
2019-20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AA7-4631-9DC4-B204C4F74A8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AA7-4631-9DC4-B204C4F74A8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AA7-4631-9DC4-B204C4F74A8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AA7-4631-9DC4-B204C4F74A8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AA7-4631-9DC4-B204C4F74A8C}"/>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AA7-4631-9DC4-B204C4F74A8C}"/>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AA7-4631-9DC4-B204C4F74A8C}"/>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AA7-4631-9DC4-B204C4F74A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Sheet1!$B$5:$B$12</c:f>
              <c:strCache>
                <c:ptCount val="8"/>
                <c:pt idx="0">
                  <c:v>ICT</c:v>
                </c:pt>
                <c:pt idx="1">
                  <c:v>Finance &amp; Services</c:v>
                </c:pt>
                <c:pt idx="2">
                  <c:v>Corporate Services</c:v>
                </c:pt>
                <c:pt idx="3">
                  <c:v>Specialist Crime</c:v>
                </c:pt>
                <c:pt idx="4">
                  <c:v>Operations Command</c:v>
                </c:pt>
                <c:pt idx="5">
                  <c:v>Contact &amp; Deployment</c:v>
                </c:pt>
                <c:pt idx="6">
                  <c:v>Roads Policing</c:v>
                </c:pt>
                <c:pt idx="7">
                  <c:v>Local Policing</c:v>
                </c:pt>
              </c:strCache>
            </c:strRef>
          </c:cat>
          <c:val>
            <c:numRef>
              <c:f>Sheet1!$C$5:$C$12</c:f>
              <c:numCache>
                <c:formatCode>0%</c:formatCode>
                <c:ptCount val="8"/>
                <c:pt idx="0">
                  <c:v>0.15203671830177853</c:v>
                </c:pt>
                <c:pt idx="1">
                  <c:v>0.40504876649454963</c:v>
                </c:pt>
                <c:pt idx="2">
                  <c:v>7.6878944348823863E-2</c:v>
                </c:pt>
                <c:pt idx="3">
                  <c:v>0.37119908204245555</c:v>
                </c:pt>
                <c:pt idx="4">
                  <c:v>7.2289156626506021E-2</c:v>
                </c:pt>
                <c:pt idx="5">
                  <c:v>0.10900745840504876</c:v>
                </c:pt>
                <c:pt idx="6">
                  <c:v>4.4176706827309238E-2</c:v>
                </c:pt>
                <c:pt idx="7">
                  <c:v>0.40332759609868046</c:v>
                </c:pt>
              </c:numCache>
            </c:numRef>
          </c:val>
          <c:extLst xmlns:c16r2="http://schemas.microsoft.com/office/drawing/2015/06/chart">
            <c:ext xmlns:c16="http://schemas.microsoft.com/office/drawing/2014/chart" uri="{C3380CC4-5D6E-409C-BE32-E72D297353CC}">
              <c16:uniqueId val="{00000010-1AA7-4631-9DC4-B204C4F74A8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ECD06-195C-4D12-A9A9-FA347A5C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28105</Words>
  <Characters>160202</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Thompson</dc:creator>
  <cp:lastModifiedBy>Kadwell Miranda 29434</cp:lastModifiedBy>
  <cp:revision>3</cp:revision>
  <dcterms:created xsi:type="dcterms:W3CDTF">2020-11-18T19:53:00Z</dcterms:created>
  <dcterms:modified xsi:type="dcterms:W3CDTF">2020-11-18T19:54:00Z</dcterms:modified>
</cp:coreProperties>
</file>